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99902" w14:textId="314C1B2E" w:rsidR="002F1D05" w:rsidRPr="00C76457" w:rsidRDefault="002F1D05" w:rsidP="00276F61">
      <w:pPr>
        <w:spacing w:after="0"/>
        <w:jc w:val="center"/>
        <w:rPr>
          <w:rFonts w:ascii="Arial" w:hAnsi="Arial" w:cs="Arial"/>
          <w:b/>
        </w:rPr>
      </w:pPr>
      <w:r w:rsidRPr="00C76457">
        <w:rPr>
          <w:rFonts w:ascii="Arial" w:hAnsi="Arial" w:cs="Arial"/>
          <w:b/>
        </w:rPr>
        <w:t>CONTENIDO</w:t>
      </w:r>
    </w:p>
    <w:p w14:paraId="1D2E53FF" w14:textId="6E1AEB97" w:rsidR="003D775F" w:rsidRDefault="002F1D05">
      <w:pPr>
        <w:pStyle w:val="TDC1"/>
        <w:tabs>
          <w:tab w:val="left" w:pos="442"/>
          <w:tab w:val="right" w:leader="dot" w:pos="8828"/>
        </w:tabs>
        <w:rPr>
          <w:rFonts w:asciiTheme="minorHAnsi" w:eastAsiaTheme="minorEastAsia" w:hAnsiTheme="minorHAnsi" w:cstheme="minorBidi"/>
          <w:noProof/>
          <w:kern w:val="2"/>
          <w:sz w:val="24"/>
          <w:szCs w:val="24"/>
          <w14:ligatures w14:val="standardContextual"/>
        </w:rPr>
      </w:pPr>
      <w:r w:rsidRPr="00C76457">
        <w:rPr>
          <w:rFonts w:cs="Arial"/>
        </w:rPr>
        <w:fldChar w:fldCharType="begin"/>
      </w:r>
      <w:r w:rsidRPr="00C76457">
        <w:rPr>
          <w:rFonts w:cs="Arial"/>
        </w:rPr>
        <w:instrText xml:space="preserve"> TOC \o "1-3" \h \z \u </w:instrText>
      </w:r>
      <w:r w:rsidRPr="00C76457">
        <w:rPr>
          <w:rFonts w:cs="Arial"/>
        </w:rPr>
        <w:fldChar w:fldCharType="separate"/>
      </w:r>
      <w:hyperlink w:anchor="_Toc242091249" w:history="1">
        <w:r w:rsidR="003D775F" w:rsidRPr="00B67A28">
          <w:rPr>
            <w:rStyle w:val="Hipervnculo"/>
            <w:rFonts w:cs="Arial"/>
            <w:noProof/>
          </w:rPr>
          <w:t>1.</w:t>
        </w:r>
        <w:r w:rsidR="003D775F">
          <w:rPr>
            <w:rFonts w:asciiTheme="minorHAnsi" w:eastAsiaTheme="minorEastAsia" w:hAnsiTheme="minorHAnsi" w:cstheme="minorBidi"/>
            <w:noProof/>
            <w:kern w:val="2"/>
            <w:sz w:val="24"/>
            <w:szCs w:val="24"/>
            <w14:ligatures w14:val="standardContextual"/>
          </w:rPr>
          <w:tab/>
        </w:r>
        <w:r w:rsidR="003D775F" w:rsidRPr="00B67A28">
          <w:rPr>
            <w:rStyle w:val="Hipervnculo"/>
            <w:rFonts w:cs="Arial"/>
            <w:noProof/>
          </w:rPr>
          <w:t>OBJETO</w:t>
        </w:r>
        <w:r w:rsidR="003D775F">
          <w:rPr>
            <w:noProof/>
            <w:webHidden/>
          </w:rPr>
          <w:tab/>
        </w:r>
        <w:r w:rsidR="003D775F">
          <w:rPr>
            <w:noProof/>
            <w:webHidden/>
          </w:rPr>
          <w:fldChar w:fldCharType="begin"/>
        </w:r>
        <w:r w:rsidR="003D775F">
          <w:rPr>
            <w:noProof/>
            <w:webHidden/>
          </w:rPr>
          <w:instrText xml:space="preserve"> PAGEREF _Toc242091249 \h </w:instrText>
        </w:r>
        <w:r w:rsidR="003D775F">
          <w:rPr>
            <w:noProof/>
            <w:webHidden/>
          </w:rPr>
        </w:r>
        <w:r w:rsidR="003D775F">
          <w:rPr>
            <w:noProof/>
            <w:webHidden/>
          </w:rPr>
          <w:fldChar w:fldCharType="separate"/>
        </w:r>
        <w:r w:rsidR="003D775F">
          <w:rPr>
            <w:noProof/>
            <w:webHidden/>
          </w:rPr>
          <w:t>2</w:t>
        </w:r>
        <w:r w:rsidR="003D775F">
          <w:rPr>
            <w:noProof/>
            <w:webHidden/>
          </w:rPr>
          <w:fldChar w:fldCharType="end"/>
        </w:r>
      </w:hyperlink>
    </w:p>
    <w:p w14:paraId="15592366" w14:textId="682C1555" w:rsidR="003D775F" w:rsidRDefault="003D775F">
      <w:pPr>
        <w:pStyle w:val="TDC1"/>
        <w:tabs>
          <w:tab w:val="left" w:pos="442"/>
          <w:tab w:val="right" w:leader="dot" w:pos="8828"/>
        </w:tabs>
        <w:rPr>
          <w:rFonts w:asciiTheme="minorHAnsi" w:eastAsiaTheme="minorEastAsia" w:hAnsiTheme="minorHAnsi" w:cstheme="minorBidi"/>
          <w:noProof/>
          <w:kern w:val="2"/>
          <w:sz w:val="24"/>
          <w:szCs w:val="24"/>
          <w14:ligatures w14:val="standardContextual"/>
        </w:rPr>
      </w:pPr>
      <w:hyperlink w:anchor="_Toc242091250" w:history="1">
        <w:r w:rsidRPr="00B67A28">
          <w:rPr>
            <w:rStyle w:val="Hipervnculo"/>
            <w:rFonts w:cs="Arial"/>
            <w:noProof/>
          </w:rPr>
          <w:t>2.</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ASPECTOS GENERALES</w:t>
        </w:r>
        <w:r>
          <w:rPr>
            <w:noProof/>
            <w:webHidden/>
          </w:rPr>
          <w:tab/>
        </w:r>
        <w:r>
          <w:rPr>
            <w:noProof/>
            <w:webHidden/>
          </w:rPr>
          <w:fldChar w:fldCharType="begin"/>
        </w:r>
        <w:r>
          <w:rPr>
            <w:noProof/>
            <w:webHidden/>
          </w:rPr>
          <w:instrText xml:space="preserve"> PAGEREF _Toc242091250 \h </w:instrText>
        </w:r>
        <w:r>
          <w:rPr>
            <w:noProof/>
            <w:webHidden/>
          </w:rPr>
        </w:r>
        <w:r>
          <w:rPr>
            <w:noProof/>
            <w:webHidden/>
          </w:rPr>
          <w:fldChar w:fldCharType="separate"/>
        </w:r>
        <w:r>
          <w:rPr>
            <w:noProof/>
            <w:webHidden/>
          </w:rPr>
          <w:t>2</w:t>
        </w:r>
        <w:r>
          <w:rPr>
            <w:noProof/>
            <w:webHidden/>
          </w:rPr>
          <w:fldChar w:fldCharType="end"/>
        </w:r>
      </w:hyperlink>
    </w:p>
    <w:p w14:paraId="17AFB7A7" w14:textId="4453574C" w:rsidR="003D775F" w:rsidRDefault="003D775F">
      <w:pPr>
        <w:pStyle w:val="TDC1"/>
        <w:tabs>
          <w:tab w:val="left" w:pos="442"/>
          <w:tab w:val="right" w:leader="dot" w:pos="8828"/>
        </w:tabs>
        <w:rPr>
          <w:rFonts w:asciiTheme="minorHAnsi" w:eastAsiaTheme="minorEastAsia" w:hAnsiTheme="minorHAnsi" w:cstheme="minorBidi"/>
          <w:noProof/>
          <w:kern w:val="2"/>
          <w:sz w:val="24"/>
          <w:szCs w:val="24"/>
          <w14:ligatures w14:val="standardContextual"/>
        </w:rPr>
      </w:pPr>
      <w:hyperlink w:anchor="_Toc242091251" w:history="1">
        <w:r w:rsidRPr="00B67A28">
          <w:rPr>
            <w:rStyle w:val="Hipervnculo"/>
            <w:rFonts w:cs="Arial"/>
            <w:noProof/>
          </w:rPr>
          <w:t>3.</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ESTUDIO DE LA OFERTA</w:t>
        </w:r>
        <w:r>
          <w:rPr>
            <w:noProof/>
            <w:webHidden/>
          </w:rPr>
          <w:tab/>
        </w:r>
        <w:r>
          <w:rPr>
            <w:noProof/>
            <w:webHidden/>
          </w:rPr>
          <w:fldChar w:fldCharType="begin"/>
        </w:r>
        <w:r>
          <w:rPr>
            <w:noProof/>
            <w:webHidden/>
          </w:rPr>
          <w:instrText xml:space="preserve"> PAGEREF _Toc242091251 \h </w:instrText>
        </w:r>
        <w:r>
          <w:rPr>
            <w:noProof/>
            <w:webHidden/>
          </w:rPr>
        </w:r>
        <w:r>
          <w:rPr>
            <w:noProof/>
            <w:webHidden/>
          </w:rPr>
          <w:fldChar w:fldCharType="separate"/>
        </w:r>
        <w:r>
          <w:rPr>
            <w:noProof/>
            <w:webHidden/>
          </w:rPr>
          <w:t>37</w:t>
        </w:r>
        <w:r>
          <w:rPr>
            <w:noProof/>
            <w:webHidden/>
          </w:rPr>
          <w:fldChar w:fldCharType="end"/>
        </w:r>
      </w:hyperlink>
    </w:p>
    <w:p w14:paraId="4B2552F7" w14:textId="1F3D6121" w:rsidR="003D775F" w:rsidRDefault="003D775F">
      <w:pPr>
        <w:pStyle w:val="TDC2"/>
        <w:tabs>
          <w:tab w:val="left" w:pos="880"/>
          <w:tab w:val="right" w:leader="dot" w:pos="8828"/>
        </w:tabs>
        <w:rPr>
          <w:rFonts w:asciiTheme="minorHAnsi" w:eastAsiaTheme="minorEastAsia" w:hAnsiTheme="minorHAnsi" w:cstheme="minorBidi"/>
          <w:noProof/>
          <w:kern w:val="2"/>
          <w:sz w:val="24"/>
          <w:szCs w:val="24"/>
          <w14:ligatures w14:val="standardContextual"/>
        </w:rPr>
      </w:pPr>
      <w:hyperlink w:anchor="_Toc242091252" w:history="1">
        <w:r w:rsidRPr="00B67A28">
          <w:rPr>
            <w:rStyle w:val="Hipervnculo"/>
            <w:rFonts w:cs="Arial"/>
            <w:noProof/>
          </w:rPr>
          <w:t>3.1</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Análisis financiero/económico del nicho de sector</w:t>
        </w:r>
        <w:r>
          <w:rPr>
            <w:noProof/>
            <w:webHidden/>
          </w:rPr>
          <w:tab/>
        </w:r>
        <w:r>
          <w:rPr>
            <w:noProof/>
            <w:webHidden/>
          </w:rPr>
          <w:fldChar w:fldCharType="begin"/>
        </w:r>
        <w:r>
          <w:rPr>
            <w:noProof/>
            <w:webHidden/>
          </w:rPr>
          <w:instrText xml:space="preserve"> PAGEREF _Toc242091252 \h </w:instrText>
        </w:r>
        <w:r>
          <w:rPr>
            <w:noProof/>
            <w:webHidden/>
          </w:rPr>
        </w:r>
        <w:r>
          <w:rPr>
            <w:noProof/>
            <w:webHidden/>
          </w:rPr>
          <w:fldChar w:fldCharType="separate"/>
        </w:r>
        <w:r>
          <w:rPr>
            <w:noProof/>
            <w:webHidden/>
          </w:rPr>
          <w:t>50</w:t>
        </w:r>
        <w:r>
          <w:rPr>
            <w:noProof/>
            <w:webHidden/>
          </w:rPr>
          <w:fldChar w:fldCharType="end"/>
        </w:r>
      </w:hyperlink>
    </w:p>
    <w:p w14:paraId="71ECAAA4" w14:textId="45B14274" w:rsidR="003D775F" w:rsidRDefault="003D775F">
      <w:pPr>
        <w:pStyle w:val="TDC1"/>
        <w:tabs>
          <w:tab w:val="left" w:pos="442"/>
          <w:tab w:val="right" w:leader="dot" w:pos="8828"/>
        </w:tabs>
        <w:rPr>
          <w:rFonts w:asciiTheme="minorHAnsi" w:eastAsiaTheme="minorEastAsia" w:hAnsiTheme="minorHAnsi" w:cstheme="minorBidi"/>
          <w:noProof/>
          <w:kern w:val="2"/>
          <w:sz w:val="24"/>
          <w:szCs w:val="24"/>
          <w14:ligatures w14:val="standardContextual"/>
        </w:rPr>
      </w:pPr>
      <w:hyperlink w:anchor="_Toc242091253" w:history="1">
        <w:r w:rsidRPr="00B67A28">
          <w:rPr>
            <w:rStyle w:val="Hipervnculo"/>
            <w:rFonts w:cs="Arial"/>
            <w:noProof/>
          </w:rPr>
          <w:t>4.</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ESTUDIO DE LA DEMANDA</w:t>
        </w:r>
        <w:r>
          <w:rPr>
            <w:noProof/>
            <w:webHidden/>
          </w:rPr>
          <w:tab/>
        </w:r>
        <w:r>
          <w:rPr>
            <w:noProof/>
            <w:webHidden/>
          </w:rPr>
          <w:fldChar w:fldCharType="begin"/>
        </w:r>
        <w:r>
          <w:rPr>
            <w:noProof/>
            <w:webHidden/>
          </w:rPr>
          <w:instrText xml:space="preserve"> PAGEREF _Toc242091253 \h </w:instrText>
        </w:r>
        <w:r>
          <w:rPr>
            <w:noProof/>
            <w:webHidden/>
          </w:rPr>
        </w:r>
        <w:r>
          <w:rPr>
            <w:noProof/>
            <w:webHidden/>
          </w:rPr>
          <w:fldChar w:fldCharType="separate"/>
        </w:r>
        <w:r>
          <w:rPr>
            <w:noProof/>
            <w:webHidden/>
          </w:rPr>
          <w:t>68</w:t>
        </w:r>
        <w:r>
          <w:rPr>
            <w:noProof/>
            <w:webHidden/>
          </w:rPr>
          <w:fldChar w:fldCharType="end"/>
        </w:r>
      </w:hyperlink>
    </w:p>
    <w:p w14:paraId="1F5B3869" w14:textId="476EDD7E" w:rsidR="003D775F" w:rsidRDefault="003D775F">
      <w:pPr>
        <w:pStyle w:val="TDC2"/>
        <w:tabs>
          <w:tab w:val="left" w:pos="880"/>
          <w:tab w:val="right" w:leader="dot" w:pos="8828"/>
        </w:tabs>
        <w:rPr>
          <w:rFonts w:asciiTheme="minorHAnsi" w:eastAsiaTheme="minorEastAsia" w:hAnsiTheme="minorHAnsi" w:cstheme="minorBidi"/>
          <w:noProof/>
          <w:kern w:val="2"/>
          <w:sz w:val="24"/>
          <w:szCs w:val="24"/>
          <w14:ligatures w14:val="standardContextual"/>
        </w:rPr>
      </w:pPr>
      <w:hyperlink w:anchor="_Toc242091254" w:history="1">
        <w:r w:rsidRPr="00B67A28">
          <w:rPr>
            <w:rStyle w:val="Hipervnculo"/>
            <w:rFonts w:cs="Arial"/>
            <w:noProof/>
          </w:rPr>
          <w:t>4.1</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Forma de adquirir el bien o servicio en el pasado</w:t>
        </w:r>
        <w:r>
          <w:rPr>
            <w:noProof/>
            <w:webHidden/>
          </w:rPr>
          <w:tab/>
        </w:r>
        <w:r>
          <w:rPr>
            <w:noProof/>
            <w:webHidden/>
          </w:rPr>
          <w:fldChar w:fldCharType="begin"/>
        </w:r>
        <w:r>
          <w:rPr>
            <w:noProof/>
            <w:webHidden/>
          </w:rPr>
          <w:instrText xml:space="preserve"> PAGEREF _Toc242091254 \h </w:instrText>
        </w:r>
        <w:r>
          <w:rPr>
            <w:noProof/>
            <w:webHidden/>
          </w:rPr>
        </w:r>
        <w:r>
          <w:rPr>
            <w:noProof/>
            <w:webHidden/>
          </w:rPr>
          <w:fldChar w:fldCharType="separate"/>
        </w:r>
        <w:r>
          <w:rPr>
            <w:noProof/>
            <w:webHidden/>
          </w:rPr>
          <w:t>68</w:t>
        </w:r>
        <w:r>
          <w:rPr>
            <w:noProof/>
            <w:webHidden/>
          </w:rPr>
          <w:fldChar w:fldCharType="end"/>
        </w:r>
      </w:hyperlink>
    </w:p>
    <w:p w14:paraId="098FDE1A" w14:textId="7C1ADE4B" w:rsidR="003D775F" w:rsidRDefault="003D775F">
      <w:pPr>
        <w:pStyle w:val="TDC2"/>
        <w:tabs>
          <w:tab w:val="left" w:pos="880"/>
          <w:tab w:val="right" w:leader="dot" w:pos="8828"/>
        </w:tabs>
        <w:rPr>
          <w:rFonts w:asciiTheme="minorHAnsi" w:eastAsiaTheme="minorEastAsia" w:hAnsiTheme="minorHAnsi" w:cstheme="minorBidi"/>
          <w:noProof/>
          <w:kern w:val="2"/>
          <w:sz w:val="24"/>
          <w:szCs w:val="24"/>
          <w14:ligatures w14:val="standardContextual"/>
        </w:rPr>
      </w:pPr>
      <w:hyperlink w:anchor="_Toc242091255" w:history="1">
        <w:r w:rsidRPr="00B67A28">
          <w:rPr>
            <w:rStyle w:val="Hipervnculo"/>
            <w:rFonts w:cs="Arial"/>
            <w:noProof/>
          </w:rPr>
          <w:t>4.2</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Forma de adquirir el bien o servicio por otras empresas</w:t>
        </w:r>
        <w:r>
          <w:rPr>
            <w:noProof/>
            <w:webHidden/>
          </w:rPr>
          <w:tab/>
        </w:r>
        <w:r>
          <w:rPr>
            <w:noProof/>
            <w:webHidden/>
          </w:rPr>
          <w:fldChar w:fldCharType="begin"/>
        </w:r>
        <w:r>
          <w:rPr>
            <w:noProof/>
            <w:webHidden/>
          </w:rPr>
          <w:instrText xml:space="preserve"> PAGEREF _Toc242091255 \h </w:instrText>
        </w:r>
        <w:r>
          <w:rPr>
            <w:noProof/>
            <w:webHidden/>
          </w:rPr>
        </w:r>
        <w:r>
          <w:rPr>
            <w:noProof/>
            <w:webHidden/>
          </w:rPr>
          <w:fldChar w:fldCharType="separate"/>
        </w:r>
        <w:r>
          <w:rPr>
            <w:noProof/>
            <w:webHidden/>
          </w:rPr>
          <w:t>69</w:t>
        </w:r>
        <w:r>
          <w:rPr>
            <w:noProof/>
            <w:webHidden/>
          </w:rPr>
          <w:fldChar w:fldCharType="end"/>
        </w:r>
      </w:hyperlink>
    </w:p>
    <w:p w14:paraId="6F4849A2" w14:textId="72A87617" w:rsidR="003D775F" w:rsidRDefault="003D775F">
      <w:pPr>
        <w:pStyle w:val="TDC1"/>
        <w:tabs>
          <w:tab w:val="left" w:pos="442"/>
          <w:tab w:val="right" w:leader="dot" w:pos="8828"/>
        </w:tabs>
        <w:rPr>
          <w:rFonts w:asciiTheme="minorHAnsi" w:eastAsiaTheme="minorEastAsia" w:hAnsiTheme="minorHAnsi" w:cstheme="minorBidi"/>
          <w:noProof/>
          <w:kern w:val="2"/>
          <w:sz w:val="24"/>
          <w:szCs w:val="24"/>
          <w14:ligatures w14:val="standardContextual"/>
        </w:rPr>
      </w:pPr>
      <w:hyperlink w:anchor="_Toc242091256" w:history="1">
        <w:r w:rsidRPr="00B67A28">
          <w:rPr>
            <w:rStyle w:val="Hipervnculo"/>
            <w:rFonts w:cs="Arial"/>
            <w:noProof/>
          </w:rPr>
          <w:t>5.</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rPr>
          <w:t>INDICADORES HABILITANTES DE CAPACIDAD FINANCIERA Y CAPACIDAD ORGANIZACIONAL</w:t>
        </w:r>
        <w:r>
          <w:rPr>
            <w:noProof/>
            <w:webHidden/>
          </w:rPr>
          <w:tab/>
        </w:r>
        <w:r>
          <w:rPr>
            <w:noProof/>
            <w:webHidden/>
          </w:rPr>
          <w:fldChar w:fldCharType="begin"/>
        </w:r>
        <w:r>
          <w:rPr>
            <w:noProof/>
            <w:webHidden/>
          </w:rPr>
          <w:instrText xml:space="preserve"> PAGEREF _Toc242091256 \h </w:instrText>
        </w:r>
        <w:r>
          <w:rPr>
            <w:noProof/>
            <w:webHidden/>
          </w:rPr>
        </w:r>
        <w:r>
          <w:rPr>
            <w:noProof/>
            <w:webHidden/>
          </w:rPr>
          <w:fldChar w:fldCharType="separate"/>
        </w:r>
        <w:r>
          <w:rPr>
            <w:noProof/>
            <w:webHidden/>
          </w:rPr>
          <w:t>69</w:t>
        </w:r>
        <w:r>
          <w:rPr>
            <w:noProof/>
            <w:webHidden/>
          </w:rPr>
          <w:fldChar w:fldCharType="end"/>
        </w:r>
      </w:hyperlink>
    </w:p>
    <w:p w14:paraId="433DC2EA" w14:textId="4FBAF7A9" w:rsidR="003D775F" w:rsidRDefault="003D775F">
      <w:pPr>
        <w:pStyle w:val="TDC1"/>
        <w:tabs>
          <w:tab w:val="left" w:pos="442"/>
          <w:tab w:val="right" w:leader="dot" w:pos="8828"/>
        </w:tabs>
        <w:rPr>
          <w:rFonts w:asciiTheme="minorHAnsi" w:eastAsiaTheme="minorEastAsia" w:hAnsiTheme="minorHAnsi" w:cstheme="minorBidi"/>
          <w:noProof/>
          <w:kern w:val="2"/>
          <w:sz w:val="24"/>
          <w:szCs w:val="24"/>
          <w14:ligatures w14:val="standardContextual"/>
        </w:rPr>
      </w:pPr>
      <w:hyperlink w:anchor="_Toc242091257" w:history="1">
        <w:r w:rsidRPr="00B67A28">
          <w:rPr>
            <w:rStyle w:val="Hipervnculo"/>
            <w:rFonts w:cs="Arial"/>
            <w:noProof/>
            <w:lang w:val="es-MX"/>
          </w:rPr>
          <w:t>6.</w:t>
        </w:r>
        <w:r>
          <w:rPr>
            <w:rFonts w:asciiTheme="minorHAnsi" w:eastAsiaTheme="minorEastAsia" w:hAnsiTheme="minorHAnsi" w:cstheme="minorBidi"/>
            <w:noProof/>
            <w:kern w:val="2"/>
            <w:sz w:val="24"/>
            <w:szCs w:val="24"/>
            <w14:ligatures w14:val="standardContextual"/>
          </w:rPr>
          <w:tab/>
        </w:r>
        <w:r w:rsidRPr="00B67A28">
          <w:rPr>
            <w:rStyle w:val="Hipervnculo"/>
            <w:rFonts w:cs="Arial"/>
            <w:noProof/>
            <w:lang w:val="es-MX"/>
          </w:rPr>
          <w:t>ANÁLISIS DE COSTOS Y/O PRECIOS PROMEDIO DE SECTOR</w:t>
        </w:r>
        <w:r>
          <w:rPr>
            <w:noProof/>
            <w:webHidden/>
          </w:rPr>
          <w:tab/>
        </w:r>
        <w:r>
          <w:rPr>
            <w:noProof/>
            <w:webHidden/>
          </w:rPr>
          <w:fldChar w:fldCharType="begin"/>
        </w:r>
        <w:r>
          <w:rPr>
            <w:noProof/>
            <w:webHidden/>
          </w:rPr>
          <w:instrText xml:space="preserve"> PAGEREF _Toc242091257 \h </w:instrText>
        </w:r>
        <w:r>
          <w:rPr>
            <w:noProof/>
            <w:webHidden/>
          </w:rPr>
        </w:r>
        <w:r>
          <w:rPr>
            <w:noProof/>
            <w:webHidden/>
          </w:rPr>
          <w:fldChar w:fldCharType="separate"/>
        </w:r>
        <w:r>
          <w:rPr>
            <w:noProof/>
            <w:webHidden/>
          </w:rPr>
          <w:t>72</w:t>
        </w:r>
        <w:r>
          <w:rPr>
            <w:noProof/>
            <w:webHidden/>
          </w:rPr>
          <w:fldChar w:fldCharType="end"/>
        </w:r>
      </w:hyperlink>
    </w:p>
    <w:p w14:paraId="336B569D" w14:textId="0D3C3DCF" w:rsidR="003D775F" w:rsidRDefault="003D775F">
      <w:pPr>
        <w:pStyle w:val="TDC1"/>
        <w:tabs>
          <w:tab w:val="right" w:leader="dot" w:pos="8828"/>
        </w:tabs>
        <w:rPr>
          <w:rFonts w:asciiTheme="minorHAnsi" w:eastAsiaTheme="minorEastAsia" w:hAnsiTheme="minorHAnsi" w:cstheme="minorBidi"/>
          <w:noProof/>
          <w:kern w:val="2"/>
          <w:sz w:val="24"/>
          <w:szCs w:val="24"/>
          <w14:ligatures w14:val="standardContextual"/>
        </w:rPr>
      </w:pPr>
      <w:hyperlink w:anchor="_Toc242091258" w:history="1">
        <w:r w:rsidRPr="00B67A28">
          <w:rPr>
            <w:rStyle w:val="Hipervnculo"/>
            <w:noProof/>
            <w:kern w:val="36"/>
          </w:rPr>
          <w:t xml:space="preserve">7.    </w:t>
        </w:r>
        <w:r w:rsidRPr="00B67A28">
          <w:rPr>
            <w:rStyle w:val="Hipervnculo"/>
            <w:rFonts w:cs="Arial"/>
            <w:noProof/>
          </w:rPr>
          <w:t>ANEXOS</w:t>
        </w:r>
        <w:r>
          <w:rPr>
            <w:noProof/>
            <w:webHidden/>
          </w:rPr>
          <w:tab/>
        </w:r>
        <w:r>
          <w:rPr>
            <w:noProof/>
            <w:webHidden/>
          </w:rPr>
          <w:fldChar w:fldCharType="begin"/>
        </w:r>
        <w:r>
          <w:rPr>
            <w:noProof/>
            <w:webHidden/>
          </w:rPr>
          <w:instrText xml:space="preserve"> PAGEREF _Toc242091258 \h </w:instrText>
        </w:r>
        <w:r>
          <w:rPr>
            <w:noProof/>
            <w:webHidden/>
          </w:rPr>
        </w:r>
        <w:r>
          <w:rPr>
            <w:noProof/>
            <w:webHidden/>
          </w:rPr>
          <w:fldChar w:fldCharType="separate"/>
        </w:r>
        <w:r>
          <w:rPr>
            <w:noProof/>
            <w:webHidden/>
          </w:rPr>
          <w:t>80</w:t>
        </w:r>
        <w:r>
          <w:rPr>
            <w:noProof/>
            <w:webHidden/>
          </w:rPr>
          <w:fldChar w:fldCharType="end"/>
        </w:r>
      </w:hyperlink>
    </w:p>
    <w:p w14:paraId="31D4B12C" w14:textId="37E68314" w:rsidR="002F1D05" w:rsidRPr="00C76457" w:rsidRDefault="002F1D05" w:rsidP="00276F61">
      <w:pPr>
        <w:pStyle w:val="TDC2"/>
        <w:spacing w:line="276" w:lineRule="auto"/>
        <w:rPr>
          <w:rFonts w:cs="Arial"/>
        </w:rPr>
      </w:pPr>
      <w:r w:rsidRPr="00C76457">
        <w:rPr>
          <w:rFonts w:cs="Arial"/>
        </w:rPr>
        <w:fldChar w:fldCharType="end"/>
      </w:r>
    </w:p>
    <w:p w14:paraId="479DA413" w14:textId="77777777" w:rsidR="002F1D05" w:rsidRPr="00C76457" w:rsidRDefault="002F1D05" w:rsidP="00276F61">
      <w:pPr>
        <w:spacing w:after="0"/>
        <w:rPr>
          <w:rFonts w:ascii="Arial" w:hAnsi="Arial" w:cs="Arial"/>
        </w:rPr>
      </w:pPr>
    </w:p>
    <w:p w14:paraId="05AC447F" w14:textId="77777777" w:rsidR="002F1D05" w:rsidRPr="00C76457" w:rsidRDefault="002F1D05" w:rsidP="00276F61">
      <w:pPr>
        <w:spacing w:after="0"/>
        <w:rPr>
          <w:rFonts w:ascii="Arial" w:hAnsi="Arial" w:cs="Arial"/>
        </w:rPr>
      </w:pPr>
    </w:p>
    <w:p w14:paraId="3CCC7C93" w14:textId="77777777" w:rsidR="002F1D05" w:rsidRPr="00C76457" w:rsidRDefault="002F1D05" w:rsidP="00276F61">
      <w:pPr>
        <w:spacing w:after="0"/>
        <w:rPr>
          <w:rFonts w:ascii="Arial" w:hAnsi="Arial" w:cs="Arial"/>
        </w:rPr>
      </w:pPr>
    </w:p>
    <w:p w14:paraId="0BD3F556" w14:textId="77777777" w:rsidR="002F1D05" w:rsidRPr="00C76457" w:rsidRDefault="002F1D05" w:rsidP="00276F61">
      <w:pPr>
        <w:spacing w:after="0"/>
        <w:rPr>
          <w:rFonts w:ascii="Arial" w:hAnsi="Arial" w:cs="Arial"/>
        </w:rPr>
      </w:pPr>
      <w:r w:rsidRPr="00C76457">
        <w:rPr>
          <w:rFonts w:ascii="Arial" w:hAnsi="Arial" w:cs="Arial"/>
        </w:rPr>
        <w:br w:type="page"/>
      </w:r>
    </w:p>
    <w:p w14:paraId="5D77A73A" w14:textId="77777777" w:rsidR="002F1D05" w:rsidRPr="00C76457" w:rsidRDefault="002F1D05" w:rsidP="00616FE1">
      <w:pPr>
        <w:pStyle w:val="Ttulo1"/>
        <w:numPr>
          <w:ilvl w:val="0"/>
          <w:numId w:val="8"/>
        </w:numPr>
        <w:spacing w:before="0"/>
        <w:ind w:left="360"/>
        <w:rPr>
          <w:rFonts w:cs="Arial"/>
          <w:color w:val="auto"/>
          <w:sz w:val="22"/>
          <w:szCs w:val="22"/>
        </w:rPr>
      </w:pPr>
      <w:bookmarkStart w:id="0" w:name="_Toc242091249"/>
      <w:r w:rsidRPr="00C76457">
        <w:rPr>
          <w:rFonts w:cs="Arial"/>
          <w:color w:val="auto"/>
          <w:sz w:val="22"/>
          <w:szCs w:val="22"/>
        </w:rPr>
        <w:lastRenderedPageBreak/>
        <w:t>OBJETO</w:t>
      </w:r>
      <w:bookmarkEnd w:id="0"/>
    </w:p>
    <w:p w14:paraId="525744BF" w14:textId="77777777" w:rsidR="002F1D05" w:rsidRPr="00C76457" w:rsidRDefault="002F1D05" w:rsidP="00616FE1">
      <w:pPr>
        <w:spacing w:after="0"/>
        <w:jc w:val="both"/>
        <w:rPr>
          <w:rFonts w:ascii="Arial" w:hAnsi="Arial" w:cs="Arial"/>
        </w:rPr>
      </w:pPr>
    </w:p>
    <w:p w14:paraId="1A4183EE" w14:textId="0CC837F7" w:rsidR="002F1D05" w:rsidRPr="00C76457" w:rsidRDefault="00406801" w:rsidP="002F1D05">
      <w:pPr>
        <w:spacing w:after="0"/>
        <w:jc w:val="both"/>
        <w:rPr>
          <w:rFonts w:ascii="Arial" w:hAnsi="Arial" w:cs="Arial"/>
        </w:rPr>
      </w:pPr>
      <w:r w:rsidRPr="00C76457">
        <w:rPr>
          <w:rFonts w:ascii="Arial" w:hAnsi="Arial" w:cs="Arial"/>
        </w:rPr>
        <w:t xml:space="preserve">Realizar el desmantelamiento de las estaciones de servicio - EDS Diesel de los patios troncales Calle 80, Suba y Américas del Sistema </w:t>
      </w:r>
      <w:proofErr w:type="spellStart"/>
      <w:r w:rsidRPr="00C76457">
        <w:rPr>
          <w:rFonts w:ascii="Arial" w:hAnsi="Arial" w:cs="Arial"/>
        </w:rPr>
        <w:t>TransMilenio</w:t>
      </w:r>
      <w:proofErr w:type="spellEnd"/>
      <w:r w:rsidR="00C73158">
        <w:rPr>
          <w:rFonts w:ascii="Arial" w:hAnsi="Arial" w:cs="Arial"/>
        </w:rPr>
        <w:t>.</w:t>
      </w:r>
    </w:p>
    <w:p w14:paraId="086643FE" w14:textId="77777777" w:rsidR="00406801" w:rsidRPr="00C76457" w:rsidRDefault="00406801" w:rsidP="002F1D05">
      <w:pPr>
        <w:spacing w:after="0"/>
        <w:jc w:val="both"/>
        <w:rPr>
          <w:rFonts w:ascii="Arial" w:hAnsi="Arial" w:cs="Arial"/>
        </w:rPr>
      </w:pPr>
    </w:p>
    <w:p w14:paraId="5E6F0306" w14:textId="77777777" w:rsidR="002F1D05" w:rsidRPr="00C76457" w:rsidRDefault="002F1D05" w:rsidP="00616FE1">
      <w:pPr>
        <w:pStyle w:val="Ttulo1"/>
        <w:numPr>
          <w:ilvl w:val="0"/>
          <w:numId w:val="8"/>
        </w:numPr>
        <w:spacing w:before="0"/>
        <w:ind w:left="360"/>
        <w:rPr>
          <w:rFonts w:cs="Arial"/>
          <w:color w:val="auto"/>
          <w:sz w:val="22"/>
          <w:szCs w:val="22"/>
        </w:rPr>
      </w:pPr>
      <w:bookmarkStart w:id="1" w:name="_Toc242091250"/>
      <w:r w:rsidRPr="00C76457">
        <w:rPr>
          <w:rFonts w:cs="Arial"/>
          <w:color w:val="auto"/>
          <w:sz w:val="22"/>
          <w:szCs w:val="22"/>
        </w:rPr>
        <w:t>ASPECTOS GENERALES</w:t>
      </w:r>
      <w:bookmarkEnd w:id="1"/>
    </w:p>
    <w:p w14:paraId="63D3D48B" w14:textId="77777777" w:rsidR="002F1D05" w:rsidRPr="00C76457" w:rsidRDefault="002F1D05" w:rsidP="00616FE1">
      <w:pPr>
        <w:spacing w:after="0"/>
        <w:rPr>
          <w:rFonts w:ascii="Arial" w:hAnsi="Arial" w:cs="Arial"/>
        </w:rPr>
      </w:pPr>
    </w:p>
    <w:p w14:paraId="108AA6FB" w14:textId="0DC87AF6" w:rsidR="00E10B73" w:rsidRPr="00C76457" w:rsidRDefault="00E10B73" w:rsidP="00E10B73">
      <w:pPr>
        <w:spacing w:after="0"/>
        <w:jc w:val="both"/>
        <w:rPr>
          <w:rFonts w:ascii="Arial" w:hAnsi="Arial" w:cs="Arial"/>
        </w:rPr>
      </w:pPr>
      <w:r w:rsidRPr="00C76457">
        <w:rPr>
          <w:rFonts w:ascii="Arial" w:hAnsi="Arial" w:cs="Arial"/>
        </w:rPr>
        <w:t>En el marco de las obligaciones técnicas, operativas y ambientales asociadas a la gestión de infraestructura para el almacenamiento y suministro de combustibles líquidos derivados del petróleo</w:t>
      </w:r>
      <w:r w:rsidR="002C3DAB" w:rsidRPr="00C76457">
        <w:rPr>
          <w:rFonts w:ascii="Arial" w:hAnsi="Arial" w:cs="Arial"/>
        </w:rPr>
        <w:t xml:space="preserve"> que se encuentran inoperativas</w:t>
      </w:r>
      <w:r w:rsidRPr="00C76457">
        <w:rPr>
          <w:rFonts w:ascii="Arial" w:hAnsi="Arial" w:cs="Arial"/>
        </w:rPr>
        <w:t xml:space="preserve">, resulta necesario que la Entidad adelante acciones orientadas al desmantelamiento seguro y controlado de las Estaciones de Servicio – EDS Diésel ubicadas en los patios troncales Calle 80, Suba y Américas del Sistema </w:t>
      </w:r>
      <w:proofErr w:type="spellStart"/>
      <w:r w:rsidRPr="00C76457">
        <w:rPr>
          <w:rFonts w:ascii="Arial" w:hAnsi="Arial" w:cs="Arial"/>
        </w:rPr>
        <w:t>TransMilenio</w:t>
      </w:r>
      <w:proofErr w:type="spellEnd"/>
      <w:r w:rsidR="0079208B" w:rsidRPr="00C76457">
        <w:rPr>
          <w:rFonts w:ascii="Arial" w:hAnsi="Arial" w:cs="Arial"/>
        </w:rPr>
        <w:t>.</w:t>
      </w:r>
    </w:p>
    <w:p w14:paraId="7493B3F7" w14:textId="77777777" w:rsidR="00E10B73" w:rsidRPr="00C76457" w:rsidRDefault="00E10B73" w:rsidP="00E10B73">
      <w:pPr>
        <w:spacing w:after="0"/>
        <w:jc w:val="both"/>
        <w:rPr>
          <w:rFonts w:ascii="Arial" w:hAnsi="Arial" w:cs="Arial"/>
        </w:rPr>
      </w:pPr>
    </w:p>
    <w:p w14:paraId="323492E6" w14:textId="18F70BA6" w:rsidR="00E10B73" w:rsidRPr="00C76457" w:rsidRDefault="00E10B73" w:rsidP="00E10B73">
      <w:pPr>
        <w:spacing w:after="0"/>
        <w:jc w:val="both"/>
        <w:rPr>
          <w:rFonts w:ascii="Arial" w:hAnsi="Arial" w:cs="Arial"/>
        </w:rPr>
      </w:pPr>
      <w:r w:rsidRPr="00C76457">
        <w:rPr>
          <w:rFonts w:ascii="Arial" w:hAnsi="Arial" w:cs="Arial"/>
        </w:rPr>
        <w:t>Estas intervenciones se fundamentan en los lineamientos establecidos en la Resolución 40405 de 2020 del Ministerio de Minas y Energía, mediante la cual se expide el reglamento técnico aplicable a estaciones de servicio, plantas de abastecimiento y tanques de almacenamiento, estableciendo requisitos obligatorios en materia de seguridad industrial, operación, mantenimiento, manejo de instalaciones fuera de servicio y protección del medio ambiente. En este sentido, el desmantelamiento de este tipo de infraestructura constituye una actividad altamente regulada que debe ejecutarse bajo criterios técnicos estrictos, con el fin de prevenir riesgos a la salud humana, la seguridad industrial y el entorno ambiental</w:t>
      </w:r>
      <w:bookmarkStart w:id="2" w:name="_Ref230858307"/>
      <w:r w:rsidR="005C4F51" w:rsidRPr="00C76457">
        <w:rPr>
          <w:rStyle w:val="Refdenotaalpie"/>
          <w:rFonts w:ascii="Arial" w:hAnsi="Arial" w:cs="Arial"/>
        </w:rPr>
        <w:footnoteReference w:id="2"/>
      </w:r>
      <w:bookmarkEnd w:id="2"/>
      <w:r w:rsidRPr="00C76457">
        <w:rPr>
          <w:rFonts w:ascii="Arial" w:hAnsi="Arial" w:cs="Arial"/>
        </w:rPr>
        <w:t>.</w:t>
      </w:r>
    </w:p>
    <w:p w14:paraId="54B766D1" w14:textId="77777777" w:rsidR="007D3A71" w:rsidRPr="00C76457" w:rsidRDefault="007D3A71" w:rsidP="00E10B73">
      <w:pPr>
        <w:spacing w:after="0"/>
        <w:jc w:val="both"/>
        <w:rPr>
          <w:rFonts w:ascii="Arial" w:hAnsi="Arial" w:cs="Arial"/>
        </w:rPr>
      </w:pPr>
    </w:p>
    <w:p w14:paraId="6D0EB095" w14:textId="77777777" w:rsidR="00095E73" w:rsidRPr="00C76457" w:rsidRDefault="00E10B73" w:rsidP="00E10B73">
      <w:pPr>
        <w:spacing w:after="0"/>
        <w:jc w:val="both"/>
        <w:rPr>
          <w:rFonts w:ascii="Arial" w:hAnsi="Arial" w:cs="Arial"/>
        </w:rPr>
      </w:pPr>
      <w:r w:rsidRPr="00C76457">
        <w:rPr>
          <w:rFonts w:ascii="Arial" w:hAnsi="Arial" w:cs="Arial"/>
        </w:rPr>
        <w:t xml:space="preserve">La ejecución del proyecto comprende el desarrollo integral de actividades técnicas, operativas y administrativas para el retiro de la infraestructura existente, incluyendo la elaboración de Planes de Desmantelamiento </w:t>
      </w:r>
      <w:r w:rsidR="00847DD5" w:rsidRPr="00C76457">
        <w:rPr>
          <w:rFonts w:ascii="Arial" w:hAnsi="Arial" w:cs="Arial"/>
        </w:rPr>
        <w:t>para la presentación ante</w:t>
      </w:r>
      <w:r w:rsidRPr="00C76457">
        <w:rPr>
          <w:rFonts w:ascii="Arial" w:hAnsi="Arial" w:cs="Arial"/>
        </w:rPr>
        <w:t xml:space="preserve"> la autoridad ambiental, así como la desinstalación y disposición de tanques, redes, equipos y demás componentes asociados. </w:t>
      </w:r>
    </w:p>
    <w:p w14:paraId="7C9D511B" w14:textId="77777777" w:rsidR="00095E73" w:rsidRPr="00C76457" w:rsidRDefault="00095E73" w:rsidP="00E10B73">
      <w:pPr>
        <w:spacing w:after="0"/>
        <w:jc w:val="both"/>
        <w:rPr>
          <w:rFonts w:ascii="Arial" w:hAnsi="Arial" w:cs="Arial"/>
        </w:rPr>
      </w:pPr>
    </w:p>
    <w:p w14:paraId="098FFB11" w14:textId="3EC02815" w:rsidR="00095E73" w:rsidRDefault="00E10B73" w:rsidP="00E10B73">
      <w:pPr>
        <w:spacing w:after="0"/>
        <w:jc w:val="both"/>
        <w:rPr>
          <w:rFonts w:ascii="Arial" w:hAnsi="Arial" w:cs="Arial"/>
        </w:rPr>
      </w:pPr>
      <w:r w:rsidRPr="00C76457">
        <w:rPr>
          <w:rFonts w:ascii="Arial" w:hAnsi="Arial" w:cs="Arial"/>
        </w:rPr>
        <w:t>De manera complementaria, el proyecto deberá garantizar la adecuada gestión integral de residuos peligrosos y no peligrosos generados durante el proceso</w:t>
      </w:r>
      <w:r w:rsidR="007C005E" w:rsidRPr="00C76457">
        <w:rPr>
          <w:rFonts w:ascii="Arial" w:hAnsi="Arial" w:cs="Arial"/>
        </w:rPr>
        <w:t>, el manejo y gestión de los bienes con potencial comercial de acuerdo a las instrucciones que imparta la Entidad, la implementación de medidas de seguridad industrial, salud en el trabajo y control ambiental; realización de los ensayos técnicos de las zonas intervenidas y la restitución de las áreas intervenidas a condiciones seguras y funcionales conforme a las especificaciones técnicas, lineamientos y estándares que defina la Entidad</w:t>
      </w:r>
      <w:r w:rsidR="00095E73" w:rsidRPr="00C76457">
        <w:rPr>
          <w:rFonts w:ascii="Arial" w:hAnsi="Arial" w:cs="Arial"/>
        </w:rPr>
        <w:t xml:space="preserve">; </w:t>
      </w:r>
      <w:r w:rsidRPr="00C76457">
        <w:rPr>
          <w:rFonts w:ascii="Arial" w:hAnsi="Arial" w:cs="Arial"/>
        </w:rPr>
        <w:t xml:space="preserve">conforme a los principios y disposiciones establecidas en el Decreto 1076 de 2015 – Decreto Único Reglamentario del Sector Ambiente y Desarrollo Sostenible, el cual consolida el marco normativo para la </w:t>
      </w:r>
      <w:r w:rsidRPr="00C76457">
        <w:rPr>
          <w:rFonts w:ascii="Arial" w:hAnsi="Arial" w:cs="Arial"/>
        </w:rPr>
        <w:lastRenderedPageBreak/>
        <w:t xml:space="preserve">protección de los recursos naturales, la prevención y control del deterioro ambiental y la adecuada disposición de residuos. </w:t>
      </w:r>
    </w:p>
    <w:p w14:paraId="4EA9BF04" w14:textId="77777777" w:rsidR="003327FD" w:rsidRPr="00C76457" w:rsidRDefault="003327FD" w:rsidP="00E10B73">
      <w:pPr>
        <w:spacing w:after="0"/>
        <w:jc w:val="both"/>
        <w:rPr>
          <w:rFonts w:ascii="Arial" w:hAnsi="Arial" w:cs="Arial"/>
        </w:rPr>
      </w:pPr>
    </w:p>
    <w:p w14:paraId="12F1E29D" w14:textId="739F7013" w:rsidR="00215BD2" w:rsidRPr="00C76457" w:rsidRDefault="00E10B73" w:rsidP="00E10B73">
      <w:pPr>
        <w:spacing w:after="0"/>
        <w:jc w:val="both"/>
        <w:rPr>
          <w:rFonts w:ascii="Arial" w:hAnsi="Arial" w:cs="Arial"/>
        </w:rPr>
      </w:pPr>
      <w:r w:rsidRPr="00C76457">
        <w:rPr>
          <w:rFonts w:ascii="Arial" w:hAnsi="Arial" w:cs="Arial"/>
        </w:rPr>
        <w:t>Lo anterior implica la implementación de medidas de control ambiental, así como la ejecución de monitoreos, caracterizaciones y estudios técnicos necesarios para la identificación y mitigación de posibles impactos asociados a la contaminación de suelos y aguas</w:t>
      </w:r>
      <w:bookmarkStart w:id="3" w:name="_Ref230883354"/>
      <w:r w:rsidR="005C4F51" w:rsidRPr="00C76457">
        <w:rPr>
          <w:rStyle w:val="Refdenotaalpie"/>
          <w:rFonts w:ascii="Arial" w:hAnsi="Arial" w:cs="Arial"/>
        </w:rPr>
        <w:footnoteReference w:id="3"/>
      </w:r>
      <w:bookmarkEnd w:id="3"/>
      <w:r w:rsidRPr="00C76457">
        <w:rPr>
          <w:rFonts w:ascii="Arial" w:hAnsi="Arial" w:cs="Arial"/>
        </w:rPr>
        <w:t>.</w:t>
      </w:r>
      <w:r w:rsidR="00852CF2" w:rsidRPr="00C76457">
        <w:rPr>
          <w:rFonts w:ascii="Arial" w:hAnsi="Arial" w:cs="Arial"/>
        </w:rPr>
        <w:t xml:space="preserve"> </w:t>
      </w:r>
    </w:p>
    <w:p w14:paraId="6B8721CB" w14:textId="77777777" w:rsidR="00215BD2" w:rsidRPr="00C76457" w:rsidRDefault="00215BD2" w:rsidP="00E10B73">
      <w:pPr>
        <w:spacing w:after="0"/>
        <w:jc w:val="both"/>
        <w:rPr>
          <w:rFonts w:ascii="Arial" w:hAnsi="Arial" w:cs="Arial"/>
        </w:rPr>
      </w:pPr>
    </w:p>
    <w:p w14:paraId="47BC0C65" w14:textId="648F60F2" w:rsidR="00E10B73" w:rsidRPr="00C76457" w:rsidRDefault="00E10B73" w:rsidP="00E10B73">
      <w:pPr>
        <w:spacing w:after="0"/>
        <w:jc w:val="both"/>
        <w:rPr>
          <w:rFonts w:ascii="Arial" w:hAnsi="Arial" w:cs="Arial"/>
        </w:rPr>
      </w:pPr>
      <w:r w:rsidRPr="00C76457">
        <w:rPr>
          <w:rFonts w:ascii="Arial" w:hAnsi="Arial" w:cs="Arial"/>
        </w:rPr>
        <w:t xml:space="preserve">El proyecto deberá ejecutarse sin afectar la operación del Sistema </w:t>
      </w:r>
      <w:proofErr w:type="spellStart"/>
      <w:r w:rsidRPr="00C76457">
        <w:rPr>
          <w:rFonts w:ascii="Arial" w:hAnsi="Arial" w:cs="Arial"/>
        </w:rPr>
        <w:t>TransMilenio</w:t>
      </w:r>
      <w:proofErr w:type="spellEnd"/>
      <w:r w:rsidRPr="00C76457">
        <w:rPr>
          <w:rFonts w:ascii="Arial" w:hAnsi="Arial" w:cs="Arial"/>
        </w:rPr>
        <w:t>, mediante una adecuada gestión de riesgos y planificación de las intervenciones, asegurando el cumplimiento de estándares técnicos, legales y ambientales. </w:t>
      </w:r>
    </w:p>
    <w:p w14:paraId="49EAE6D5" w14:textId="77777777" w:rsidR="00C40090" w:rsidRPr="00C76457" w:rsidRDefault="00C40090" w:rsidP="00E10B73">
      <w:pPr>
        <w:spacing w:after="0"/>
        <w:jc w:val="both"/>
        <w:rPr>
          <w:rFonts w:ascii="Arial" w:hAnsi="Arial" w:cs="Arial"/>
        </w:rPr>
      </w:pPr>
    </w:p>
    <w:p w14:paraId="30E44539" w14:textId="77777777" w:rsidR="00C40090" w:rsidRPr="00C76457" w:rsidRDefault="00E10B73" w:rsidP="00E10B73">
      <w:pPr>
        <w:spacing w:after="0"/>
        <w:jc w:val="both"/>
        <w:rPr>
          <w:rFonts w:ascii="Arial" w:hAnsi="Arial" w:cs="Arial"/>
        </w:rPr>
      </w:pPr>
      <w:r w:rsidRPr="00C76457">
        <w:rPr>
          <w:rFonts w:ascii="Arial" w:hAnsi="Arial" w:cs="Arial"/>
        </w:rPr>
        <w:t xml:space="preserve">Finalmente, la ejecución responde tanto a necesidades operativas como al cumplimiento de obligaciones regulatorias, por lo que se requiere adelantar un proceso contractual para vincular un contratista especializado que garantice la correcta ejecución del proyecto. </w:t>
      </w:r>
    </w:p>
    <w:p w14:paraId="7F724100" w14:textId="77777777" w:rsidR="00C40090" w:rsidRPr="00C76457" w:rsidRDefault="00C40090" w:rsidP="00E10B73">
      <w:pPr>
        <w:spacing w:after="0"/>
        <w:jc w:val="both"/>
        <w:rPr>
          <w:rFonts w:ascii="Arial" w:hAnsi="Arial" w:cs="Arial"/>
        </w:rPr>
      </w:pPr>
    </w:p>
    <w:p w14:paraId="55BDEB26" w14:textId="404057BA" w:rsidR="00E10B73" w:rsidRPr="00C76457" w:rsidRDefault="00E10B73" w:rsidP="00E10B73">
      <w:pPr>
        <w:spacing w:after="0"/>
        <w:jc w:val="both"/>
        <w:rPr>
          <w:rFonts w:ascii="Arial" w:hAnsi="Arial" w:cs="Arial"/>
        </w:rPr>
      </w:pPr>
      <w:r w:rsidRPr="00C76457">
        <w:rPr>
          <w:rFonts w:ascii="Arial" w:hAnsi="Arial" w:cs="Arial"/>
        </w:rPr>
        <w:t>Asimismo, se justifica la estructuración del proceso con base en un análisis del sector de la construcción enfocado en actividades de desmantelamiento de infraestructura de hidrocarburos, como insumo para el estudio de mercado. </w:t>
      </w:r>
    </w:p>
    <w:p w14:paraId="1D628FC4" w14:textId="77777777" w:rsidR="003F0D63" w:rsidRPr="00C76457" w:rsidRDefault="003F0D63" w:rsidP="002F1D05">
      <w:pPr>
        <w:spacing w:after="0"/>
        <w:jc w:val="both"/>
        <w:rPr>
          <w:rFonts w:ascii="Arial" w:hAnsi="Arial" w:cs="Arial"/>
        </w:rPr>
      </w:pPr>
    </w:p>
    <w:p w14:paraId="0CFB9AE1" w14:textId="69089052" w:rsidR="00F20B5A" w:rsidRPr="00C76457" w:rsidRDefault="002F1D05" w:rsidP="00426B90">
      <w:pPr>
        <w:numPr>
          <w:ilvl w:val="0"/>
          <w:numId w:val="10"/>
        </w:numPr>
        <w:spacing w:after="0"/>
        <w:ind w:left="284"/>
        <w:rPr>
          <w:rFonts w:ascii="Arial" w:hAnsi="Arial" w:cs="Arial"/>
          <w:b/>
          <w:u w:val="single"/>
        </w:rPr>
      </w:pPr>
      <w:r w:rsidRPr="00C76457">
        <w:rPr>
          <w:rFonts w:ascii="Arial" w:hAnsi="Arial" w:cs="Arial"/>
          <w:b/>
          <w:u w:val="single"/>
        </w:rPr>
        <w:t>Perspectiva económica</w:t>
      </w:r>
    </w:p>
    <w:p w14:paraId="6C672C48" w14:textId="77777777" w:rsidR="0011541D" w:rsidRPr="00C76457" w:rsidRDefault="0011541D" w:rsidP="0011541D">
      <w:pPr>
        <w:spacing w:after="0"/>
        <w:ind w:left="-76"/>
        <w:rPr>
          <w:rFonts w:ascii="Arial" w:hAnsi="Arial" w:cs="Arial"/>
          <w:b/>
          <w:u w:val="single"/>
        </w:rPr>
      </w:pPr>
    </w:p>
    <w:p w14:paraId="37767FA1" w14:textId="77648EA5" w:rsidR="00F20B5A" w:rsidRPr="00C76457" w:rsidRDefault="00607C0F" w:rsidP="00D0011C">
      <w:pPr>
        <w:spacing w:after="0"/>
        <w:jc w:val="both"/>
        <w:rPr>
          <w:rFonts w:ascii="Arial" w:hAnsi="Arial" w:cs="Arial"/>
          <w:bCs/>
        </w:rPr>
      </w:pPr>
      <w:r w:rsidRPr="00C76457">
        <w:rPr>
          <w:rFonts w:ascii="Arial" w:hAnsi="Arial" w:cs="Arial"/>
          <w:bCs/>
        </w:rPr>
        <w:t>El sector de la construcción representa uno de los pilares fundamentales del desarrollo económico en Colombia, no solo por su contribución directa al Producto Interno Bruto (PIB), sino también por su capacidad de generar empleo, dinamizar múltiples cadenas productivas y promover la inversión pública y privada.</w:t>
      </w:r>
      <w:r w:rsidR="00E8464E" w:rsidRPr="00C76457">
        <w:rPr>
          <w:rStyle w:val="Refdenotaalpie"/>
          <w:rFonts w:ascii="Arial" w:hAnsi="Arial" w:cs="Arial"/>
          <w:bCs/>
        </w:rPr>
        <w:footnoteReference w:id="4"/>
      </w:r>
      <w:r w:rsidRPr="00C76457">
        <w:rPr>
          <w:rFonts w:ascii="Arial" w:hAnsi="Arial" w:cs="Arial"/>
          <w:bCs/>
        </w:rPr>
        <w:t xml:space="preserve"> De acuerdo con información del Departamento Administrativo Nacional de Estadística (DANE), esta actividad económica constituye una de las principales ramas del aparato productivo nacional, con un comportamiento estrechamente ligado a la dinámica macroeconómica del país. Asimismo, se estima que el sector puede aportar alrededor del </w:t>
      </w:r>
      <w:r w:rsidR="00EA0342">
        <w:rPr>
          <w:rFonts w:ascii="Arial" w:hAnsi="Arial" w:cs="Arial"/>
          <w:bCs/>
        </w:rPr>
        <w:t>2.2</w:t>
      </w:r>
      <w:r w:rsidRPr="00C76457">
        <w:rPr>
          <w:rFonts w:ascii="Arial" w:hAnsi="Arial" w:cs="Arial"/>
          <w:bCs/>
        </w:rPr>
        <w:t>% del PIB y generar más de 1,7 millones de empleos directos, evidenciando su impacto estructural en la economía colombiana</w:t>
      </w:r>
      <w:bookmarkStart w:id="4" w:name="_Ref230858673"/>
      <w:r w:rsidR="00F828E5" w:rsidRPr="00C76457">
        <w:rPr>
          <w:rStyle w:val="Refdenotaalpie"/>
          <w:rFonts w:ascii="Arial" w:hAnsi="Arial" w:cs="Arial"/>
          <w:bCs/>
        </w:rPr>
        <w:footnoteReference w:id="5"/>
      </w:r>
      <w:bookmarkEnd w:id="4"/>
      <w:r w:rsidR="00F828E5" w:rsidRPr="00C76457">
        <w:rPr>
          <w:rFonts w:ascii="Arial" w:hAnsi="Arial" w:cs="Arial"/>
          <w:bCs/>
        </w:rPr>
        <w:t>.</w:t>
      </w:r>
    </w:p>
    <w:p w14:paraId="5A8F13A9" w14:textId="77777777" w:rsidR="00AF7061" w:rsidRPr="00C76457" w:rsidRDefault="00AF7061" w:rsidP="00C00C08">
      <w:pPr>
        <w:spacing w:after="0"/>
        <w:jc w:val="both"/>
        <w:rPr>
          <w:rFonts w:ascii="Arial" w:hAnsi="Arial" w:cs="Arial"/>
          <w:bCs/>
        </w:rPr>
      </w:pPr>
    </w:p>
    <w:p w14:paraId="0B1EB20D" w14:textId="0E2CA265" w:rsidR="00AF7061" w:rsidRPr="00C76457" w:rsidRDefault="00AF7061" w:rsidP="00C00C08">
      <w:pPr>
        <w:spacing w:after="0"/>
        <w:jc w:val="both"/>
        <w:rPr>
          <w:rFonts w:ascii="Arial" w:hAnsi="Arial" w:cs="Arial"/>
          <w:bCs/>
        </w:rPr>
      </w:pPr>
      <w:r w:rsidRPr="00C76457">
        <w:rPr>
          <w:rFonts w:ascii="Arial" w:hAnsi="Arial" w:cs="Arial"/>
          <w:bCs/>
        </w:rPr>
        <w:t xml:space="preserve">Desde el punto de vista estructural, el sector se divide en dos grandes subsectores: edificaciones y obras civiles. El primero comprende la construcción de vivienda, edificaciones no residenciales y actividades asociadas como mantenimiento, reparación y </w:t>
      </w:r>
      <w:r w:rsidRPr="00C76457">
        <w:rPr>
          <w:rFonts w:ascii="Arial" w:hAnsi="Arial" w:cs="Arial"/>
          <w:bCs/>
        </w:rPr>
        <w:lastRenderedPageBreak/>
        <w:t>alquiler de maquinaria y equipos. El segundo abarca el desarrollo de infraestructura en ingeniería civil, incluyendo carreteras, puentes, redes de servicios públicos, sistemas logísticos y obras especializadas. Esta segmentación es ampliamente reconocida por gremios como la Cámara Colombiana de la Construcción (CAMACOL), la cual destaca además el fuerte encadenamiento productivo del sector con más de sesenta actividades económicas relacionadas, lo que refuerza su capacidad dinamizadora sobre la economía nacional.</w:t>
      </w:r>
    </w:p>
    <w:p w14:paraId="32E320DC" w14:textId="77777777" w:rsidR="008B402E" w:rsidRPr="00C76457" w:rsidRDefault="008B402E" w:rsidP="00C00C08">
      <w:pPr>
        <w:spacing w:after="0"/>
        <w:jc w:val="both"/>
        <w:rPr>
          <w:rFonts w:ascii="Arial" w:hAnsi="Arial" w:cs="Arial"/>
          <w:bCs/>
        </w:rPr>
      </w:pPr>
    </w:p>
    <w:p w14:paraId="49FA20D3" w14:textId="1128BCE6" w:rsidR="008B402E" w:rsidRPr="00C76457" w:rsidRDefault="008B402E" w:rsidP="00C00C08">
      <w:pPr>
        <w:spacing w:after="0"/>
        <w:jc w:val="both"/>
        <w:rPr>
          <w:rFonts w:ascii="Arial" w:hAnsi="Arial" w:cs="Arial"/>
          <w:bCs/>
        </w:rPr>
      </w:pPr>
      <w:r w:rsidRPr="00C76457">
        <w:rPr>
          <w:rFonts w:ascii="Arial" w:hAnsi="Arial" w:cs="Arial"/>
          <w:bCs/>
        </w:rPr>
        <w:t>El comportamiento económico del sector está estrechamente vinculado a variables macroeconómicas como las tasas de interés, la inflación, la disponibilidad de crédito y los niveles de inversión pública. En particular, las altas tasas de interés y los incrementos en los costos de financiamiento han generado efectos directos sobre la desaceleración del sector, afectando tanto la ejecución de proyectos como la demanda de nuevas obras, especialmente en el subsector edificador. A su vez, factores como la volatilidad de precios de insumos y la dependencia de bienes importados pueden incidir en la estructura de costos de proyectos de construcción, incluyendo aquellos vinculados a infraestructura especializada</w:t>
      </w:r>
      <w:r w:rsidR="00657401" w:rsidRPr="00C76457">
        <w:rPr>
          <w:rStyle w:val="Refdenotaalpie"/>
          <w:rFonts w:ascii="Arial" w:hAnsi="Arial" w:cs="Arial"/>
          <w:bCs/>
        </w:rPr>
        <w:footnoteReference w:id="6"/>
      </w:r>
      <w:r w:rsidRPr="00C76457">
        <w:rPr>
          <w:rFonts w:ascii="Arial" w:hAnsi="Arial" w:cs="Arial"/>
          <w:bCs/>
        </w:rPr>
        <w:t>.</w:t>
      </w:r>
    </w:p>
    <w:p w14:paraId="49878020" w14:textId="77777777" w:rsidR="00657401" w:rsidRPr="00C76457" w:rsidRDefault="00657401" w:rsidP="00C00C08">
      <w:pPr>
        <w:spacing w:after="0"/>
        <w:jc w:val="both"/>
        <w:rPr>
          <w:rFonts w:ascii="Arial" w:hAnsi="Arial" w:cs="Arial"/>
          <w:bCs/>
        </w:rPr>
      </w:pPr>
    </w:p>
    <w:p w14:paraId="52D24472" w14:textId="23254CFA" w:rsidR="00657401" w:rsidRPr="00C76457" w:rsidRDefault="00F841BD" w:rsidP="00C00C08">
      <w:pPr>
        <w:spacing w:after="0"/>
        <w:jc w:val="both"/>
        <w:rPr>
          <w:rFonts w:ascii="Arial" w:hAnsi="Arial" w:cs="Arial"/>
          <w:bCs/>
        </w:rPr>
      </w:pPr>
      <w:r w:rsidRPr="00C76457">
        <w:rPr>
          <w:rFonts w:ascii="Arial" w:hAnsi="Arial" w:cs="Arial"/>
          <w:bCs/>
        </w:rPr>
        <w:t xml:space="preserve">En este contexto, las actividades relacionadas con el desmantelamiento de infraestructura asociada al almacenamiento, transporte y suministro de hidrocarburos </w:t>
      </w:r>
      <w:r w:rsidR="00FA5891" w:rsidRPr="00C76457">
        <w:rPr>
          <w:rFonts w:ascii="Arial" w:hAnsi="Arial" w:cs="Arial"/>
          <w:bCs/>
        </w:rPr>
        <w:t>se enmarcan en el</w:t>
      </w:r>
      <w:r w:rsidRPr="00C76457">
        <w:rPr>
          <w:rFonts w:ascii="Arial" w:hAnsi="Arial" w:cs="Arial"/>
          <w:bCs/>
        </w:rPr>
        <w:t xml:space="preserve"> subsector de obras civiles y actividades especializadas, las cuales han mostrado en los últimos periodos una mayor resiliencia y crecimiento frente a otros segmentos del sector, particularmente impulsadas por inversiones en infraestructura y proyectos industriales. Este tipo de intervenciones requieren capacidades técnicas específicas, cumplimiento de estándares normativos exigentes y la articulación de componentes de ingeniería, gestión ambiental y seguridad industrial</w:t>
      </w:r>
      <w:r w:rsidR="004D676F" w:rsidRPr="00C76457">
        <w:rPr>
          <w:rStyle w:val="Refdenotaalpie"/>
          <w:rFonts w:ascii="Arial" w:hAnsi="Arial" w:cs="Arial"/>
          <w:bCs/>
        </w:rPr>
        <w:footnoteReference w:id="7"/>
      </w:r>
      <w:r w:rsidRPr="00C76457">
        <w:rPr>
          <w:rFonts w:ascii="Arial" w:hAnsi="Arial" w:cs="Arial"/>
          <w:bCs/>
        </w:rPr>
        <w:t>.</w:t>
      </w:r>
    </w:p>
    <w:p w14:paraId="0AE0BD76" w14:textId="77777777" w:rsidR="004D676F" w:rsidRPr="00C76457" w:rsidRDefault="004D676F" w:rsidP="00C00C08">
      <w:pPr>
        <w:spacing w:after="0"/>
        <w:jc w:val="both"/>
        <w:rPr>
          <w:rFonts w:ascii="Arial" w:hAnsi="Arial" w:cs="Arial"/>
          <w:bCs/>
        </w:rPr>
      </w:pPr>
    </w:p>
    <w:p w14:paraId="72988A86" w14:textId="7DCCD938" w:rsidR="004D676F" w:rsidRPr="00C76457" w:rsidRDefault="004D676F" w:rsidP="00C00C08">
      <w:pPr>
        <w:spacing w:after="0"/>
        <w:jc w:val="both"/>
        <w:rPr>
          <w:rFonts w:ascii="Arial" w:hAnsi="Arial" w:cs="Arial"/>
          <w:bCs/>
        </w:rPr>
      </w:pPr>
      <w:r w:rsidRPr="00C76457">
        <w:rPr>
          <w:rFonts w:ascii="Arial" w:hAnsi="Arial" w:cs="Arial"/>
          <w:bCs/>
        </w:rPr>
        <w:t>Adicionalmente, el marco normativo colombiano establece lineamientos claros para la gestión segura de este tipo de infraestructuras. En particular, la Resolución 40405 de 2020 del Ministerio de Minas y Energía regula los requisitos técnicos aplicables a estaciones de servicio y define las condiciones para su cierre, abandono y desmantelamiento, con énfasis en la protección de la seguridad industrial y del medio ambiente</w:t>
      </w:r>
      <w:r w:rsidR="00267DB0" w:rsidRPr="00C76457">
        <w:rPr>
          <w:rFonts w:ascii="Arial" w:hAnsi="Arial" w:cs="Arial"/>
          <w:bCs/>
        </w:rPr>
        <w:t>, cuyo anexo técnico fue actualizado por la Resolución 40198 de 2021</w:t>
      </w:r>
      <w:r w:rsidRPr="00C76457">
        <w:rPr>
          <w:rFonts w:ascii="Arial" w:hAnsi="Arial" w:cs="Arial"/>
          <w:bCs/>
        </w:rPr>
        <w:t>. De manera complementaria, la normativa ambiental vigente, especialmente el Decreto 1076 de 2015, establece las disposiciones relacionadas con la gestión de residuos, control de la contaminación y recuperación de áreas intervenidas, lo cual resulta plenamente aplicable a este tipo de proyectos.</w:t>
      </w:r>
    </w:p>
    <w:p w14:paraId="1F68423C" w14:textId="77777777" w:rsidR="002F344B" w:rsidRPr="00C76457" w:rsidRDefault="002F344B" w:rsidP="00C00C08">
      <w:pPr>
        <w:spacing w:after="0"/>
        <w:jc w:val="both"/>
        <w:rPr>
          <w:rFonts w:ascii="Arial" w:hAnsi="Arial" w:cs="Arial"/>
          <w:bCs/>
        </w:rPr>
      </w:pPr>
    </w:p>
    <w:p w14:paraId="30AB4E57" w14:textId="6671F19E" w:rsidR="002F344B" w:rsidRPr="00C76457" w:rsidRDefault="002F344B" w:rsidP="002F344B">
      <w:pPr>
        <w:spacing w:after="0"/>
        <w:jc w:val="both"/>
        <w:rPr>
          <w:rFonts w:ascii="Arial" w:hAnsi="Arial" w:cs="Arial"/>
          <w:bCs/>
        </w:rPr>
      </w:pPr>
      <w:r w:rsidRPr="00C76457">
        <w:rPr>
          <w:rFonts w:ascii="Arial" w:hAnsi="Arial" w:cs="Arial"/>
          <w:bCs/>
        </w:rPr>
        <w:lastRenderedPageBreak/>
        <w:t xml:space="preserve">En este escenario, el sector de la construcción se posiciona como un actor estratégico en la ejecución de proyectos de desmantelamiento de infraestructura </w:t>
      </w:r>
      <w:r w:rsidR="00D60FD2" w:rsidRPr="00C76457">
        <w:rPr>
          <w:rFonts w:ascii="Arial" w:hAnsi="Arial" w:cs="Arial"/>
          <w:bCs/>
        </w:rPr>
        <w:t>de orden distrital e hidrocarburos</w:t>
      </w:r>
      <w:r w:rsidRPr="00C76457">
        <w:rPr>
          <w:rFonts w:ascii="Arial" w:hAnsi="Arial" w:cs="Arial"/>
          <w:bCs/>
        </w:rPr>
        <w:t>, al integrar capacidades técnicas, operativas, ambientales y logísticas necesarias para garantizar intervenciones seguras, eficientes y conforme a la regulación vigente. La participación de empresas con experiencia especializada en este tipo de actividades resulta fundamental para asegurar la adecuada gestión de riesgos y el cumplimiento de estándares técnicos y ambientales. </w:t>
      </w:r>
    </w:p>
    <w:p w14:paraId="07C5E32B" w14:textId="77777777" w:rsidR="002F344B" w:rsidRPr="00C76457" w:rsidRDefault="002F344B" w:rsidP="002F344B">
      <w:pPr>
        <w:spacing w:after="0"/>
        <w:jc w:val="both"/>
        <w:rPr>
          <w:rFonts w:ascii="Arial" w:hAnsi="Arial" w:cs="Arial"/>
          <w:bCs/>
        </w:rPr>
      </w:pPr>
    </w:p>
    <w:p w14:paraId="36E939AC" w14:textId="6D265BCC" w:rsidR="002F344B" w:rsidRPr="00C76457" w:rsidRDefault="002F344B" w:rsidP="002F344B">
      <w:pPr>
        <w:spacing w:after="0"/>
        <w:jc w:val="both"/>
        <w:rPr>
          <w:rFonts w:ascii="Arial" w:hAnsi="Arial" w:cs="Arial"/>
          <w:bCs/>
        </w:rPr>
      </w:pPr>
      <w:r w:rsidRPr="00C76457">
        <w:rPr>
          <w:rFonts w:ascii="Arial" w:hAnsi="Arial" w:cs="Arial"/>
          <w:bCs/>
        </w:rPr>
        <w:t>En ese sentido, y teniendo en cuenta la necesidad de la Entidad, se presenta a continuación una descripción del sector de la construcción con énfasis en las actividades de desmantelamiento y retiro de infraestructuras asociadas al almacenamiento, conducción y suministro de hidrocarburos, así como en obras de demolición, excavación y rehabilitación de superficies. Este análisis abordará sus dimensiones técnica</w:t>
      </w:r>
      <w:r w:rsidR="008C4C43" w:rsidRPr="00C76457">
        <w:rPr>
          <w:rFonts w:ascii="Arial" w:hAnsi="Arial" w:cs="Arial"/>
          <w:bCs/>
        </w:rPr>
        <w:t>s</w:t>
      </w:r>
      <w:r w:rsidRPr="00C76457">
        <w:rPr>
          <w:rFonts w:ascii="Arial" w:hAnsi="Arial" w:cs="Arial"/>
          <w:bCs/>
        </w:rPr>
        <w:t>, organizacional</w:t>
      </w:r>
      <w:r w:rsidR="008C4C43" w:rsidRPr="00C76457">
        <w:rPr>
          <w:rFonts w:ascii="Arial" w:hAnsi="Arial" w:cs="Arial"/>
          <w:bCs/>
        </w:rPr>
        <w:t>es</w:t>
      </w:r>
      <w:r w:rsidRPr="00C76457">
        <w:rPr>
          <w:rFonts w:ascii="Arial" w:hAnsi="Arial" w:cs="Arial"/>
          <w:bCs/>
        </w:rPr>
        <w:t>, comercial</w:t>
      </w:r>
      <w:r w:rsidR="008C4C43" w:rsidRPr="00C76457">
        <w:rPr>
          <w:rFonts w:ascii="Arial" w:hAnsi="Arial" w:cs="Arial"/>
          <w:bCs/>
        </w:rPr>
        <w:t>es</w:t>
      </w:r>
      <w:r w:rsidRPr="00C76457">
        <w:rPr>
          <w:rFonts w:ascii="Arial" w:hAnsi="Arial" w:cs="Arial"/>
          <w:bCs/>
        </w:rPr>
        <w:t>, económica</w:t>
      </w:r>
      <w:r w:rsidR="008C4C43" w:rsidRPr="00C76457">
        <w:rPr>
          <w:rFonts w:ascii="Arial" w:hAnsi="Arial" w:cs="Arial"/>
          <w:bCs/>
        </w:rPr>
        <w:t>s</w:t>
      </w:r>
      <w:r w:rsidRPr="00C76457">
        <w:rPr>
          <w:rFonts w:ascii="Arial" w:hAnsi="Arial" w:cs="Arial"/>
          <w:bCs/>
        </w:rPr>
        <w:t xml:space="preserve"> y regulator</w:t>
      </w:r>
      <w:r w:rsidR="00A80DC2" w:rsidRPr="00C76457">
        <w:rPr>
          <w:rFonts w:ascii="Arial" w:hAnsi="Arial" w:cs="Arial"/>
          <w:bCs/>
        </w:rPr>
        <w:t>i</w:t>
      </w:r>
      <w:r w:rsidRPr="00C76457">
        <w:rPr>
          <w:rFonts w:ascii="Arial" w:hAnsi="Arial" w:cs="Arial"/>
          <w:bCs/>
        </w:rPr>
        <w:t>a</w:t>
      </w:r>
      <w:r w:rsidR="00A80DC2" w:rsidRPr="00C76457">
        <w:rPr>
          <w:rFonts w:ascii="Arial" w:hAnsi="Arial" w:cs="Arial"/>
          <w:bCs/>
        </w:rPr>
        <w:t>s</w:t>
      </w:r>
      <w:r w:rsidRPr="00C76457">
        <w:rPr>
          <w:rFonts w:ascii="Arial" w:hAnsi="Arial" w:cs="Arial"/>
          <w:bCs/>
        </w:rPr>
        <w:t>, constituyéndose en un insumo fundamental para la estructuración del estudio de mercado y del proceso contractual.</w:t>
      </w:r>
    </w:p>
    <w:p w14:paraId="6EDF596E" w14:textId="77777777" w:rsidR="00A357EF" w:rsidRPr="00C76457" w:rsidRDefault="00A357EF" w:rsidP="00A357EF">
      <w:pPr>
        <w:spacing w:after="0"/>
        <w:jc w:val="both"/>
        <w:rPr>
          <w:rFonts w:ascii="Arial" w:hAnsi="Arial" w:cs="Arial"/>
          <w:bCs/>
        </w:rPr>
      </w:pPr>
    </w:p>
    <w:p w14:paraId="3E6D13B1" w14:textId="77777777" w:rsidR="009709E1" w:rsidRPr="00C76457" w:rsidRDefault="00587772" w:rsidP="002F344B">
      <w:pPr>
        <w:spacing w:after="0"/>
        <w:jc w:val="both"/>
        <w:rPr>
          <w:rFonts w:ascii="Arial" w:hAnsi="Arial" w:cs="Arial"/>
          <w:b/>
        </w:rPr>
      </w:pPr>
      <w:r w:rsidRPr="00C76457">
        <w:rPr>
          <w:rFonts w:ascii="Arial" w:hAnsi="Arial" w:cs="Arial"/>
          <w:b/>
        </w:rPr>
        <w:t>Participación del sector en el PIB</w:t>
      </w:r>
    </w:p>
    <w:p w14:paraId="6FCC2DE5" w14:textId="77777777" w:rsidR="006136F0" w:rsidRPr="00C76457" w:rsidRDefault="006136F0" w:rsidP="002F344B">
      <w:pPr>
        <w:spacing w:after="0"/>
        <w:jc w:val="both"/>
        <w:rPr>
          <w:rFonts w:ascii="Arial" w:hAnsi="Arial" w:cs="Arial"/>
          <w:b/>
        </w:rPr>
      </w:pPr>
    </w:p>
    <w:p w14:paraId="070993C6" w14:textId="2A05F3ED" w:rsidR="006136F0" w:rsidRPr="00C76457" w:rsidRDefault="006136F0" w:rsidP="00616FE1">
      <w:pPr>
        <w:spacing w:after="0"/>
        <w:jc w:val="both"/>
        <w:rPr>
          <w:rFonts w:ascii="Arial" w:hAnsi="Arial" w:cs="Arial"/>
        </w:rPr>
      </w:pPr>
      <w:r w:rsidRPr="00C76457">
        <w:rPr>
          <w:rFonts w:ascii="Arial" w:hAnsi="Arial" w:cs="Arial"/>
        </w:rPr>
        <w:t xml:space="preserve">Los resultados del PIB trimestral (teniendo en cuenta el Boletín Técnico Producto Interno Bruto – PIB) para el </w:t>
      </w:r>
      <w:r w:rsidR="00DB3156">
        <w:rPr>
          <w:rFonts w:ascii="Arial" w:hAnsi="Arial" w:cs="Arial"/>
        </w:rPr>
        <w:t>segundo</w:t>
      </w:r>
      <w:r w:rsidR="00FB3593" w:rsidRPr="00C76457">
        <w:rPr>
          <w:rFonts w:ascii="Arial" w:hAnsi="Arial" w:cs="Arial"/>
        </w:rPr>
        <w:t xml:space="preserve"> </w:t>
      </w:r>
      <w:r w:rsidRPr="00C76457">
        <w:rPr>
          <w:rFonts w:ascii="Arial" w:hAnsi="Arial" w:cs="Arial"/>
        </w:rPr>
        <w:t>trimestre de 202</w:t>
      </w:r>
      <w:r w:rsidR="00F30C6E">
        <w:rPr>
          <w:rFonts w:ascii="Arial" w:hAnsi="Arial" w:cs="Arial"/>
        </w:rPr>
        <w:t>6</w:t>
      </w:r>
      <w:r w:rsidRPr="00C76457">
        <w:rPr>
          <w:rFonts w:ascii="Arial" w:hAnsi="Arial" w:cs="Arial"/>
        </w:rPr>
        <w:t xml:space="preserve"> del DANE</w:t>
      </w:r>
      <w:r w:rsidRPr="00C76457">
        <w:rPr>
          <w:rFonts w:ascii="Arial" w:hAnsi="Arial" w:cs="Arial"/>
          <w:vertAlign w:val="superscript"/>
        </w:rPr>
        <w:footnoteReference w:id="8"/>
      </w:r>
      <w:r w:rsidRPr="00C76457">
        <w:rPr>
          <w:rFonts w:ascii="Arial" w:hAnsi="Arial" w:cs="Arial"/>
        </w:rPr>
        <w:t xml:space="preserve"> se muestran a continuación a precios corrientes desde el enfoque de la producción.</w:t>
      </w:r>
    </w:p>
    <w:p w14:paraId="278C1F87" w14:textId="67C14294" w:rsidR="00397499" w:rsidRPr="00C76457" w:rsidRDefault="00E20D4D" w:rsidP="00616FE1">
      <w:pPr>
        <w:spacing w:after="0"/>
        <w:jc w:val="center"/>
        <w:rPr>
          <w:rFonts w:ascii="Arial" w:hAnsi="Arial" w:cs="Arial"/>
        </w:rPr>
      </w:pPr>
      <w:r w:rsidRPr="00E20D4D">
        <w:rPr>
          <w:noProof/>
        </w:rPr>
        <w:t xml:space="preserve"> </w:t>
      </w:r>
      <w:r w:rsidR="00B43F61" w:rsidRPr="00B43F61">
        <w:rPr>
          <w:noProof/>
        </w:rPr>
        <w:t xml:space="preserve"> </w:t>
      </w:r>
      <w:r w:rsidR="00B43F61" w:rsidRPr="00B43F61">
        <w:rPr>
          <w:noProof/>
        </w:rPr>
        <w:drawing>
          <wp:inline distT="0" distB="0" distL="0" distR="0" wp14:anchorId="1B2BB4E6" wp14:editId="07C067FD">
            <wp:extent cx="5612130" cy="2698115"/>
            <wp:effectExtent l="0" t="0" r="7620" b="6985"/>
            <wp:docPr id="5183961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96168" name=""/>
                    <pic:cNvPicPr/>
                  </pic:nvPicPr>
                  <pic:blipFill>
                    <a:blip r:embed="rId11"/>
                    <a:stretch>
                      <a:fillRect/>
                    </a:stretch>
                  </pic:blipFill>
                  <pic:spPr>
                    <a:xfrm>
                      <a:off x="0" y="0"/>
                      <a:ext cx="5612130" cy="2698115"/>
                    </a:xfrm>
                    <a:prstGeom prst="rect">
                      <a:avLst/>
                    </a:prstGeom>
                  </pic:spPr>
                </pic:pic>
              </a:graphicData>
            </a:graphic>
          </wp:inline>
        </w:drawing>
      </w:r>
    </w:p>
    <w:p w14:paraId="49D15803" w14:textId="35A7D38E" w:rsidR="00D8470C" w:rsidRPr="00C76457" w:rsidRDefault="007672E2" w:rsidP="00616FE1">
      <w:pPr>
        <w:spacing w:after="0"/>
        <w:jc w:val="both"/>
        <w:rPr>
          <w:rFonts w:ascii="Arial" w:hAnsi="Arial" w:cs="Arial"/>
        </w:rPr>
      </w:pPr>
      <w:r w:rsidRPr="00C76457">
        <w:rPr>
          <w:rFonts w:ascii="Arial" w:hAnsi="Arial" w:cs="Arial"/>
          <w:sz w:val="16"/>
          <w:szCs w:val="16"/>
        </w:rPr>
        <w:t>Fuente: DANE. Boletín técnico</w:t>
      </w:r>
      <w:r w:rsidR="0063047C" w:rsidRPr="00C76457">
        <w:rPr>
          <w:rFonts w:ascii="Arial" w:hAnsi="Arial" w:cs="Arial"/>
          <w:sz w:val="16"/>
          <w:szCs w:val="16"/>
        </w:rPr>
        <w:t xml:space="preserve"> - </w:t>
      </w:r>
      <w:r w:rsidR="005A65FF" w:rsidRPr="00C76457">
        <w:rPr>
          <w:rFonts w:ascii="Arial" w:hAnsi="Arial" w:cs="Arial"/>
          <w:sz w:val="16"/>
          <w:szCs w:val="16"/>
        </w:rPr>
        <w:t>Producto Interno Bruto (PIB) I</w:t>
      </w:r>
      <w:r w:rsidR="00867475">
        <w:rPr>
          <w:rFonts w:ascii="Arial" w:hAnsi="Arial" w:cs="Arial"/>
          <w:sz w:val="16"/>
          <w:szCs w:val="16"/>
        </w:rPr>
        <w:t>I</w:t>
      </w:r>
      <w:r w:rsidR="005A65FF" w:rsidRPr="00C76457">
        <w:rPr>
          <w:rFonts w:ascii="Arial" w:hAnsi="Arial" w:cs="Arial"/>
          <w:sz w:val="16"/>
          <w:szCs w:val="16"/>
        </w:rPr>
        <w:t xml:space="preserve"> trimestre 202</w:t>
      </w:r>
      <w:r w:rsidR="00E20D4D">
        <w:rPr>
          <w:rFonts w:ascii="Arial" w:hAnsi="Arial" w:cs="Arial"/>
          <w:sz w:val="16"/>
          <w:szCs w:val="16"/>
        </w:rPr>
        <w:t>6</w:t>
      </w:r>
      <w:r w:rsidR="005A65FF" w:rsidRPr="00C76457">
        <w:rPr>
          <w:rFonts w:ascii="Arial" w:hAnsi="Arial" w:cs="Arial"/>
          <w:sz w:val="16"/>
          <w:szCs w:val="16"/>
        </w:rPr>
        <w:t xml:space="preserve"> preliminar. Fecha de publicación</w:t>
      </w:r>
      <w:r w:rsidR="00B67825" w:rsidRPr="00C76457">
        <w:rPr>
          <w:rFonts w:ascii="Arial" w:hAnsi="Arial" w:cs="Arial"/>
          <w:sz w:val="16"/>
          <w:szCs w:val="16"/>
        </w:rPr>
        <w:t xml:space="preserve">: </w:t>
      </w:r>
      <w:r w:rsidR="00867475">
        <w:rPr>
          <w:rFonts w:ascii="Arial" w:hAnsi="Arial" w:cs="Arial"/>
          <w:sz w:val="16"/>
          <w:szCs w:val="16"/>
        </w:rPr>
        <w:t>18 de agosto</w:t>
      </w:r>
      <w:r w:rsidR="00B67825" w:rsidRPr="00C76457">
        <w:rPr>
          <w:rFonts w:ascii="Arial" w:hAnsi="Arial" w:cs="Arial"/>
          <w:sz w:val="16"/>
          <w:szCs w:val="16"/>
        </w:rPr>
        <w:t xml:space="preserve"> de 2026; </w:t>
      </w:r>
      <w:r w:rsidR="009C3B98">
        <w:rPr>
          <w:rFonts w:ascii="Arial" w:hAnsi="Arial" w:cs="Arial"/>
          <w:sz w:val="16"/>
          <w:szCs w:val="16"/>
        </w:rPr>
        <w:t xml:space="preserve">Fecha consulta: </w:t>
      </w:r>
      <w:r w:rsidR="00867475">
        <w:rPr>
          <w:rFonts w:ascii="Arial" w:hAnsi="Arial" w:cs="Arial"/>
          <w:sz w:val="16"/>
          <w:szCs w:val="16"/>
        </w:rPr>
        <w:t>18 de agosto</w:t>
      </w:r>
      <w:r w:rsidR="009C3B98">
        <w:rPr>
          <w:rFonts w:ascii="Arial" w:hAnsi="Arial" w:cs="Arial"/>
          <w:sz w:val="16"/>
          <w:szCs w:val="16"/>
        </w:rPr>
        <w:t xml:space="preserve"> </w:t>
      </w:r>
      <w:r w:rsidR="00B67825" w:rsidRPr="00C76457">
        <w:rPr>
          <w:rFonts w:ascii="Arial" w:hAnsi="Arial" w:cs="Arial"/>
          <w:sz w:val="16"/>
          <w:szCs w:val="16"/>
        </w:rPr>
        <w:t xml:space="preserve">de 2026. </w:t>
      </w:r>
      <w:hyperlink r:id="rId12" w:history="1">
        <w:r w:rsidR="00867475" w:rsidRPr="007C3052">
          <w:rPr>
            <w:rStyle w:val="Hipervnculo"/>
            <w:rFonts w:ascii="Arial" w:hAnsi="Arial" w:cs="Arial"/>
            <w:sz w:val="16"/>
            <w:szCs w:val="16"/>
          </w:rPr>
          <w:t>https://www.dane.gov.co/files/operaciones/PIB/bol-PIB-IItrim2026.pdf</w:t>
        </w:r>
      </w:hyperlink>
      <w:r w:rsidR="00867475">
        <w:rPr>
          <w:rFonts w:ascii="Arial" w:hAnsi="Arial" w:cs="Arial"/>
          <w:sz w:val="16"/>
          <w:szCs w:val="16"/>
        </w:rPr>
        <w:t xml:space="preserve"> </w:t>
      </w:r>
      <w:r w:rsidR="000879BC" w:rsidRPr="00C76457">
        <w:rPr>
          <w:rFonts w:ascii="Arial" w:hAnsi="Arial" w:cs="Arial"/>
          <w:sz w:val="16"/>
          <w:szCs w:val="16"/>
        </w:rPr>
        <w:t xml:space="preserve"> </w:t>
      </w:r>
    </w:p>
    <w:p w14:paraId="536E80A4" w14:textId="77777777" w:rsidR="00295E81" w:rsidRDefault="00295E81" w:rsidP="00295E81">
      <w:pPr>
        <w:jc w:val="both"/>
        <w:rPr>
          <w:rFonts w:ascii="Arial" w:hAnsi="Arial" w:cs="Arial"/>
        </w:rPr>
      </w:pPr>
      <w:r w:rsidRPr="00915023">
        <w:rPr>
          <w:rFonts w:ascii="Arial" w:hAnsi="Arial" w:cs="Arial"/>
        </w:rPr>
        <w:lastRenderedPageBreak/>
        <w:t>En el segundo trimestre de 2026, el Producto Interno Bruto en su serie original, crece 3,5% respecto al mismo periodo de 2025</w:t>
      </w:r>
      <w:r>
        <w:rPr>
          <w:rFonts w:ascii="Arial" w:hAnsi="Arial" w:cs="Arial"/>
        </w:rPr>
        <w:t>.</w:t>
      </w:r>
      <w:r w:rsidRPr="00915023">
        <w:rPr>
          <w:rFonts w:ascii="Arial" w:hAnsi="Arial" w:cs="Arial"/>
        </w:rPr>
        <w:t xml:space="preserve"> Las actividades económicas que más contribuyen a la dinámica del valor agregado son: </w:t>
      </w:r>
    </w:p>
    <w:p w14:paraId="4DAAA410" w14:textId="77777777" w:rsidR="00295E81" w:rsidRDefault="00295E81" w:rsidP="00915023">
      <w:pPr>
        <w:pStyle w:val="Prrafodelista"/>
        <w:numPr>
          <w:ilvl w:val="0"/>
          <w:numId w:val="51"/>
        </w:numPr>
        <w:ind w:left="709"/>
        <w:jc w:val="both"/>
        <w:rPr>
          <w:rFonts w:ascii="Arial" w:hAnsi="Arial" w:cs="Arial"/>
        </w:rPr>
      </w:pPr>
      <w:r w:rsidRPr="00915023">
        <w:rPr>
          <w:rFonts w:ascii="Arial" w:hAnsi="Arial" w:cs="Arial"/>
        </w:rPr>
        <w:t xml:space="preserve">Administración pública y defensa; planes de seguridad social de afiliación obligatoria; Educación; Actividades de atención de la salud humana y de servicios sociales crece 10,0% (contribuye 1,7 puntos porcentuales a la variación anual). </w:t>
      </w:r>
    </w:p>
    <w:p w14:paraId="61538340" w14:textId="6069CF09" w:rsidR="00295E81" w:rsidRDefault="00295E81" w:rsidP="00915023">
      <w:pPr>
        <w:pStyle w:val="Prrafodelista"/>
        <w:numPr>
          <w:ilvl w:val="0"/>
          <w:numId w:val="52"/>
        </w:numPr>
        <w:jc w:val="both"/>
        <w:rPr>
          <w:rFonts w:ascii="Arial" w:hAnsi="Arial" w:cs="Arial"/>
        </w:rPr>
      </w:pPr>
      <w:r w:rsidRPr="00915023">
        <w:rPr>
          <w:rFonts w:ascii="Arial" w:hAnsi="Arial" w:cs="Arial"/>
        </w:rPr>
        <w:t>Comercio al por mayor y al por menor; reparación de vehículos automotores y motocicletas; Transporte y almacenamiento; Alojamiento y servicios de comida crece 2,2% (contribuye 0,5 puntos porcentuales a la variación anual).</w:t>
      </w:r>
    </w:p>
    <w:p w14:paraId="5EF4D206" w14:textId="6976B57C" w:rsidR="006121DB" w:rsidRDefault="006121DB" w:rsidP="00915023">
      <w:pPr>
        <w:pStyle w:val="Prrafodelista"/>
        <w:numPr>
          <w:ilvl w:val="0"/>
          <w:numId w:val="52"/>
        </w:numPr>
        <w:jc w:val="both"/>
        <w:rPr>
          <w:rFonts w:ascii="Arial" w:hAnsi="Arial" w:cs="Arial"/>
        </w:rPr>
      </w:pPr>
      <w:r w:rsidRPr="0075511F">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7933F8AE" w14:textId="1C8EA30E" w:rsidR="00F60F60" w:rsidRPr="006121DB" w:rsidRDefault="00F60F60" w:rsidP="00915023">
      <w:pPr>
        <w:pStyle w:val="Prrafodelista"/>
        <w:jc w:val="both"/>
      </w:pPr>
    </w:p>
    <w:p w14:paraId="692BC184" w14:textId="1C7F7809" w:rsidR="00D61492" w:rsidRDefault="00D61492" w:rsidP="00616FE1">
      <w:pPr>
        <w:spacing w:after="0"/>
        <w:jc w:val="both"/>
        <w:rPr>
          <w:rFonts w:ascii="Arial" w:hAnsi="Arial" w:cs="Arial"/>
        </w:rPr>
      </w:pPr>
      <w:r w:rsidRPr="00616FE1">
        <w:rPr>
          <w:rFonts w:ascii="Arial" w:hAnsi="Arial" w:cs="Arial"/>
        </w:rPr>
        <w:t xml:space="preserve">Respecto al trimestre inmediatamente anterior, el Producto Interno Bruto en su serie ajustada por efecto estacional y calendario crece </w:t>
      </w:r>
      <w:r w:rsidR="004E6268">
        <w:rPr>
          <w:rFonts w:ascii="Arial" w:hAnsi="Arial" w:cs="Arial"/>
        </w:rPr>
        <w:t>1.3</w:t>
      </w:r>
      <w:r w:rsidRPr="00616FE1">
        <w:rPr>
          <w:rFonts w:ascii="Arial" w:hAnsi="Arial" w:cs="Arial"/>
        </w:rPr>
        <w:t xml:space="preserve">%. Cuando se observa el comportamiento de las actividades económicas relacionadas: </w:t>
      </w:r>
    </w:p>
    <w:p w14:paraId="239519D6" w14:textId="77777777" w:rsidR="00EA369C" w:rsidRDefault="00EA369C" w:rsidP="00EA369C">
      <w:pPr>
        <w:spacing w:after="0"/>
        <w:jc w:val="both"/>
        <w:rPr>
          <w:rFonts w:ascii="Arial" w:hAnsi="Arial" w:cs="Arial"/>
        </w:rPr>
      </w:pPr>
    </w:p>
    <w:p w14:paraId="60C270CB" w14:textId="77777777" w:rsidR="004E6268" w:rsidRDefault="004E6268" w:rsidP="00616FE1">
      <w:pPr>
        <w:pStyle w:val="Prrafodelista"/>
        <w:numPr>
          <w:ilvl w:val="0"/>
          <w:numId w:val="38"/>
        </w:numPr>
        <w:spacing w:after="0"/>
        <w:jc w:val="both"/>
        <w:rPr>
          <w:rFonts w:ascii="Arial" w:hAnsi="Arial" w:cs="Arial"/>
        </w:rPr>
      </w:pPr>
      <w:r w:rsidRPr="004E6268">
        <w:rPr>
          <w:rFonts w:ascii="Arial" w:hAnsi="Arial" w:cs="Arial"/>
        </w:rPr>
        <w:t xml:space="preserve">Construcción crece 6,4%. </w:t>
      </w:r>
    </w:p>
    <w:p w14:paraId="2969F32B" w14:textId="77777777" w:rsidR="004E6268" w:rsidRDefault="004E6268" w:rsidP="00616FE1">
      <w:pPr>
        <w:pStyle w:val="Prrafodelista"/>
        <w:numPr>
          <w:ilvl w:val="0"/>
          <w:numId w:val="38"/>
        </w:numPr>
        <w:spacing w:after="0"/>
        <w:jc w:val="both"/>
        <w:rPr>
          <w:rFonts w:ascii="Arial" w:hAnsi="Arial" w:cs="Arial"/>
        </w:rPr>
      </w:pPr>
      <w:r w:rsidRPr="004E6268">
        <w:rPr>
          <w:rFonts w:ascii="Arial" w:hAnsi="Arial" w:cs="Arial"/>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4,0%. </w:t>
      </w:r>
    </w:p>
    <w:p w14:paraId="3DB600F9" w14:textId="1F0A389B" w:rsidR="00D61492" w:rsidRPr="00616FE1" w:rsidRDefault="004E6268" w:rsidP="00616FE1">
      <w:pPr>
        <w:pStyle w:val="Prrafodelista"/>
        <w:numPr>
          <w:ilvl w:val="0"/>
          <w:numId w:val="38"/>
        </w:numPr>
        <w:spacing w:after="0"/>
        <w:jc w:val="both"/>
        <w:rPr>
          <w:rFonts w:ascii="Arial" w:hAnsi="Arial" w:cs="Arial"/>
        </w:rPr>
      </w:pPr>
      <w:r w:rsidRPr="004E6268">
        <w:rPr>
          <w:rFonts w:ascii="Arial" w:hAnsi="Arial" w:cs="Arial"/>
        </w:rPr>
        <w:t>Suministro de electricidad, gas, vapor y aire acondicionado; Distribución de agua; evacuación y tratamiento de aguas residuales, gestión de desechos y actividades de saneamiento ambiental crece 2,8%.</w:t>
      </w:r>
    </w:p>
    <w:p w14:paraId="2CB33913" w14:textId="77777777" w:rsidR="00E95D17" w:rsidRPr="00616FE1" w:rsidRDefault="00E95D17" w:rsidP="00616FE1">
      <w:pPr>
        <w:spacing w:after="0"/>
        <w:jc w:val="both"/>
        <w:rPr>
          <w:rFonts w:ascii="Arial" w:hAnsi="Arial" w:cs="Arial"/>
        </w:rPr>
      </w:pPr>
    </w:p>
    <w:p w14:paraId="4901AA74" w14:textId="77777777" w:rsidR="002F344B" w:rsidRPr="00C76457" w:rsidRDefault="002F344B" w:rsidP="00C00C08">
      <w:pPr>
        <w:spacing w:after="0"/>
        <w:jc w:val="both"/>
      </w:pPr>
    </w:p>
    <w:p w14:paraId="715E4FAD" w14:textId="7E9603C2" w:rsidR="001B4EF8" w:rsidRPr="00C76457" w:rsidRDefault="001B4EF8" w:rsidP="00616FE1">
      <w:pPr>
        <w:spacing w:after="0"/>
        <w:jc w:val="both"/>
        <w:rPr>
          <w:rFonts w:ascii="Arial" w:hAnsi="Arial" w:cs="Arial"/>
        </w:rPr>
      </w:pPr>
      <w:r w:rsidRPr="00C76457">
        <w:rPr>
          <w:rFonts w:ascii="Arial" w:hAnsi="Arial" w:cs="Arial"/>
        </w:rPr>
        <w:t xml:space="preserve">En la siguiente tabla, se muestran las tasas de crecimiento y el comportamiento del PIB durante el </w:t>
      </w:r>
      <w:r w:rsidR="00C5563F">
        <w:rPr>
          <w:rFonts w:ascii="Arial" w:hAnsi="Arial" w:cs="Arial"/>
        </w:rPr>
        <w:t>segundo</w:t>
      </w:r>
      <w:r w:rsidR="00C5563F" w:rsidRPr="00C76457">
        <w:rPr>
          <w:rFonts w:ascii="Arial" w:hAnsi="Arial" w:cs="Arial"/>
        </w:rPr>
        <w:t xml:space="preserve"> </w:t>
      </w:r>
      <w:r w:rsidRPr="00C76457">
        <w:rPr>
          <w:rFonts w:ascii="Arial" w:hAnsi="Arial" w:cs="Arial"/>
        </w:rPr>
        <w:t>trimestre del año 202</w:t>
      </w:r>
      <w:r w:rsidR="009D1722">
        <w:rPr>
          <w:rFonts w:ascii="Arial" w:hAnsi="Arial" w:cs="Arial"/>
        </w:rPr>
        <w:t>6</w:t>
      </w:r>
      <w:r w:rsidR="002E7AE8">
        <w:rPr>
          <w:rFonts w:ascii="Arial" w:hAnsi="Arial" w:cs="Arial"/>
        </w:rPr>
        <w:t xml:space="preserve"> (información preliminar)</w:t>
      </w:r>
      <w:r w:rsidRPr="00C76457">
        <w:rPr>
          <w:rFonts w:ascii="Arial" w:hAnsi="Arial" w:cs="Arial"/>
        </w:rPr>
        <w:t>, en diferentes actividades económicas:</w:t>
      </w:r>
    </w:p>
    <w:p w14:paraId="5C2E19AD" w14:textId="77777777" w:rsidR="002F1D05" w:rsidRPr="00C76457" w:rsidRDefault="002F1D05" w:rsidP="002F1D05">
      <w:pPr>
        <w:spacing w:after="0"/>
        <w:rPr>
          <w:rFonts w:ascii="Arial" w:hAnsi="Arial" w:cs="Arial"/>
          <w:lang w:eastAsia="es-CO"/>
        </w:rPr>
      </w:pPr>
    </w:p>
    <w:p w14:paraId="3E26805C" w14:textId="5C1B1E70" w:rsidR="00057D56" w:rsidRDefault="002256FA" w:rsidP="00616FE1">
      <w:pPr>
        <w:spacing w:after="0"/>
        <w:jc w:val="center"/>
        <w:rPr>
          <w:rFonts w:ascii="Arial" w:hAnsi="Arial" w:cs="Arial"/>
          <w:sz w:val="16"/>
        </w:rPr>
      </w:pPr>
      <w:r w:rsidRPr="002256FA">
        <w:rPr>
          <w:noProof/>
        </w:rPr>
        <w:lastRenderedPageBreak/>
        <w:t xml:space="preserve"> </w:t>
      </w:r>
      <w:r w:rsidRPr="002256FA">
        <w:rPr>
          <w:rFonts w:ascii="Arial" w:hAnsi="Arial" w:cs="Arial"/>
          <w:noProof/>
          <w:sz w:val="16"/>
        </w:rPr>
        <w:drawing>
          <wp:inline distT="0" distB="0" distL="0" distR="0" wp14:anchorId="028D07DC" wp14:editId="40943D8B">
            <wp:extent cx="5494084" cy="4675380"/>
            <wp:effectExtent l="0" t="0" r="0" b="0"/>
            <wp:docPr id="4398334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833447" name=""/>
                    <pic:cNvPicPr/>
                  </pic:nvPicPr>
                  <pic:blipFill>
                    <a:blip r:embed="rId13"/>
                    <a:stretch>
                      <a:fillRect/>
                    </a:stretch>
                  </pic:blipFill>
                  <pic:spPr>
                    <a:xfrm>
                      <a:off x="0" y="0"/>
                      <a:ext cx="5495421" cy="4676518"/>
                    </a:xfrm>
                    <a:prstGeom prst="rect">
                      <a:avLst/>
                    </a:prstGeom>
                  </pic:spPr>
                </pic:pic>
              </a:graphicData>
            </a:graphic>
          </wp:inline>
        </w:drawing>
      </w:r>
      <w:r w:rsidR="001B3E5B" w:rsidRPr="00C76457">
        <w:rPr>
          <w:rFonts w:ascii="Arial" w:hAnsi="Arial" w:cs="Arial"/>
          <w:sz w:val="16"/>
        </w:rPr>
        <w:t xml:space="preserve"> </w:t>
      </w:r>
    </w:p>
    <w:p w14:paraId="7711F13E" w14:textId="3216F67F" w:rsidR="001B3E5B" w:rsidRPr="00C76457" w:rsidRDefault="001B3E5B" w:rsidP="00616FE1">
      <w:pPr>
        <w:spacing w:after="0"/>
        <w:jc w:val="both"/>
        <w:rPr>
          <w:rFonts w:ascii="Arial" w:hAnsi="Arial" w:cs="Arial"/>
        </w:rPr>
      </w:pPr>
      <w:r w:rsidRPr="00616FE1">
        <w:rPr>
          <w:rFonts w:ascii="Arial" w:hAnsi="Arial" w:cs="Arial"/>
          <w:b/>
          <w:sz w:val="16"/>
          <w:szCs w:val="16"/>
        </w:rPr>
        <w:t>Fuente:</w:t>
      </w:r>
      <w:r w:rsidRPr="00C76457">
        <w:rPr>
          <w:rFonts w:ascii="Arial" w:hAnsi="Arial" w:cs="Arial"/>
          <w:sz w:val="16"/>
        </w:rPr>
        <w:t xml:space="preserve"> DANE. </w:t>
      </w:r>
      <w:r w:rsidR="00057D56" w:rsidRPr="00616FE1">
        <w:rPr>
          <w:rFonts w:ascii="Arial" w:hAnsi="Arial" w:cs="Arial"/>
          <w:b/>
          <w:bCs/>
          <w:sz w:val="16"/>
        </w:rPr>
        <w:t xml:space="preserve">Fuente: </w:t>
      </w:r>
      <w:r w:rsidR="00057D56" w:rsidRPr="00C76457">
        <w:rPr>
          <w:rFonts w:ascii="Arial" w:hAnsi="Arial" w:cs="Arial"/>
          <w:sz w:val="16"/>
          <w:szCs w:val="16"/>
        </w:rPr>
        <w:t xml:space="preserve">DANE. </w:t>
      </w:r>
      <w:r w:rsidRPr="00C76457">
        <w:rPr>
          <w:rFonts w:ascii="Arial" w:hAnsi="Arial" w:cs="Arial"/>
          <w:sz w:val="16"/>
          <w:szCs w:val="16"/>
        </w:rPr>
        <w:t xml:space="preserve">Boletín </w:t>
      </w:r>
      <w:r w:rsidR="00057D56" w:rsidRPr="00C76457">
        <w:rPr>
          <w:rFonts w:ascii="Arial" w:hAnsi="Arial" w:cs="Arial"/>
          <w:sz w:val="16"/>
          <w:szCs w:val="16"/>
        </w:rPr>
        <w:t>técnico -</w:t>
      </w:r>
      <w:r w:rsidRPr="00C76457">
        <w:rPr>
          <w:rFonts w:ascii="Arial" w:hAnsi="Arial" w:cs="Arial"/>
          <w:sz w:val="16"/>
          <w:szCs w:val="16"/>
        </w:rPr>
        <w:t xml:space="preserve"> Producto Interno Bruto </w:t>
      </w:r>
      <w:r w:rsidR="00057D56" w:rsidRPr="00C76457">
        <w:rPr>
          <w:rFonts w:ascii="Arial" w:hAnsi="Arial" w:cs="Arial"/>
          <w:sz w:val="16"/>
          <w:szCs w:val="16"/>
        </w:rPr>
        <w:t>(PIB) I</w:t>
      </w:r>
      <w:r w:rsidR="002256FA">
        <w:rPr>
          <w:rFonts w:ascii="Arial" w:hAnsi="Arial" w:cs="Arial"/>
          <w:sz w:val="16"/>
          <w:szCs w:val="16"/>
        </w:rPr>
        <w:t>I</w:t>
      </w:r>
      <w:r w:rsidRPr="00C76457">
        <w:rPr>
          <w:rFonts w:ascii="Arial" w:hAnsi="Arial" w:cs="Arial"/>
          <w:sz w:val="16"/>
          <w:szCs w:val="16"/>
        </w:rPr>
        <w:t xml:space="preserve"> trimestre </w:t>
      </w:r>
      <w:r w:rsidR="00057D56" w:rsidRPr="00C76457">
        <w:rPr>
          <w:rFonts w:ascii="Arial" w:hAnsi="Arial" w:cs="Arial"/>
          <w:sz w:val="16"/>
          <w:szCs w:val="16"/>
        </w:rPr>
        <w:t>202</w:t>
      </w:r>
      <w:r w:rsidR="00057D56">
        <w:rPr>
          <w:rFonts w:ascii="Arial" w:hAnsi="Arial" w:cs="Arial"/>
          <w:sz w:val="16"/>
          <w:szCs w:val="16"/>
        </w:rPr>
        <w:t>6</w:t>
      </w:r>
      <w:r w:rsidR="00057D56" w:rsidRPr="00C76457">
        <w:rPr>
          <w:rFonts w:ascii="Arial" w:hAnsi="Arial" w:cs="Arial"/>
          <w:sz w:val="16"/>
          <w:szCs w:val="16"/>
        </w:rPr>
        <w:t xml:space="preserve"> preliminar.</w:t>
      </w:r>
      <w:r w:rsidRPr="00C76457">
        <w:rPr>
          <w:rFonts w:ascii="Arial" w:hAnsi="Arial" w:cs="Arial"/>
          <w:sz w:val="16"/>
          <w:szCs w:val="16"/>
        </w:rPr>
        <w:t xml:space="preserve"> Fecha de</w:t>
      </w:r>
      <w:r w:rsidR="002256FA">
        <w:rPr>
          <w:rFonts w:ascii="Arial" w:hAnsi="Arial" w:cs="Arial"/>
          <w:sz w:val="16"/>
          <w:szCs w:val="16"/>
        </w:rPr>
        <w:t xml:space="preserve"> </w:t>
      </w:r>
      <w:r w:rsidRPr="00C76457">
        <w:rPr>
          <w:rFonts w:ascii="Arial" w:hAnsi="Arial" w:cs="Arial"/>
          <w:sz w:val="16"/>
          <w:szCs w:val="16"/>
        </w:rPr>
        <w:t xml:space="preserve">publicación: </w:t>
      </w:r>
      <w:r w:rsidR="002256FA">
        <w:rPr>
          <w:rFonts w:ascii="Arial" w:hAnsi="Arial" w:cs="Arial"/>
          <w:sz w:val="16"/>
          <w:szCs w:val="16"/>
        </w:rPr>
        <w:t>18 de agosto de 2026</w:t>
      </w:r>
      <w:r w:rsidR="00057D56" w:rsidRPr="00C76457">
        <w:rPr>
          <w:rFonts w:ascii="Arial" w:hAnsi="Arial" w:cs="Arial"/>
          <w:sz w:val="16"/>
          <w:szCs w:val="16"/>
        </w:rPr>
        <w:t xml:space="preserve">; </w:t>
      </w:r>
      <w:r w:rsidR="00057D56">
        <w:rPr>
          <w:rFonts w:ascii="Arial" w:hAnsi="Arial" w:cs="Arial"/>
          <w:sz w:val="16"/>
          <w:szCs w:val="16"/>
        </w:rPr>
        <w:t xml:space="preserve">Fecha consulta: </w:t>
      </w:r>
      <w:r w:rsidR="002256FA">
        <w:rPr>
          <w:rFonts w:ascii="Arial" w:hAnsi="Arial" w:cs="Arial"/>
          <w:sz w:val="16"/>
          <w:szCs w:val="16"/>
        </w:rPr>
        <w:t>18 de agosto</w:t>
      </w:r>
      <w:r w:rsidR="00057D56">
        <w:rPr>
          <w:rFonts w:ascii="Arial" w:hAnsi="Arial" w:cs="Arial"/>
          <w:sz w:val="16"/>
          <w:szCs w:val="16"/>
        </w:rPr>
        <w:t xml:space="preserve"> </w:t>
      </w:r>
      <w:r w:rsidR="00057D56" w:rsidRPr="00C76457">
        <w:rPr>
          <w:rFonts w:ascii="Arial" w:hAnsi="Arial" w:cs="Arial"/>
          <w:sz w:val="16"/>
          <w:szCs w:val="16"/>
        </w:rPr>
        <w:t xml:space="preserve">de 2026. </w:t>
      </w:r>
      <w:hyperlink r:id="rId14" w:history="1">
        <w:r w:rsidR="001606B7" w:rsidRPr="007C3052">
          <w:rPr>
            <w:rStyle w:val="Hipervnculo"/>
            <w:rFonts w:ascii="Arial" w:hAnsi="Arial" w:cs="Arial"/>
            <w:sz w:val="16"/>
            <w:szCs w:val="16"/>
          </w:rPr>
          <w:t>https://www.dane.gov.co/files/operaciones/PIB/bol-PIB-IItrim2026.pdf</w:t>
        </w:r>
      </w:hyperlink>
      <w:r w:rsidR="001606B7">
        <w:rPr>
          <w:rFonts w:ascii="Arial" w:hAnsi="Arial" w:cs="Arial"/>
          <w:sz w:val="16"/>
          <w:szCs w:val="16"/>
        </w:rPr>
        <w:t xml:space="preserve"> </w:t>
      </w:r>
    </w:p>
    <w:p w14:paraId="5C584E63" w14:textId="77777777" w:rsidR="007A6243" w:rsidRPr="00C76457" w:rsidRDefault="007A6243" w:rsidP="00616FE1">
      <w:pPr>
        <w:spacing w:after="0"/>
        <w:rPr>
          <w:rFonts w:ascii="Arial" w:hAnsi="Arial" w:cs="Arial"/>
          <w:sz w:val="16"/>
          <w:szCs w:val="16"/>
        </w:rPr>
      </w:pPr>
    </w:p>
    <w:p w14:paraId="24F32BAD" w14:textId="77777777" w:rsidR="00D1719D" w:rsidRPr="00C76457" w:rsidRDefault="00D1719D" w:rsidP="00616FE1">
      <w:pPr>
        <w:spacing w:after="0"/>
        <w:jc w:val="both"/>
        <w:rPr>
          <w:rFonts w:ascii="Arial" w:hAnsi="Arial" w:cs="Arial"/>
        </w:rPr>
      </w:pPr>
    </w:p>
    <w:p w14:paraId="48250732" w14:textId="28AE1546" w:rsidR="007E4241" w:rsidRDefault="007E4241" w:rsidP="00A357EF">
      <w:pPr>
        <w:spacing w:after="0"/>
        <w:jc w:val="both"/>
        <w:rPr>
          <w:rFonts w:ascii="Arial" w:hAnsi="Arial" w:cs="Arial"/>
        </w:rPr>
      </w:pPr>
      <w:r w:rsidRPr="00616FE1">
        <w:rPr>
          <w:rFonts w:ascii="Arial" w:hAnsi="Arial" w:cs="Arial"/>
        </w:rPr>
        <w:t xml:space="preserve">En el </w:t>
      </w:r>
      <w:r w:rsidR="001606B7">
        <w:rPr>
          <w:rFonts w:ascii="Arial" w:hAnsi="Arial" w:cs="Arial"/>
        </w:rPr>
        <w:t>segundo</w:t>
      </w:r>
      <w:r w:rsidR="001606B7" w:rsidRPr="00616FE1">
        <w:rPr>
          <w:rFonts w:ascii="Arial" w:hAnsi="Arial" w:cs="Arial"/>
        </w:rPr>
        <w:t xml:space="preserve"> </w:t>
      </w:r>
      <w:r w:rsidRPr="00616FE1">
        <w:rPr>
          <w:rFonts w:ascii="Arial" w:hAnsi="Arial" w:cs="Arial"/>
        </w:rPr>
        <w:t xml:space="preserve">trimestre de 2026, el valor agregado de la construcción crece </w:t>
      </w:r>
      <w:r w:rsidR="0091097C">
        <w:rPr>
          <w:rFonts w:ascii="Arial" w:hAnsi="Arial" w:cs="Arial"/>
        </w:rPr>
        <w:t>2,2</w:t>
      </w:r>
      <w:r w:rsidRPr="00616FE1">
        <w:rPr>
          <w:rFonts w:ascii="Arial" w:hAnsi="Arial" w:cs="Arial"/>
        </w:rPr>
        <w:t>% en su serie original, respecto al mismo periodo de 2025. Esta dinámica se explica por los siguientes comportamientos</w:t>
      </w:r>
      <w:r>
        <w:rPr>
          <w:rFonts w:ascii="Arial" w:hAnsi="Arial" w:cs="Arial"/>
        </w:rPr>
        <w:t xml:space="preserve">, según </w:t>
      </w:r>
      <w:r w:rsidR="00AD3880">
        <w:rPr>
          <w:rFonts w:ascii="Arial" w:hAnsi="Arial" w:cs="Arial"/>
        </w:rPr>
        <w:t xml:space="preserve">lo descrito </w:t>
      </w:r>
      <w:r>
        <w:rPr>
          <w:rFonts w:ascii="Arial" w:hAnsi="Arial" w:cs="Arial"/>
        </w:rPr>
        <w:t>a continuación</w:t>
      </w:r>
      <w:r w:rsidRPr="00616FE1">
        <w:rPr>
          <w:rFonts w:ascii="Arial" w:hAnsi="Arial" w:cs="Arial"/>
        </w:rPr>
        <w:t xml:space="preserve">: </w:t>
      </w:r>
    </w:p>
    <w:p w14:paraId="44458B62" w14:textId="77777777" w:rsidR="007E4241" w:rsidRDefault="007E4241" w:rsidP="00616FE1">
      <w:pPr>
        <w:spacing w:after="0"/>
        <w:jc w:val="both"/>
        <w:rPr>
          <w:rFonts w:ascii="Arial" w:hAnsi="Arial" w:cs="Arial"/>
        </w:rPr>
      </w:pPr>
    </w:p>
    <w:p w14:paraId="5A66EAF4" w14:textId="3972F280" w:rsidR="007E4241" w:rsidRPr="00616FE1" w:rsidRDefault="007E4241" w:rsidP="00616FE1">
      <w:pPr>
        <w:pStyle w:val="Prrafodelista"/>
        <w:numPr>
          <w:ilvl w:val="0"/>
          <w:numId w:val="40"/>
        </w:numPr>
        <w:spacing w:after="0"/>
        <w:jc w:val="both"/>
        <w:rPr>
          <w:rFonts w:ascii="Arial" w:hAnsi="Arial" w:cs="Arial"/>
        </w:rPr>
      </w:pPr>
      <w:r w:rsidRPr="00616FE1">
        <w:rPr>
          <w:rFonts w:ascii="Arial" w:hAnsi="Arial" w:cs="Arial"/>
        </w:rPr>
        <w:t xml:space="preserve">Construcción de edificaciones residenciales y no residenciales decrece </w:t>
      </w:r>
      <w:r w:rsidR="00567456">
        <w:rPr>
          <w:rFonts w:ascii="Arial" w:hAnsi="Arial" w:cs="Arial"/>
        </w:rPr>
        <w:t>3</w:t>
      </w:r>
      <w:r w:rsidRPr="00616FE1">
        <w:rPr>
          <w:rFonts w:ascii="Arial" w:hAnsi="Arial" w:cs="Arial"/>
        </w:rPr>
        <w:t xml:space="preserve">,2%. </w:t>
      </w:r>
    </w:p>
    <w:p w14:paraId="6D901A6B" w14:textId="09CDEAB3" w:rsidR="007E4241" w:rsidRDefault="007E4241" w:rsidP="00A357EF">
      <w:pPr>
        <w:pStyle w:val="Prrafodelista"/>
        <w:numPr>
          <w:ilvl w:val="0"/>
          <w:numId w:val="40"/>
        </w:numPr>
        <w:spacing w:after="0"/>
        <w:jc w:val="both"/>
        <w:rPr>
          <w:rFonts w:ascii="Arial" w:hAnsi="Arial" w:cs="Arial"/>
        </w:rPr>
      </w:pPr>
      <w:r w:rsidRPr="00616FE1">
        <w:rPr>
          <w:rFonts w:ascii="Arial" w:hAnsi="Arial" w:cs="Arial"/>
        </w:rPr>
        <w:t xml:space="preserve">Construcción de carreteras y vías de ferrocarril, de proyectos de servicio público y de otras obras de ingeniería civil crece </w:t>
      </w:r>
      <w:r w:rsidR="00567456">
        <w:rPr>
          <w:rFonts w:ascii="Arial" w:hAnsi="Arial" w:cs="Arial"/>
        </w:rPr>
        <w:t>17,1</w:t>
      </w:r>
      <w:r w:rsidRPr="00616FE1">
        <w:rPr>
          <w:rFonts w:ascii="Arial" w:hAnsi="Arial" w:cs="Arial"/>
        </w:rPr>
        <w:t xml:space="preserve">%. </w:t>
      </w:r>
    </w:p>
    <w:p w14:paraId="5E32353E" w14:textId="3BB19278" w:rsidR="009466DA" w:rsidRPr="00616FE1" w:rsidRDefault="009466DA" w:rsidP="00616FE1">
      <w:pPr>
        <w:pStyle w:val="Prrafodelista"/>
        <w:numPr>
          <w:ilvl w:val="0"/>
          <w:numId w:val="40"/>
        </w:numPr>
        <w:spacing w:after="0"/>
        <w:jc w:val="both"/>
        <w:rPr>
          <w:rFonts w:ascii="Arial" w:hAnsi="Arial" w:cs="Arial"/>
        </w:rPr>
      </w:pPr>
      <w:r w:rsidRPr="003C27E0">
        <w:rPr>
          <w:rFonts w:ascii="Arial" w:hAnsi="Arial" w:cs="Arial"/>
        </w:rPr>
        <w:t xml:space="preserve">Actividades especializadas para la construcción de edificaciones y obras de ingeniería civil (alquiler de maquinaria y equipo de construcción con operadores) decrece </w:t>
      </w:r>
      <w:r w:rsidR="00567456">
        <w:rPr>
          <w:rFonts w:ascii="Arial" w:hAnsi="Arial" w:cs="Arial"/>
        </w:rPr>
        <w:t>2,2</w:t>
      </w:r>
      <w:r w:rsidRPr="003C27E0">
        <w:rPr>
          <w:rFonts w:ascii="Arial" w:hAnsi="Arial" w:cs="Arial"/>
        </w:rPr>
        <w:t>%.</w:t>
      </w:r>
    </w:p>
    <w:p w14:paraId="5393253C" w14:textId="77777777" w:rsidR="00E54829" w:rsidRPr="00C76457" w:rsidRDefault="00E54829" w:rsidP="00616FE1">
      <w:pPr>
        <w:spacing w:after="0"/>
        <w:jc w:val="both"/>
      </w:pPr>
    </w:p>
    <w:p w14:paraId="32F86183" w14:textId="78425916" w:rsidR="00027705" w:rsidRDefault="00027705" w:rsidP="00A357EF">
      <w:pPr>
        <w:spacing w:after="0"/>
        <w:jc w:val="both"/>
        <w:rPr>
          <w:rFonts w:ascii="Arial" w:hAnsi="Arial" w:cs="Arial"/>
        </w:rPr>
      </w:pPr>
      <w:r w:rsidRPr="00027705">
        <w:rPr>
          <w:rFonts w:ascii="Arial" w:hAnsi="Arial" w:cs="Arial"/>
        </w:rPr>
        <w:lastRenderedPageBreak/>
        <w:t xml:space="preserve">Respecto al trimestre inmediatamente anterior en su serie ajustada por efecto estacional y calendario, el valor agregado de la construcción crece en </w:t>
      </w:r>
      <w:r w:rsidR="00565F60">
        <w:rPr>
          <w:rFonts w:ascii="Arial" w:hAnsi="Arial" w:cs="Arial"/>
        </w:rPr>
        <w:t>6</w:t>
      </w:r>
      <w:r w:rsidRPr="00027705">
        <w:rPr>
          <w:rFonts w:ascii="Arial" w:hAnsi="Arial" w:cs="Arial"/>
        </w:rPr>
        <w:t>,</w:t>
      </w:r>
      <w:r w:rsidR="00565F60">
        <w:rPr>
          <w:rFonts w:ascii="Arial" w:hAnsi="Arial" w:cs="Arial"/>
        </w:rPr>
        <w:t>4</w:t>
      </w:r>
      <w:r w:rsidRPr="00027705">
        <w:rPr>
          <w:rFonts w:ascii="Arial" w:hAnsi="Arial" w:cs="Arial"/>
        </w:rPr>
        <w:t xml:space="preserve">%, cuando se observa el comportamiento de las actividades económicas relacionadas: </w:t>
      </w:r>
    </w:p>
    <w:p w14:paraId="20F4790F" w14:textId="77777777" w:rsidR="009F67DA" w:rsidRDefault="009F67DA" w:rsidP="00616FE1">
      <w:pPr>
        <w:spacing w:after="0"/>
        <w:jc w:val="both"/>
        <w:rPr>
          <w:rFonts w:ascii="Arial" w:hAnsi="Arial" w:cs="Arial"/>
        </w:rPr>
      </w:pPr>
    </w:p>
    <w:p w14:paraId="5C35FE84" w14:textId="26C7B2EF" w:rsidR="00027705" w:rsidRPr="00616FE1" w:rsidRDefault="00027705" w:rsidP="00616FE1">
      <w:pPr>
        <w:pStyle w:val="Prrafodelista"/>
        <w:numPr>
          <w:ilvl w:val="0"/>
          <w:numId w:val="41"/>
        </w:numPr>
        <w:spacing w:after="0"/>
        <w:jc w:val="both"/>
        <w:rPr>
          <w:rFonts w:ascii="Arial" w:hAnsi="Arial" w:cs="Arial"/>
        </w:rPr>
      </w:pPr>
      <w:r w:rsidRPr="00616FE1">
        <w:rPr>
          <w:rFonts w:ascii="Arial" w:hAnsi="Arial" w:cs="Arial"/>
        </w:rPr>
        <w:t xml:space="preserve">Construcción de edificaciones residenciales y no residenciales crece </w:t>
      </w:r>
      <w:r w:rsidR="00565F60">
        <w:rPr>
          <w:rFonts w:ascii="Arial" w:hAnsi="Arial" w:cs="Arial"/>
        </w:rPr>
        <w:t>2,5</w:t>
      </w:r>
      <w:r w:rsidRPr="00616FE1">
        <w:rPr>
          <w:rFonts w:ascii="Arial" w:hAnsi="Arial" w:cs="Arial"/>
        </w:rPr>
        <w:t xml:space="preserve">%. </w:t>
      </w:r>
    </w:p>
    <w:p w14:paraId="4B7391F0" w14:textId="62D7BFDA" w:rsidR="00027705" w:rsidRPr="00616FE1" w:rsidRDefault="00027705" w:rsidP="00616FE1">
      <w:pPr>
        <w:pStyle w:val="Prrafodelista"/>
        <w:numPr>
          <w:ilvl w:val="0"/>
          <w:numId w:val="41"/>
        </w:numPr>
        <w:spacing w:after="0"/>
        <w:jc w:val="both"/>
        <w:rPr>
          <w:rFonts w:ascii="Arial" w:hAnsi="Arial" w:cs="Arial"/>
        </w:rPr>
      </w:pPr>
      <w:r w:rsidRPr="00616FE1">
        <w:rPr>
          <w:rFonts w:ascii="Arial" w:hAnsi="Arial" w:cs="Arial"/>
        </w:rPr>
        <w:t xml:space="preserve">Construcción de carreteras y vías de ferrocarril, de proyectos de servicio público y de otras obras de ingeniería civil crece </w:t>
      </w:r>
      <w:r w:rsidR="00565F60">
        <w:rPr>
          <w:rFonts w:ascii="Arial" w:hAnsi="Arial" w:cs="Arial"/>
        </w:rPr>
        <w:t>19,6</w:t>
      </w:r>
      <w:r w:rsidRPr="00616FE1">
        <w:rPr>
          <w:rFonts w:ascii="Arial" w:hAnsi="Arial" w:cs="Arial"/>
        </w:rPr>
        <w:t xml:space="preserve">%. </w:t>
      </w:r>
    </w:p>
    <w:p w14:paraId="27A38B40" w14:textId="245DE92C" w:rsidR="00027705" w:rsidRPr="00616FE1" w:rsidRDefault="00027705" w:rsidP="00616FE1">
      <w:pPr>
        <w:pStyle w:val="Prrafodelista"/>
        <w:numPr>
          <w:ilvl w:val="0"/>
          <w:numId w:val="41"/>
        </w:numPr>
        <w:spacing w:after="0"/>
        <w:jc w:val="both"/>
        <w:rPr>
          <w:rFonts w:ascii="Arial" w:hAnsi="Arial" w:cs="Arial"/>
        </w:rPr>
      </w:pPr>
      <w:r w:rsidRPr="00616FE1">
        <w:rPr>
          <w:rFonts w:ascii="Arial" w:hAnsi="Arial" w:cs="Arial"/>
        </w:rPr>
        <w:t xml:space="preserve">Actividades especializadas para la construcción de edificaciones y obras de ingeniería civil (alquiler de maquinaria y equipo de construcción con operadores) crece </w:t>
      </w:r>
      <w:r w:rsidR="00436FC9">
        <w:rPr>
          <w:rFonts w:ascii="Arial" w:hAnsi="Arial" w:cs="Arial"/>
        </w:rPr>
        <w:t>3,2</w:t>
      </w:r>
      <w:r w:rsidRPr="00616FE1">
        <w:rPr>
          <w:rFonts w:ascii="Arial" w:hAnsi="Arial" w:cs="Arial"/>
        </w:rPr>
        <w:t>%.</w:t>
      </w:r>
    </w:p>
    <w:p w14:paraId="1066FB51" w14:textId="3F94193B" w:rsidR="0029660D" w:rsidRPr="00C76457" w:rsidRDefault="006E3D90" w:rsidP="00616FE1">
      <w:pPr>
        <w:spacing w:after="0"/>
        <w:rPr>
          <w:rFonts w:ascii="Arial" w:hAnsi="Arial" w:cs="Arial"/>
        </w:rPr>
      </w:pPr>
      <w:r w:rsidRPr="006E3D90">
        <w:rPr>
          <w:noProof/>
        </w:rPr>
        <w:t xml:space="preserve"> </w:t>
      </w:r>
      <w:r w:rsidR="00436FC9" w:rsidRPr="00436FC9">
        <w:rPr>
          <w:noProof/>
        </w:rPr>
        <w:t xml:space="preserve"> </w:t>
      </w:r>
      <w:r w:rsidR="00436FC9" w:rsidRPr="00436FC9">
        <w:rPr>
          <w:noProof/>
        </w:rPr>
        <w:drawing>
          <wp:inline distT="0" distB="0" distL="0" distR="0" wp14:anchorId="7B945311" wp14:editId="2C1F9EFD">
            <wp:extent cx="5612130" cy="2899410"/>
            <wp:effectExtent l="0" t="0" r="7620" b="0"/>
            <wp:docPr id="1235400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00535" name=""/>
                    <pic:cNvPicPr/>
                  </pic:nvPicPr>
                  <pic:blipFill>
                    <a:blip r:embed="rId15"/>
                    <a:stretch>
                      <a:fillRect/>
                    </a:stretch>
                  </pic:blipFill>
                  <pic:spPr>
                    <a:xfrm>
                      <a:off x="0" y="0"/>
                      <a:ext cx="5612130" cy="2899410"/>
                    </a:xfrm>
                    <a:prstGeom prst="rect">
                      <a:avLst/>
                    </a:prstGeom>
                  </pic:spPr>
                </pic:pic>
              </a:graphicData>
            </a:graphic>
          </wp:inline>
        </w:drawing>
      </w:r>
    </w:p>
    <w:p w14:paraId="072AFAD9" w14:textId="38234E83" w:rsidR="006E3D90" w:rsidRPr="00C76457" w:rsidRDefault="006E3D90" w:rsidP="00616FE1">
      <w:pPr>
        <w:spacing w:after="0"/>
        <w:jc w:val="both"/>
        <w:rPr>
          <w:rFonts w:ascii="Arial" w:hAnsi="Arial" w:cs="Arial"/>
        </w:rPr>
      </w:pPr>
      <w:r w:rsidRPr="003C27E0">
        <w:rPr>
          <w:rFonts w:ascii="Arial" w:hAnsi="Arial" w:cs="Arial"/>
          <w:b/>
          <w:bCs/>
          <w:sz w:val="16"/>
          <w:szCs w:val="16"/>
        </w:rPr>
        <w:t>Fuente:</w:t>
      </w:r>
      <w:r w:rsidRPr="00C76457">
        <w:rPr>
          <w:rFonts w:ascii="Arial" w:hAnsi="Arial" w:cs="Arial"/>
          <w:sz w:val="16"/>
        </w:rPr>
        <w:t xml:space="preserve"> DANE.</w:t>
      </w:r>
      <w:r w:rsidRPr="00C76457">
        <w:rPr>
          <w:rFonts w:ascii="Arial" w:hAnsi="Arial" w:cs="Arial"/>
          <w:sz w:val="16"/>
          <w:szCs w:val="16"/>
        </w:rPr>
        <w:t xml:space="preserve"> Boletín técnico - Producto Interno Bruto (PIB) I</w:t>
      </w:r>
      <w:r w:rsidR="00436FC9">
        <w:rPr>
          <w:rFonts w:ascii="Arial" w:hAnsi="Arial" w:cs="Arial"/>
          <w:sz w:val="16"/>
          <w:szCs w:val="16"/>
        </w:rPr>
        <w:t>I</w:t>
      </w:r>
      <w:r w:rsidRPr="00C76457">
        <w:rPr>
          <w:rFonts w:ascii="Arial" w:hAnsi="Arial" w:cs="Arial"/>
          <w:sz w:val="16"/>
          <w:szCs w:val="16"/>
        </w:rPr>
        <w:t xml:space="preserve"> trimestre 202</w:t>
      </w:r>
      <w:r>
        <w:rPr>
          <w:rFonts w:ascii="Arial" w:hAnsi="Arial" w:cs="Arial"/>
          <w:sz w:val="16"/>
          <w:szCs w:val="16"/>
        </w:rPr>
        <w:t>6</w:t>
      </w:r>
      <w:r w:rsidRPr="00C76457">
        <w:rPr>
          <w:rFonts w:ascii="Arial" w:hAnsi="Arial" w:cs="Arial"/>
          <w:sz w:val="16"/>
          <w:szCs w:val="16"/>
        </w:rPr>
        <w:t xml:space="preserve"> preliminar. Fecha de publicación: </w:t>
      </w:r>
      <w:r w:rsidR="00436FC9">
        <w:rPr>
          <w:rFonts w:ascii="Arial" w:hAnsi="Arial" w:cs="Arial"/>
          <w:sz w:val="16"/>
          <w:szCs w:val="16"/>
        </w:rPr>
        <w:t>18 de agosto</w:t>
      </w:r>
      <w:r>
        <w:rPr>
          <w:rFonts w:ascii="Arial" w:hAnsi="Arial" w:cs="Arial"/>
          <w:sz w:val="16"/>
          <w:szCs w:val="16"/>
        </w:rPr>
        <w:t xml:space="preserve"> </w:t>
      </w:r>
      <w:r w:rsidRPr="00C76457">
        <w:rPr>
          <w:rFonts w:ascii="Arial" w:hAnsi="Arial" w:cs="Arial"/>
          <w:sz w:val="16"/>
          <w:szCs w:val="16"/>
        </w:rPr>
        <w:t xml:space="preserve">de 2026; </w:t>
      </w:r>
      <w:r>
        <w:rPr>
          <w:rFonts w:ascii="Arial" w:hAnsi="Arial" w:cs="Arial"/>
          <w:sz w:val="16"/>
          <w:szCs w:val="16"/>
        </w:rPr>
        <w:t xml:space="preserve">Fecha consulta: </w:t>
      </w:r>
      <w:r w:rsidR="00436FC9">
        <w:rPr>
          <w:rFonts w:ascii="Arial" w:hAnsi="Arial" w:cs="Arial"/>
          <w:sz w:val="16"/>
          <w:szCs w:val="16"/>
        </w:rPr>
        <w:t>18 de agosto</w:t>
      </w:r>
      <w:r>
        <w:rPr>
          <w:rFonts w:ascii="Arial" w:hAnsi="Arial" w:cs="Arial"/>
          <w:sz w:val="16"/>
          <w:szCs w:val="16"/>
        </w:rPr>
        <w:t xml:space="preserve"> </w:t>
      </w:r>
      <w:r w:rsidRPr="00C76457">
        <w:rPr>
          <w:rFonts w:ascii="Arial" w:hAnsi="Arial" w:cs="Arial"/>
          <w:sz w:val="16"/>
          <w:szCs w:val="16"/>
        </w:rPr>
        <w:t xml:space="preserve">de 2026. </w:t>
      </w:r>
      <w:hyperlink r:id="rId16" w:history="1">
        <w:r w:rsidR="00895233" w:rsidRPr="007C3052">
          <w:rPr>
            <w:rStyle w:val="Hipervnculo"/>
            <w:rFonts w:ascii="Arial" w:hAnsi="Arial" w:cs="Arial"/>
            <w:sz w:val="16"/>
            <w:szCs w:val="16"/>
          </w:rPr>
          <w:t>https://www.dane.gov.co/files/operaciones/PIB/bol-PIB-IItrim2026.pdf</w:t>
        </w:r>
      </w:hyperlink>
      <w:r w:rsidR="00895233">
        <w:rPr>
          <w:rFonts w:ascii="Arial" w:hAnsi="Arial" w:cs="Arial"/>
          <w:sz w:val="16"/>
          <w:szCs w:val="16"/>
        </w:rPr>
        <w:t xml:space="preserve"> </w:t>
      </w:r>
    </w:p>
    <w:p w14:paraId="280F2978" w14:textId="0660DC60" w:rsidR="00811C34" w:rsidRPr="00C76457" w:rsidRDefault="00811C34" w:rsidP="002F1D05">
      <w:pPr>
        <w:spacing w:after="0"/>
        <w:rPr>
          <w:rFonts w:ascii="Arial" w:hAnsi="Arial" w:cs="Arial"/>
          <w:lang w:eastAsia="es-CO"/>
        </w:rPr>
      </w:pPr>
    </w:p>
    <w:p w14:paraId="54A3976A" w14:textId="77777777" w:rsidR="00160E83" w:rsidRPr="00160E83" w:rsidRDefault="00160E83" w:rsidP="00616FE1">
      <w:pPr>
        <w:spacing w:after="0"/>
        <w:rPr>
          <w:rFonts w:ascii="Arial" w:hAnsi="Arial" w:cs="Arial"/>
        </w:rPr>
      </w:pPr>
    </w:p>
    <w:p w14:paraId="78564E24" w14:textId="190E8AAE" w:rsidR="00605BDE" w:rsidRPr="00C76457" w:rsidRDefault="00376B80" w:rsidP="00616FE1">
      <w:pPr>
        <w:spacing w:after="0"/>
        <w:jc w:val="both"/>
        <w:rPr>
          <w:rFonts w:ascii="Arial" w:hAnsi="Arial" w:cs="Arial"/>
        </w:rPr>
      </w:pPr>
      <w:r w:rsidRPr="00C76457">
        <w:rPr>
          <w:rFonts w:ascii="Arial" w:hAnsi="Arial" w:cs="Arial"/>
        </w:rPr>
        <w:t xml:space="preserve">En relación con la tasa de crecimiento y los componentes </w:t>
      </w:r>
      <w:r w:rsidRPr="00915023">
        <w:rPr>
          <w:rFonts w:ascii="Arial" w:hAnsi="Arial" w:cs="Arial"/>
        </w:rPr>
        <w:t>del enfoque del gasto</w:t>
      </w:r>
      <w:r w:rsidR="00D55E56" w:rsidRPr="00C7428D">
        <w:rPr>
          <w:rFonts w:ascii="Arial" w:hAnsi="Arial" w:cs="Arial"/>
        </w:rPr>
        <w:t>, el</w:t>
      </w:r>
      <w:r w:rsidR="00D55E56" w:rsidRPr="00C76457">
        <w:rPr>
          <w:rFonts w:ascii="Arial" w:hAnsi="Arial" w:cs="Arial"/>
        </w:rPr>
        <w:t xml:space="preserve"> DANE en su boletín </w:t>
      </w:r>
      <w:r w:rsidR="00B548A9" w:rsidRPr="00C76457">
        <w:rPr>
          <w:rFonts w:ascii="Arial" w:hAnsi="Arial" w:cs="Arial"/>
        </w:rPr>
        <w:t xml:space="preserve">técnico </w:t>
      </w:r>
      <w:r w:rsidR="009E665E">
        <w:rPr>
          <w:rFonts w:ascii="Arial" w:hAnsi="Arial" w:cs="Arial"/>
        </w:rPr>
        <w:t xml:space="preserve">para el </w:t>
      </w:r>
      <w:r w:rsidR="00D25C32">
        <w:rPr>
          <w:rFonts w:ascii="Arial" w:hAnsi="Arial" w:cs="Arial"/>
        </w:rPr>
        <w:t xml:space="preserve">segundo </w:t>
      </w:r>
      <w:r w:rsidR="009E665E">
        <w:rPr>
          <w:rFonts w:ascii="Arial" w:hAnsi="Arial" w:cs="Arial"/>
        </w:rPr>
        <w:t>trimestre de 2026 r</w:t>
      </w:r>
      <w:r w:rsidR="00397BCE" w:rsidRPr="00C76457">
        <w:rPr>
          <w:rFonts w:ascii="Arial" w:hAnsi="Arial" w:cs="Arial"/>
        </w:rPr>
        <w:t xml:space="preserve">eporta </w:t>
      </w:r>
      <w:r w:rsidR="003503C3" w:rsidRPr="00C76457">
        <w:rPr>
          <w:rFonts w:ascii="Arial" w:hAnsi="Arial" w:cs="Arial"/>
        </w:rPr>
        <w:t xml:space="preserve">el crecimiento del Producto Interno Bruto de </w:t>
      </w:r>
      <w:r w:rsidR="00D25C32">
        <w:rPr>
          <w:rFonts w:ascii="Arial" w:hAnsi="Arial" w:cs="Arial"/>
        </w:rPr>
        <w:t>3,5</w:t>
      </w:r>
      <w:r w:rsidR="003503C3" w:rsidRPr="00C76457">
        <w:rPr>
          <w:rFonts w:ascii="Arial" w:hAnsi="Arial" w:cs="Arial"/>
        </w:rPr>
        <w:t xml:space="preserve">% </w:t>
      </w:r>
      <w:r w:rsidR="00002A34">
        <w:rPr>
          <w:rFonts w:ascii="Arial" w:hAnsi="Arial" w:cs="Arial"/>
        </w:rPr>
        <w:t>respecto al mismo periodo del</w:t>
      </w:r>
      <w:r w:rsidR="003503C3" w:rsidRPr="00C76457">
        <w:rPr>
          <w:rFonts w:ascii="Arial" w:hAnsi="Arial" w:cs="Arial"/>
        </w:rPr>
        <w:t xml:space="preserve"> año 2025</w:t>
      </w:r>
      <w:r w:rsidR="00002A34">
        <w:rPr>
          <w:rFonts w:ascii="Arial" w:hAnsi="Arial" w:cs="Arial"/>
        </w:rPr>
        <w:t>. Este comportamiento</w:t>
      </w:r>
      <w:r w:rsidR="003503C3" w:rsidRPr="00C76457">
        <w:rPr>
          <w:rFonts w:ascii="Arial" w:hAnsi="Arial" w:cs="Arial"/>
        </w:rPr>
        <w:t xml:space="preserve"> se explica por los siguientes comportamientos:</w:t>
      </w:r>
    </w:p>
    <w:p w14:paraId="7A248EA9" w14:textId="77777777" w:rsidR="00605BDE" w:rsidRPr="00C76457" w:rsidRDefault="00605BDE" w:rsidP="00616FE1">
      <w:pPr>
        <w:spacing w:after="0"/>
        <w:rPr>
          <w:rFonts w:ascii="Arial" w:hAnsi="Arial" w:cs="Arial"/>
        </w:rPr>
      </w:pPr>
    </w:p>
    <w:p w14:paraId="7E531813" w14:textId="5DEB01F0" w:rsidR="00A1408D" w:rsidRPr="00616FE1" w:rsidRDefault="00A1408D" w:rsidP="00616FE1">
      <w:pPr>
        <w:pStyle w:val="Prrafodelista"/>
        <w:numPr>
          <w:ilvl w:val="0"/>
          <w:numId w:val="42"/>
        </w:numPr>
        <w:spacing w:after="0"/>
        <w:rPr>
          <w:rFonts w:ascii="Arial" w:hAnsi="Arial" w:cs="Arial"/>
        </w:rPr>
      </w:pPr>
      <w:r w:rsidRPr="00616FE1">
        <w:rPr>
          <w:rFonts w:ascii="Arial" w:hAnsi="Arial" w:cs="Arial"/>
        </w:rPr>
        <w:t xml:space="preserve">Gasto en consumo final crece </w:t>
      </w:r>
      <w:r w:rsidR="0005732D">
        <w:rPr>
          <w:rFonts w:ascii="Arial" w:hAnsi="Arial" w:cs="Arial"/>
        </w:rPr>
        <w:t>4</w:t>
      </w:r>
      <w:r w:rsidRPr="00616FE1">
        <w:rPr>
          <w:rFonts w:ascii="Arial" w:hAnsi="Arial" w:cs="Arial"/>
        </w:rPr>
        <w:t>,4%.</w:t>
      </w:r>
    </w:p>
    <w:p w14:paraId="24101179" w14:textId="37109437" w:rsidR="00A1408D" w:rsidRPr="00616FE1" w:rsidRDefault="00A1408D" w:rsidP="00616FE1">
      <w:pPr>
        <w:pStyle w:val="Prrafodelista"/>
        <w:numPr>
          <w:ilvl w:val="0"/>
          <w:numId w:val="42"/>
        </w:numPr>
        <w:spacing w:after="0"/>
        <w:rPr>
          <w:rFonts w:ascii="Arial" w:hAnsi="Arial" w:cs="Arial"/>
        </w:rPr>
      </w:pPr>
      <w:r w:rsidRPr="00616FE1">
        <w:rPr>
          <w:rFonts w:ascii="Arial" w:hAnsi="Arial" w:cs="Arial"/>
        </w:rPr>
        <w:t xml:space="preserve">Formación bruta de capital decrece </w:t>
      </w:r>
      <w:r w:rsidR="0005732D">
        <w:rPr>
          <w:rFonts w:ascii="Arial" w:hAnsi="Arial" w:cs="Arial"/>
        </w:rPr>
        <w:t>7</w:t>
      </w:r>
      <w:r w:rsidRPr="00616FE1">
        <w:rPr>
          <w:rFonts w:ascii="Arial" w:hAnsi="Arial" w:cs="Arial"/>
        </w:rPr>
        <w:t>,</w:t>
      </w:r>
      <w:r w:rsidR="0005732D">
        <w:rPr>
          <w:rFonts w:ascii="Arial" w:hAnsi="Arial" w:cs="Arial"/>
        </w:rPr>
        <w:t>1</w:t>
      </w:r>
      <w:r w:rsidRPr="00616FE1">
        <w:rPr>
          <w:rFonts w:ascii="Arial" w:hAnsi="Arial" w:cs="Arial"/>
        </w:rPr>
        <w:t xml:space="preserve">%. </w:t>
      </w:r>
    </w:p>
    <w:p w14:paraId="77A28BE3" w14:textId="787699BC" w:rsidR="00A1408D" w:rsidRDefault="00A1408D" w:rsidP="00616FE1">
      <w:pPr>
        <w:pStyle w:val="Prrafodelista"/>
        <w:numPr>
          <w:ilvl w:val="0"/>
          <w:numId w:val="42"/>
        </w:numPr>
        <w:spacing w:after="0"/>
        <w:rPr>
          <w:rFonts w:ascii="Arial" w:hAnsi="Arial" w:cs="Arial"/>
        </w:rPr>
      </w:pPr>
      <w:r w:rsidRPr="00616FE1">
        <w:rPr>
          <w:rFonts w:ascii="Arial" w:hAnsi="Arial" w:cs="Arial"/>
        </w:rPr>
        <w:t xml:space="preserve">Exportaciones </w:t>
      </w:r>
      <w:r w:rsidR="0005732D">
        <w:rPr>
          <w:rFonts w:ascii="Arial" w:hAnsi="Arial" w:cs="Arial"/>
        </w:rPr>
        <w:t>de</w:t>
      </w:r>
      <w:r w:rsidRPr="00616FE1">
        <w:rPr>
          <w:rFonts w:ascii="Arial" w:hAnsi="Arial" w:cs="Arial"/>
        </w:rPr>
        <w:t xml:space="preserve">crecen </w:t>
      </w:r>
      <w:r w:rsidR="0005732D">
        <w:rPr>
          <w:rFonts w:ascii="Arial" w:hAnsi="Arial" w:cs="Arial"/>
        </w:rPr>
        <w:t>1</w:t>
      </w:r>
      <w:r w:rsidRPr="00616FE1">
        <w:rPr>
          <w:rFonts w:ascii="Arial" w:hAnsi="Arial" w:cs="Arial"/>
        </w:rPr>
        <w:t>,</w:t>
      </w:r>
      <w:r w:rsidR="0097443E">
        <w:rPr>
          <w:rFonts w:ascii="Arial" w:hAnsi="Arial" w:cs="Arial"/>
        </w:rPr>
        <w:t>0</w:t>
      </w:r>
      <w:r w:rsidRPr="00616FE1">
        <w:rPr>
          <w:rFonts w:ascii="Arial" w:hAnsi="Arial" w:cs="Arial"/>
        </w:rPr>
        <w:t xml:space="preserve">%. </w:t>
      </w:r>
    </w:p>
    <w:p w14:paraId="20E12D3A" w14:textId="78F4B369" w:rsidR="00A1408D" w:rsidRPr="00616FE1" w:rsidRDefault="00AD24F7" w:rsidP="00616FE1">
      <w:pPr>
        <w:pStyle w:val="Prrafodelista"/>
        <w:numPr>
          <w:ilvl w:val="0"/>
          <w:numId w:val="42"/>
        </w:numPr>
        <w:spacing w:after="0"/>
        <w:rPr>
          <w:rFonts w:ascii="Arial" w:hAnsi="Arial" w:cs="Arial"/>
        </w:rPr>
      </w:pPr>
      <w:r>
        <w:rPr>
          <w:rFonts w:ascii="Arial" w:hAnsi="Arial" w:cs="Arial"/>
        </w:rPr>
        <w:t>I</w:t>
      </w:r>
      <w:r w:rsidRPr="00A1408D">
        <w:rPr>
          <w:rFonts w:ascii="Arial" w:hAnsi="Arial" w:cs="Arial"/>
        </w:rPr>
        <w:t xml:space="preserve">mportaciones crecen </w:t>
      </w:r>
      <w:r w:rsidR="0097443E">
        <w:rPr>
          <w:rFonts w:ascii="Arial" w:hAnsi="Arial" w:cs="Arial"/>
        </w:rPr>
        <w:t>7</w:t>
      </w:r>
      <w:r w:rsidRPr="00A1408D">
        <w:rPr>
          <w:rFonts w:ascii="Arial" w:hAnsi="Arial" w:cs="Arial"/>
        </w:rPr>
        <w:t>,5%.</w:t>
      </w:r>
    </w:p>
    <w:p w14:paraId="6BA6226E" w14:textId="77777777" w:rsidR="00587732" w:rsidRPr="00C76457" w:rsidRDefault="00587732" w:rsidP="00616FE1">
      <w:pPr>
        <w:spacing w:after="0"/>
        <w:rPr>
          <w:rFonts w:ascii="Arial" w:hAnsi="Arial" w:cs="Arial"/>
        </w:rPr>
      </w:pPr>
    </w:p>
    <w:p w14:paraId="0779F471" w14:textId="63A916DF" w:rsidR="00AD24F7" w:rsidRDefault="00AD24F7" w:rsidP="00915023">
      <w:pPr>
        <w:spacing w:after="0"/>
        <w:jc w:val="both"/>
        <w:rPr>
          <w:rFonts w:ascii="Arial" w:hAnsi="Arial" w:cs="Arial"/>
        </w:rPr>
      </w:pPr>
      <w:r w:rsidRPr="00AD24F7">
        <w:rPr>
          <w:rFonts w:ascii="Arial" w:hAnsi="Arial" w:cs="Arial"/>
        </w:rPr>
        <w:lastRenderedPageBreak/>
        <w:t xml:space="preserve">Respeto al trimestre inmediatamente anterior, el Producto Interno Bruto crece en </w:t>
      </w:r>
      <w:r w:rsidR="0097443E">
        <w:rPr>
          <w:rFonts w:ascii="Arial" w:hAnsi="Arial" w:cs="Arial"/>
        </w:rPr>
        <w:t>1</w:t>
      </w:r>
      <w:r w:rsidR="00D25C32">
        <w:rPr>
          <w:rFonts w:ascii="Arial" w:hAnsi="Arial" w:cs="Arial"/>
        </w:rPr>
        <w:t>,</w:t>
      </w:r>
      <w:r w:rsidR="0097443E">
        <w:rPr>
          <w:rFonts w:ascii="Arial" w:hAnsi="Arial" w:cs="Arial"/>
        </w:rPr>
        <w:t>3</w:t>
      </w:r>
      <w:r w:rsidRPr="00AD24F7">
        <w:rPr>
          <w:rFonts w:ascii="Arial" w:hAnsi="Arial" w:cs="Arial"/>
        </w:rPr>
        <w:t>%, en su serie ajustada por efecto estacional y calendario. Cuando se observa el</w:t>
      </w:r>
      <w:r w:rsidR="00C7428D">
        <w:rPr>
          <w:rFonts w:ascii="Arial" w:hAnsi="Arial" w:cs="Arial"/>
        </w:rPr>
        <w:t xml:space="preserve"> </w:t>
      </w:r>
      <w:r w:rsidRPr="00AD24F7">
        <w:rPr>
          <w:rFonts w:ascii="Arial" w:hAnsi="Arial" w:cs="Arial"/>
        </w:rPr>
        <w:t xml:space="preserve">comportamiento de sus componentes: </w:t>
      </w:r>
    </w:p>
    <w:p w14:paraId="13EAD0B4" w14:textId="77777777" w:rsidR="00AD24F7" w:rsidRDefault="00AD24F7" w:rsidP="00616FE1">
      <w:pPr>
        <w:spacing w:after="0"/>
        <w:rPr>
          <w:rFonts w:ascii="Arial" w:hAnsi="Arial" w:cs="Arial"/>
        </w:rPr>
      </w:pPr>
    </w:p>
    <w:p w14:paraId="1CCD503B" w14:textId="5D7558EB" w:rsidR="00AD24F7" w:rsidRPr="00616FE1" w:rsidRDefault="00AD24F7" w:rsidP="00616FE1">
      <w:pPr>
        <w:pStyle w:val="Prrafodelista"/>
        <w:numPr>
          <w:ilvl w:val="0"/>
          <w:numId w:val="43"/>
        </w:numPr>
        <w:spacing w:after="0"/>
        <w:rPr>
          <w:rFonts w:ascii="Arial" w:hAnsi="Arial" w:cs="Arial"/>
        </w:rPr>
      </w:pPr>
      <w:r w:rsidRPr="00616FE1">
        <w:rPr>
          <w:rFonts w:ascii="Arial" w:hAnsi="Arial" w:cs="Arial"/>
        </w:rPr>
        <w:t xml:space="preserve">Gasto en consumo final crece </w:t>
      </w:r>
      <w:r w:rsidR="0097443E">
        <w:rPr>
          <w:rFonts w:ascii="Arial" w:hAnsi="Arial" w:cs="Arial"/>
        </w:rPr>
        <w:t>1</w:t>
      </w:r>
      <w:r w:rsidRPr="00616FE1">
        <w:rPr>
          <w:rFonts w:ascii="Arial" w:hAnsi="Arial" w:cs="Arial"/>
        </w:rPr>
        <w:t>,</w:t>
      </w:r>
      <w:r w:rsidR="0097443E">
        <w:rPr>
          <w:rFonts w:ascii="Arial" w:hAnsi="Arial" w:cs="Arial"/>
        </w:rPr>
        <w:t>2</w:t>
      </w:r>
      <w:r w:rsidRPr="00616FE1">
        <w:rPr>
          <w:rFonts w:ascii="Arial" w:hAnsi="Arial" w:cs="Arial"/>
        </w:rPr>
        <w:t xml:space="preserve">%. </w:t>
      </w:r>
    </w:p>
    <w:p w14:paraId="5F6DA824" w14:textId="4C3BEAFC" w:rsidR="00AD24F7" w:rsidRPr="00616FE1" w:rsidRDefault="00AD24F7" w:rsidP="00616FE1">
      <w:pPr>
        <w:pStyle w:val="Prrafodelista"/>
        <w:numPr>
          <w:ilvl w:val="0"/>
          <w:numId w:val="43"/>
        </w:numPr>
        <w:spacing w:after="0"/>
        <w:rPr>
          <w:rFonts w:ascii="Arial" w:hAnsi="Arial" w:cs="Arial"/>
        </w:rPr>
      </w:pPr>
      <w:r w:rsidRPr="00616FE1">
        <w:rPr>
          <w:rFonts w:ascii="Arial" w:hAnsi="Arial" w:cs="Arial"/>
        </w:rPr>
        <w:t xml:space="preserve">Formación bruta de capital crece </w:t>
      </w:r>
      <w:r w:rsidR="0097443E">
        <w:rPr>
          <w:rFonts w:ascii="Arial" w:hAnsi="Arial" w:cs="Arial"/>
        </w:rPr>
        <w:t>8</w:t>
      </w:r>
      <w:r w:rsidRPr="00616FE1">
        <w:rPr>
          <w:rFonts w:ascii="Arial" w:hAnsi="Arial" w:cs="Arial"/>
        </w:rPr>
        <w:t>,</w:t>
      </w:r>
      <w:r w:rsidR="0097443E">
        <w:rPr>
          <w:rFonts w:ascii="Arial" w:hAnsi="Arial" w:cs="Arial"/>
        </w:rPr>
        <w:t>7</w:t>
      </w:r>
      <w:r w:rsidRPr="00616FE1">
        <w:rPr>
          <w:rFonts w:ascii="Arial" w:hAnsi="Arial" w:cs="Arial"/>
        </w:rPr>
        <w:t xml:space="preserve">%. </w:t>
      </w:r>
    </w:p>
    <w:p w14:paraId="665F3D10" w14:textId="2AAB00E2" w:rsidR="00AD24F7" w:rsidRDefault="00AD24F7" w:rsidP="00616FE1">
      <w:pPr>
        <w:pStyle w:val="Prrafodelista"/>
        <w:numPr>
          <w:ilvl w:val="0"/>
          <w:numId w:val="43"/>
        </w:numPr>
        <w:spacing w:after="0"/>
        <w:rPr>
          <w:rFonts w:ascii="Arial" w:hAnsi="Arial" w:cs="Arial"/>
        </w:rPr>
      </w:pPr>
      <w:r w:rsidRPr="00616FE1">
        <w:rPr>
          <w:rFonts w:ascii="Arial" w:hAnsi="Arial" w:cs="Arial"/>
        </w:rPr>
        <w:t xml:space="preserve">Exportaciones decrecen </w:t>
      </w:r>
      <w:r w:rsidR="00EA249C">
        <w:rPr>
          <w:rFonts w:ascii="Arial" w:hAnsi="Arial" w:cs="Arial"/>
        </w:rPr>
        <w:t>0</w:t>
      </w:r>
      <w:r w:rsidRPr="00616FE1">
        <w:rPr>
          <w:rFonts w:ascii="Arial" w:hAnsi="Arial" w:cs="Arial"/>
        </w:rPr>
        <w:t>,</w:t>
      </w:r>
      <w:r w:rsidR="00EA249C">
        <w:rPr>
          <w:rFonts w:ascii="Arial" w:hAnsi="Arial" w:cs="Arial"/>
        </w:rPr>
        <w:t>9</w:t>
      </w:r>
      <w:r w:rsidRPr="00616FE1">
        <w:rPr>
          <w:rFonts w:ascii="Arial" w:hAnsi="Arial" w:cs="Arial"/>
        </w:rPr>
        <w:t xml:space="preserve">%. </w:t>
      </w:r>
    </w:p>
    <w:p w14:paraId="2C9F098E" w14:textId="2682CDA9" w:rsidR="00AD24F7" w:rsidRPr="00616FE1" w:rsidRDefault="00AD24F7" w:rsidP="00616FE1">
      <w:pPr>
        <w:pStyle w:val="Prrafodelista"/>
        <w:numPr>
          <w:ilvl w:val="0"/>
          <w:numId w:val="43"/>
        </w:numPr>
        <w:spacing w:after="0"/>
        <w:rPr>
          <w:rFonts w:ascii="Arial" w:hAnsi="Arial" w:cs="Arial"/>
        </w:rPr>
      </w:pPr>
      <w:r w:rsidRPr="00AD24F7">
        <w:rPr>
          <w:rFonts w:ascii="Arial" w:hAnsi="Arial" w:cs="Arial"/>
        </w:rPr>
        <w:t xml:space="preserve">Importaciones crecen </w:t>
      </w:r>
      <w:r w:rsidR="00EA249C">
        <w:rPr>
          <w:rFonts w:ascii="Arial" w:hAnsi="Arial" w:cs="Arial"/>
        </w:rPr>
        <w:t>5</w:t>
      </w:r>
      <w:r w:rsidRPr="00AD24F7">
        <w:rPr>
          <w:rFonts w:ascii="Arial" w:hAnsi="Arial" w:cs="Arial"/>
        </w:rPr>
        <w:t>,</w:t>
      </w:r>
      <w:r w:rsidR="00EA249C">
        <w:rPr>
          <w:rFonts w:ascii="Arial" w:hAnsi="Arial" w:cs="Arial"/>
        </w:rPr>
        <w:t>1</w:t>
      </w:r>
      <w:r w:rsidRPr="00AD24F7">
        <w:rPr>
          <w:rFonts w:ascii="Arial" w:hAnsi="Arial" w:cs="Arial"/>
        </w:rPr>
        <w:t>%.</w:t>
      </w:r>
    </w:p>
    <w:p w14:paraId="52B7DF76" w14:textId="77777777" w:rsidR="00AD24F7" w:rsidRDefault="00AD24F7" w:rsidP="00616FE1">
      <w:pPr>
        <w:spacing w:after="0"/>
        <w:rPr>
          <w:rFonts w:ascii="Arial" w:hAnsi="Arial" w:cs="Arial"/>
        </w:rPr>
      </w:pPr>
    </w:p>
    <w:p w14:paraId="6EAB1A74" w14:textId="0318900F" w:rsidR="004B081F" w:rsidRPr="00C76457" w:rsidRDefault="00EA249C" w:rsidP="00915023">
      <w:pPr>
        <w:pStyle w:val="Prrafodelista"/>
        <w:spacing w:after="0"/>
        <w:jc w:val="center"/>
        <w:rPr>
          <w:rFonts w:ascii="Arial" w:hAnsi="Arial" w:cs="Arial"/>
        </w:rPr>
      </w:pPr>
      <w:r w:rsidRPr="00EA249C">
        <w:rPr>
          <w:noProof/>
        </w:rPr>
        <w:t xml:space="preserve"> </w:t>
      </w:r>
      <w:r w:rsidRPr="00EA249C">
        <w:rPr>
          <w:noProof/>
        </w:rPr>
        <w:drawing>
          <wp:inline distT="0" distB="0" distL="0" distR="0" wp14:anchorId="7542908D" wp14:editId="20D7E198">
            <wp:extent cx="3787989" cy="2341045"/>
            <wp:effectExtent l="0" t="0" r="3175" b="2540"/>
            <wp:docPr id="1972888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88515" name=""/>
                    <pic:cNvPicPr/>
                  </pic:nvPicPr>
                  <pic:blipFill>
                    <a:blip r:embed="rId17"/>
                    <a:stretch>
                      <a:fillRect/>
                    </a:stretch>
                  </pic:blipFill>
                  <pic:spPr>
                    <a:xfrm>
                      <a:off x="0" y="0"/>
                      <a:ext cx="3800162" cy="2348568"/>
                    </a:xfrm>
                    <a:prstGeom prst="rect">
                      <a:avLst/>
                    </a:prstGeom>
                  </pic:spPr>
                </pic:pic>
              </a:graphicData>
            </a:graphic>
          </wp:inline>
        </w:drawing>
      </w:r>
    </w:p>
    <w:p w14:paraId="19525B5B" w14:textId="6F9271D9" w:rsidR="00DF533D" w:rsidRPr="00C76457" w:rsidRDefault="00EA249C" w:rsidP="00616FE1">
      <w:pPr>
        <w:spacing w:after="0"/>
        <w:rPr>
          <w:rFonts w:ascii="Arial" w:hAnsi="Arial" w:cs="Arial"/>
          <w:sz w:val="16"/>
          <w:szCs w:val="16"/>
        </w:rPr>
      </w:pPr>
      <w:r w:rsidRPr="003C27E0">
        <w:rPr>
          <w:rFonts w:ascii="Arial" w:hAnsi="Arial" w:cs="Arial"/>
          <w:b/>
          <w:bCs/>
          <w:sz w:val="16"/>
          <w:szCs w:val="16"/>
        </w:rPr>
        <w:t>Fuente:</w:t>
      </w:r>
      <w:r w:rsidRPr="00C76457">
        <w:rPr>
          <w:rFonts w:ascii="Arial" w:hAnsi="Arial" w:cs="Arial"/>
          <w:sz w:val="16"/>
        </w:rPr>
        <w:t xml:space="preserve"> DANE.</w:t>
      </w:r>
      <w:r w:rsidRPr="00C76457">
        <w:rPr>
          <w:rFonts w:ascii="Arial" w:hAnsi="Arial" w:cs="Arial"/>
          <w:sz w:val="16"/>
          <w:szCs w:val="16"/>
        </w:rPr>
        <w:t xml:space="preserve"> Boletín técnico - Producto Interno Bruto (PIB) I</w:t>
      </w:r>
      <w:r>
        <w:rPr>
          <w:rFonts w:ascii="Arial" w:hAnsi="Arial" w:cs="Arial"/>
          <w:sz w:val="16"/>
          <w:szCs w:val="16"/>
        </w:rPr>
        <w:t>I</w:t>
      </w:r>
      <w:r w:rsidRPr="00C76457">
        <w:rPr>
          <w:rFonts w:ascii="Arial" w:hAnsi="Arial" w:cs="Arial"/>
          <w:sz w:val="16"/>
          <w:szCs w:val="16"/>
        </w:rPr>
        <w:t xml:space="preserve"> trimestre 202</w:t>
      </w:r>
      <w:r>
        <w:rPr>
          <w:rFonts w:ascii="Arial" w:hAnsi="Arial" w:cs="Arial"/>
          <w:sz w:val="16"/>
          <w:szCs w:val="16"/>
        </w:rPr>
        <w:t>6</w:t>
      </w:r>
      <w:r w:rsidRPr="00C76457">
        <w:rPr>
          <w:rFonts w:ascii="Arial" w:hAnsi="Arial" w:cs="Arial"/>
          <w:sz w:val="16"/>
          <w:szCs w:val="16"/>
        </w:rPr>
        <w:t xml:space="preserve"> preliminar. Fecha de publicación: </w:t>
      </w:r>
      <w:r>
        <w:rPr>
          <w:rFonts w:ascii="Arial" w:hAnsi="Arial" w:cs="Arial"/>
          <w:sz w:val="16"/>
          <w:szCs w:val="16"/>
        </w:rPr>
        <w:t xml:space="preserve">18 de agosto </w:t>
      </w:r>
      <w:r w:rsidRPr="00C76457">
        <w:rPr>
          <w:rFonts w:ascii="Arial" w:hAnsi="Arial" w:cs="Arial"/>
          <w:sz w:val="16"/>
          <w:szCs w:val="16"/>
        </w:rPr>
        <w:t xml:space="preserve">de 2026; </w:t>
      </w:r>
      <w:r>
        <w:rPr>
          <w:rFonts w:ascii="Arial" w:hAnsi="Arial" w:cs="Arial"/>
          <w:sz w:val="16"/>
          <w:szCs w:val="16"/>
        </w:rPr>
        <w:t xml:space="preserve">Fecha consulta: 18 de agosto </w:t>
      </w:r>
      <w:r w:rsidRPr="00C76457">
        <w:rPr>
          <w:rFonts w:ascii="Arial" w:hAnsi="Arial" w:cs="Arial"/>
          <w:sz w:val="16"/>
          <w:szCs w:val="16"/>
        </w:rPr>
        <w:t>de 2026.</w:t>
      </w:r>
      <w:r>
        <w:rPr>
          <w:rFonts w:ascii="Arial" w:hAnsi="Arial" w:cs="Arial"/>
          <w:sz w:val="16"/>
          <w:szCs w:val="16"/>
        </w:rPr>
        <w:t xml:space="preserve"> </w:t>
      </w:r>
      <w:hyperlink r:id="rId18" w:history="1">
        <w:r w:rsidRPr="007C3052">
          <w:rPr>
            <w:rStyle w:val="Hipervnculo"/>
            <w:rFonts w:ascii="Arial" w:hAnsi="Arial" w:cs="Arial"/>
            <w:sz w:val="16"/>
            <w:szCs w:val="16"/>
          </w:rPr>
          <w:t>https://www.dane.gov.co/files/operaciones/PIB/bol-PIB-IItrim2026.pdf</w:t>
        </w:r>
      </w:hyperlink>
      <w:r>
        <w:rPr>
          <w:rFonts w:ascii="Arial" w:hAnsi="Arial" w:cs="Arial"/>
          <w:sz w:val="16"/>
          <w:szCs w:val="16"/>
        </w:rPr>
        <w:t xml:space="preserve"> </w:t>
      </w:r>
    </w:p>
    <w:p w14:paraId="2BCC9690" w14:textId="77777777" w:rsidR="00C3796E" w:rsidRPr="00C76457" w:rsidRDefault="00C3796E" w:rsidP="00616FE1">
      <w:pPr>
        <w:spacing w:after="0"/>
        <w:rPr>
          <w:rFonts w:ascii="Arial" w:hAnsi="Arial" w:cs="Arial"/>
          <w:sz w:val="16"/>
          <w:szCs w:val="16"/>
        </w:rPr>
      </w:pPr>
    </w:p>
    <w:p w14:paraId="28FC73A9" w14:textId="6F374B41" w:rsidR="001C44E4" w:rsidRDefault="001C44E4" w:rsidP="00616FE1">
      <w:pPr>
        <w:spacing w:after="0"/>
        <w:jc w:val="both"/>
        <w:rPr>
          <w:rFonts w:ascii="Arial" w:hAnsi="Arial" w:cs="Arial"/>
          <w:bCs/>
        </w:rPr>
      </w:pPr>
      <w:r w:rsidRPr="00C76457">
        <w:rPr>
          <w:rFonts w:ascii="Arial" w:hAnsi="Arial" w:cs="Arial"/>
          <w:bCs/>
        </w:rPr>
        <w:t>En este contexto, el comportamiento del PIB tiene implicaciones directas sobre el nicho de desmantelamiento de infraestructura de hidrocarburos y estaciones de servicio</w:t>
      </w:r>
      <w:r w:rsidR="001A774B">
        <w:rPr>
          <w:rFonts w:ascii="Arial" w:hAnsi="Arial" w:cs="Arial"/>
          <w:bCs/>
        </w:rPr>
        <w:t xml:space="preserve"> y/o de infraestructura en general</w:t>
      </w:r>
      <w:r w:rsidRPr="00C76457">
        <w:rPr>
          <w:rFonts w:ascii="Arial" w:hAnsi="Arial" w:cs="Arial"/>
          <w:bCs/>
        </w:rPr>
        <w:t xml:space="preserve">. Este tipo de actividades no depende exclusivamente del crecimiento económico general, pero sí está estrechamente ligado a la dinámica del sector construcción y a los niveles de inversión en infraestructura. Cuando el PIB del sector construcción se contrae, como ha ocurrido en los últimos años, se reduce el número de proyectos en ejecución y, por ende, disminuye la demanda de servicios especializados. </w:t>
      </w:r>
    </w:p>
    <w:p w14:paraId="6CB545CE" w14:textId="77777777" w:rsidR="001C44E4" w:rsidRPr="00C76457" w:rsidRDefault="001C44E4" w:rsidP="00616FE1">
      <w:pPr>
        <w:spacing w:after="0"/>
        <w:jc w:val="both"/>
        <w:rPr>
          <w:rFonts w:ascii="Arial" w:hAnsi="Arial" w:cs="Arial"/>
          <w:bCs/>
        </w:rPr>
      </w:pPr>
    </w:p>
    <w:p w14:paraId="77EDE505" w14:textId="305574BA" w:rsidR="001C44E4" w:rsidRPr="00C76457" w:rsidRDefault="001C44E4" w:rsidP="00616FE1">
      <w:pPr>
        <w:spacing w:after="0"/>
        <w:jc w:val="both"/>
        <w:rPr>
          <w:rFonts w:ascii="Arial" w:hAnsi="Arial" w:cs="Arial"/>
          <w:bCs/>
        </w:rPr>
      </w:pPr>
      <w:r w:rsidRPr="00C76457">
        <w:rPr>
          <w:rFonts w:ascii="Arial" w:hAnsi="Arial" w:cs="Arial"/>
          <w:bCs/>
        </w:rPr>
        <w:t>Sin embargo, el crecimiento de las obras civiles observado en 202</w:t>
      </w:r>
      <w:r w:rsidR="00B76E1F">
        <w:rPr>
          <w:rFonts w:ascii="Arial" w:hAnsi="Arial" w:cs="Arial"/>
          <w:bCs/>
        </w:rPr>
        <w:t>6</w:t>
      </w:r>
      <w:r w:rsidRPr="00C76457">
        <w:rPr>
          <w:rFonts w:ascii="Arial" w:hAnsi="Arial" w:cs="Arial"/>
          <w:bCs/>
        </w:rPr>
        <w:t xml:space="preserve"> introduce un elemento diferencial. Este subsector está asociado principalmente a proyectos de infraestructura pública y renovación urbana, donde pueden surgir oportunidades para actividades como desmantelamiento, adecuación de terrenos y reconfiguración de espacios. Por tanto, el nicho presenta una relación directa con la inversión en obras civiles y proyectos de infraestructura, más que con el segmento de edificaciones, que ha sido el más afectado por la desaceleración. </w:t>
      </w:r>
    </w:p>
    <w:p w14:paraId="7C77EDB8" w14:textId="77777777" w:rsidR="001C44E4" w:rsidRPr="00C76457" w:rsidRDefault="001C44E4" w:rsidP="00616FE1">
      <w:pPr>
        <w:spacing w:after="0"/>
        <w:jc w:val="both"/>
        <w:rPr>
          <w:rFonts w:ascii="Arial" w:hAnsi="Arial" w:cs="Arial"/>
          <w:bCs/>
        </w:rPr>
      </w:pPr>
    </w:p>
    <w:p w14:paraId="1FE7A441" w14:textId="77777777" w:rsidR="001C44E4" w:rsidRPr="00C76457" w:rsidRDefault="001C44E4" w:rsidP="00616FE1">
      <w:pPr>
        <w:spacing w:after="0"/>
        <w:jc w:val="both"/>
        <w:rPr>
          <w:rFonts w:ascii="Arial" w:hAnsi="Arial" w:cs="Arial"/>
          <w:bCs/>
        </w:rPr>
      </w:pPr>
      <w:r w:rsidRPr="00C76457">
        <w:rPr>
          <w:rFonts w:ascii="Arial" w:hAnsi="Arial" w:cs="Arial"/>
          <w:bCs/>
        </w:rPr>
        <w:lastRenderedPageBreak/>
        <w:t>En términos de estudio de mercado, el comportamiento del PIB permite inferir que el nicho se encuentra en un entorno de crecimiento económico moderado con debilidad sectorial específica, caracterizado por una menor ejecución de proyectos en edificaciones y una recuperación parcial en infraestructura. Esta situación genera un mercado con oportunidades focalizadas, más dependientes de decisiones de inversión pública o proyectos específicos que de una expansión generalizada del sector.</w:t>
      </w:r>
    </w:p>
    <w:p w14:paraId="53A2D53B" w14:textId="77777777" w:rsidR="00777DD6" w:rsidRPr="00C76457" w:rsidRDefault="00777DD6" w:rsidP="00616FE1">
      <w:pPr>
        <w:spacing w:after="0"/>
        <w:rPr>
          <w:rFonts w:ascii="Arial" w:hAnsi="Arial" w:cs="Arial"/>
          <w:b/>
          <w:bCs/>
          <w:u w:val="single"/>
        </w:rPr>
      </w:pPr>
    </w:p>
    <w:p w14:paraId="65300B1F" w14:textId="325B1637" w:rsidR="00DB62F6" w:rsidRPr="00C76457" w:rsidRDefault="00877A27" w:rsidP="00616FE1">
      <w:pPr>
        <w:spacing w:after="0"/>
        <w:rPr>
          <w:rFonts w:ascii="Arial" w:hAnsi="Arial" w:cs="Arial"/>
          <w:b/>
          <w:bCs/>
          <w:u w:val="single"/>
        </w:rPr>
      </w:pPr>
      <w:r>
        <w:rPr>
          <w:rFonts w:ascii="Arial" w:hAnsi="Arial" w:cs="Arial"/>
          <w:b/>
          <w:bCs/>
          <w:u w:val="single"/>
        </w:rPr>
        <w:t>E</w:t>
      </w:r>
      <w:r w:rsidR="00DB62F6" w:rsidRPr="00C76457">
        <w:rPr>
          <w:rFonts w:ascii="Arial" w:hAnsi="Arial" w:cs="Arial"/>
          <w:b/>
          <w:bCs/>
          <w:u w:val="single"/>
        </w:rPr>
        <w:t>mpleo</w:t>
      </w:r>
    </w:p>
    <w:p w14:paraId="2061C336" w14:textId="77777777" w:rsidR="00A930AE" w:rsidRPr="00C76457" w:rsidRDefault="00A930AE" w:rsidP="00616FE1">
      <w:pPr>
        <w:spacing w:after="0"/>
        <w:rPr>
          <w:rFonts w:ascii="Arial" w:hAnsi="Arial" w:cs="Arial"/>
          <w:b/>
          <w:bCs/>
          <w:sz w:val="16"/>
          <w:szCs w:val="16"/>
          <w:u w:val="single"/>
        </w:rPr>
      </w:pPr>
    </w:p>
    <w:p w14:paraId="0E5161B7" w14:textId="672EC8FF" w:rsidR="0032073D" w:rsidRPr="0032073D" w:rsidRDefault="0032073D" w:rsidP="0032073D">
      <w:pPr>
        <w:spacing w:after="0"/>
        <w:jc w:val="both"/>
        <w:rPr>
          <w:rFonts w:ascii="Arial" w:hAnsi="Arial" w:cs="Arial"/>
        </w:rPr>
      </w:pPr>
      <w:r w:rsidRPr="0032073D">
        <w:rPr>
          <w:rFonts w:ascii="Arial" w:hAnsi="Arial" w:cs="Arial"/>
        </w:rPr>
        <w:t>El sector de la construcción continúa siendo uno de los principales generadores de empleo en Colombia, con una participación significativa dentro del mercado laboral nacional. De acuerdo con las estadísticas de empleo del DANE, la construcción mantiene una contribución cercana al 6 % del total de ocupados del país y conserva un papel estratégico en la generación de oportunidades laborales, particularmente para mano de obra operativa, técnica y profesional asociada a proyectos de infraestructura y edificación. Durante 2025, el sector mostró importantes signos de recuperación y se consolidó como una de las actividades económicas con mayor capacidad de absorción de empleo, destacándose el incremento anual de 219.000 personas ocupadas registrado en febrero de ese año.</w:t>
      </w:r>
      <w:r w:rsidR="001A21D0">
        <w:rPr>
          <w:rStyle w:val="Refdenotaalpie"/>
          <w:rFonts w:ascii="Arial" w:hAnsi="Arial" w:cs="Arial"/>
        </w:rPr>
        <w:footnoteReference w:id="9"/>
      </w:r>
    </w:p>
    <w:p w14:paraId="21C37E80" w14:textId="399A5CB5" w:rsidR="00A930AE" w:rsidRPr="00C76457" w:rsidRDefault="00A930AE" w:rsidP="00616FE1">
      <w:pPr>
        <w:spacing w:after="0"/>
        <w:jc w:val="both"/>
        <w:rPr>
          <w:rFonts w:ascii="Arial" w:hAnsi="Arial" w:cs="Arial"/>
        </w:rPr>
      </w:pPr>
    </w:p>
    <w:p w14:paraId="4041E5D0" w14:textId="122F3BE9" w:rsidR="0032073D" w:rsidRPr="0032073D" w:rsidRDefault="0032073D" w:rsidP="0032073D">
      <w:pPr>
        <w:autoSpaceDE w:val="0"/>
        <w:autoSpaceDN w:val="0"/>
        <w:adjustRightInd w:val="0"/>
        <w:spacing w:after="0"/>
        <w:jc w:val="both"/>
        <w:rPr>
          <w:rFonts w:ascii="Arial" w:hAnsi="Arial" w:cs="Arial"/>
          <w:lang w:eastAsia="es-CO"/>
        </w:rPr>
      </w:pPr>
      <w:r w:rsidRPr="0032073D">
        <w:rPr>
          <w:rFonts w:ascii="Arial" w:hAnsi="Arial" w:cs="Arial"/>
          <w:lang w:eastAsia="es-CO"/>
        </w:rPr>
        <w:t>Durante 2025 y 2026, el comportamiento del empleo sectorial ha estado estrechamente ligado a la ejecución de proyectos de infraestructura, transporte y obras civiles. En Bogotá, según el Observatorio de Desarrollo Económico, el empleo en construcción alcanzó aproximadamente 254.600 personas durante el primer trimestre de 2025, representando un crecimiento de 18,7 % frente al mismo periodo de 2024 y una participación cercana al 6,0 % del empleo total de la ciudad. Este comportamiento evidenció la importancia de las inversiones públicas y privadas en la dinamización del mercado laboral de la capital.</w:t>
      </w:r>
      <w:r w:rsidR="00116A5B">
        <w:rPr>
          <w:rFonts w:ascii="Arial" w:hAnsi="Arial" w:cs="Arial"/>
          <w:lang w:eastAsia="es-CO"/>
        </w:rPr>
        <w:t xml:space="preserve"> </w:t>
      </w:r>
      <w:r w:rsidR="00116A5B">
        <w:rPr>
          <w:rStyle w:val="Refdenotaalpie"/>
          <w:rFonts w:ascii="Arial" w:hAnsi="Arial" w:cs="Arial"/>
          <w:lang w:eastAsia="es-CO"/>
        </w:rPr>
        <w:footnoteReference w:id="10"/>
      </w:r>
    </w:p>
    <w:p w14:paraId="5E4099A6" w14:textId="77777777" w:rsidR="00B1634D" w:rsidRPr="00C76457" w:rsidRDefault="00B1634D" w:rsidP="00616FE1">
      <w:pPr>
        <w:autoSpaceDE w:val="0"/>
        <w:autoSpaceDN w:val="0"/>
        <w:adjustRightInd w:val="0"/>
        <w:spacing w:after="0"/>
        <w:jc w:val="both"/>
        <w:rPr>
          <w:rFonts w:ascii="Arial" w:hAnsi="Arial" w:cs="Arial"/>
          <w:lang w:eastAsia="es-CO"/>
        </w:rPr>
      </w:pPr>
    </w:p>
    <w:p w14:paraId="76986D0C" w14:textId="5B2EF433" w:rsidR="00AD6930" w:rsidRDefault="00AD6930" w:rsidP="00616FE1">
      <w:pPr>
        <w:autoSpaceDE w:val="0"/>
        <w:autoSpaceDN w:val="0"/>
        <w:adjustRightInd w:val="0"/>
        <w:spacing w:after="0"/>
        <w:jc w:val="both"/>
        <w:rPr>
          <w:rFonts w:ascii="Arial" w:hAnsi="Arial" w:cs="Arial"/>
          <w:lang w:eastAsia="es-CO"/>
        </w:rPr>
      </w:pPr>
      <w:r w:rsidRPr="00AD6930">
        <w:rPr>
          <w:rFonts w:ascii="Arial" w:hAnsi="Arial" w:cs="Arial"/>
          <w:lang w:eastAsia="es-CO"/>
        </w:rPr>
        <w:t xml:space="preserve">La información más reciente disponible indica que el sector continúa desempeñando un papel relevante en la generación de empleo nacional. De acuerdo con los resultados de la Gran Encuesta Integrada de Hogares (GEIH) para agosto de 2026, publicados por el DANE el 30 de septiembre de 2026, la construcción se ubicó entre las actividades económicas que registraron incrementos en el número de personas ocupadas, incluso en un contexto en el que el mercado laboral nacional presentó una reducción de aproximadamente 126.000 ocupados frente al mismo periodo del año anterior y la tasa de desempleo aumentó hasta </w:t>
      </w:r>
      <w:r w:rsidRPr="00AD6930">
        <w:rPr>
          <w:rFonts w:ascii="Arial" w:hAnsi="Arial" w:cs="Arial"/>
          <w:lang w:eastAsia="es-CO"/>
        </w:rPr>
        <w:lastRenderedPageBreak/>
        <w:t>9,4 %. Este comportamiento confirma la capacidad del sector para sostener y generar empleo aun en escenarios de desaceleración económica.</w:t>
      </w:r>
      <w:r w:rsidR="00C3401A">
        <w:rPr>
          <w:rStyle w:val="Refdenotaalpie"/>
          <w:rFonts w:ascii="Arial" w:hAnsi="Arial" w:cs="Arial"/>
          <w:lang w:eastAsia="es-CO"/>
        </w:rPr>
        <w:footnoteReference w:id="11"/>
      </w:r>
    </w:p>
    <w:p w14:paraId="2540037B" w14:textId="77777777" w:rsidR="00B32744" w:rsidRDefault="00B32744" w:rsidP="00616FE1">
      <w:pPr>
        <w:autoSpaceDE w:val="0"/>
        <w:autoSpaceDN w:val="0"/>
        <w:adjustRightInd w:val="0"/>
        <w:spacing w:after="0"/>
        <w:jc w:val="both"/>
        <w:rPr>
          <w:rFonts w:ascii="Arial" w:hAnsi="Arial" w:cs="Arial"/>
          <w:lang w:eastAsia="es-CO"/>
        </w:rPr>
      </w:pPr>
    </w:p>
    <w:p w14:paraId="6553F3FC" w14:textId="335B2F54" w:rsidR="00E21E7F" w:rsidRPr="00E21E7F" w:rsidRDefault="00E21E7F" w:rsidP="00E21E7F">
      <w:pPr>
        <w:autoSpaceDE w:val="0"/>
        <w:autoSpaceDN w:val="0"/>
        <w:adjustRightInd w:val="0"/>
        <w:spacing w:after="0"/>
        <w:jc w:val="both"/>
        <w:rPr>
          <w:rFonts w:ascii="Arial" w:hAnsi="Arial" w:cs="Arial"/>
          <w:lang w:eastAsia="es-CO"/>
        </w:rPr>
      </w:pPr>
      <w:r w:rsidRPr="00E21E7F">
        <w:rPr>
          <w:rFonts w:ascii="Arial" w:hAnsi="Arial" w:cs="Arial"/>
          <w:lang w:eastAsia="es-CO"/>
        </w:rPr>
        <w:t>En términos generales, la generación de empleo en la construcción continúa dependiendo del ciclo económico, del ritmo de ejecución de las obras civiles y de la evolución del mercado de vivienda. No obstante, la evidencia reciente demuestra que las inversiones en infraestructura mantienen una capacidad significativa para dinamizar el empleo y contribuir a la reactivación económica, razón por la cual el sector sigue siendo considerado un actor estratégico dentro de las políticas públicas de crecimiento y desarrollo del país.</w:t>
      </w:r>
      <w:r w:rsidR="007E2AF7">
        <w:rPr>
          <w:rStyle w:val="Refdenotaalpie"/>
          <w:rFonts w:ascii="Arial" w:hAnsi="Arial" w:cs="Arial"/>
          <w:lang w:eastAsia="es-CO"/>
        </w:rPr>
        <w:footnoteReference w:id="12"/>
      </w:r>
    </w:p>
    <w:p w14:paraId="5E566773" w14:textId="77777777" w:rsidR="009028D1" w:rsidRPr="00C76457" w:rsidRDefault="009028D1" w:rsidP="00616FE1">
      <w:pPr>
        <w:autoSpaceDE w:val="0"/>
        <w:autoSpaceDN w:val="0"/>
        <w:adjustRightInd w:val="0"/>
        <w:spacing w:after="0"/>
        <w:jc w:val="both"/>
        <w:rPr>
          <w:rFonts w:ascii="Arial" w:hAnsi="Arial" w:cs="Arial"/>
          <w:lang w:eastAsia="es-CO"/>
        </w:rPr>
      </w:pPr>
    </w:p>
    <w:p w14:paraId="20E40124" w14:textId="4EDE4A28" w:rsidR="009028D1" w:rsidRPr="00C76457" w:rsidRDefault="00992CAE" w:rsidP="00616FE1">
      <w:pPr>
        <w:autoSpaceDE w:val="0"/>
        <w:autoSpaceDN w:val="0"/>
        <w:adjustRightInd w:val="0"/>
        <w:spacing w:after="0"/>
        <w:jc w:val="both"/>
        <w:rPr>
          <w:rFonts w:ascii="Arial" w:hAnsi="Arial" w:cs="Arial"/>
          <w:b/>
          <w:bCs/>
          <w:u w:val="single"/>
          <w:lang w:eastAsia="es-CO"/>
        </w:rPr>
      </w:pPr>
      <w:r w:rsidRPr="00C76457">
        <w:rPr>
          <w:rFonts w:ascii="Arial" w:hAnsi="Arial" w:cs="Arial"/>
          <w:b/>
          <w:bCs/>
          <w:u w:val="single"/>
          <w:lang w:eastAsia="es-CO"/>
        </w:rPr>
        <w:t xml:space="preserve">Mercado Laboral del </w:t>
      </w:r>
      <w:r w:rsidR="00C42DF1" w:rsidRPr="00C76457">
        <w:rPr>
          <w:rFonts w:ascii="Arial" w:hAnsi="Arial" w:cs="Arial"/>
          <w:b/>
          <w:bCs/>
          <w:u w:val="single"/>
          <w:lang w:eastAsia="es-CO"/>
        </w:rPr>
        <w:t>s</w:t>
      </w:r>
      <w:r w:rsidRPr="00C76457">
        <w:rPr>
          <w:rFonts w:ascii="Arial" w:hAnsi="Arial" w:cs="Arial"/>
          <w:b/>
          <w:bCs/>
          <w:u w:val="single"/>
          <w:lang w:eastAsia="es-CO"/>
        </w:rPr>
        <w:t xml:space="preserve">ector </w:t>
      </w:r>
      <w:r w:rsidR="00C42DF1" w:rsidRPr="00C76457">
        <w:rPr>
          <w:rFonts w:ascii="Arial" w:hAnsi="Arial" w:cs="Arial"/>
          <w:b/>
          <w:bCs/>
          <w:u w:val="single"/>
          <w:lang w:eastAsia="es-CO"/>
        </w:rPr>
        <w:t xml:space="preserve">Construcción </w:t>
      </w:r>
    </w:p>
    <w:p w14:paraId="0C59BA9F" w14:textId="77777777" w:rsidR="00752749" w:rsidRPr="00C76457" w:rsidRDefault="00752749" w:rsidP="00616FE1">
      <w:pPr>
        <w:autoSpaceDE w:val="0"/>
        <w:autoSpaceDN w:val="0"/>
        <w:adjustRightInd w:val="0"/>
        <w:spacing w:after="0"/>
        <w:jc w:val="both"/>
        <w:rPr>
          <w:rFonts w:ascii="Arial" w:hAnsi="Arial" w:cs="Arial"/>
          <w:b/>
          <w:bCs/>
          <w:u w:val="single"/>
          <w:lang w:eastAsia="es-CO"/>
        </w:rPr>
      </w:pPr>
    </w:p>
    <w:p w14:paraId="7F04DF76" w14:textId="020B2A35" w:rsidR="00C42DF1" w:rsidRPr="00C76457" w:rsidRDefault="00752749" w:rsidP="00616FE1">
      <w:pPr>
        <w:autoSpaceDE w:val="0"/>
        <w:autoSpaceDN w:val="0"/>
        <w:adjustRightInd w:val="0"/>
        <w:spacing w:after="0"/>
        <w:jc w:val="both"/>
        <w:rPr>
          <w:rFonts w:ascii="Arial" w:hAnsi="Arial" w:cs="Arial"/>
          <w:lang w:eastAsia="es-CO"/>
        </w:rPr>
      </w:pPr>
      <w:r w:rsidRPr="00C76457">
        <w:rPr>
          <w:rFonts w:ascii="Arial" w:hAnsi="Arial" w:cs="Arial"/>
          <w:lang w:eastAsia="es-CO"/>
        </w:rPr>
        <w:t xml:space="preserve">En los periodos más recientes, el mercado laboral del sector construcción en Colombia ha mostrado un comportamiento heterogéneo y con señales de </w:t>
      </w:r>
      <w:r w:rsidR="00B541FC">
        <w:rPr>
          <w:rFonts w:ascii="Arial" w:hAnsi="Arial" w:cs="Arial"/>
          <w:lang w:eastAsia="es-CO"/>
        </w:rPr>
        <w:t>fortalecimiento</w:t>
      </w:r>
      <w:r w:rsidRPr="00C76457">
        <w:rPr>
          <w:rFonts w:ascii="Arial" w:hAnsi="Arial" w:cs="Arial"/>
          <w:lang w:eastAsia="es-CO"/>
        </w:rPr>
        <w:t xml:space="preserve">, en </w:t>
      </w:r>
      <w:r w:rsidR="00080FBC">
        <w:rPr>
          <w:rFonts w:ascii="Arial" w:hAnsi="Arial" w:cs="Arial"/>
          <w:lang w:eastAsia="es-CO"/>
        </w:rPr>
        <w:t>línea</w:t>
      </w:r>
      <w:r w:rsidR="00080FBC" w:rsidRPr="00C76457">
        <w:rPr>
          <w:rFonts w:ascii="Arial" w:hAnsi="Arial" w:cs="Arial"/>
          <w:lang w:eastAsia="es-CO"/>
        </w:rPr>
        <w:t xml:space="preserve"> </w:t>
      </w:r>
      <w:r w:rsidRPr="00C76457">
        <w:rPr>
          <w:rFonts w:ascii="Arial" w:hAnsi="Arial" w:cs="Arial"/>
          <w:lang w:eastAsia="es-CO"/>
        </w:rPr>
        <w:t xml:space="preserve">con la recuperación general del empleo en el país. Según los últimos reportes del DANE, para </w:t>
      </w:r>
      <w:r w:rsidR="00A7785A">
        <w:rPr>
          <w:rFonts w:ascii="Arial" w:hAnsi="Arial" w:cs="Arial"/>
          <w:lang w:eastAsia="es-CO"/>
        </w:rPr>
        <w:t>junio</w:t>
      </w:r>
      <w:r w:rsidR="00A7785A" w:rsidRPr="00C76457">
        <w:rPr>
          <w:rFonts w:ascii="Arial" w:hAnsi="Arial" w:cs="Arial"/>
          <w:lang w:eastAsia="es-CO"/>
        </w:rPr>
        <w:t xml:space="preserve"> </w:t>
      </w:r>
      <w:r w:rsidRPr="00C76457">
        <w:rPr>
          <w:rFonts w:ascii="Arial" w:hAnsi="Arial" w:cs="Arial"/>
          <w:lang w:eastAsia="es-CO"/>
        </w:rPr>
        <w:t xml:space="preserve">de 2026 </w:t>
      </w:r>
      <w:r w:rsidR="00A70887" w:rsidRPr="00A70887">
        <w:rPr>
          <w:rFonts w:ascii="Arial" w:hAnsi="Arial" w:cs="Arial"/>
          <w:lang w:eastAsia="es-CO"/>
        </w:rPr>
        <w:t xml:space="preserve">la población ocupada del país alcanzó cerca de </w:t>
      </w:r>
      <w:r w:rsidR="00A70887" w:rsidRPr="00915023">
        <w:rPr>
          <w:rFonts w:ascii="Arial" w:hAnsi="Arial" w:cs="Arial"/>
          <w:lang w:eastAsia="es-CO"/>
        </w:rPr>
        <w:t>24,1 millones de personas</w:t>
      </w:r>
      <w:r w:rsidR="00A70887" w:rsidRPr="00A70887">
        <w:rPr>
          <w:rFonts w:ascii="Arial" w:hAnsi="Arial" w:cs="Arial"/>
          <w:lang w:eastAsia="es-CO"/>
        </w:rPr>
        <w:t xml:space="preserve">, lo que representó un incremento aproximado de </w:t>
      </w:r>
      <w:r w:rsidR="00A70887" w:rsidRPr="00915023">
        <w:rPr>
          <w:rFonts w:ascii="Arial" w:hAnsi="Arial" w:cs="Arial"/>
          <w:lang w:eastAsia="es-CO"/>
        </w:rPr>
        <w:t>458.000 ocupados</w:t>
      </w:r>
      <w:r w:rsidR="00A70887" w:rsidRPr="00A70887">
        <w:rPr>
          <w:rFonts w:ascii="Arial" w:hAnsi="Arial" w:cs="Arial"/>
          <w:lang w:eastAsia="es-CO"/>
        </w:rPr>
        <w:t xml:space="preserve"> frente a junio de 2025. Asimismo, la tasa de ocupación aumentó de </w:t>
      </w:r>
      <w:r w:rsidR="00A70887" w:rsidRPr="00915023">
        <w:rPr>
          <w:rFonts w:ascii="Arial" w:hAnsi="Arial" w:cs="Arial"/>
          <w:lang w:eastAsia="es-CO"/>
        </w:rPr>
        <w:t>58,4 % a 59,4 %</w:t>
      </w:r>
      <w:r w:rsidR="00A70887" w:rsidRPr="00A70887">
        <w:rPr>
          <w:rFonts w:ascii="Arial" w:hAnsi="Arial" w:cs="Arial"/>
          <w:lang w:eastAsia="es-CO"/>
        </w:rPr>
        <w:t xml:space="preserve">, mientras que la tasa de desocupación descendió de </w:t>
      </w:r>
      <w:r w:rsidR="00A70887" w:rsidRPr="00915023">
        <w:rPr>
          <w:rFonts w:ascii="Arial" w:hAnsi="Arial" w:cs="Arial"/>
          <w:lang w:eastAsia="es-CO"/>
        </w:rPr>
        <w:t>8,6 % a 8,0 %</w:t>
      </w:r>
      <w:r w:rsidR="00A70887" w:rsidRPr="00A70887">
        <w:rPr>
          <w:rFonts w:ascii="Arial" w:hAnsi="Arial" w:cs="Arial"/>
          <w:lang w:eastAsia="es-CO"/>
        </w:rPr>
        <w:t>. Sin embargo, la dinámica de generación de empleo no ha sido homogénea entre los distintos sectores económicos, y la construcción continúa mostrando señales de rezago frente al crecimiento observado en actividades de servicios y comercio</w:t>
      </w:r>
      <w:r w:rsidR="00957777" w:rsidRPr="00C76457">
        <w:rPr>
          <w:rStyle w:val="Refdenotaalpie"/>
          <w:rFonts w:ascii="Arial" w:hAnsi="Arial" w:cs="Arial"/>
          <w:lang w:eastAsia="es-CO"/>
        </w:rPr>
        <w:footnoteReference w:id="13"/>
      </w:r>
      <w:r w:rsidR="00957777" w:rsidRPr="00C76457">
        <w:rPr>
          <w:rFonts w:ascii="Arial" w:hAnsi="Arial" w:cs="Arial"/>
          <w:lang w:eastAsia="es-CO"/>
        </w:rPr>
        <w:t>.</w:t>
      </w:r>
    </w:p>
    <w:p w14:paraId="4876B41E" w14:textId="77777777" w:rsidR="00752749" w:rsidRPr="00C76457" w:rsidRDefault="00752749" w:rsidP="00616FE1">
      <w:pPr>
        <w:autoSpaceDE w:val="0"/>
        <w:autoSpaceDN w:val="0"/>
        <w:adjustRightInd w:val="0"/>
        <w:spacing w:after="0"/>
        <w:jc w:val="both"/>
        <w:rPr>
          <w:rFonts w:ascii="Arial" w:hAnsi="Arial" w:cs="Arial"/>
          <w:lang w:eastAsia="es-CO"/>
        </w:rPr>
      </w:pPr>
    </w:p>
    <w:p w14:paraId="3E419018" w14:textId="329250EB" w:rsidR="00752749" w:rsidRPr="00C76457" w:rsidRDefault="00A23D61" w:rsidP="00616FE1">
      <w:pPr>
        <w:autoSpaceDE w:val="0"/>
        <w:autoSpaceDN w:val="0"/>
        <w:adjustRightInd w:val="0"/>
        <w:spacing w:after="0"/>
        <w:jc w:val="both"/>
        <w:rPr>
          <w:rFonts w:ascii="Arial" w:hAnsi="Arial" w:cs="Arial"/>
          <w:lang w:eastAsia="es-CO"/>
        </w:rPr>
      </w:pPr>
      <w:r w:rsidRPr="00A23D61">
        <w:rPr>
          <w:rFonts w:ascii="Arial" w:hAnsi="Arial" w:cs="Arial"/>
          <w:lang w:eastAsia="es-CO"/>
        </w:rPr>
        <w:t>Esta situación se enmarca en un contexto de ajuste que ha afectado particularmente al subsector edificador. Diversos análisis sectoriales de la Cámara Colombiana de la Construcción (Camacol) han señalado que la desaceleración de la actividad de edificaciones, especialmente de vivienda, ha limitado la capacidad de generación de empleo del sector durante los últimos años. Como resultado, la recuperación observada en el mercado laboral nacional no se ha reflejado con igual intensidad en la construcción, donde persisten desafíos asociados a menores niveles de actividad y de iniciación de proyectos</w:t>
      </w:r>
      <w:r w:rsidR="00A16E46" w:rsidRPr="00C76457">
        <w:rPr>
          <w:rFonts w:ascii="Arial" w:hAnsi="Arial" w:cs="Arial"/>
          <w:lang w:eastAsia="es-CO"/>
        </w:rPr>
        <w:t>.</w:t>
      </w:r>
      <w:r w:rsidR="008D1C8B">
        <w:rPr>
          <w:rStyle w:val="Refdenotaalpie"/>
          <w:rFonts w:ascii="Arial" w:hAnsi="Arial" w:cs="Arial"/>
          <w:lang w:eastAsia="es-CO"/>
        </w:rPr>
        <w:footnoteReference w:id="14"/>
      </w:r>
    </w:p>
    <w:p w14:paraId="0B976933" w14:textId="77777777" w:rsidR="00AF53C5" w:rsidRPr="00C76457" w:rsidRDefault="00AF53C5" w:rsidP="00616FE1">
      <w:pPr>
        <w:autoSpaceDE w:val="0"/>
        <w:autoSpaceDN w:val="0"/>
        <w:adjustRightInd w:val="0"/>
        <w:spacing w:after="0"/>
        <w:jc w:val="both"/>
        <w:rPr>
          <w:rFonts w:ascii="Arial" w:hAnsi="Arial" w:cs="Arial"/>
          <w:lang w:eastAsia="es-CO"/>
        </w:rPr>
      </w:pPr>
    </w:p>
    <w:p w14:paraId="307CDA50" w14:textId="04DD551A" w:rsidR="00AF53C5" w:rsidRPr="00C76457" w:rsidRDefault="00D850B9" w:rsidP="00616FE1">
      <w:pPr>
        <w:autoSpaceDE w:val="0"/>
        <w:autoSpaceDN w:val="0"/>
        <w:adjustRightInd w:val="0"/>
        <w:spacing w:after="0"/>
        <w:jc w:val="both"/>
        <w:rPr>
          <w:rFonts w:ascii="Arial" w:hAnsi="Arial" w:cs="Arial"/>
          <w:lang w:eastAsia="es-CO"/>
        </w:rPr>
      </w:pPr>
      <w:r w:rsidRPr="00D850B9">
        <w:rPr>
          <w:rFonts w:ascii="Arial" w:hAnsi="Arial" w:cs="Arial"/>
          <w:lang w:eastAsia="es-CO"/>
        </w:rPr>
        <w:t xml:space="preserve">No obstante, a nivel regional se observan resultados mixtos. En Bogotá, el empleo en el sector de la construcción alcanzó 231.489 personas ocupadas en el trimestre móvil enero-marzo de 2026, lo que representó una disminución de 9,1 % frente al mismo período de </w:t>
      </w:r>
      <w:r w:rsidRPr="00D850B9">
        <w:rPr>
          <w:rFonts w:ascii="Arial" w:hAnsi="Arial" w:cs="Arial"/>
          <w:lang w:eastAsia="es-CO"/>
        </w:rPr>
        <w:lastRenderedPageBreak/>
        <w:t>2025, cuando se registraron 254.627 ocupados. A pesar de esta contracción, la ciudad continuó concentrando una porción significativa del empleo constructor del país, al representar aproximadamente el 13,9 % de los ocupados del sector a nivel nacional. En contraste, el empleo en la construcción en Colombia presentó un comportamiento favorable, con 1,66 millones de personas ocupadas durante el primer trimestre de 2026, equivalente a un crecimiento anual de 2,8 %. Estos resultados reflejan que, aunque los proyectos de infraestructura y obras civiles continúan sosteniendo parte de la actividad sectorial, la recuperación del empleo constructor no ha sido homogénea entre los diferentes territorios y segmentos del mercado</w:t>
      </w:r>
      <w:r w:rsidR="00B60DB9">
        <w:rPr>
          <w:rStyle w:val="Refdenotaalpie"/>
          <w:rFonts w:ascii="Arial" w:hAnsi="Arial" w:cs="Arial"/>
          <w:lang w:eastAsia="es-CO"/>
        </w:rPr>
        <w:footnoteReference w:id="15"/>
      </w:r>
      <w:r w:rsidR="00AF53C5" w:rsidRPr="00C76457">
        <w:rPr>
          <w:rFonts w:ascii="Arial" w:hAnsi="Arial" w:cs="Arial"/>
          <w:lang w:eastAsia="es-CO"/>
        </w:rPr>
        <w:t>.</w:t>
      </w:r>
    </w:p>
    <w:p w14:paraId="3B5418B1" w14:textId="77777777" w:rsidR="008014E7" w:rsidRPr="00C76457" w:rsidRDefault="008014E7" w:rsidP="00616FE1">
      <w:pPr>
        <w:autoSpaceDE w:val="0"/>
        <w:autoSpaceDN w:val="0"/>
        <w:adjustRightInd w:val="0"/>
        <w:spacing w:after="0"/>
        <w:jc w:val="both"/>
        <w:rPr>
          <w:rFonts w:ascii="Arial" w:hAnsi="Arial" w:cs="Arial"/>
          <w:lang w:eastAsia="es-CO"/>
        </w:rPr>
      </w:pPr>
    </w:p>
    <w:p w14:paraId="7B084301" w14:textId="4A3B26EF" w:rsidR="007C2992" w:rsidRDefault="007B1EFE" w:rsidP="007B1EFE">
      <w:pPr>
        <w:autoSpaceDE w:val="0"/>
        <w:autoSpaceDN w:val="0"/>
        <w:adjustRightInd w:val="0"/>
        <w:spacing w:after="0"/>
        <w:jc w:val="both"/>
        <w:rPr>
          <w:rFonts w:ascii="Arial" w:hAnsi="Arial" w:cs="Arial"/>
          <w:lang w:eastAsia="es-CO"/>
        </w:rPr>
      </w:pPr>
      <w:r>
        <w:rPr>
          <w:rFonts w:ascii="Arial" w:hAnsi="Arial" w:cs="Arial"/>
          <w:lang w:eastAsia="es-CO"/>
        </w:rPr>
        <w:t xml:space="preserve">A </w:t>
      </w:r>
      <w:r w:rsidRPr="007B1EFE">
        <w:rPr>
          <w:rFonts w:ascii="Arial" w:hAnsi="Arial" w:cs="Arial"/>
          <w:lang w:eastAsia="es-CO"/>
        </w:rPr>
        <w:t xml:space="preserve">pesar de algunos resultados favorables observados en determinados segmentos y territorios, el mercado laboral del sector construcción continúa mostrando una alta sensibilidad a las condiciones macroeconómicas y financieras. Factores como el costo del crédito, las restricciones de financiamiento para hogares y desarrolladores, y la desaceleración de la actividad edificadora han limitado la capacidad del sector para consolidar una recuperación sostenida del empleo. En contraste con la mejora general del mercado laboral colombiano, donde la tasa de desocupación nacional se redujo hasta 8,0 % en junio de 2026 y la tasa de ocupación aumentó a 59,4 %, la actividad constructora continúa presentando señales mixtas. </w:t>
      </w:r>
      <w:r w:rsidR="00504019">
        <w:rPr>
          <w:rStyle w:val="Refdenotaalpie"/>
          <w:rFonts w:ascii="Arial" w:hAnsi="Arial" w:cs="Arial"/>
          <w:lang w:eastAsia="es-CO"/>
        </w:rPr>
        <w:footnoteReference w:id="16"/>
      </w:r>
    </w:p>
    <w:p w14:paraId="188E1604" w14:textId="77777777" w:rsidR="007C2992" w:rsidRDefault="007C2992" w:rsidP="007B1EFE">
      <w:pPr>
        <w:autoSpaceDE w:val="0"/>
        <w:autoSpaceDN w:val="0"/>
        <w:adjustRightInd w:val="0"/>
        <w:spacing w:after="0"/>
        <w:jc w:val="both"/>
        <w:rPr>
          <w:rFonts w:ascii="Arial" w:hAnsi="Arial" w:cs="Arial"/>
          <w:lang w:eastAsia="es-CO"/>
        </w:rPr>
      </w:pPr>
    </w:p>
    <w:p w14:paraId="1F0560CE" w14:textId="1A1A3719" w:rsidR="007A7EB0" w:rsidRDefault="00771F3A" w:rsidP="007B1EFE">
      <w:pPr>
        <w:autoSpaceDE w:val="0"/>
        <w:autoSpaceDN w:val="0"/>
        <w:adjustRightInd w:val="0"/>
        <w:spacing w:after="0"/>
        <w:jc w:val="both"/>
        <w:rPr>
          <w:noProof/>
        </w:rPr>
      </w:pPr>
      <w:r w:rsidRPr="00771F3A">
        <w:rPr>
          <w:rFonts w:ascii="Arial" w:hAnsi="Arial" w:cs="Arial"/>
          <w:lang w:eastAsia="es-CO"/>
        </w:rPr>
        <w:t>A nivel nacional, el sector de la construcción continúa desempeñando un papel estratégico en la generación de empleo. La información más reciente del DANE indica que, durante agosto de 2026, la construcción se mantuvo entre las actividades económicas que registraron incrementos en el número de personas ocupadas, incluso en un contexto de desaceleración del mercado laboral nacional. Por su parte, en Bogotá el comportamiento del empleo sectorial ha estado sujeto a las dinámicas propias de la ejecución de proyectos de infraestructura, obras civiles y edificación, las cuales han mostrado variaciones durante los últimos trimestres. En este sentido, la evolución reciente del empleo confirma que la consolidación de la recuperación del sector continúa dependiendo del avance sostenido de los proyectos de infraestructura, del fortalecimiento de la inversión pública y privada, así como de una mayor dinámica del mercado de vivienda, factores fundamentales para mantener y ampliar la generación de empleo en el corto y mediano plazo</w:t>
      </w:r>
      <w:r>
        <w:rPr>
          <w:rFonts w:ascii="Arial" w:hAnsi="Arial" w:cs="Arial"/>
          <w:lang w:eastAsia="es-CO"/>
        </w:rPr>
        <w:t>.</w:t>
      </w:r>
      <w:r w:rsidR="0077081C">
        <w:rPr>
          <w:rStyle w:val="Refdenotaalpie"/>
          <w:rFonts w:ascii="Arial" w:hAnsi="Arial" w:cs="Arial"/>
          <w:lang w:eastAsia="es-CO"/>
        </w:rPr>
        <w:footnoteReference w:id="17"/>
      </w:r>
    </w:p>
    <w:p w14:paraId="286ED901" w14:textId="118C8DF7" w:rsidR="00011E27" w:rsidRPr="00C76457" w:rsidRDefault="00962635" w:rsidP="00716683">
      <w:pPr>
        <w:autoSpaceDE w:val="0"/>
        <w:autoSpaceDN w:val="0"/>
        <w:adjustRightInd w:val="0"/>
        <w:spacing w:after="0"/>
        <w:jc w:val="center"/>
        <w:rPr>
          <w:rFonts w:ascii="Arial" w:hAnsi="Arial" w:cs="Arial"/>
          <w:lang w:eastAsia="es-CO"/>
        </w:rPr>
      </w:pPr>
      <w:r w:rsidRPr="00962635">
        <w:rPr>
          <w:rFonts w:ascii="Arial" w:hAnsi="Arial" w:cs="Arial"/>
          <w:noProof/>
          <w:lang w:eastAsia="es-CO"/>
        </w:rPr>
        <w:lastRenderedPageBreak/>
        <w:drawing>
          <wp:inline distT="0" distB="0" distL="0" distR="0" wp14:anchorId="1D5FBD99" wp14:editId="5161C015">
            <wp:extent cx="4802521" cy="2415389"/>
            <wp:effectExtent l="0" t="0" r="0" b="4445"/>
            <wp:docPr id="11260692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69246" name=""/>
                    <pic:cNvPicPr/>
                  </pic:nvPicPr>
                  <pic:blipFill>
                    <a:blip r:embed="rId19"/>
                    <a:stretch>
                      <a:fillRect/>
                    </a:stretch>
                  </pic:blipFill>
                  <pic:spPr>
                    <a:xfrm>
                      <a:off x="0" y="0"/>
                      <a:ext cx="4813057" cy="2420688"/>
                    </a:xfrm>
                    <a:prstGeom prst="rect">
                      <a:avLst/>
                    </a:prstGeom>
                  </pic:spPr>
                </pic:pic>
              </a:graphicData>
            </a:graphic>
          </wp:inline>
        </w:drawing>
      </w:r>
    </w:p>
    <w:p w14:paraId="2608C9B7" w14:textId="485B2A2B" w:rsidR="00305614" w:rsidRPr="00C76457" w:rsidRDefault="00305614" w:rsidP="00616FE1">
      <w:pPr>
        <w:spacing w:after="0"/>
        <w:jc w:val="both"/>
        <w:rPr>
          <w:rFonts w:ascii="Arial" w:hAnsi="Arial" w:cs="Arial"/>
          <w:sz w:val="16"/>
          <w:szCs w:val="16"/>
        </w:rPr>
      </w:pPr>
      <w:r w:rsidRPr="00C76457">
        <w:rPr>
          <w:rFonts w:ascii="Arial" w:hAnsi="Arial" w:cs="Arial"/>
          <w:b/>
          <w:sz w:val="16"/>
          <w:szCs w:val="16"/>
        </w:rPr>
        <w:t>Fuente</w:t>
      </w:r>
      <w:r w:rsidRPr="00C76457">
        <w:rPr>
          <w:rFonts w:ascii="Arial" w:hAnsi="Arial" w:cs="Arial"/>
          <w:sz w:val="16"/>
          <w:szCs w:val="16"/>
        </w:rPr>
        <w:t xml:space="preserve">: DANE. Boletín Técnico – Principales indicadores del mercado laboral – </w:t>
      </w:r>
      <w:r w:rsidR="00962635">
        <w:rPr>
          <w:rFonts w:ascii="Arial" w:hAnsi="Arial" w:cs="Arial"/>
          <w:sz w:val="16"/>
          <w:szCs w:val="16"/>
        </w:rPr>
        <w:t>agosto</w:t>
      </w:r>
      <w:r w:rsidR="00EB02BD">
        <w:rPr>
          <w:rFonts w:ascii="Arial" w:hAnsi="Arial" w:cs="Arial"/>
          <w:sz w:val="16"/>
          <w:szCs w:val="16"/>
        </w:rPr>
        <w:t xml:space="preserve"> de</w:t>
      </w:r>
      <w:r w:rsidR="00EB02BD" w:rsidRPr="00C76457">
        <w:rPr>
          <w:rFonts w:ascii="Arial" w:hAnsi="Arial" w:cs="Arial"/>
          <w:sz w:val="16"/>
          <w:szCs w:val="16"/>
        </w:rPr>
        <w:t xml:space="preserve"> </w:t>
      </w:r>
      <w:r w:rsidRPr="00C76457">
        <w:rPr>
          <w:rFonts w:ascii="Arial" w:hAnsi="Arial" w:cs="Arial"/>
          <w:sz w:val="16"/>
          <w:szCs w:val="16"/>
        </w:rPr>
        <w:t xml:space="preserve">2026. Fecha de publicación: </w:t>
      </w:r>
      <w:r w:rsidR="00962635">
        <w:rPr>
          <w:rFonts w:ascii="Arial" w:hAnsi="Arial" w:cs="Arial"/>
          <w:sz w:val="16"/>
          <w:szCs w:val="16"/>
        </w:rPr>
        <w:t>30 de septiembre</w:t>
      </w:r>
      <w:r w:rsidR="00EB02BD">
        <w:rPr>
          <w:rFonts w:ascii="Arial" w:hAnsi="Arial" w:cs="Arial"/>
          <w:sz w:val="16"/>
          <w:szCs w:val="16"/>
        </w:rPr>
        <w:t xml:space="preserve"> </w:t>
      </w:r>
      <w:r w:rsidRPr="00C76457">
        <w:rPr>
          <w:rFonts w:ascii="Arial" w:hAnsi="Arial" w:cs="Arial"/>
          <w:sz w:val="16"/>
          <w:szCs w:val="16"/>
        </w:rPr>
        <w:t>de 202</w:t>
      </w:r>
      <w:r w:rsidR="0052102A" w:rsidRPr="00C76457">
        <w:rPr>
          <w:rFonts w:ascii="Arial" w:hAnsi="Arial" w:cs="Arial"/>
          <w:sz w:val="16"/>
          <w:szCs w:val="16"/>
        </w:rPr>
        <w:t>6</w:t>
      </w:r>
      <w:r w:rsidRPr="00C76457">
        <w:rPr>
          <w:rFonts w:ascii="Arial" w:hAnsi="Arial" w:cs="Arial"/>
          <w:sz w:val="16"/>
          <w:szCs w:val="16"/>
        </w:rPr>
        <w:t xml:space="preserve">; Fecha de consulta: </w:t>
      </w:r>
      <w:r w:rsidR="00962635">
        <w:rPr>
          <w:rFonts w:ascii="Arial" w:hAnsi="Arial" w:cs="Arial"/>
          <w:sz w:val="16"/>
          <w:szCs w:val="16"/>
        </w:rPr>
        <w:t>5 de octubre</w:t>
      </w:r>
      <w:r w:rsidR="00A60C19" w:rsidRPr="00C76457">
        <w:rPr>
          <w:rFonts w:ascii="Arial" w:hAnsi="Arial" w:cs="Arial"/>
          <w:sz w:val="16"/>
          <w:szCs w:val="16"/>
        </w:rPr>
        <w:t xml:space="preserve"> de </w:t>
      </w:r>
      <w:r w:rsidRPr="00C76457">
        <w:rPr>
          <w:rFonts w:ascii="Arial" w:hAnsi="Arial" w:cs="Arial"/>
          <w:sz w:val="16"/>
          <w:szCs w:val="16"/>
        </w:rPr>
        <w:t>202</w:t>
      </w:r>
      <w:r w:rsidR="00A60C19" w:rsidRPr="00C76457">
        <w:rPr>
          <w:rFonts w:ascii="Arial" w:hAnsi="Arial" w:cs="Arial"/>
          <w:sz w:val="16"/>
          <w:szCs w:val="16"/>
        </w:rPr>
        <w:t>6</w:t>
      </w:r>
      <w:r w:rsidRPr="00C76457">
        <w:rPr>
          <w:rFonts w:ascii="Arial" w:hAnsi="Arial" w:cs="Arial"/>
          <w:sz w:val="16"/>
          <w:szCs w:val="16"/>
        </w:rPr>
        <w:t xml:space="preserve">. </w:t>
      </w:r>
      <w:hyperlink r:id="rId20" w:history="1">
        <w:r w:rsidR="00962635" w:rsidRPr="00B25DC6">
          <w:rPr>
            <w:rStyle w:val="Hipervnculo"/>
            <w:rFonts w:ascii="Arial" w:hAnsi="Arial" w:cs="Arial"/>
            <w:sz w:val="16"/>
            <w:szCs w:val="16"/>
          </w:rPr>
          <w:t>https://www.dane.gov.co/files/operaciones/GEIH/bol-GEIH-ago2026.pdf</w:t>
        </w:r>
      </w:hyperlink>
      <w:r w:rsidR="00962635">
        <w:rPr>
          <w:rFonts w:ascii="Arial" w:hAnsi="Arial" w:cs="Arial"/>
          <w:sz w:val="16"/>
          <w:szCs w:val="16"/>
        </w:rPr>
        <w:t xml:space="preserve"> </w:t>
      </w:r>
    </w:p>
    <w:p w14:paraId="022DBDBD" w14:textId="77777777" w:rsidR="008F70A7" w:rsidRPr="00C76457" w:rsidRDefault="008F70A7" w:rsidP="00616FE1">
      <w:pPr>
        <w:autoSpaceDE w:val="0"/>
        <w:autoSpaceDN w:val="0"/>
        <w:adjustRightInd w:val="0"/>
        <w:spacing w:after="0"/>
        <w:jc w:val="center"/>
        <w:rPr>
          <w:rFonts w:ascii="Arial" w:hAnsi="Arial" w:cs="Arial"/>
          <w:lang w:eastAsia="es-CO"/>
        </w:rPr>
      </w:pPr>
    </w:p>
    <w:p w14:paraId="46BE36AD" w14:textId="3BFF1FBE" w:rsidR="00DE74A1" w:rsidRPr="00C76457" w:rsidRDefault="00A823AF" w:rsidP="00A823AF">
      <w:pPr>
        <w:autoSpaceDE w:val="0"/>
        <w:autoSpaceDN w:val="0"/>
        <w:adjustRightInd w:val="0"/>
        <w:spacing w:after="0"/>
        <w:jc w:val="both"/>
        <w:rPr>
          <w:rFonts w:ascii="Arial" w:hAnsi="Arial" w:cs="Arial"/>
          <w:lang w:eastAsia="es-CO"/>
        </w:rPr>
      </w:pPr>
      <w:r w:rsidRPr="00A823AF">
        <w:rPr>
          <w:rFonts w:ascii="Arial" w:hAnsi="Arial" w:cs="Arial"/>
        </w:rPr>
        <w:t xml:space="preserve">En el mes de agosto de 2026, el número de personas ocupadas en el total nacional fue 23.685 mil personas. Las ramas que más restaron a la variación de la población ocupada fueron Industrias manufactureras (1,0 puntos porcentuales); Actividades artísticas, entretenimiento, recreación y otras actividades de servicios (0,4 puntos porcentuales) y Agricultura, ganadería, caza, silvicultura y pesca (0,4 puntos porcentuales). </w:t>
      </w:r>
      <w:r w:rsidR="0090095A" w:rsidRPr="0090095A" w:rsidDel="0090095A">
        <w:rPr>
          <w:rFonts w:ascii="Arial" w:hAnsi="Arial" w:cs="Arial"/>
        </w:rPr>
        <w:t xml:space="preserve"> </w:t>
      </w:r>
    </w:p>
    <w:p w14:paraId="0F754F17" w14:textId="77777777" w:rsidR="008D24AB" w:rsidRPr="00C76457" w:rsidRDefault="008D24AB" w:rsidP="00616FE1">
      <w:pPr>
        <w:autoSpaceDE w:val="0"/>
        <w:autoSpaceDN w:val="0"/>
        <w:adjustRightInd w:val="0"/>
        <w:spacing w:after="0"/>
        <w:jc w:val="both"/>
        <w:rPr>
          <w:rFonts w:ascii="Arial" w:hAnsi="Arial" w:cs="Arial"/>
          <w:lang w:eastAsia="es-CO"/>
        </w:rPr>
      </w:pPr>
    </w:p>
    <w:p w14:paraId="3E0BDF64" w14:textId="518BB0A2" w:rsidR="002D5ED4" w:rsidRPr="00C76457" w:rsidRDefault="000E4DE0" w:rsidP="00616FE1">
      <w:pPr>
        <w:spacing w:after="0"/>
        <w:jc w:val="center"/>
        <w:rPr>
          <w:rFonts w:ascii="Arial" w:hAnsi="Arial" w:cs="Arial"/>
          <w:sz w:val="16"/>
          <w:szCs w:val="16"/>
        </w:rPr>
      </w:pPr>
      <w:r w:rsidRPr="000E4DE0">
        <w:rPr>
          <w:rFonts w:ascii="Arial" w:hAnsi="Arial" w:cs="Arial"/>
          <w:noProof/>
          <w:sz w:val="16"/>
          <w:szCs w:val="16"/>
        </w:rPr>
        <w:drawing>
          <wp:inline distT="0" distB="0" distL="0" distR="0" wp14:anchorId="770427EA" wp14:editId="59E3F214">
            <wp:extent cx="4717996" cy="2969167"/>
            <wp:effectExtent l="0" t="0" r="6985" b="3175"/>
            <wp:docPr id="14955609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560946" name=""/>
                    <pic:cNvPicPr/>
                  </pic:nvPicPr>
                  <pic:blipFill>
                    <a:blip r:embed="rId21"/>
                    <a:stretch>
                      <a:fillRect/>
                    </a:stretch>
                  </pic:blipFill>
                  <pic:spPr>
                    <a:xfrm>
                      <a:off x="0" y="0"/>
                      <a:ext cx="4722122" cy="2971763"/>
                    </a:xfrm>
                    <a:prstGeom prst="rect">
                      <a:avLst/>
                    </a:prstGeom>
                  </pic:spPr>
                </pic:pic>
              </a:graphicData>
            </a:graphic>
          </wp:inline>
        </w:drawing>
      </w:r>
    </w:p>
    <w:p w14:paraId="203C2D9F" w14:textId="3B463ABD" w:rsidR="00D44C93" w:rsidRPr="00C76457" w:rsidRDefault="00A823AF" w:rsidP="00D44C93">
      <w:pPr>
        <w:spacing w:after="0"/>
        <w:jc w:val="both"/>
        <w:rPr>
          <w:rFonts w:ascii="Arial" w:hAnsi="Arial" w:cs="Arial"/>
          <w:sz w:val="16"/>
          <w:szCs w:val="16"/>
        </w:rPr>
      </w:pPr>
      <w:r w:rsidRPr="00C76457">
        <w:rPr>
          <w:rFonts w:ascii="Arial" w:hAnsi="Arial" w:cs="Arial"/>
          <w:b/>
          <w:sz w:val="16"/>
          <w:szCs w:val="16"/>
        </w:rPr>
        <w:t>Fuente</w:t>
      </w:r>
      <w:r w:rsidRPr="00C76457">
        <w:rPr>
          <w:rFonts w:ascii="Arial" w:hAnsi="Arial" w:cs="Arial"/>
          <w:sz w:val="16"/>
          <w:szCs w:val="16"/>
        </w:rPr>
        <w:t xml:space="preserve">: DANE. Boletín Técnico – Principales indicadores del mercado laboral – </w:t>
      </w:r>
      <w:r>
        <w:rPr>
          <w:rFonts w:ascii="Arial" w:hAnsi="Arial" w:cs="Arial"/>
          <w:sz w:val="16"/>
          <w:szCs w:val="16"/>
        </w:rPr>
        <w:t>agosto de</w:t>
      </w:r>
      <w:r w:rsidRPr="00C76457">
        <w:rPr>
          <w:rFonts w:ascii="Arial" w:hAnsi="Arial" w:cs="Arial"/>
          <w:sz w:val="16"/>
          <w:szCs w:val="16"/>
        </w:rPr>
        <w:t xml:space="preserve"> 2026. Fecha de publicación: </w:t>
      </w:r>
      <w:r>
        <w:rPr>
          <w:rFonts w:ascii="Arial" w:hAnsi="Arial" w:cs="Arial"/>
          <w:sz w:val="16"/>
          <w:szCs w:val="16"/>
        </w:rPr>
        <w:t xml:space="preserve">30 de septiembre </w:t>
      </w:r>
      <w:r w:rsidRPr="00C76457">
        <w:rPr>
          <w:rFonts w:ascii="Arial" w:hAnsi="Arial" w:cs="Arial"/>
          <w:sz w:val="16"/>
          <w:szCs w:val="16"/>
        </w:rPr>
        <w:t xml:space="preserve">de 2026; Fecha de consulta: </w:t>
      </w:r>
      <w:r>
        <w:rPr>
          <w:rFonts w:ascii="Arial" w:hAnsi="Arial" w:cs="Arial"/>
          <w:sz w:val="16"/>
          <w:szCs w:val="16"/>
        </w:rPr>
        <w:t>5 de octubre</w:t>
      </w:r>
      <w:r w:rsidRPr="00C76457">
        <w:rPr>
          <w:rFonts w:ascii="Arial" w:hAnsi="Arial" w:cs="Arial"/>
          <w:sz w:val="16"/>
          <w:szCs w:val="16"/>
        </w:rPr>
        <w:t xml:space="preserve"> de 2026. </w:t>
      </w:r>
      <w:hyperlink r:id="rId22" w:history="1">
        <w:r w:rsidRPr="00B25DC6">
          <w:rPr>
            <w:rStyle w:val="Hipervnculo"/>
            <w:rFonts w:ascii="Arial" w:hAnsi="Arial" w:cs="Arial"/>
            <w:sz w:val="16"/>
            <w:szCs w:val="16"/>
          </w:rPr>
          <w:t>https://www.dane.gov.co/files/operaciones/GEIH/bol-GEIH-ago2026.pdf</w:t>
        </w:r>
      </w:hyperlink>
      <w:r>
        <w:rPr>
          <w:rFonts w:ascii="Arial" w:hAnsi="Arial" w:cs="Arial"/>
          <w:sz w:val="16"/>
          <w:szCs w:val="16"/>
        </w:rPr>
        <w:t xml:space="preserve"> </w:t>
      </w:r>
    </w:p>
    <w:p w14:paraId="18414503" w14:textId="77777777" w:rsidR="004E4147" w:rsidRDefault="004E4147" w:rsidP="00915023">
      <w:pPr>
        <w:spacing w:after="0"/>
        <w:jc w:val="both"/>
        <w:rPr>
          <w:rFonts w:ascii="Arial" w:hAnsi="Arial" w:cs="Arial"/>
          <w:lang w:eastAsia="es-CO"/>
        </w:rPr>
      </w:pPr>
    </w:p>
    <w:p w14:paraId="4E3C1BD1" w14:textId="110A95FE" w:rsidR="00431C2E" w:rsidRDefault="00290D26" w:rsidP="00616FE1">
      <w:pPr>
        <w:autoSpaceDE w:val="0"/>
        <w:autoSpaceDN w:val="0"/>
        <w:adjustRightInd w:val="0"/>
        <w:spacing w:after="0"/>
        <w:jc w:val="both"/>
        <w:rPr>
          <w:rFonts w:ascii="Arial" w:hAnsi="Arial" w:cs="Arial"/>
          <w:lang w:eastAsia="es-CO"/>
        </w:rPr>
      </w:pPr>
      <w:r w:rsidRPr="00290D26">
        <w:rPr>
          <w:rFonts w:ascii="Arial" w:hAnsi="Arial" w:cs="Arial"/>
          <w:lang w:eastAsia="es-CO"/>
        </w:rPr>
        <w:lastRenderedPageBreak/>
        <w:t>De acuerdo con el Boletín Económico Regional de Bogotá-Cundinamarca correspondiente al segundo trimestre de 2026, publicado por el Banco de la República en septiembre de 2026, la economía regional mantuvo una senda de crecimiento anual impulsada principalmente por el consumo de los hogares, el incremento de las ventas minoristas y el aumento de las importaciones de bienes de consumo. No obstante, el comportamiento sectorial fue heterogéneo, debido a una leve contracción de la producción industrial y a la persistente desaceleración del mercado de vivienda, mientras que las obras civiles continuaron mostrando una dinámica favorable. En materia laboral, Bogotá registró una tasa de desempleo inferior a la observada a nivel nacional, consolidando su posición como una de las principales fuentes de generación de empleo del país</w:t>
      </w:r>
      <w:r w:rsidR="00431C2E" w:rsidRPr="00431C2E">
        <w:rPr>
          <w:rFonts w:ascii="Arial" w:hAnsi="Arial" w:cs="Arial"/>
          <w:lang w:eastAsia="es-CO"/>
        </w:rPr>
        <w:t xml:space="preserve">. </w:t>
      </w:r>
      <w:r>
        <w:rPr>
          <w:rStyle w:val="Refdenotaalpie"/>
          <w:rFonts w:ascii="Arial" w:hAnsi="Arial" w:cs="Arial"/>
          <w:lang w:eastAsia="es-CO"/>
        </w:rPr>
        <w:footnoteReference w:id="18"/>
      </w:r>
    </w:p>
    <w:p w14:paraId="5B1D8B65" w14:textId="77777777" w:rsidR="00431C2E" w:rsidRDefault="00431C2E" w:rsidP="00616FE1">
      <w:pPr>
        <w:autoSpaceDE w:val="0"/>
        <w:autoSpaceDN w:val="0"/>
        <w:adjustRightInd w:val="0"/>
        <w:spacing w:after="0"/>
        <w:jc w:val="both"/>
        <w:rPr>
          <w:rFonts w:ascii="Arial" w:hAnsi="Arial" w:cs="Arial"/>
          <w:lang w:eastAsia="es-CO"/>
        </w:rPr>
      </w:pPr>
    </w:p>
    <w:p w14:paraId="26748C97" w14:textId="3D19EE3E" w:rsidR="009A318E" w:rsidRDefault="00646F6B" w:rsidP="00616FE1">
      <w:pPr>
        <w:spacing w:after="0"/>
        <w:jc w:val="both"/>
        <w:rPr>
          <w:rFonts w:ascii="Arial" w:hAnsi="Arial" w:cs="Arial"/>
        </w:rPr>
      </w:pPr>
      <w:r w:rsidRPr="00646F6B">
        <w:rPr>
          <w:rFonts w:ascii="Arial" w:hAnsi="Arial" w:cs="Arial"/>
        </w:rPr>
        <w:t>La información más reciente de la Gran Encuesta Integrada de Hogares (GEIH) evidencia que el mercado laboral de Bogotá continuó mostrando resultados favorables durante 2026. Para el trimestre móvil junio-agosto de 2026, la tasa de desempleo de la ciudad se ubicó en 7,9 %, lo que representó una reducción de 0,3 puntos porcentuales frente al mismo periodo de 2025, mientras que aproximadamente 13.253 personas salieron de la condición de desempleo. De igual manera, el número de ocupados aumentó hasta alcanzar cerca de 4,34 millones de personas. Estos resultados reflejan una mayor capacidad de absorción laboral de la economía bogotana y confirman que la tasa de desempleo de la capital continúa situándose por debajo del promedio nacional</w:t>
      </w:r>
      <w:r w:rsidR="009A318E">
        <w:rPr>
          <w:rFonts w:ascii="Arial" w:hAnsi="Arial" w:cs="Arial"/>
        </w:rPr>
        <w:t>.</w:t>
      </w:r>
      <w:r>
        <w:rPr>
          <w:rStyle w:val="Refdenotaalpie"/>
          <w:rFonts w:ascii="Arial" w:hAnsi="Arial" w:cs="Arial"/>
        </w:rPr>
        <w:footnoteReference w:id="19"/>
      </w:r>
    </w:p>
    <w:p w14:paraId="30A0BE06" w14:textId="77777777" w:rsidR="009A318E" w:rsidRDefault="009A318E" w:rsidP="00616FE1">
      <w:pPr>
        <w:autoSpaceDE w:val="0"/>
        <w:autoSpaceDN w:val="0"/>
        <w:adjustRightInd w:val="0"/>
        <w:spacing w:after="0"/>
        <w:jc w:val="both"/>
        <w:rPr>
          <w:rFonts w:ascii="Arial" w:hAnsi="Arial" w:cs="Arial"/>
          <w:lang w:eastAsia="es-CO"/>
        </w:rPr>
      </w:pPr>
    </w:p>
    <w:p w14:paraId="1B78684E" w14:textId="4E9318D3" w:rsidR="00E91818" w:rsidRPr="00C76457" w:rsidRDefault="009C681A" w:rsidP="00915023">
      <w:pPr>
        <w:autoSpaceDE w:val="0"/>
        <w:autoSpaceDN w:val="0"/>
        <w:adjustRightInd w:val="0"/>
        <w:spacing w:after="0"/>
        <w:jc w:val="center"/>
        <w:rPr>
          <w:rFonts w:ascii="Arial" w:hAnsi="Arial" w:cs="Arial"/>
          <w:lang w:eastAsia="es-CO"/>
        </w:rPr>
      </w:pPr>
      <w:r w:rsidRPr="009C681A">
        <w:rPr>
          <w:rFonts w:ascii="Arial" w:hAnsi="Arial" w:cs="Arial"/>
          <w:noProof/>
          <w:lang w:eastAsia="es-CO"/>
        </w:rPr>
        <w:drawing>
          <wp:inline distT="0" distB="0" distL="0" distR="0" wp14:anchorId="7C2C42C5" wp14:editId="6B9E907D">
            <wp:extent cx="5140618" cy="2397559"/>
            <wp:effectExtent l="0" t="0" r="3175" b="3175"/>
            <wp:docPr id="1625690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9040" name=""/>
                    <pic:cNvPicPr/>
                  </pic:nvPicPr>
                  <pic:blipFill>
                    <a:blip r:embed="rId23"/>
                    <a:stretch>
                      <a:fillRect/>
                    </a:stretch>
                  </pic:blipFill>
                  <pic:spPr>
                    <a:xfrm>
                      <a:off x="0" y="0"/>
                      <a:ext cx="5145681" cy="2399920"/>
                    </a:xfrm>
                    <a:prstGeom prst="rect">
                      <a:avLst/>
                    </a:prstGeom>
                  </pic:spPr>
                </pic:pic>
              </a:graphicData>
            </a:graphic>
          </wp:inline>
        </w:drawing>
      </w:r>
    </w:p>
    <w:p w14:paraId="3460D988" w14:textId="0DBDCF5E" w:rsidR="0037464D" w:rsidRPr="00646F6B" w:rsidRDefault="008B1113" w:rsidP="00646F6B">
      <w:pPr>
        <w:pStyle w:val="Textonotapie"/>
        <w:rPr>
          <w:lang w:val="es-ES"/>
        </w:rPr>
      </w:pPr>
      <w:r w:rsidRPr="00C76457">
        <w:rPr>
          <w:rFonts w:cs="Arial"/>
          <w:b/>
          <w:sz w:val="16"/>
          <w:szCs w:val="16"/>
        </w:rPr>
        <w:t>Fuente:</w:t>
      </w:r>
      <w:r w:rsidRPr="00C76457">
        <w:rPr>
          <w:rFonts w:cs="Arial"/>
          <w:sz w:val="16"/>
          <w:szCs w:val="16"/>
        </w:rPr>
        <w:t xml:space="preserve"> </w:t>
      </w:r>
      <w:r w:rsidR="00646F6B" w:rsidRPr="00290D26">
        <w:rPr>
          <w:sz w:val="16"/>
          <w:szCs w:val="16"/>
        </w:rPr>
        <w:t>Banco de la República. Boletín Económico Regional: Bogotá, II trimestre de 2026</w:t>
      </w:r>
      <w:r w:rsidR="00646F6B">
        <w:rPr>
          <w:sz w:val="16"/>
          <w:szCs w:val="16"/>
        </w:rPr>
        <w:t xml:space="preserve">. Fecha publicación: 8 de septiembre 2026. Fecha consulta: 5 de octubre 2026. </w:t>
      </w:r>
      <w:hyperlink r:id="rId24" w:history="1">
        <w:r w:rsidR="00646F6B" w:rsidRPr="00B25DC6">
          <w:rPr>
            <w:rStyle w:val="Hipervnculo"/>
            <w:sz w:val="16"/>
            <w:szCs w:val="16"/>
          </w:rPr>
          <w:t>https://www.banrep.gov.co/es/publicaciones-investigaciones/boletin-economico-regional/bogota-2-trimestre-2026</w:t>
        </w:r>
      </w:hyperlink>
      <w:r w:rsidR="00646F6B" w:rsidRPr="00290D26">
        <w:rPr>
          <w:sz w:val="16"/>
          <w:szCs w:val="16"/>
        </w:rPr>
        <w:t xml:space="preserve"> </w:t>
      </w:r>
    </w:p>
    <w:p w14:paraId="02DFA55C" w14:textId="77777777" w:rsidR="00272337" w:rsidRPr="00C76457" w:rsidRDefault="00272337" w:rsidP="00616FE1">
      <w:pPr>
        <w:spacing w:after="0"/>
        <w:jc w:val="both"/>
        <w:rPr>
          <w:rFonts w:ascii="Arial" w:hAnsi="Arial" w:cs="Arial"/>
        </w:rPr>
      </w:pPr>
    </w:p>
    <w:p w14:paraId="3FBE21A2" w14:textId="0F4D49BD" w:rsidR="00DD2C59" w:rsidRDefault="00DD2C59" w:rsidP="00616FE1">
      <w:pPr>
        <w:spacing w:after="0"/>
        <w:jc w:val="both"/>
        <w:rPr>
          <w:rFonts w:ascii="Arial" w:hAnsi="Arial" w:cs="Arial"/>
        </w:rPr>
      </w:pPr>
      <w:r>
        <w:rPr>
          <w:rFonts w:ascii="Arial" w:hAnsi="Arial" w:cs="Arial"/>
        </w:rPr>
        <w:lastRenderedPageBreak/>
        <w:t>Por ramas de actividad, el comercio, la administración pública y defensa y la industrial fueron los sectores con mayor contribución a la ocupación. En conjunto estos tres sectores</w:t>
      </w:r>
      <w:r w:rsidR="00A77D64">
        <w:rPr>
          <w:rFonts w:ascii="Arial" w:hAnsi="Arial" w:cs="Arial"/>
        </w:rPr>
        <w:t xml:space="preserve"> representaron el 47.5% del total de ocupados en Bogotá. En contraste, el sector de alojamiento y servicios de comida redujo su nivel de ocupación frente al mismo trimestre del año anterior, con una pérdida aproximada de 42 mil puestos de trabajo. Las actividades financieras y de seguros generaron alrededor de 34 mil empleos adicionales.</w:t>
      </w:r>
      <w:r w:rsidR="00C7449C">
        <w:rPr>
          <w:rFonts w:ascii="Arial" w:hAnsi="Arial" w:cs="Arial"/>
        </w:rPr>
        <w:t xml:space="preserve"> Por su parte, la actividad de administración pública y defensa, educación y servicios de salud humana aportó la mayor cantidad </w:t>
      </w:r>
      <w:r w:rsidR="00314F67">
        <w:rPr>
          <w:rFonts w:ascii="Arial" w:hAnsi="Arial" w:cs="Arial"/>
        </w:rPr>
        <w:t>de nuevos puestos, con cerca de 79 mil nuevos puestos</w:t>
      </w:r>
      <w:r w:rsidR="006E61A8">
        <w:rPr>
          <w:rFonts w:ascii="Arial" w:hAnsi="Arial" w:cs="Arial"/>
        </w:rPr>
        <w:t>.</w:t>
      </w:r>
    </w:p>
    <w:p w14:paraId="3B58F9EA" w14:textId="77777777" w:rsidR="00DD2C59" w:rsidRDefault="00DD2C59" w:rsidP="00616FE1">
      <w:pPr>
        <w:spacing w:after="0"/>
        <w:jc w:val="both"/>
        <w:rPr>
          <w:rFonts w:ascii="Arial" w:hAnsi="Arial" w:cs="Arial"/>
        </w:rPr>
      </w:pPr>
    </w:p>
    <w:p w14:paraId="03DF2EA2" w14:textId="41144A27" w:rsidR="00145506" w:rsidRDefault="00145506" w:rsidP="00616FE1">
      <w:pPr>
        <w:autoSpaceDE w:val="0"/>
        <w:autoSpaceDN w:val="0"/>
        <w:adjustRightInd w:val="0"/>
        <w:spacing w:after="0"/>
        <w:jc w:val="both"/>
        <w:rPr>
          <w:rFonts w:ascii="Arial" w:hAnsi="Arial" w:cs="Arial"/>
          <w:lang w:eastAsia="es-CO"/>
        </w:rPr>
      </w:pPr>
      <w:r>
        <w:rPr>
          <w:rFonts w:ascii="Arial" w:hAnsi="Arial" w:cs="Arial"/>
          <w:lang w:eastAsia="es-CO"/>
        </w:rPr>
        <w:t xml:space="preserve">A diferencia del total nacional, en Bogotá, el empleo o asalariado se redujo. En </w:t>
      </w:r>
      <w:r w:rsidR="00EB4F9C">
        <w:rPr>
          <w:rFonts w:ascii="Arial" w:hAnsi="Arial" w:cs="Arial"/>
          <w:lang w:eastAsia="es-CO"/>
        </w:rPr>
        <w:t>comparación</w:t>
      </w:r>
      <w:r>
        <w:rPr>
          <w:rFonts w:ascii="Arial" w:hAnsi="Arial" w:cs="Arial"/>
          <w:lang w:eastAsia="es-CO"/>
        </w:rPr>
        <w:t xml:space="preserve">, el empleo asalariado aumentó, impulsado principalmente por las categorías de trabajo obrero y empleado del gobierno. La </w:t>
      </w:r>
      <w:r w:rsidR="00BB4FE8">
        <w:rPr>
          <w:rFonts w:ascii="Arial" w:hAnsi="Arial" w:cs="Arial"/>
          <w:lang w:eastAsia="es-CO"/>
        </w:rPr>
        <w:t>clasificación de obrero o empleado particular concentró el 58.3% del total de ocupados con un aumento del 1.3 puntos porcentuales en su participación frente al mismo periodo del año anterior.</w:t>
      </w:r>
      <w:r w:rsidR="00BF2083">
        <w:rPr>
          <w:rFonts w:ascii="Arial" w:hAnsi="Arial" w:cs="Arial"/>
          <w:lang w:eastAsia="es-CO"/>
        </w:rPr>
        <w:t xml:space="preserve"> Este componente fue consistente con la disminución de la informalidad en Bogotá, que se consolidó como u</w:t>
      </w:r>
      <w:r w:rsidR="00EB4F9C">
        <w:rPr>
          <w:rFonts w:ascii="Arial" w:hAnsi="Arial" w:cs="Arial"/>
          <w:lang w:eastAsia="es-CO"/>
        </w:rPr>
        <w:t>n</w:t>
      </w:r>
      <w:r w:rsidR="00BF2083">
        <w:rPr>
          <w:rFonts w:ascii="Arial" w:hAnsi="Arial" w:cs="Arial"/>
          <w:lang w:eastAsia="es-CO"/>
        </w:rPr>
        <w:t>a ciudad con</w:t>
      </w:r>
      <w:r w:rsidR="00EB4F9C">
        <w:rPr>
          <w:rFonts w:ascii="Arial" w:hAnsi="Arial" w:cs="Arial"/>
          <w:lang w:eastAsia="es-CO"/>
        </w:rPr>
        <w:t xml:space="preserve"> </w:t>
      </w:r>
      <w:r w:rsidR="00BF2083">
        <w:rPr>
          <w:rFonts w:ascii="Arial" w:hAnsi="Arial" w:cs="Arial"/>
          <w:lang w:eastAsia="es-CO"/>
        </w:rPr>
        <w:t>la menor tasa de informalidad del país, seguida por Tunja y Manizales.</w:t>
      </w:r>
      <w:r w:rsidR="00B75B07">
        <w:rPr>
          <w:rStyle w:val="Refdenotaalpie"/>
          <w:rFonts w:ascii="Arial" w:hAnsi="Arial" w:cs="Arial"/>
          <w:lang w:eastAsia="es-CO"/>
        </w:rPr>
        <w:footnoteReference w:id="20"/>
      </w:r>
    </w:p>
    <w:p w14:paraId="2CB3D893" w14:textId="77777777" w:rsidR="009C681A" w:rsidRDefault="009C681A" w:rsidP="00616FE1">
      <w:pPr>
        <w:autoSpaceDE w:val="0"/>
        <w:autoSpaceDN w:val="0"/>
        <w:adjustRightInd w:val="0"/>
        <w:spacing w:after="0"/>
        <w:jc w:val="both"/>
        <w:rPr>
          <w:rFonts w:ascii="Arial" w:hAnsi="Arial" w:cs="Arial"/>
          <w:lang w:eastAsia="es-CO"/>
        </w:rPr>
      </w:pPr>
    </w:p>
    <w:p w14:paraId="59B18CFB" w14:textId="696437B4" w:rsidR="006D374A" w:rsidRPr="00C76457" w:rsidRDefault="00393391" w:rsidP="00616FE1">
      <w:pPr>
        <w:autoSpaceDE w:val="0"/>
        <w:autoSpaceDN w:val="0"/>
        <w:adjustRightInd w:val="0"/>
        <w:spacing w:after="0"/>
        <w:jc w:val="center"/>
        <w:rPr>
          <w:rFonts w:ascii="Arial" w:hAnsi="Arial" w:cs="Arial"/>
          <w:lang w:eastAsia="es-CO"/>
        </w:rPr>
      </w:pPr>
      <w:r w:rsidRPr="00393391">
        <w:rPr>
          <w:noProof/>
        </w:rPr>
        <w:t xml:space="preserve"> </w:t>
      </w:r>
      <w:r w:rsidR="009C681A" w:rsidRPr="009C681A">
        <w:rPr>
          <w:noProof/>
        </w:rPr>
        <w:drawing>
          <wp:inline distT="0" distB="0" distL="0" distR="0" wp14:anchorId="44B9DB6B" wp14:editId="1B2BFFA8">
            <wp:extent cx="5202090" cy="2518640"/>
            <wp:effectExtent l="0" t="0" r="0" b="0"/>
            <wp:docPr id="1887408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08038" name=""/>
                    <pic:cNvPicPr/>
                  </pic:nvPicPr>
                  <pic:blipFill>
                    <a:blip r:embed="rId25"/>
                    <a:stretch>
                      <a:fillRect/>
                    </a:stretch>
                  </pic:blipFill>
                  <pic:spPr>
                    <a:xfrm>
                      <a:off x="0" y="0"/>
                      <a:ext cx="5208944" cy="2521958"/>
                    </a:xfrm>
                    <a:prstGeom prst="rect">
                      <a:avLst/>
                    </a:prstGeom>
                  </pic:spPr>
                </pic:pic>
              </a:graphicData>
            </a:graphic>
          </wp:inline>
        </w:drawing>
      </w:r>
    </w:p>
    <w:p w14:paraId="4866B672" w14:textId="77777777" w:rsidR="009C681A" w:rsidRPr="00646F6B" w:rsidRDefault="002F7D42" w:rsidP="009C681A">
      <w:pPr>
        <w:pStyle w:val="Textonotapie"/>
        <w:rPr>
          <w:lang w:val="es-ES"/>
        </w:rPr>
      </w:pPr>
      <w:r w:rsidRPr="00C76457">
        <w:rPr>
          <w:rFonts w:cs="Arial"/>
          <w:b/>
          <w:sz w:val="16"/>
          <w:szCs w:val="16"/>
        </w:rPr>
        <w:t>Fuente:</w:t>
      </w:r>
      <w:r w:rsidRPr="00C76457">
        <w:rPr>
          <w:rFonts w:cs="Arial"/>
          <w:sz w:val="16"/>
          <w:szCs w:val="16"/>
        </w:rPr>
        <w:t xml:space="preserve"> </w:t>
      </w:r>
      <w:r w:rsidR="009C681A" w:rsidRPr="00290D26">
        <w:rPr>
          <w:sz w:val="16"/>
          <w:szCs w:val="16"/>
        </w:rPr>
        <w:t>Banco de la República. Boletín Económico Regional: Bogotá, II trimestre de 2026</w:t>
      </w:r>
      <w:r w:rsidR="009C681A">
        <w:rPr>
          <w:sz w:val="16"/>
          <w:szCs w:val="16"/>
        </w:rPr>
        <w:t xml:space="preserve">. Fecha publicación: 8 de septiembre 2026. Fecha consulta: 5 de octubre 2026. </w:t>
      </w:r>
      <w:hyperlink r:id="rId26" w:history="1">
        <w:r w:rsidR="009C681A" w:rsidRPr="00B25DC6">
          <w:rPr>
            <w:rStyle w:val="Hipervnculo"/>
            <w:sz w:val="16"/>
            <w:szCs w:val="16"/>
          </w:rPr>
          <w:t>https://www.banrep.gov.co/es/publicaciones-investigaciones/boletin-economico-regional/bogota-2-trimestre-2026</w:t>
        </w:r>
      </w:hyperlink>
      <w:r w:rsidR="009C681A" w:rsidRPr="00290D26">
        <w:rPr>
          <w:sz w:val="16"/>
          <w:szCs w:val="16"/>
        </w:rPr>
        <w:t xml:space="preserve"> </w:t>
      </w:r>
    </w:p>
    <w:p w14:paraId="1112B6E2" w14:textId="277221F0" w:rsidR="002F7D42" w:rsidRPr="009C681A" w:rsidRDefault="002F7D42" w:rsidP="00616FE1">
      <w:pPr>
        <w:spacing w:after="0"/>
        <w:jc w:val="both"/>
        <w:rPr>
          <w:rFonts w:ascii="Arial" w:hAnsi="Arial" w:cs="Arial"/>
          <w:sz w:val="16"/>
          <w:szCs w:val="16"/>
          <w:lang w:val="es-ES"/>
        </w:rPr>
      </w:pPr>
    </w:p>
    <w:p w14:paraId="7DF61C31" w14:textId="77777777" w:rsidR="00CF7431" w:rsidRPr="00C76457" w:rsidRDefault="00CF7431" w:rsidP="00616FE1">
      <w:pPr>
        <w:spacing w:after="0"/>
        <w:jc w:val="both"/>
        <w:rPr>
          <w:rFonts w:ascii="Arial" w:hAnsi="Arial" w:cs="Arial"/>
          <w:sz w:val="16"/>
          <w:szCs w:val="16"/>
        </w:rPr>
      </w:pPr>
    </w:p>
    <w:p w14:paraId="56FBEF5A" w14:textId="5D89A914" w:rsidR="006B496A" w:rsidRDefault="0026748F" w:rsidP="006B496A">
      <w:pPr>
        <w:autoSpaceDE w:val="0"/>
        <w:autoSpaceDN w:val="0"/>
        <w:adjustRightInd w:val="0"/>
        <w:spacing w:after="0"/>
        <w:jc w:val="both"/>
        <w:rPr>
          <w:rFonts w:ascii="Arial" w:hAnsi="Arial" w:cs="Arial"/>
        </w:rPr>
      </w:pPr>
      <w:r w:rsidRPr="0026748F">
        <w:rPr>
          <w:rFonts w:ascii="Arial" w:hAnsi="Arial" w:cs="Arial"/>
        </w:rPr>
        <w:t xml:space="preserve">El mercado laboral del sector construcción ha mostrado una recuperación gradual durante 2026, impulsada principalmente por la ejecución de proyectos de infraestructura y obras civiles. De acuerdo con la información más reciente de la Gran Encuesta Integrada de Hogares (GEIH) del DANE, publicada el 30 de septiembre de 2026, la construcción se ubicó entre las actividades económicas que registraron incrementos en el número de personas </w:t>
      </w:r>
      <w:r w:rsidRPr="0026748F">
        <w:rPr>
          <w:rFonts w:ascii="Arial" w:hAnsi="Arial" w:cs="Arial"/>
        </w:rPr>
        <w:lastRenderedPageBreak/>
        <w:t>ocupadas durante agosto de 2026, en contraste con el comportamiento general del mercado laboral nacional, donde la población ocupada se redujo en aproximadamente 126.000 personas frente al mismo mes del año anterior. Asimismo, el sector continuó aportando de manera significativa a la generación de empleo, consolidándose como una de las actividades con mayor capacidad de absorción de mano de obra en el país.</w:t>
      </w:r>
      <w:r w:rsidR="006B496A">
        <w:rPr>
          <w:rFonts w:ascii="Arial" w:hAnsi="Arial" w:cs="Arial"/>
        </w:rPr>
        <w:t xml:space="preserve"> </w:t>
      </w:r>
      <w:r w:rsidR="006B496A">
        <w:rPr>
          <w:rStyle w:val="Refdenotaalpie"/>
          <w:rFonts w:ascii="Arial" w:hAnsi="Arial" w:cs="Arial"/>
        </w:rPr>
        <w:footnoteReference w:id="21"/>
      </w:r>
    </w:p>
    <w:p w14:paraId="79BDD2AB" w14:textId="77777777" w:rsidR="006B496A" w:rsidRDefault="006B496A" w:rsidP="006B496A">
      <w:pPr>
        <w:autoSpaceDE w:val="0"/>
        <w:autoSpaceDN w:val="0"/>
        <w:adjustRightInd w:val="0"/>
        <w:spacing w:after="0"/>
        <w:jc w:val="both"/>
        <w:rPr>
          <w:rFonts w:ascii="Arial" w:hAnsi="Arial" w:cs="Arial"/>
        </w:rPr>
      </w:pPr>
    </w:p>
    <w:p w14:paraId="390A60E7" w14:textId="745A26AF" w:rsidR="006B496A" w:rsidRDefault="0026748F" w:rsidP="006B496A">
      <w:pPr>
        <w:autoSpaceDE w:val="0"/>
        <w:autoSpaceDN w:val="0"/>
        <w:adjustRightInd w:val="0"/>
        <w:spacing w:after="0"/>
        <w:jc w:val="both"/>
        <w:rPr>
          <w:rFonts w:ascii="Arial" w:hAnsi="Arial" w:cs="Arial"/>
        </w:rPr>
      </w:pPr>
      <w:r w:rsidRPr="0026748F">
        <w:rPr>
          <w:rFonts w:ascii="Arial" w:hAnsi="Arial" w:cs="Arial"/>
        </w:rPr>
        <w:t>En el caso de Bogotá, la evolución reciente del empleo en construcción ha estado estrechamente relacionada con el avance de proyectos estratégicos de infraestructura urbana y movilidad. No obstante, la dinámica del subsector edificador continúa enfrentando desafíos asociados al menor ritmo de iniciaciones y ventas de vivienda nueva. En este contexto, la sostenibilidad del crecimiento del empleo sectorial dependerá de la continuidad de las inversiones en infraestructura, así como de la recuperación gradual del mercado inmobiliario y de edificaciones residenciales.</w:t>
      </w:r>
    </w:p>
    <w:p w14:paraId="0EF8208F" w14:textId="77777777" w:rsidR="0026748F" w:rsidRDefault="0026748F" w:rsidP="006B496A">
      <w:pPr>
        <w:autoSpaceDE w:val="0"/>
        <w:autoSpaceDN w:val="0"/>
        <w:adjustRightInd w:val="0"/>
        <w:spacing w:after="0"/>
        <w:jc w:val="both"/>
        <w:rPr>
          <w:rFonts w:ascii="Arial" w:hAnsi="Arial" w:cs="Arial"/>
        </w:rPr>
      </w:pPr>
    </w:p>
    <w:p w14:paraId="56256F2E" w14:textId="1416BB86" w:rsidR="0026748F" w:rsidRPr="0026748F" w:rsidRDefault="0026748F" w:rsidP="0026748F">
      <w:pPr>
        <w:autoSpaceDE w:val="0"/>
        <w:autoSpaceDN w:val="0"/>
        <w:adjustRightInd w:val="0"/>
        <w:spacing w:after="0"/>
        <w:jc w:val="both"/>
        <w:rPr>
          <w:rFonts w:ascii="Arial" w:hAnsi="Arial" w:cs="Arial"/>
        </w:rPr>
      </w:pPr>
      <w:r w:rsidRPr="0026748F">
        <w:rPr>
          <w:rFonts w:ascii="Arial" w:hAnsi="Arial" w:cs="Arial"/>
        </w:rPr>
        <w:t>En el ámbito regional, el Banco de la República indicó que durante el segundo trimestre de 2026 las obras civiles en Bogotá-Cundinamarca mantuvieron un ritmo significativo de ejecución, impulsadas principalmente por proyectos estratégicos de movilidad e infraestructura urbana. Sin embargo, la actividad residencial continuó mostrando debilidad, reflejada en menores niveles de construcción, iniciaciones y ventas de vivienda nueva. Este comportamiento evidencia que la evolución futura del empleo sectorial dependerá en gran medida de la continuidad de las inversiones en infraestructura y de la recuperación gradual de la actividad edificadora, particularmente en el mercado de vivienda.</w:t>
      </w:r>
      <w:r>
        <w:rPr>
          <w:rFonts w:ascii="Arial" w:hAnsi="Arial" w:cs="Arial"/>
        </w:rPr>
        <w:t xml:space="preserve"> </w:t>
      </w:r>
      <w:r>
        <w:rPr>
          <w:rStyle w:val="Refdenotaalpie"/>
          <w:rFonts w:ascii="Arial" w:hAnsi="Arial" w:cs="Arial"/>
        </w:rPr>
        <w:footnoteReference w:id="22"/>
      </w:r>
    </w:p>
    <w:p w14:paraId="7E8CE452" w14:textId="77777777" w:rsidR="006B496A" w:rsidRDefault="006B496A" w:rsidP="006B496A">
      <w:pPr>
        <w:autoSpaceDE w:val="0"/>
        <w:autoSpaceDN w:val="0"/>
        <w:adjustRightInd w:val="0"/>
        <w:spacing w:after="0"/>
        <w:jc w:val="both"/>
        <w:rPr>
          <w:rFonts w:ascii="Arial" w:hAnsi="Arial" w:cs="Arial"/>
        </w:rPr>
      </w:pPr>
    </w:p>
    <w:p w14:paraId="7E110813" w14:textId="6800CDE1" w:rsidR="00936AF0" w:rsidRDefault="00936AF0" w:rsidP="006B496A">
      <w:pPr>
        <w:autoSpaceDE w:val="0"/>
        <w:autoSpaceDN w:val="0"/>
        <w:adjustRightInd w:val="0"/>
        <w:spacing w:after="0"/>
        <w:jc w:val="both"/>
        <w:rPr>
          <w:rFonts w:ascii="Arial" w:hAnsi="Arial" w:cs="Arial"/>
        </w:rPr>
      </w:pPr>
      <w:r w:rsidRPr="00936AF0">
        <w:rPr>
          <w:rFonts w:ascii="Arial" w:hAnsi="Arial" w:cs="Arial"/>
        </w:rPr>
        <w:t>El mercado laboral del sector construcción en Bogotá presenta, en los periodos más recientes, un comportamiento contractivo y volátil, en línea con la desaceleración del subsector edificador. De acuerdo con cálculos de CAMACOL con base en el DANE, para el trimestre móvil diciembre de 2025 – febrero de 2026, Bogotá registró una variación negativa en la generación de empleo en construcción cercana a -12,9 mil ocupados, ubicándose entre las ciudades con caída en el empleo sectorial. A nivel agregado, las principales ciudades del país reportaron una reducción de 35,5 mil empleos en construcción, lo que evidencia un ajuste generalizado del mercado laboral sectoria</w:t>
      </w:r>
      <w:r>
        <w:rPr>
          <w:rFonts w:ascii="Arial" w:hAnsi="Arial" w:cs="Arial"/>
        </w:rPr>
        <w:t xml:space="preserve">l. </w:t>
      </w:r>
      <w:r>
        <w:rPr>
          <w:rStyle w:val="Refdenotaalpie"/>
          <w:rFonts w:ascii="Arial" w:hAnsi="Arial" w:cs="Arial"/>
        </w:rPr>
        <w:footnoteReference w:id="23"/>
      </w:r>
    </w:p>
    <w:p w14:paraId="54CBB578" w14:textId="1F32E521" w:rsidR="00E27553" w:rsidRPr="00C76457" w:rsidRDefault="000028D1" w:rsidP="0026748F">
      <w:pPr>
        <w:autoSpaceDE w:val="0"/>
        <w:autoSpaceDN w:val="0"/>
        <w:adjustRightInd w:val="0"/>
        <w:spacing w:after="0"/>
        <w:jc w:val="center"/>
        <w:rPr>
          <w:rFonts w:ascii="Arial" w:hAnsi="Arial" w:cs="Arial"/>
          <w:lang w:eastAsia="es-CO"/>
        </w:rPr>
      </w:pPr>
      <w:r w:rsidRPr="00C76457">
        <w:rPr>
          <w:rFonts w:ascii="Arial" w:hAnsi="Arial" w:cs="Arial"/>
          <w:noProof/>
          <w:lang w:eastAsia="es-CO"/>
        </w:rPr>
        <w:lastRenderedPageBreak/>
        <w:drawing>
          <wp:inline distT="0" distB="0" distL="0" distR="0" wp14:anchorId="0626CB29" wp14:editId="26681F15">
            <wp:extent cx="4972757" cy="2574151"/>
            <wp:effectExtent l="0" t="0" r="0" b="0"/>
            <wp:docPr id="1662605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05724" name=""/>
                    <pic:cNvPicPr/>
                  </pic:nvPicPr>
                  <pic:blipFill>
                    <a:blip r:embed="rId27"/>
                    <a:stretch>
                      <a:fillRect/>
                    </a:stretch>
                  </pic:blipFill>
                  <pic:spPr>
                    <a:xfrm>
                      <a:off x="0" y="0"/>
                      <a:ext cx="5094534" cy="2637189"/>
                    </a:xfrm>
                    <a:prstGeom prst="rect">
                      <a:avLst/>
                    </a:prstGeom>
                  </pic:spPr>
                </pic:pic>
              </a:graphicData>
            </a:graphic>
          </wp:inline>
        </w:drawing>
      </w:r>
    </w:p>
    <w:p w14:paraId="0E3E1CDB" w14:textId="0BFF8DD0" w:rsidR="00BA4AAE" w:rsidRPr="00C76457" w:rsidRDefault="00BA4AAE" w:rsidP="00616FE1">
      <w:pPr>
        <w:spacing w:after="0"/>
        <w:rPr>
          <w:rFonts w:ascii="Arial" w:hAnsi="Arial" w:cs="Arial"/>
        </w:rPr>
      </w:pPr>
      <w:r w:rsidRPr="00C76457">
        <w:rPr>
          <w:rFonts w:ascii="Arial" w:hAnsi="Arial" w:cs="Arial"/>
          <w:b/>
          <w:sz w:val="16"/>
          <w:szCs w:val="16"/>
        </w:rPr>
        <w:t>Fuente</w:t>
      </w:r>
      <w:r w:rsidRPr="00C76457">
        <w:rPr>
          <w:rFonts w:ascii="Arial" w:hAnsi="Arial" w:cs="Arial"/>
          <w:sz w:val="16"/>
          <w:szCs w:val="16"/>
        </w:rPr>
        <w:t>: Camacol – Informe de Actividad Edificadora -</w:t>
      </w:r>
      <w:r w:rsidR="008F3590">
        <w:rPr>
          <w:rFonts w:ascii="Arial" w:hAnsi="Arial" w:cs="Arial"/>
          <w:sz w:val="16"/>
          <w:szCs w:val="16"/>
        </w:rPr>
        <w:t xml:space="preserve"> </w:t>
      </w:r>
      <w:r w:rsidR="007E01BF" w:rsidRPr="00C76457">
        <w:rPr>
          <w:rFonts w:ascii="Arial" w:hAnsi="Arial" w:cs="Arial"/>
          <w:sz w:val="16"/>
          <w:szCs w:val="16"/>
        </w:rPr>
        <w:t>abril</w:t>
      </w:r>
      <w:r w:rsidRPr="00C76457">
        <w:rPr>
          <w:rFonts w:ascii="Arial" w:hAnsi="Arial" w:cs="Arial"/>
          <w:sz w:val="16"/>
          <w:szCs w:val="16"/>
        </w:rPr>
        <w:t xml:space="preserve"> 202</w:t>
      </w:r>
      <w:r w:rsidR="007E01BF" w:rsidRPr="00C76457">
        <w:rPr>
          <w:rFonts w:ascii="Arial" w:hAnsi="Arial" w:cs="Arial"/>
          <w:sz w:val="16"/>
          <w:szCs w:val="16"/>
        </w:rPr>
        <w:t>6</w:t>
      </w:r>
      <w:r w:rsidRPr="00C76457">
        <w:rPr>
          <w:rFonts w:ascii="Arial" w:hAnsi="Arial" w:cs="Arial"/>
          <w:sz w:val="16"/>
          <w:szCs w:val="16"/>
        </w:rPr>
        <w:t xml:space="preserve">. Fecha de publicación: </w:t>
      </w:r>
      <w:r w:rsidR="00560122" w:rsidRPr="00C76457">
        <w:rPr>
          <w:rFonts w:ascii="Arial" w:hAnsi="Arial" w:cs="Arial"/>
          <w:sz w:val="16"/>
          <w:szCs w:val="16"/>
        </w:rPr>
        <w:t xml:space="preserve">Abril </w:t>
      </w:r>
      <w:r w:rsidRPr="00C76457">
        <w:rPr>
          <w:rFonts w:ascii="Arial" w:hAnsi="Arial" w:cs="Arial"/>
          <w:sz w:val="16"/>
          <w:szCs w:val="16"/>
        </w:rPr>
        <w:t>de 202</w:t>
      </w:r>
      <w:r w:rsidR="00560122" w:rsidRPr="00C76457">
        <w:rPr>
          <w:rFonts w:ascii="Arial" w:hAnsi="Arial" w:cs="Arial"/>
          <w:sz w:val="16"/>
          <w:szCs w:val="16"/>
        </w:rPr>
        <w:t>6</w:t>
      </w:r>
      <w:r w:rsidRPr="00C76457">
        <w:rPr>
          <w:rFonts w:ascii="Arial" w:hAnsi="Arial" w:cs="Arial"/>
          <w:sz w:val="16"/>
          <w:szCs w:val="16"/>
        </w:rPr>
        <w:t xml:space="preserve">, Fecha de consulta </w:t>
      </w:r>
      <w:r w:rsidR="00872745" w:rsidRPr="00C76457">
        <w:rPr>
          <w:rFonts w:ascii="Arial" w:hAnsi="Arial" w:cs="Arial"/>
          <w:sz w:val="16"/>
          <w:szCs w:val="16"/>
        </w:rPr>
        <w:t>08</w:t>
      </w:r>
      <w:r w:rsidRPr="00C76457">
        <w:rPr>
          <w:rFonts w:ascii="Arial" w:hAnsi="Arial" w:cs="Arial"/>
          <w:sz w:val="16"/>
          <w:szCs w:val="16"/>
        </w:rPr>
        <w:t xml:space="preserve"> de </w:t>
      </w:r>
      <w:r w:rsidR="00872745" w:rsidRPr="00C76457">
        <w:rPr>
          <w:rFonts w:ascii="Arial" w:hAnsi="Arial" w:cs="Arial"/>
          <w:sz w:val="16"/>
          <w:szCs w:val="16"/>
        </w:rPr>
        <w:t>mayo</w:t>
      </w:r>
      <w:r w:rsidRPr="00C76457">
        <w:rPr>
          <w:rFonts w:ascii="Arial" w:hAnsi="Arial" w:cs="Arial"/>
          <w:sz w:val="16"/>
          <w:szCs w:val="16"/>
        </w:rPr>
        <w:t xml:space="preserve">. </w:t>
      </w:r>
      <w:hyperlink r:id="rId28" w:history="1">
        <w:r w:rsidR="00B21183" w:rsidRPr="00C76457">
          <w:rPr>
            <w:rStyle w:val="Hipervnculo"/>
            <w:rFonts w:ascii="Arial" w:hAnsi="Arial" w:cs="Arial"/>
            <w:sz w:val="16"/>
            <w:szCs w:val="16"/>
          </w:rPr>
          <w:t>https://camacol.co/sites/default/files/descargables/IAE%20-%20Abr26.pdf</w:t>
        </w:r>
      </w:hyperlink>
      <w:r w:rsidR="00B21183" w:rsidRPr="00C76457">
        <w:rPr>
          <w:rFonts w:ascii="Arial" w:hAnsi="Arial" w:cs="Arial"/>
        </w:rPr>
        <w:t xml:space="preserve"> </w:t>
      </w:r>
    </w:p>
    <w:p w14:paraId="43EA856E" w14:textId="77777777" w:rsidR="00554BFC" w:rsidRDefault="00554BFC" w:rsidP="00616FE1">
      <w:pPr>
        <w:spacing w:after="0"/>
        <w:jc w:val="both"/>
        <w:rPr>
          <w:rFonts w:ascii="Arial" w:hAnsi="Arial" w:cs="Arial"/>
        </w:rPr>
      </w:pPr>
    </w:p>
    <w:p w14:paraId="2EDF0C9A" w14:textId="654FDD52" w:rsidR="00F43158" w:rsidRPr="00C76457" w:rsidRDefault="00E15568" w:rsidP="00616FE1">
      <w:pPr>
        <w:spacing w:after="0"/>
        <w:jc w:val="both"/>
        <w:rPr>
          <w:rFonts w:ascii="Arial" w:hAnsi="Arial" w:cs="Arial"/>
        </w:rPr>
      </w:pPr>
      <w:r w:rsidRPr="00C76457">
        <w:rPr>
          <w:rFonts w:ascii="Arial" w:hAnsi="Arial" w:cs="Arial"/>
        </w:rPr>
        <w:t>Esta pérdida de empleo se vincula directamente con el ciclo económico del sector edificador, el cual acumula más de dos años de contracciones consecutivas en su valor agregado, según el mismo informe técnico. La reducción en iniciaciones de obra (</w:t>
      </w:r>
      <w:r w:rsidRPr="00C76457">
        <w:rPr>
          <w:rFonts w:ascii="Cambria Math" w:hAnsi="Cambria Math" w:cs="Cambria Math"/>
        </w:rPr>
        <w:t>‑</w:t>
      </w:r>
      <w:r w:rsidRPr="00C76457">
        <w:rPr>
          <w:rFonts w:ascii="Arial" w:hAnsi="Arial" w:cs="Arial"/>
        </w:rPr>
        <w:t>31,3% a doce meses) y el debilitamiento en la actividad de vivienda afectan la demanda de mano de obra, particularmente en ocupaciones asociadas a obra gris, acabados y actividades especializadas. En Bogotá, aunque la ciudad concentra una proporción significativa de la actividad constructiva nacional, esta contracción ha tenido efectos directos sobre la estabilidad del empleo.</w:t>
      </w:r>
    </w:p>
    <w:p w14:paraId="5B34F39A" w14:textId="77777777" w:rsidR="00FF32C3" w:rsidRPr="00C76457" w:rsidRDefault="00FF32C3" w:rsidP="00616FE1">
      <w:pPr>
        <w:spacing w:after="0"/>
        <w:jc w:val="both"/>
        <w:rPr>
          <w:rFonts w:ascii="Arial" w:hAnsi="Arial" w:cs="Arial"/>
          <w:sz w:val="20"/>
          <w:szCs w:val="20"/>
        </w:rPr>
      </w:pPr>
    </w:p>
    <w:p w14:paraId="682CC1CC" w14:textId="29E8771D" w:rsidR="00FF32C3" w:rsidRPr="00C76457" w:rsidRDefault="00951A08" w:rsidP="00616FE1">
      <w:pPr>
        <w:spacing w:after="0"/>
        <w:jc w:val="both"/>
        <w:rPr>
          <w:rFonts w:ascii="Arial" w:hAnsi="Arial" w:cs="Arial"/>
        </w:rPr>
      </w:pPr>
      <w:r>
        <w:rPr>
          <w:rFonts w:ascii="Arial" w:hAnsi="Arial" w:cs="Arial"/>
        </w:rPr>
        <w:t>En ese sentido</w:t>
      </w:r>
      <w:r w:rsidR="00FF32C3" w:rsidRPr="00C76457">
        <w:rPr>
          <w:rFonts w:ascii="Arial" w:hAnsi="Arial" w:cs="Arial"/>
        </w:rPr>
        <w:t>, el mercado laboral del sector en Bogotá evidencia una alta dependencia de la dinámica de inversión en infraestructura y del comportamiento del mercado inmobiliario. A pesar de que ciertos indicadores muestran recuperación en segmentos no residenciales y obras civiles, el desempeño agregando sigue condicionado por la caída en edificaciones residenciales, lo que limita la capacidad del sector para sostener niveles de empleo estables en el corto plazo. En este contexto, el empleo en construcción en la ciudad refleja una transición hacia esquemas más dependientes de la inversión pública y proyectos de gran escala, como determinantes de la demanda laboral sectorial. </w:t>
      </w:r>
    </w:p>
    <w:p w14:paraId="4DD88F42" w14:textId="77777777" w:rsidR="00FF32C3" w:rsidRPr="00C76457" w:rsidRDefault="00FF32C3" w:rsidP="00616FE1">
      <w:pPr>
        <w:spacing w:after="0"/>
        <w:jc w:val="both"/>
        <w:rPr>
          <w:rFonts w:ascii="Arial" w:hAnsi="Arial" w:cs="Arial"/>
          <w:sz w:val="20"/>
          <w:szCs w:val="20"/>
        </w:rPr>
      </w:pPr>
    </w:p>
    <w:p w14:paraId="61624491" w14:textId="77777777" w:rsidR="00AF0673" w:rsidRDefault="00AF0673" w:rsidP="00A357EF">
      <w:pPr>
        <w:spacing w:after="0"/>
        <w:jc w:val="both"/>
        <w:rPr>
          <w:rFonts w:ascii="Arial" w:hAnsi="Arial" w:cs="Arial"/>
          <w:b/>
          <w:bCs/>
          <w:u w:val="single"/>
        </w:rPr>
      </w:pPr>
    </w:p>
    <w:p w14:paraId="5E4F169B" w14:textId="4DDE39F5" w:rsidR="00296A4D" w:rsidRPr="00C76457" w:rsidRDefault="00504C57" w:rsidP="00616FE1">
      <w:pPr>
        <w:spacing w:after="0"/>
        <w:jc w:val="both"/>
        <w:rPr>
          <w:rFonts w:ascii="Arial" w:hAnsi="Arial" w:cs="Arial"/>
          <w:b/>
          <w:bCs/>
          <w:u w:val="single"/>
        </w:rPr>
      </w:pPr>
      <w:r w:rsidRPr="00C76457">
        <w:rPr>
          <w:rFonts w:ascii="Arial" w:hAnsi="Arial" w:cs="Arial"/>
          <w:b/>
          <w:bCs/>
          <w:u w:val="single"/>
        </w:rPr>
        <w:t xml:space="preserve">Mercado laboral </w:t>
      </w:r>
      <w:r w:rsidR="00025C11" w:rsidRPr="00C76457">
        <w:rPr>
          <w:rFonts w:ascii="Arial" w:hAnsi="Arial" w:cs="Arial"/>
          <w:b/>
          <w:bCs/>
          <w:u w:val="single"/>
        </w:rPr>
        <w:t>para el</w:t>
      </w:r>
      <w:r w:rsidRPr="00C76457">
        <w:rPr>
          <w:rFonts w:ascii="Arial" w:hAnsi="Arial" w:cs="Arial"/>
          <w:b/>
          <w:bCs/>
          <w:u w:val="single"/>
        </w:rPr>
        <w:t xml:space="preserve"> </w:t>
      </w:r>
      <w:r w:rsidR="00296A4D" w:rsidRPr="00C76457">
        <w:rPr>
          <w:rFonts w:ascii="Arial" w:hAnsi="Arial" w:cs="Arial"/>
          <w:b/>
          <w:bCs/>
          <w:u w:val="single"/>
        </w:rPr>
        <w:t>desmantelamiento industrial</w:t>
      </w:r>
      <w:r w:rsidR="009B7E9A" w:rsidRPr="00C76457">
        <w:rPr>
          <w:rFonts w:ascii="Arial" w:hAnsi="Arial" w:cs="Arial"/>
          <w:b/>
          <w:bCs/>
          <w:u w:val="single"/>
        </w:rPr>
        <w:t xml:space="preserve"> y obras especializadas para hidrocarburos</w:t>
      </w:r>
    </w:p>
    <w:p w14:paraId="3AFFA3FF" w14:textId="77777777" w:rsidR="009B7E9A" w:rsidRPr="00C76457" w:rsidRDefault="009B7E9A" w:rsidP="00616FE1">
      <w:pPr>
        <w:spacing w:after="0"/>
        <w:jc w:val="both"/>
        <w:rPr>
          <w:rFonts w:ascii="Arial" w:hAnsi="Arial" w:cs="Arial"/>
          <w:sz w:val="20"/>
          <w:szCs w:val="20"/>
        </w:rPr>
      </w:pPr>
    </w:p>
    <w:p w14:paraId="2EC209F0" w14:textId="77777777" w:rsidR="00EC0E62" w:rsidRDefault="00025C11" w:rsidP="00616FE1">
      <w:pPr>
        <w:autoSpaceDE w:val="0"/>
        <w:autoSpaceDN w:val="0"/>
        <w:adjustRightInd w:val="0"/>
        <w:spacing w:after="0"/>
        <w:jc w:val="both"/>
        <w:rPr>
          <w:rFonts w:ascii="Arial" w:hAnsi="Arial" w:cs="Arial"/>
          <w:lang w:eastAsia="es-CO"/>
        </w:rPr>
      </w:pPr>
      <w:r w:rsidRPr="00C76457">
        <w:rPr>
          <w:rFonts w:ascii="Arial" w:hAnsi="Arial" w:cs="Arial"/>
          <w:lang w:eastAsia="es-CO"/>
        </w:rPr>
        <w:t xml:space="preserve">El mercado laboral en actividades de desmantelamiento industrial y obras especializadas para hidrocarburos se encuentra estrechamente vinculado al desempeño de dos grandes sectores: la construcción (particularmente actividades especializadas y obras civiles) y los servicios petroleros. </w:t>
      </w:r>
    </w:p>
    <w:p w14:paraId="6CC2635B" w14:textId="30F80808" w:rsidR="003A443C" w:rsidRPr="00C76457" w:rsidRDefault="00025C11" w:rsidP="00611118">
      <w:pPr>
        <w:autoSpaceDE w:val="0"/>
        <w:autoSpaceDN w:val="0"/>
        <w:adjustRightInd w:val="0"/>
        <w:spacing w:after="0"/>
        <w:jc w:val="both"/>
        <w:rPr>
          <w:rFonts w:ascii="Arial" w:hAnsi="Arial" w:cs="Arial"/>
          <w:lang w:eastAsia="es-CO"/>
        </w:rPr>
      </w:pPr>
      <w:r w:rsidRPr="00C76457">
        <w:rPr>
          <w:rFonts w:ascii="Arial" w:hAnsi="Arial" w:cs="Arial"/>
          <w:lang w:eastAsia="es-CO"/>
        </w:rPr>
        <w:lastRenderedPageBreak/>
        <w:t xml:space="preserve">Según el DANE, </w:t>
      </w:r>
      <w:r w:rsidR="00611118">
        <w:rPr>
          <w:rFonts w:ascii="Arial" w:hAnsi="Arial" w:cs="Arial"/>
          <w:lang w:eastAsia="es-CO"/>
        </w:rPr>
        <w:t>s</w:t>
      </w:r>
      <w:r w:rsidR="00611118" w:rsidRPr="00611118">
        <w:rPr>
          <w:rFonts w:ascii="Arial" w:hAnsi="Arial" w:cs="Arial"/>
          <w:lang w:eastAsia="es-CO"/>
        </w:rPr>
        <w:t>egún tipos de construcción, los grupos de Construcciones en minas y plantas industriales</w:t>
      </w:r>
      <w:r w:rsidR="00611118">
        <w:rPr>
          <w:rFonts w:ascii="Arial" w:hAnsi="Arial" w:cs="Arial"/>
          <w:lang w:eastAsia="es-CO"/>
        </w:rPr>
        <w:t xml:space="preserve"> </w:t>
      </w:r>
      <w:r w:rsidR="00611118" w:rsidRPr="00611118">
        <w:rPr>
          <w:rFonts w:ascii="Arial" w:hAnsi="Arial" w:cs="Arial"/>
          <w:lang w:eastAsia="es-CO"/>
        </w:rPr>
        <w:t>presentaron una variación mensual por encima del promedio nacional de (0,20%), al igual que Carreteras, calles, vías férreas y pistas de aterrizaje, puentes, carreteras elevadas y túneles (0,13%) y las Construcciones deportivas al aire libre y otras obras de ingeniería civil presentaron una variación mensual de (0,10%). Por otro lado, los grupos de Puertos, canales, presas, sistemas de riego y otras obras hidráulicas (acueductos) presentaron una variación mensual negativa de 0,19%, seguido por Tuberías para la conducción de gas a larga distancia, líneas de comunicación y cables de poder; tuberías y cables locales, y obras conexas que presentó una variación mensual negativa de 0,04%.</w:t>
      </w:r>
      <w:r w:rsidR="00611118">
        <w:rPr>
          <w:rFonts w:ascii="Arial" w:hAnsi="Arial" w:cs="Arial"/>
          <w:lang w:eastAsia="es-CO"/>
        </w:rPr>
        <w:t xml:space="preserve"> </w:t>
      </w:r>
      <w:r w:rsidR="00611118">
        <w:rPr>
          <w:rStyle w:val="Refdenotaalpie"/>
          <w:rFonts w:ascii="Arial" w:hAnsi="Arial" w:cs="Arial"/>
          <w:lang w:eastAsia="es-CO"/>
        </w:rPr>
        <w:footnoteReference w:id="24"/>
      </w:r>
    </w:p>
    <w:p w14:paraId="439A2411" w14:textId="7BECB88A" w:rsidR="00E53DB3" w:rsidRPr="00C76457" w:rsidRDefault="00611118" w:rsidP="00616FE1">
      <w:pPr>
        <w:autoSpaceDE w:val="0"/>
        <w:autoSpaceDN w:val="0"/>
        <w:adjustRightInd w:val="0"/>
        <w:spacing w:after="0"/>
        <w:jc w:val="center"/>
        <w:rPr>
          <w:rFonts w:ascii="Arial" w:hAnsi="Arial" w:cs="Arial"/>
          <w:lang w:eastAsia="es-CO"/>
        </w:rPr>
      </w:pPr>
      <w:r w:rsidRPr="00611118">
        <w:rPr>
          <w:rFonts w:ascii="Arial" w:hAnsi="Arial" w:cs="Arial"/>
          <w:noProof/>
          <w:lang w:eastAsia="es-CO"/>
        </w:rPr>
        <w:drawing>
          <wp:inline distT="0" distB="0" distL="0" distR="0" wp14:anchorId="437083B6" wp14:editId="2DA854E6">
            <wp:extent cx="5612130" cy="3316605"/>
            <wp:effectExtent l="0" t="0" r="7620" b="0"/>
            <wp:docPr id="1889925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25249" name=""/>
                    <pic:cNvPicPr/>
                  </pic:nvPicPr>
                  <pic:blipFill>
                    <a:blip r:embed="rId29"/>
                    <a:stretch>
                      <a:fillRect/>
                    </a:stretch>
                  </pic:blipFill>
                  <pic:spPr>
                    <a:xfrm>
                      <a:off x="0" y="0"/>
                      <a:ext cx="5612130" cy="3316605"/>
                    </a:xfrm>
                    <a:prstGeom prst="rect">
                      <a:avLst/>
                    </a:prstGeom>
                  </pic:spPr>
                </pic:pic>
              </a:graphicData>
            </a:graphic>
          </wp:inline>
        </w:drawing>
      </w:r>
    </w:p>
    <w:p w14:paraId="2BADE984" w14:textId="16C6A4CA" w:rsidR="005B3473" w:rsidRDefault="006B7493" w:rsidP="00616FE1">
      <w:pPr>
        <w:autoSpaceDE w:val="0"/>
        <w:autoSpaceDN w:val="0"/>
        <w:adjustRightInd w:val="0"/>
        <w:spacing w:after="0"/>
        <w:jc w:val="both"/>
        <w:rPr>
          <w:rFonts w:ascii="Arial" w:hAnsi="Arial" w:cs="Arial"/>
          <w:sz w:val="16"/>
          <w:szCs w:val="16"/>
        </w:rPr>
      </w:pPr>
      <w:r w:rsidRPr="00C76457">
        <w:rPr>
          <w:rFonts w:ascii="Arial" w:hAnsi="Arial" w:cs="Arial"/>
          <w:b/>
          <w:sz w:val="16"/>
          <w:szCs w:val="16"/>
        </w:rPr>
        <w:t>Fuente</w:t>
      </w:r>
      <w:r w:rsidRPr="00C76457">
        <w:rPr>
          <w:rFonts w:ascii="Arial" w:hAnsi="Arial" w:cs="Arial"/>
          <w:sz w:val="16"/>
          <w:szCs w:val="16"/>
        </w:rPr>
        <w:t xml:space="preserve">: DANE – Indicadores económicos alrededor de la construcción (IEAC). </w:t>
      </w:r>
      <w:r w:rsidR="009E1D1B">
        <w:rPr>
          <w:rFonts w:ascii="Arial" w:hAnsi="Arial" w:cs="Arial"/>
          <w:sz w:val="16"/>
          <w:szCs w:val="16"/>
        </w:rPr>
        <w:t xml:space="preserve">Información segundo trimestre 2026. </w:t>
      </w:r>
      <w:r w:rsidRPr="00C76457">
        <w:rPr>
          <w:rFonts w:ascii="Arial" w:hAnsi="Arial" w:cs="Arial"/>
          <w:sz w:val="16"/>
          <w:szCs w:val="16"/>
        </w:rPr>
        <w:t xml:space="preserve">Fecha de publicación 09 de </w:t>
      </w:r>
      <w:r w:rsidR="007E2BC0">
        <w:rPr>
          <w:rFonts w:ascii="Arial" w:hAnsi="Arial" w:cs="Arial"/>
          <w:sz w:val="16"/>
          <w:szCs w:val="16"/>
        </w:rPr>
        <w:t>septiembre</w:t>
      </w:r>
      <w:r w:rsidR="003A774D">
        <w:rPr>
          <w:rFonts w:ascii="Arial" w:hAnsi="Arial" w:cs="Arial"/>
          <w:sz w:val="16"/>
          <w:szCs w:val="16"/>
        </w:rPr>
        <w:t xml:space="preserve"> de 2026</w:t>
      </w:r>
      <w:r w:rsidRPr="00C76457">
        <w:rPr>
          <w:rFonts w:ascii="Arial" w:hAnsi="Arial" w:cs="Arial"/>
          <w:sz w:val="16"/>
          <w:szCs w:val="16"/>
        </w:rPr>
        <w:t xml:space="preserve">; Fecha de consulta </w:t>
      </w:r>
      <w:r w:rsidR="007E2BC0">
        <w:rPr>
          <w:rFonts w:ascii="Arial" w:hAnsi="Arial" w:cs="Arial"/>
          <w:sz w:val="16"/>
          <w:szCs w:val="16"/>
        </w:rPr>
        <w:t>5 de octubre</w:t>
      </w:r>
      <w:r w:rsidR="003A774D">
        <w:rPr>
          <w:rFonts w:ascii="Arial" w:hAnsi="Arial" w:cs="Arial"/>
          <w:sz w:val="16"/>
          <w:szCs w:val="16"/>
        </w:rPr>
        <w:t xml:space="preserve"> </w:t>
      </w:r>
      <w:r w:rsidRPr="00C76457">
        <w:rPr>
          <w:rFonts w:ascii="Arial" w:hAnsi="Arial" w:cs="Arial"/>
          <w:sz w:val="16"/>
          <w:szCs w:val="16"/>
        </w:rPr>
        <w:t xml:space="preserve">de 2026. Fuente </w:t>
      </w:r>
      <w:hyperlink r:id="rId30" w:history="1">
        <w:r w:rsidR="007E2BC0" w:rsidRPr="007E2BC0">
          <w:rPr>
            <w:rStyle w:val="Hipervnculo"/>
            <w:rFonts w:ascii="Arial" w:hAnsi="Arial" w:cs="Arial"/>
            <w:sz w:val="16"/>
            <w:szCs w:val="16"/>
          </w:rPr>
          <w:t>https://www.dane.gov.co/files/operaciones/IEAC/bol-IEAC-IItrim2026.pdf</w:t>
        </w:r>
      </w:hyperlink>
      <w:r w:rsidR="007E2BC0" w:rsidRPr="007E2BC0">
        <w:rPr>
          <w:sz w:val="16"/>
          <w:szCs w:val="16"/>
        </w:rPr>
        <w:t xml:space="preserve"> </w:t>
      </w:r>
    </w:p>
    <w:p w14:paraId="541B22B2" w14:textId="77777777" w:rsidR="006B7493" w:rsidRPr="00C76457" w:rsidRDefault="006B7493" w:rsidP="00616FE1">
      <w:pPr>
        <w:autoSpaceDE w:val="0"/>
        <w:autoSpaceDN w:val="0"/>
        <w:adjustRightInd w:val="0"/>
        <w:spacing w:after="0"/>
        <w:jc w:val="both"/>
        <w:rPr>
          <w:rFonts w:ascii="Arial" w:hAnsi="Arial" w:cs="Arial"/>
          <w:lang w:eastAsia="es-CO"/>
        </w:rPr>
      </w:pPr>
    </w:p>
    <w:p w14:paraId="2A086BD1" w14:textId="77777777" w:rsidR="002375D8" w:rsidRPr="00C76457" w:rsidRDefault="002375D8" w:rsidP="00616FE1">
      <w:pPr>
        <w:autoSpaceDE w:val="0"/>
        <w:autoSpaceDN w:val="0"/>
        <w:adjustRightInd w:val="0"/>
        <w:spacing w:after="0"/>
        <w:jc w:val="both"/>
        <w:rPr>
          <w:rFonts w:ascii="Arial" w:hAnsi="Arial" w:cs="Arial"/>
          <w:lang w:eastAsia="es-CO"/>
        </w:rPr>
      </w:pPr>
    </w:p>
    <w:p w14:paraId="33C8E058" w14:textId="0AF54D76" w:rsidR="006C2EFE" w:rsidRPr="00C76457" w:rsidRDefault="006C2EFE" w:rsidP="00616FE1">
      <w:pPr>
        <w:autoSpaceDE w:val="0"/>
        <w:autoSpaceDN w:val="0"/>
        <w:adjustRightInd w:val="0"/>
        <w:spacing w:after="0"/>
        <w:jc w:val="both"/>
        <w:rPr>
          <w:rFonts w:ascii="Arial" w:hAnsi="Arial" w:cs="Arial"/>
          <w:lang w:eastAsia="es-CO"/>
        </w:rPr>
      </w:pPr>
      <w:r w:rsidRPr="00C76457">
        <w:rPr>
          <w:rFonts w:ascii="Arial" w:hAnsi="Arial" w:cs="Arial"/>
          <w:lang w:eastAsia="es-CO"/>
        </w:rPr>
        <w:t xml:space="preserve">En paralelo, el componente </w:t>
      </w:r>
      <w:r w:rsidR="00C67E70">
        <w:rPr>
          <w:rFonts w:ascii="Arial" w:hAnsi="Arial" w:cs="Arial"/>
          <w:lang w:eastAsia="es-CO"/>
        </w:rPr>
        <w:t>con mayor</w:t>
      </w:r>
      <w:r w:rsidRPr="00C76457">
        <w:rPr>
          <w:rFonts w:ascii="Arial" w:hAnsi="Arial" w:cs="Arial"/>
          <w:lang w:eastAsia="es-CO"/>
        </w:rPr>
        <w:t xml:space="preserve"> </w:t>
      </w:r>
      <w:r w:rsidR="00C67E70" w:rsidRPr="00C76457">
        <w:rPr>
          <w:rFonts w:ascii="Arial" w:hAnsi="Arial" w:cs="Arial"/>
          <w:lang w:eastAsia="es-CO"/>
        </w:rPr>
        <w:t>relaci</w:t>
      </w:r>
      <w:r w:rsidR="00C67E70">
        <w:rPr>
          <w:rFonts w:ascii="Arial" w:hAnsi="Arial" w:cs="Arial"/>
          <w:lang w:eastAsia="es-CO"/>
        </w:rPr>
        <w:t>ón</w:t>
      </w:r>
      <w:r w:rsidR="00C67E70" w:rsidRPr="00C76457">
        <w:rPr>
          <w:rFonts w:ascii="Arial" w:hAnsi="Arial" w:cs="Arial"/>
          <w:lang w:eastAsia="es-CO"/>
        </w:rPr>
        <w:t xml:space="preserve"> </w:t>
      </w:r>
      <w:r w:rsidRPr="00C76457">
        <w:rPr>
          <w:rFonts w:ascii="Arial" w:hAnsi="Arial" w:cs="Arial"/>
          <w:lang w:eastAsia="es-CO"/>
        </w:rPr>
        <w:t xml:space="preserve">con el desmantelamiento de infraestructura de hidrocarburos corresponde al sector de bienes y servicios petroleros, donde se incluyen actividades como mantenimiento de pozos, abandono, reacondicionamiento, desmantelamiento y gestión </w:t>
      </w:r>
      <w:r w:rsidRPr="0058699C">
        <w:rPr>
          <w:rFonts w:ascii="Arial" w:hAnsi="Arial" w:cs="Arial"/>
          <w:lang w:eastAsia="es-CO"/>
        </w:rPr>
        <w:t xml:space="preserve">de activos. </w:t>
      </w:r>
      <w:r w:rsidR="0058699C" w:rsidRPr="0058699C">
        <w:rPr>
          <w:rFonts w:ascii="Arial" w:hAnsi="Arial" w:cs="Arial"/>
          <w:lang w:eastAsia="es-CO"/>
        </w:rPr>
        <w:t xml:space="preserve">Según los informes más recientes de </w:t>
      </w:r>
      <w:r w:rsidR="0058699C" w:rsidRPr="00915023">
        <w:rPr>
          <w:rFonts w:ascii="Arial" w:hAnsi="Arial" w:cs="Arial"/>
          <w:lang w:eastAsia="es-CO"/>
        </w:rPr>
        <w:t>CAMPETROL</w:t>
      </w:r>
      <w:r w:rsidR="0058699C" w:rsidRPr="0058699C">
        <w:rPr>
          <w:rFonts w:ascii="Arial" w:hAnsi="Arial" w:cs="Arial"/>
          <w:lang w:eastAsia="es-CO"/>
        </w:rPr>
        <w:t xml:space="preserve">, durante 2026 la actividad operativa del sector ha seguido enfrentando restricciones derivadas de la disminución de la inversión, la conflictividad social y las </w:t>
      </w:r>
      <w:r w:rsidR="0058699C" w:rsidRPr="0058699C">
        <w:rPr>
          <w:rFonts w:ascii="Arial" w:hAnsi="Arial" w:cs="Arial"/>
          <w:lang w:eastAsia="es-CO"/>
        </w:rPr>
        <w:lastRenderedPageBreak/>
        <w:t xml:space="preserve">interrupciones operativas en regiones productoras. En mayo de 2026 se contabilizaron </w:t>
      </w:r>
      <w:r w:rsidR="0058699C" w:rsidRPr="00915023">
        <w:rPr>
          <w:rFonts w:ascii="Arial" w:hAnsi="Arial" w:cs="Arial"/>
          <w:lang w:eastAsia="es-CO"/>
        </w:rPr>
        <w:t>91 taladros activos</w:t>
      </w:r>
      <w:r w:rsidR="0058699C" w:rsidRPr="0058699C">
        <w:rPr>
          <w:rFonts w:ascii="Arial" w:hAnsi="Arial" w:cs="Arial"/>
          <w:lang w:eastAsia="es-CO"/>
        </w:rPr>
        <w:t xml:space="preserve">, de los cuales </w:t>
      </w:r>
      <w:r w:rsidR="0058699C" w:rsidRPr="00915023">
        <w:rPr>
          <w:rFonts w:ascii="Arial" w:hAnsi="Arial" w:cs="Arial"/>
          <w:lang w:eastAsia="es-CO"/>
        </w:rPr>
        <w:t>31 correspondían a perforación y 60 a mantenimiento de pozos</w:t>
      </w:r>
      <w:r w:rsidR="0058699C" w:rsidRPr="0058699C">
        <w:rPr>
          <w:rFonts w:ascii="Arial" w:hAnsi="Arial" w:cs="Arial"/>
          <w:lang w:eastAsia="es-CO"/>
        </w:rPr>
        <w:t xml:space="preserve">, lo que representó una disminución anual de </w:t>
      </w:r>
      <w:r w:rsidR="0058699C" w:rsidRPr="00915023">
        <w:rPr>
          <w:rFonts w:ascii="Arial" w:hAnsi="Arial" w:cs="Arial"/>
          <w:lang w:eastAsia="es-CO"/>
        </w:rPr>
        <w:t>19,5 %</w:t>
      </w:r>
      <w:r w:rsidR="0058699C" w:rsidRPr="0058699C">
        <w:rPr>
          <w:rFonts w:ascii="Arial" w:hAnsi="Arial" w:cs="Arial"/>
          <w:lang w:eastAsia="es-CO"/>
        </w:rPr>
        <w:t xml:space="preserve"> en el total de equipos activos. Como consecuencia de la suspensión de operaciones en varios campos del departamento del Meta, CAMPETROL estimó un impacto sobre aproximadamente </w:t>
      </w:r>
      <w:r w:rsidR="0058699C" w:rsidRPr="00915023">
        <w:rPr>
          <w:rFonts w:ascii="Arial" w:hAnsi="Arial" w:cs="Arial"/>
          <w:lang w:eastAsia="es-CO"/>
        </w:rPr>
        <w:t>7.280 empleos directos e indirectos</w:t>
      </w:r>
      <w:r w:rsidR="0058699C" w:rsidRPr="0058699C">
        <w:rPr>
          <w:rFonts w:ascii="Arial" w:hAnsi="Arial" w:cs="Arial"/>
          <w:lang w:eastAsia="es-CO"/>
        </w:rPr>
        <w:t>, evidenciando la estrecha relación entre la actividad operativa y la generación de empleo en los servicios especializados asociados al sector de hidrocarburos</w:t>
      </w:r>
      <w:r w:rsidR="00A41F68" w:rsidRPr="00C76457">
        <w:rPr>
          <w:rStyle w:val="Refdenotaalpie"/>
          <w:rFonts w:ascii="Arial" w:hAnsi="Arial" w:cs="Arial"/>
          <w:lang w:eastAsia="es-CO"/>
        </w:rPr>
        <w:footnoteReference w:id="25"/>
      </w:r>
    </w:p>
    <w:p w14:paraId="1E826371" w14:textId="77777777" w:rsidR="00471195" w:rsidRPr="00902DDA" w:rsidRDefault="00471195" w:rsidP="00616FE1">
      <w:pPr>
        <w:autoSpaceDE w:val="0"/>
        <w:autoSpaceDN w:val="0"/>
        <w:adjustRightInd w:val="0"/>
        <w:spacing w:after="0"/>
        <w:jc w:val="both"/>
        <w:rPr>
          <w:rFonts w:ascii="Arial" w:hAnsi="Arial" w:cs="Arial"/>
          <w:lang w:eastAsia="es-CO"/>
        </w:rPr>
      </w:pPr>
    </w:p>
    <w:p w14:paraId="71104C0F" w14:textId="77777777" w:rsidR="00902DDA" w:rsidRPr="00902DDA" w:rsidRDefault="00902DDA" w:rsidP="00902DDA">
      <w:pPr>
        <w:autoSpaceDE w:val="0"/>
        <w:autoSpaceDN w:val="0"/>
        <w:adjustRightInd w:val="0"/>
        <w:spacing w:after="0"/>
        <w:jc w:val="both"/>
        <w:rPr>
          <w:rFonts w:ascii="Arial" w:hAnsi="Arial" w:cs="Arial"/>
          <w:lang w:eastAsia="es-CO"/>
        </w:rPr>
      </w:pPr>
      <w:r w:rsidRPr="00902DDA">
        <w:rPr>
          <w:rFonts w:ascii="Arial" w:hAnsi="Arial" w:cs="Arial"/>
          <w:lang w:eastAsia="es-CO"/>
        </w:rPr>
        <w:t xml:space="preserve">De manera complementaria, la </w:t>
      </w:r>
      <w:r w:rsidRPr="00915023">
        <w:rPr>
          <w:rFonts w:ascii="Arial" w:hAnsi="Arial" w:cs="Arial"/>
          <w:lang w:eastAsia="es-CO"/>
        </w:rPr>
        <w:t>Asociación Colombiana del Petróleo y Gas (ACP)</w:t>
      </w:r>
      <w:r w:rsidRPr="00902DDA">
        <w:rPr>
          <w:rFonts w:ascii="Arial" w:hAnsi="Arial" w:cs="Arial"/>
          <w:lang w:eastAsia="es-CO"/>
        </w:rPr>
        <w:t xml:space="preserve"> y otros gremios del sector han advertido que la industria continúa enfrentando un entorno de menor actividad exploratoria y operativa. Entre </w:t>
      </w:r>
      <w:r w:rsidRPr="00915023">
        <w:rPr>
          <w:rFonts w:ascii="Arial" w:hAnsi="Arial" w:cs="Arial"/>
          <w:lang w:eastAsia="es-CO"/>
        </w:rPr>
        <w:t>2022 y 2025</w:t>
      </w:r>
      <w:r w:rsidRPr="00902DDA">
        <w:rPr>
          <w:rFonts w:ascii="Arial" w:hAnsi="Arial" w:cs="Arial"/>
          <w:lang w:eastAsia="es-CO"/>
        </w:rPr>
        <w:t xml:space="preserve">, la inversión exploratoria en Colombia registró una caída acumulada del </w:t>
      </w:r>
      <w:r w:rsidRPr="00915023">
        <w:rPr>
          <w:rFonts w:ascii="Arial" w:hAnsi="Arial" w:cs="Arial"/>
          <w:lang w:eastAsia="es-CO"/>
        </w:rPr>
        <w:t>42 %</w:t>
      </w:r>
      <w:r w:rsidRPr="00902DDA">
        <w:rPr>
          <w:rFonts w:ascii="Arial" w:hAnsi="Arial" w:cs="Arial"/>
          <w:lang w:eastAsia="es-CO"/>
        </w:rPr>
        <w:t xml:space="preserve">, mientras que en 2025 la producción de petróleo disminuyó </w:t>
      </w:r>
      <w:r w:rsidRPr="00915023">
        <w:rPr>
          <w:rFonts w:ascii="Arial" w:hAnsi="Arial" w:cs="Arial"/>
          <w:lang w:eastAsia="es-CO"/>
        </w:rPr>
        <w:t>3,4 %</w:t>
      </w:r>
      <w:r w:rsidRPr="00902DDA">
        <w:rPr>
          <w:rFonts w:ascii="Arial" w:hAnsi="Arial" w:cs="Arial"/>
          <w:lang w:eastAsia="es-CO"/>
        </w:rPr>
        <w:t xml:space="preserve"> y la producción de gas natural cayó </w:t>
      </w:r>
      <w:r w:rsidRPr="00915023">
        <w:rPr>
          <w:rFonts w:ascii="Arial" w:hAnsi="Arial" w:cs="Arial"/>
          <w:lang w:eastAsia="es-CO"/>
        </w:rPr>
        <w:t>17,1 %</w:t>
      </w:r>
      <w:r w:rsidRPr="00902DDA">
        <w:rPr>
          <w:rFonts w:ascii="Arial" w:hAnsi="Arial" w:cs="Arial"/>
          <w:lang w:eastAsia="es-CO"/>
        </w:rPr>
        <w:t xml:space="preserve">. Estas tendencias han afectado la demanda de servicios especializados, incluyendo actividades de mantenimiento, reacondicionamiento de pozos, cierre técnico de instalaciones, recuperación ambiental y desmantelamiento de infraestructura. </w:t>
      </w:r>
    </w:p>
    <w:p w14:paraId="08FDA8B8" w14:textId="77777777" w:rsidR="00902DDA" w:rsidRDefault="00902DDA" w:rsidP="00616FE1">
      <w:pPr>
        <w:autoSpaceDE w:val="0"/>
        <w:autoSpaceDN w:val="0"/>
        <w:adjustRightInd w:val="0"/>
        <w:spacing w:after="0"/>
        <w:jc w:val="both"/>
        <w:rPr>
          <w:rFonts w:ascii="Arial" w:hAnsi="Arial" w:cs="Arial"/>
          <w:lang w:eastAsia="es-CO"/>
        </w:rPr>
      </w:pPr>
    </w:p>
    <w:p w14:paraId="31B67469" w14:textId="37245C82" w:rsidR="00DB6698" w:rsidRDefault="00DB6698" w:rsidP="00616FE1">
      <w:pPr>
        <w:autoSpaceDE w:val="0"/>
        <w:autoSpaceDN w:val="0"/>
        <w:adjustRightInd w:val="0"/>
        <w:spacing w:after="0"/>
        <w:jc w:val="both"/>
        <w:rPr>
          <w:rFonts w:ascii="Arial" w:hAnsi="Arial" w:cs="Arial"/>
          <w:lang w:eastAsia="es-CO"/>
        </w:rPr>
      </w:pPr>
      <w:r w:rsidRPr="00C76457">
        <w:rPr>
          <w:rFonts w:ascii="Arial" w:hAnsi="Arial" w:cs="Arial"/>
          <w:lang w:eastAsia="es-CO"/>
        </w:rPr>
        <w:t>Asimismo, cifras consolidadas por gremios como la Asociación Colombiana del Petróleo y Gas (ACP) indican que durante 2024 el sector de hidrocarburos en Colombia perdió alrededor de 25.000 empleos (directos e indirectos), como consecuencia de la reducción en exploración, perforación y menor inversión. Este ajuste impacta de manera directa el mercado laboral de empresas contratistas especializadas en servicios industriales, incluyendo aquellas dedicadas a desmantelamiento, cierre de instalaciones, mantenimiento mayor (</w:t>
      </w:r>
      <w:proofErr w:type="spellStart"/>
      <w:r w:rsidRPr="00C76457">
        <w:rPr>
          <w:rFonts w:ascii="Arial" w:hAnsi="Arial" w:cs="Arial"/>
          <w:lang w:eastAsia="es-CO"/>
        </w:rPr>
        <w:t>turnarounds</w:t>
      </w:r>
      <w:proofErr w:type="spellEnd"/>
      <w:r w:rsidRPr="00C76457">
        <w:rPr>
          <w:rFonts w:ascii="Arial" w:hAnsi="Arial" w:cs="Arial"/>
          <w:lang w:eastAsia="es-CO"/>
        </w:rPr>
        <w:t>) y recuperación ambiental, actividades que suelen ejecutarse bajo esquemas de contratación por proyectos.</w:t>
      </w:r>
    </w:p>
    <w:p w14:paraId="1E45B6F7" w14:textId="77777777" w:rsidR="00E042D3" w:rsidRPr="007E1505" w:rsidRDefault="00E042D3" w:rsidP="00616FE1">
      <w:pPr>
        <w:autoSpaceDE w:val="0"/>
        <w:autoSpaceDN w:val="0"/>
        <w:adjustRightInd w:val="0"/>
        <w:spacing w:after="0"/>
        <w:jc w:val="both"/>
        <w:rPr>
          <w:rFonts w:ascii="Arial" w:hAnsi="Arial" w:cs="Arial"/>
          <w:lang w:eastAsia="es-CO"/>
        </w:rPr>
      </w:pPr>
    </w:p>
    <w:p w14:paraId="29ECBA30" w14:textId="5FCE81D5" w:rsidR="00713FB2" w:rsidRPr="00713FB2" w:rsidRDefault="00713FB2" w:rsidP="00713FB2">
      <w:pPr>
        <w:autoSpaceDE w:val="0"/>
        <w:autoSpaceDN w:val="0"/>
        <w:adjustRightInd w:val="0"/>
        <w:spacing w:after="0"/>
        <w:jc w:val="both"/>
        <w:rPr>
          <w:rFonts w:ascii="Arial" w:hAnsi="Arial" w:cs="Arial"/>
          <w:lang w:eastAsia="es-CO"/>
        </w:rPr>
      </w:pPr>
      <w:r w:rsidRPr="007E1505">
        <w:rPr>
          <w:rFonts w:ascii="Arial" w:hAnsi="Arial" w:cs="Arial"/>
          <w:lang w:eastAsia="es-CO"/>
        </w:rPr>
        <w:t xml:space="preserve">Aunque la cifra de aproximadamente </w:t>
      </w:r>
      <w:r w:rsidRPr="00915023">
        <w:rPr>
          <w:rFonts w:ascii="Arial" w:hAnsi="Arial" w:cs="Arial"/>
          <w:lang w:eastAsia="es-CO"/>
        </w:rPr>
        <w:t>25.000 empleos perdidos</w:t>
      </w:r>
      <w:r w:rsidRPr="007E1505">
        <w:rPr>
          <w:rFonts w:ascii="Arial" w:hAnsi="Arial" w:cs="Arial"/>
          <w:lang w:eastAsia="es-CO"/>
        </w:rPr>
        <w:t xml:space="preserve"> durante 2024 continúa siendo una referencia utilizada por diversos análisis sectoriales, la información más reciente indica que la principal preocupación del sector está asociada a la reducción sostenida de la inversión y de la actividad exploratoria, factores que condicionan la</w:t>
      </w:r>
      <w:r w:rsidRPr="00713FB2">
        <w:rPr>
          <w:rFonts w:ascii="Arial" w:hAnsi="Arial" w:cs="Arial"/>
          <w:lang w:eastAsia="es-CO"/>
        </w:rPr>
        <w:t xml:space="preserve"> generación futura de empleo y la contratación de empresas de servicios petroleros</w:t>
      </w:r>
      <w:r>
        <w:rPr>
          <w:rFonts w:ascii="Arial" w:hAnsi="Arial" w:cs="Arial"/>
          <w:lang w:eastAsia="es-CO"/>
        </w:rPr>
        <w:t>.</w:t>
      </w:r>
      <w:r w:rsidR="007E1505">
        <w:rPr>
          <w:rStyle w:val="Refdenotaalpie"/>
          <w:rFonts w:ascii="Arial" w:hAnsi="Arial" w:cs="Arial"/>
          <w:lang w:eastAsia="es-CO"/>
        </w:rPr>
        <w:footnoteReference w:id="26"/>
      </w:r>
    </w:p>
    <w:p w14:paraId="52295772" w14:textId="77777777" w:rsidR="00713FB2" w:rsidRPr="00C76457" w:rsidRDefault="00713FB2" w:rsidP="00616FE1">
      <w:pPr>
        <w:autoSpaceDE w:val="0"/>
        <w:autoSpaceDN w:val="0"/>
        <w:adjustRightInd w:val="0"/>
        <w:spacing w:after="0"/>
        <w:jc w:val="both"/>
        <w:rPr>
          <w:rFonts w:ascii="Arial" w:hAnsi="Arial" w:cs="Arial"/>
          <w:lang w:eastAsia="es-CO"/>
        </w:rPr>
      </w:pPr>
    </w:p>
    <w:p w14:paraId="3D79B0F1" w14:textId="52D22816" w:rsidR="00BE5994" w:rsidRPr="00C76457" w:rsidRDefault="00684937" w:rsidP="00616FE1">
      <w:pPr>
        <w:autoSpaceDE w:val="0"/>
        <w:autoSpaceDN w:val="0"/>
        <w:adjustRightInd w:val="0"/>
        <w:spacing w:after="0"/>
        <w:jc w:val="both"/>
        <w:rPr>
          <w:rFonts w:ascii="Arial" w:hAnsi="Arial" w:cs="Arial"/>
          <w:lang w:eastAsia="es-CO"/>
        </w:rPr>
      </w:pPr>
      <w:r w:rsidRPr="00C76457">
        <w:rPr>
          <w:rFonts w:ascii="Arial" w:hAnsi="Arial" w:cs="Arial"/>
          <w:lang w:eastAsia="es-CO"/>
        </w:rPr>
        <w:t xml:space="preserve">Desde el punto de vista estructural, el empleo en estas actividades se caracteriza por ser altamente especializado, intensivo en mano de obra calificada y con alta variabilidad, debido a su naturaleza dependiente de contratos específicos y ciclos de inversión. A diferencia de la construcción tradicional, este segmento demanda perfiles técnicos como ingenieros </w:t>
      </w:r>
      <w:r w:rsidRPr="00C76457">
        <w:rPr>
          <w:rFonts w:ascii="Arial" w:hAnsi="Arial" w:cs="Arial"/>
          <w:lang w:eastAsia="es-CO"/>
        </w:rPr>
        <w:lastRenderedPageBreak/>
        <w:t xml:space="preserve">mecánicos, civiles, ambientales, especialistas en seguridad de procesos, técnicos en operación de equipos y personal certificado en manejo de sustancias peligrosas. La evidencia del mercado </w:t>
      </w:r>
      <w:r w:rsidR="00616FE1" w:rsidRPr="00C76457">
        <w:rPr>
          <w:rFonts w:ascii="Arial" w:hAnsi="Arial" w:cs="Arial"/>
          <w:lang w:eastAsia="es-CO"/>
        </w:rPr>
        <w:t>laboral</w:t>
      </w:r>
      <w:r w:rsidRPr="00C76457">
        <w:rPr>
          <w:rFonts w:ascii="Arial" w:hAnsi="Arial" w:cs="Arial"/>
          <w:lang w:eastAsia="es-CO"/>
        </w:rPr>
        <w:t xml:space="preserve"> muestra una concentración de estas oportunidades en empresas de servicios petroleros, ingeniería y consultoría técnica, muchas de ellas con operación en Bogotá como centro administrativo</w:t>
      </w:r>
      <w:r w:rsidR="000520E5" w:rsidRPr="00C76457">
        <w:rPr>
          <w:rStyle w:val="Refdenotaalpie"/>
          <w:rFonts w:ascii="Arial" w:hAnsi="Arial" w:cs="Arial"/>
          <w:lang w:eastAsia="es-CO"/>
        </w:rPr>
        <w:footnoteReference w:id="27"/>
      </w:r>
      <w:r w:rsidRPr="00C76457">
        <w:rPr>
          <w:rFonts w:ascii="Arial" w:hAnsi="Arial" w:cs="Arial"/>
          <w:lang w:eastAsia="es-CO"/>
        </w:rPr>
        <w:t>.</w:t>
      </w:r>
    </w:p>
    <w:p w14:paraId="26E83299" w14:textId="77777777" w:rsidR="00684937" w:rsidRPr="00C76457" w:rsidRDefault="00684937" w:rsidP="00616FE1">
      <w:pPr>
        <w:autoSpaceDE w:val="0"/>
        <w:autoSpaceDN w:val="0"/>
        <w:adjustRightInd w:val="0"/>
        <w:spacing w:after="0"/>
        <w:jc w:val="both"/>
        <w:rPr>
          <w:rFonts w:ascii="Arial" w:hAnsi="Arial" w:cs="Arial"/>
          <w:lang w:eastAsia="es-CO"/>
        </w:rPr>
      </w:pPr>
    </w:p>
    <w:p w14:paraId="6BEFCBD8" w14:textId="31A0147A" w:rsidR="00684937" w:rsidRPr="00C76457" w:rsidRDefault="00010ED9" w:rsidP="00616FE1">
      <w:pPr>
        <w:autoSpaceDE w:val="0"/>
        <w:autoSpaceDN w:val="0"/>
        <w:adjustRightInd w:val="0"/>
        <w:spacing w:after="0"/>
        <w:jc w:val="both"/>
        <w:rPr>
          <w:rFonts w:ascii="Arial" w:hAnsi="Arial" w:cs="Arial"/>
          <w:lang w:eastAsia="es-CO"/>
        </w:rPr>
      </w:pPr>
      <w:r w:rsidRPr="00C76457">
        <w:rPr>
          <w:rFonts w:ascii="Arial" w:hAnsi="Arial" w:cs="Arial"/>
          <w:lang w:eastAsia="es-CO"/>
        </w:rPr>
        <w:t>En síntesis, el mercado laboral asociado al desmantelamiento industrial y a las obras especializadas para hidrocarburos en Colombia presenta actualmente un escenario de contracción moderada, explicado principalmente por la reducción en la actividad petrolera y la desaceleración en segmentos específicos de la construcción. No obstante, este tipo de empleo mantiene una alta relevancia estratégica y técnica, ya que su demanda está directamente ligada a proyectos puntuales de infraestructura, abandono de activos, cumplimiento normativo ambiental (como la Resolución 40405 de 2020) y procesos de transición energética, lo que sugiere que su comportamiento futuro dependerá en gran medida de la reactivación de inversiones en el sector energético y de la ejecución de proyectos específicos como los relacionados con desmantelamiento de infraestructura existente.</w:t>
      </w:r>
    </w:p>
    <w:p w14:paraId="648A4D99" w14:textId="77777777" w:rsidR="00010ED9" w:rsidRPr="00C76457" w:rsidRDefault="00010ED9" w:rsidP="00616FE1">
      <w:pPr>
        <w:autoSpaceDE w:val="0"/>
        <w:autoSpaceDN w:val="0"/>
        <w:adjustRightInd w:val="0"/>
        <w:spacing w:after="0"/>
        <w:jc w:val="both"/>
        <w:rPr>
          <w:rFonts w:ascii="Arial" w:hAnsi="Arial" w:cs="Arial"/>
          <w:lang w:eastAsia="es-CO"/>
        </w:rPr>
      </w:pPr>
    </w:p>
    <w:p w14:paraId="0743F716" w14:textId="67E8A864" w:rsidR="00DA0A10" w:rsidRPr="00C76457" w:rsidRDefault="00843F9C" w:rsidP="00616FE1">
      <w:pPr>
        <w:spacing w:after="0"/>
        <w:jc w:val="both"/>
        <w:rPr>
          <w:rFonts w:ascii="Arial" w:hAnsi="Arial" w:cs="Arial"/>
          <w:b/>
        </w:rPr>
      </w:pPr>
      <w:r w:rsidRPr="00C76457">
        <w:rPr>
          <w:rFonts w:ascii="Arial" w:hAnsi="Arial" w:cs="Arial"/>
          <w:b/>
        </w:rPr>
        <w:t>Variables económicas que afectan el sector.</w:t>
      </w:r>
    </w:p>
    <w:p w14:paraId="7AAF2E61" w14:textId="77777777" w:rsidR="00CA2F16" w:rsidRPr="00C76457" w:rsidRDefault="00CA2F16" w:rsidP="00616FE1">
      <w:pPr>
        <w:spacing w:after="0"/>
        <w:jc w:val="both"/>
        <w:rPr>
          <w:rFonts w:ascii="Arial" w:hAnsi="Arial" w:cs="Arial"/>
          <w:b/>
        </w:rPr>
      </w:pPr>
    </w:p>
    <w:p w14:paraId="3E36FA1D" w14:textId="45C5DF59" w:rsidR="00CA2F16" w:rsidRPr="00C76457" w:rsidRDefault="00CA2F16" w:rsidP="00616FE1">
      <w:pPr>
        <w:spacing w:after="0"/>
        <w:jc w:val="both"/>
        <w:rPr>
          <w:rFonts w:ascii="Arial" w:hAnsi="Arial" w:cs="Arial"/>
          <w:bCs/>
        </w:rPr>
      </w:pPr>
      <w:r w:rsidRPr="00C76457">
        <w:rPr>
          <w:rFonts w:ascii="Arial" w:hAnsi="Arial" w:cs="Arial"/>
          <w:bCs/>
        </w:rPr>
        <w:t xml:space="preserve">El desempeño de los sectores de la construcción y </w:t>
      </w:r>
      <w:r w:rsidR="000A56DB" w:rsidRPr="00C76457">
        <w:rPr>
          <w:rFonts w:ascii="Arial" w:hAnsi="Arial" w:cs="Arial"/>
          <w:bCs/>
        </w:rPr>
        <w:t>el</w:t>
      </w:r>
      <w:r w:rsidRPr="00C76457">
        <w:rPr>
          <w:rFonts w:ascii="Arial" w:hAnsi="Arial" w:cs="Arial"/>
          <w:bCs/>
        </w:rPr>
        <w:t xml:space="preserve"> desmantela</w:t>
      </w:r>
      <w:r w:rsidR="004D5924" w:rsidRPr="00C76457">
        <w:rPr>
          <w:rFonts w:ascii="Arial" w:hAnsi="Arial" w:cs="Arial"/>
          <w:bCs/>
        </w:rPr>
        <w:t>miento</w:t>
      </w:r>
      <w:r w:rsidRPr="00C76457">
        <w:rPr>
          <w:rFonts w:ascii="Arial" w:hAnsi="Arial" w:cs="Arial"/>
          <w:bCs/>
        </w:rPr>
        <w:t xml:space="preserve"> de sistemas e</w:t>
      </w:r>
      <w:r w:rsidR="004D5924" w:rsidRPr="00C76457">
        <w:rPr>
          <w:rFonts w:ascii="Arial" w:hAnsi="Arial" w:cs="Arial"/>
          <w:bCs/>
        </w:rPr>
        <w:t>n</w:t>
      </w:r>
      <w:r w:rsidR="005457F1" w:rsidRPr="00C76457">
        <w:rPr>
          <w:rFonts w:ascii="Arial" w:hAnsi="Arial" w:cs="Arial"/>
          <w:bCs/>
        </w:rPr>
        <w:t xml:space="preserve"> materia de</w:t>
      </w:r>
      <w:r w:rsidR="004D5924" w:rsidRPr="00C76457">
        <w:rPr>
          <w:rFonts w:ascii="Arial" w:hAnsi="Arial" w:cs="Arial"/>
          <w:bCs/>
        </w:rPr>
        <w:t xml:space="preserve"> hidrocarburos</w:t>
      </w:r>
      <w:r w:rsidR="000A56DB" w:rsidRPr="00C76457">
        <w:rPr>
          <w:rFonts w:ascii="Arial" w:hAnsi="Arial" w:cs="Arial"/>
          <w:bCs/>
        </w:rPr>
        <w:t>.</w:t>
      </w:r>
      <w:r w:rsidRPr="00C76457">
        <w:rPr>
          <w:rFonts w:ascii="Arial" w:hAnsi="Arial" w:cs="Arial"/>
          <w:bCs/>
        </w:rPr>
        <w:t xml:space="preserve"> Colombia está profundamente influenciado por diversas variables económicas. Entre las más relevantes se encuentran la inflación, el salario mínimo, el tipo de cambio, el PIB, principalmente. A continuación, se presenta un análisis comparativo de cómo estas variables impactan a ambos sectores.</w:t>
      </w:r>
    </w:p>
    <w:p w14:paraId="48939EB0" w14:textId="77777777" w:rsidR="00704CE3" w:rsidRPr="00C76457" w:rsidRDefault="00704CE3" w:rsidP="00616FE1">
      <w:pPr>
        <w:spacing w:after="0"/>
        <w:jc w:val="both"/>
        <w:rPr>
          <w:rFonts w:ascii="Arial" w:hAnsi="Arial" w:cs="Arial"/>
          <w:b/>
        </w:rPr>
      </w:pPr>
    </w:p>
    <w:p w14:paraId="2575DB12" w14:textId="12E8151A" w:rsidR="00704CE3" w:rsidRPr="00C76457" w:rsidRDefault="00704CE3" w:rsidP="00616FE1">
      <w:pPr>
        <w:pStyle w:val="Prrafodelista"/>
        <w:numPr>
          <w:ilvl w:val="0"/>
          <w:numId w:val="23"/>
        </w:numPr>
        <w:spacing w:after="0"/>
        <w:jc w:val="both"/>
        <w:rPr>
          <w:rFonts w:ascii="Arial" w:hAnsi="Arial" w:cs="Arial"/>
          <w:b/>
        </w:rPr>
      </w:pPr>
      <w:r w:rsidRPr="00C76457">
        <w:rPr>
          <w:rFonts w:ascii="Arial" w:hAnsi="Arial" w:cs="Arial"/>
          <w:b/>
        </w:rPr>
        <w:t xml:space="preserve">Salario </w:t>
      </w:r>
      <w:r w:rsidR="005457F1" w:rsidRPr="00C76457">
        <w:rPr>
          <w:rFonts w:ascii="Arial" w:hAnsi="Arial" w:cs="Arial"/>
          <w:b/>
        </w:rPr>
        <w:t>Mínimo</w:t>
      </w:r>
    </w:p>
    <w:p w14:paraId="3A1B7D29" w14:textId="77777777" w:rsidR="00C42741" w:rsidRPr="00C76457" w:rsidRDefault="00C42741" w:rsidP="00616FE1">
      <w:pPr>
        <w:spacing w:after="0"/>
        <w:jc w:val="both"/>
        <w:rPr>
          <w:rFonts w:ascii="Arial" w:hAnsi="Arial" w:cs="Arial"/>
          <w:b/>
        </w:rPr>
      </w:pPr>
    </w:p>
    <w:p w14:paraId="5017F71F" w14:textId="23C13A43" w:rsidR="00CC33A0" w:rsidRPr="00C76457" w:rsidRDefault="00CC33A0" w:rsidP="00616FE1">
      <w:pPr>
        <w:spacing w:after="0"/>
        <w:jc w:val="both"/>
        <w:rPr>
          <w:rFonts w:ascii="Arial" w:hAnsi="Arial" w:cs="Arial"/>
          <w:bCs/>
        </w:rPr>
      </w:pPr>
      <w:r w:rsidRPr="00C76457">
        <w:rPr>
          <w:rFonts w:ascii="Arial" w:hAnsi="Arial" w:cs="Arial"/>
          <w:bCs/>
        </w:rPr>
        <w:t>Como es característico en economías con estructuras laborales formales, el salario mínimo en Colombia presenta incrementos anuales que buscan compensar la inflación y mejorar el poder adquisitivo de los trabajadores. En la última década, este indicador ha evidenciado un crecimiento sostenido, pasando de aproximadamente $644.350 en 2015 a $1.423.500 en 2025, y alcanzando $1.750.905 en 2026, lo que representa un incremento acumulado superior al 150%. Este crecimiento responde a factores como la inflación, ajustes por productividad y decisiones de política económica, lo cual lo convierte en una variable macroeconómica clave dentro de la estructura de costos de sectores intensivos en mano de obra como la construcción y las actividades especializadas</w:t>
      </w:r>
      <w:r w:rsidR="00B42604" w:rsidRPr="00C76457">
        <w:rPr>
          <w:rStyle w:val="Refdenotaalpie"/>
          <w:rFonts w:ascii="Arial" w:hAnsi="Arial" w:cs="Arial"/>
          <w:bCs/>
        </w:rPr>
        <w:footnoteReference w:id="28"/>
      </w:r>
      <w:r w:rsidRPr="00C76457">
        <w:rPr>
          <w:rFonts w:ascii="Arial" w:hAnsi="Arial" w:cs="Arial"/>
          <w:bCs/>
        </w:rPr>
        <w:t>.</w:t>
      </w:r>
    </w:p>
    <w:p w14:paraId="1826321C" w14:textId="77777777" w:rsidR="00CC33A0" w:rsidRPr="00C76457" w:rsidRDefault="00CC33A0" w:rsidP="00616FE1">
      <w:pPr>
        <w:spacing w:after="0"/>
        <w:jc w:val="both"/>
        <w:rPr>
          <w:rFonts w:ascii="Arial" w:hAnsi="Arial" w:cs="Arial"/>
          <w:bCs/>
        </w:rPr>
      </w:pPr>
    </w:p>
    <w:p w14:paraId="552ED243" w14:textId="7FA96A07" w:rsidR="00F86F35" w:rsidRPr="00915023" w:rsidRDefault="00F86F35">
      <w:pPr>
        <w:spacing w:after="0"/>
        <w:jc w:val="both"/>
        <w:rPr>
          <w:rFonts w:ascii="Arial" w:hAnsi="Arial" w:cs="Arial"/>
          <w:bCs/>
        </w:rPr>
      </w:pPr>
      <w:r w:rsidRPr="00915023">
        <w:rPr>
          <w:rFonts w:ascii="Arial" w:hAnsi="Arial" w:cs="Arial"/>
          <w:bCs/>
        </w:rPr>
        <w:lastRenderedPageBreak/>
        <w:t xml:space="preserve">En este contexto, el incremento del salario mínimo tiene una incidencia directa en el costo de la mano de obra dentro del segmento de obras civiles e intervenciones sobre infraestructura, donde el indicador más pertinente para el análisis es el Índice de Costos de la Construcción de Obras Civiles (ICOCIV) del DANE. Este índice mide la variación promedio de los precios de una canasta representativa de las obras civiles desarrolladas en el país e incorpora, dentro de su estructura, grupos de costo como mano de obra, transporte, maquinaria y equipos, </w:t>
      </w:r>
      <w:r w:rsidR="00344E4D" w:rsidRPr="00915023">
        <w:rPr>
          <w:rFonts w:ascii="Arial" w:hAnsi="Arial" w:cs="Arial"/>
          <w:bCs/>
        </w:rPr>
        <w:t>que constituyen los principales factores de costo en actividades especializadas como el desmantelamiento de infraestructura de hidrocarburos, el cierre de instalaciones industriales y la recuperación de áreas intervenidas</w:t>
      </w:r>
      <w:r w:rsidRPr="00915023">
        <w:rPr>
          <w:rFonts w:ascii="Arial" w:hAnsi="Arial" w:cs="Arial"/>
          <w:bCs/>
        </w:rPr>
        <w:t>.</w:t>
      </w:r>
    </w:p>
    <w:p w14:paraId="7CE08026" w14:textId="77777777" w:rsidR="00F86F35" w:rsidRPr="00915023" w:rsidRDefault="00F86F35" w:rsidP="00F86F35">
      <w:pPr>
        <w:spacing w:after="0"/>
        <w:jc w:val="both"/>
        <w:rPr>
          <w:rFonts w:ascii="Arial" w:hAnsi="Arial" w:cs="Arial"/>
          <w:bCs/>
        </w:rPr>
      </w:pPr>
    </w:p>
    <w:p w14:paraId="360AF6EB" w14:textId="47C3FD8F" w:rsidR="002E1888" w:rsidRPr="00915023" w:rsidRDefault="002E1888" w:rsidP="002E1888">
      <w:pPr>
        <w:spacing w:after="0"/>
        <w:jc w:val="both"/>
        <w:rPr>
          <w:rFonts w:ascii="Arial" w:hAnsi="Arial" w:cs="Arial"/>
          <w:bCs/>
        </w:rPr>
      </w:pPr>
      <w:r w:rsidRPr="00915023">
        <w:rPr>
          <w:rFonts w:ascii="Arial" w:hAnsi="Arial" w:cs="Arial"/>
          <w:bCs/>
        </w:rPr>
        <w:t>De acuerdo con la información más reciente del DANE, en junio de 2026 el ICOCIV registró una variación mensual de 0,41 %, evidenciando que los costos de ejecución de obras civiles continuaron creciendo, aunque a un ritmo inferior al observado en meses anteriores. Entre las agrupaciones de obras civiles, carreteras, calles, vías férreas, puentes, carreteras elevadas y túneles presentó la mayor variación mensual (0,51 %). Por su parte, la agrupación de construcciones en minas y plantas industriales registró una variación de 0,31 %, mientras que la agrupación de tuberías para conducción de gas a larga distancia, líneas de comunicación y cables de poder; tuberías y cables locales y obras conexas presentó una variación mensual de 0,26 %. Estas categorías son especialmente relevantes para el análisis del sector objeto de estudio, dado que incluyen actividades relacionadas con infraestructura energética, redes de transporte y plantas industriales.</w:t>
      </w:r>
    </w:p>
    <w:p w14:paraId="6C25CD52" w14:textId="6A406BE5" w:rsidR="007B6C56" w:rsidRPr="00915023" w:rsidRDefault="007B6C56" w:rsidP="00F86F35">
      <w:pPr>
        <w:spacing w:after="0"/>
        <w:jc w:val="both"/>
        <w:rPr>
          <w:rFonts w:ascii="Arial" w:hAnsi="Arial" w:cs="Arial"/>
          <w:bCs/>
        </w:rPr>
      </w:pPr>
    </w:p>
    <w:p w14:paraId="52B89DDA" w14:textId="6C733C9F" w:rsidR="00FB4312" w:rsidRPr="00C76457" w:rsidRDefault="00EB4C92" w:rsidP="00F86F35">
      <w:pPr>
        <w:spacing w:after="0"/>
        <w:jc w:val="both"/>
        <w:rPr>
          <w:rFonts w:ascii="Arial" w:hAnsi="Arial" w:cs="Arial"/>
          <w:bCs/>
        </w:rPr>
      </w:pPr>
      <w:r w:rsidRPr="00915023">
        <w:rPr>
          <w:rFonts w:ascii="Arial" w:hAnsi="Arial" w:cs="Arial"/>
          <w:bCs/>
        </w:rPr>
        <w:t>En consecuencia, los incrementos salariales continúan transmitiéndose a la estructura general de costos medida por el ICOCIV, particularmente a través del componente de mano de obra y de los servicios asociados a la ejecución de obras especializadas. Aunque la variación mensual observada en junio de 2026 fue moderada, la persistencia de incrementos en los costos de construcción sigue afectando la planeación financiera, la programación de actividades y la viabilidad económica de proyectos intensivos en trabajo especializado, como el desmantelamiento de infraestructura petrolera, el abandono técnico de instalaciones y las obras de recuperación ambiental.</w:t>
      </w:r>
      <w:r w:rsidR="003D4894" w:rsidRPr="00915023">
        <w:rPr>
          <w:rStyle w:val="Refdenotaalpie"/>
          <w:rFonts w:ascii="Arial" w:hAnsi="Arial" w:cs="Arial"/>
          <w:bCs/>
        </w:rPr>
        <w:footnoteReference w:id="29"/>
      </w:r>
      <w:r w:rsidR="00F86F35" w:rsidRPr="00915023">
        <w:rPr>
          <w:rFonts w:ascii="Arial" w:hAnsi="Arial" w:cs="Arial"/>
          <w:bCs/>
        </w:rPr>
        <w:t>.</w:t>
      </w:r>
    </w:p>
    <w:p w14:paraId="43F5B256" w14:textId="77777777" w:rsidR="00F86F35" w:rsidRPr="00C76457" w:rsidRDefault="00F86F35" w:rsidP="00F86F35">
      <w:pPr>
        <w:spacing w:after="0"/>
        <w:jc w:val="both"/>
        <w:rPr>
          <w:rFonts w:ascii="Arial" w:hAnsi="Arial" w:cs="Arial"/>
          <w:bCs/>
        </w:rPr>
      </w:pPr>
    </w:p>
    <w:p w14:paraId="1CEA0FB0" w14:textId="6ACA8507" w:rsidR="00FB4312" w:rsidRPr="00C76457" w:rsidRDefault="00FB4312" w:rsidP="00616FE1">
      <w:pPr>
        <w:spacing w:after="0"/>
        <w:jc w:val="both"/>
        <w:rPr>
          <w:rFonts w:ascii="Arial" w:hAnsi="Arial" w:cs="Arial"/>
          <w:bCs/>
        </w:rPr>
      </w:pPr>
      <w:r w:rsidRPr="00C76457">
        <w:rPr>
          <w:rFonts w:ascii="Arial" w:hAnsi="Arial" w:cs="Arial"/>
          <w:bCs/>
        </w:rPr>
        <w:t>Desde el punto de vista sectorial, estudios técnicos de CAMACOL evidencian que el aumento del salario mínimo se transmite de manera rápida al costo total de los proyectos, principalmente a través del componente de mano de obra y de los efectos indirectos en otros rubros. En particular, se ha identificado que el incremento del 23% del salario mínimo en 2026 generó aumentos en costos laborales superiores al 15%, convirtiéndose en el principal factor de presión sobre los costos de construcción.</w:t>
      </w:r>
      <w:r w:rsidR="00E66F6C" w:rsidRPr="00C76457">
        <w:rPr>
          <w:rStyle w:val="Refdenotaalpie"/>
          <w:rFonts w:ascii="Arial" w:hAnsi="Arial" w:cs="Arial"/>
          <w:bCs/>
        </w:rPr>
        <w:footnoteReference w:id="30"/>
      </w:r>
      <w:r w:rsidRPr="00C76457">
        <w:rPr>
          <w:rFonts w:ascii="Arial" w:hAnsi="Arial" w:cs="Arial"/>
          <w:bCs/>
        </w:rPr>
        <w:t>.</w:t>
      </w:r>
    </w:p>
    <w:p w14:paraId="6ADDC4BE" w14:textId="77777777" w:rsidR="004E45C6" w:rsidRPr="00C76457" w:rsidRDefault="004E45C6" w:rsidP="00616FE1">
      <w:pPr>
        <w:spacing w:after="0"/>
        <w:jc w:val="both"/>
        <w:rPr>
          <w:rFonts w:ascii="Arial" w:hAnsi="Arial" w:cs="Arial"/>
          <w:bCs/>
        </w:rPr>
      </w:pPr>
    </w:p>
    <w:p w14:paraId="7CDE739C" w14:textId="328AE3F6" w:rsidR="004E45C6" w:rsidRPr="00C76457" w:rsidRDefault="004E45C6" w:rsidP="00616FE1">
      <w:pPr>
        <w:spacing w:after="0"/>
        <w:jc w:val="both"/>
        <w:rPr>
          <w:rFonts w:ascii="Arial" w:hAnsi="Arial" w:cs="Arial"/>
          <w:bCs/>
        </w:rPr>
      </w:pPr>
      <w:r w:rsidRPr="00C76457">
        <w:rPr>
          <w:rFonts w:ascii="Arial" w:hAnsi="Arial" w:cs="Arial"/>
          <w:bCs/>
        </w:rPr>
        <w:t>En el caso específico del nicho de desmantelamiento de infraestructura de hidrocarburos, el impacto del salario mínimo se materializa en varias dimensiones operativas. En primer lugar, genera un incremento directo en los costos de contratación de cuadrillas de trabajo, lo que obliga a los contratistas a</w:t>
      </w:r>
      <w:r w:rsidR="00E75B97" w:rsidRPr="00C76457">
        <w:rPr>
          <w:rFonts w:ascii="Arial" w:hAnsi="Arial" w:cs="Arial"/>
          <w:bCs/>
        </w:rPr>
        <w:t xml:space="preserve"> </w:t>
      </w:r>
      <w:r w:rsidRPr="00C76457">
        <w:rPr>
          <w:rFonts w:ascii="Arial" w:hAnsi="Arial" w:cs="Arial"/>
        </w:rPr>
        <w:t>optimizar el tamaño de los equipos operativos, ajustar cronogramas y priorizar personal especializado</w:t>
      </w:r>
      <w:r w:rsidRPr="00C76457">
        <w:rPr>
          <w:rFonts w:ascii="Arial" w:hAnsi="Arial" w:cs="Arial"/>
          <w:bCs/>
        </w:rPr>
        <w:t>. En segundo lugar, el salario mínimo actúa como variable de indexación en otros costos asociados, como transporte, servicios logísticos y disposición de residuos, amplificando su efecto sobre el costo total del proyecto. Finalmente, al tratarse de un mercado basado en contratos por obra, estos incrementos reducen la capacidad de ejecutar múltiples proyectos de forma simultánea, afectando indirectamente la generación de empleo</w:t>
      </w:r>
      <w:r w:rsidRPr="00C76457">
        <w:rPr>
          <w:rStyle w:val="Refdenotaalpie"/>
          <w:rFonts w:ascii="Arial" w:hAnsi="Arial" w:cs="Arial"/>
          <w:bCs/>
        </w:rPr>
        <w:footnoteReference w:id="31"/>
      </w:r>
      <w:r w:rsidRPr="00C76457">
        <w:rPr>
          <w:rFonts w:ascii="Arial" w:hAnsi="Arial" w:cs="Arial"/>
          <w:bCs/>
        </w:rPr>
        <w:t>.</w:t>
      </w:r>
    </w:p>
    <w:p w14:paraId="2C2016AE" w14:textId="77777777" w:rsidR="003452CF" w:rsidRPr="00C76457" w:rsidRDefault="003452CF" w:rsidP="00616FE1">
      <w:pPr>
        <w:spacing w:after="0"/>
        <w:jc w:val="both"/>
        <w:rPr>
          <w:rFonts w:ascii="Arial" w:hAnsi="Arial" w:cs="Arial"/>
          <w:bCs/>
        </w:rPr>
      </w:pPr>
    </w:p>
    <w:p w14:paraId="6BC54237" w14:textId="765E4FF5" w:rsidR="00B10FB6" w:rsidRDefault="003452CF" w:rsidP="008C7BA7">
      <w:pPr>
        <w:spacing w:after="0"/>
        <w:jc w:val="both"/>
        <w:rPr>
          <w:rFonts w:ascii="Arial" w:hAnsi="Arial" w:cs="Arial"/>
          <w:bCs/>
        </w:rPr>
      </w:pPr>
      <w:r w:rsidRPr="00C76457">
        <w:rPr>
          <w:rFonts w:ascii="Arial" w:hAnsi="Arial" w:cs="Arial"/>
          <w:bCs/>
        </w:rPr>
        <w:t>Este comportamiento confirma que el mercado laboral asociado a estas actividades es altamente sensible a variables salariales, constituyéndose en un factor determinante para la viabilidad económica y la planificación técnica de este tipo de intervenciones.</w:t>
      </w:r>
    </w:p>
    <w:p w14:paraId="26ED915D" w14:textId="77777777" w:rsidR="008C7BA7" w:rsidRPr="008C7BA7" w:rsidRDefault="008C7BA7" w:rsidP="008C7BA7">
      <w:pPr>
        <w:spacing w:after="0"/>
        <w:jc w:val="both"/>
        <w:rPr>
          <w:rFonts w:ascii="Arial" w:hAnsi="Arial" w:cs="Arial"/>
          <w:bCs/>
        </w:rPr>
      </w:pPr>
    </w:p>
    <w:p w14:paraId="71BDFC2A" w14:textId="7CE156A0" w:rsidR="00C42741" w:rsidRPr="00C76457" w:rsidRDefault="00A76D9F" w:rsidP="00616FE1">
      <w:pPr>
        <w:spacing w:after="0"/>
        <w:jc w:val="both"/>
        <w:rPr>
          <w:rFonts w:ascii="Arial" w:hAnsi="Arial" w:cs="Arial"/>
          <w:bCs/>
          <w:u w:val="single"/>
        </w:rPr>
      </w:pPr>
      <w:r w:rsidRPr="00C76457">
        <w:rPr>
          <w:rFonts w:ascii="Arial" w:hAnsi="Arial" w:cs="Arial"/>
          <w:bCs/>
          <w:u w:val="single"/>
        </w:rPr>
        <w:t>Inflación</w:t>
      </w:r>
    </w:p>
    <w:p w14:paraId="52443B5B" w14:textId="77777777" w:rsidR="00844993" w:rsidRPr="00C76457" w:rsidRDefault="00844993" w:rsidP="00616FE1">
      <w:pPr>
        <w:spacing w:after="0"/>
        <w:jc w:val="both"/>
        <w:rPr>
          <w:rFonts w:ascii="Arial" w:hAnsi="Arial" w:cs="Arial"/>
          <w:bCs/>
        </w:rPr>
      </w:pPr>
    </w:p>
    <w:p w14:paraId="5D482B48" w14:textId="7169D46C" w:rsidR="00582C83" w:rsidRPr="00C76457" w:rsidRDefault="00544523" w:rsidP="00616FE1">
      <w:pPr>
        <w:spacing w:after="0"/>
        <w:jc w:val="both"/>
        <w:rPr>
          <w:rFonts w:ascii="Arial" w:hAnsi="Arial" w:cs="Arial"/>
          <w:bCs/>
        </w:rPr>
      </w:pPr>
      <w:r w:rsidRPr="00544523">
        <w:rPr>
          <w:rFonts w:ascii="Arial" w:hAnsi="Arial" w:cs="Arial"/>
        </w:rPr>
        <w:t>En el ámbito sectorial, la inflación debe analizarse mediante indicadores específicos que reflejen la evolución de los costos asociados a la actividad constructora. En este sentido, el Índice de Costos de la Construcción de Obras Civiles (ICOCIV) elaborado por el DANE permite medir la variación de los precios de los principales insumos requeridos para la ejecución de obras civiles, incluyendo mano de obra, materiales, transporte, maquinaria, equipos especiales y otros servicios asociados a la construcción. De acuerdo con el boletín técnico más reciente, correspondiente a agosto de 2026, el ICOCIV registró una variación mensual de 0,03 %, evidenciando una desaceleración en el crecimiento de los costos frente a los meses precedentes y un comportamiento relativamente estable de los precios en el sector.</w:t>
      </w:r>
    </w:p>
    <w:p w14:paraId="6F6538B5" w14:textId="65724D64" w:rsidR="002C4714" w:rsidRPr="00C76457" w:rsidRDefault="00D679EF" w:rsidP="00915023">
      <w:pPr>
        <w:spacing w:after="0"/>
        <w:jc w:val="center"/>
        <w:rPr>
          <w:rFonts w:ascii="Arial" w:hAnsi="Arial" w:cs="Arial"/>
          <w:bCs/>
        </w:rPr>
      </w:pPr>
      <w:r w:rsidRPr="00D679EF">
        <w:rPr>
          <w:rFonts w:ascii="Arial" w:hAnsi="Arial" w:cs="Arial"/>
          <w:bCs/>
          <w:noProof/>
        </w:rPr>
        <w:lastRenderedPageBreak/>
        <w:drawing>
          <wp:inline distT="0" distB="0" distL="0" distR="0" wp14:anchorId="6D0FEABD" wp14:editId="7F5BF65D">
            <wp:extent cx="4756417" cy="2433103"/>
            <wp:effectExtent l="0" t="0" r="6350" b="5715"/>
            <wp:docPr id="16363577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57793" name=""/>
                    <pic:cNvPicPr/>
                  </pic:nvPicPr>
                  <pic:blipFill>
                    <a:blip r:embed="rId31"/>
                    <a:stretch>
                      <a:fillRect/>
                    </a:stretch>
                  </pic:blipFill>
                  <pic:spPr>
                    <a:xfrm>
                      <a:off x="0" y="0"/>
                      <a:ext cx="4766713" cy="2438370"/>
                    </a:xfrm>
                    <a:prstGeom prst="rect">
                      <a:avLst/>
                    </a:prstGeom>
                  </pic:spPr>
                </pic:pic>
              </a:graphicData>
            </a:graphic>
          </wp:inline>
        </w:drawing>
      </w:r>
    </w:p>
    <w:p w14:paraId="4A4FE138" w14:textId="326BB798" w:rsidR="002C4714" w:rsidRPr="00C76457" w:rsidRDefault="00034054" w:rsidP="00616FE1">
      <w:pPr>
        <w:spacing w:after="0"/>
        <w:jc w:val="both"/>
        <w:rPr>
          <w:rFonts w:ascii="Arial" w:hAnsi="Arial" w:cs="Arial"/>
          <w:bCs/>
          <w:sz w:val="16"/>
          <w:szCs w:val="16"/>
        </w:rPr>
      </w:pPr>
      <w:r w:rsidRPr="00616FE1">
        <w:rPr>
          <w:rFonts w:ascii="Arial" w:hAnsi="Arial" w:cs="Arial"/>
          <w:b/>
          <w:sz w:val="16"/>
          <w:szCs w:val="16"/>
        </w:rPr>
        <w:t>Fuente:</w:t>
      </w:r>
      <w:r w:rsidRPr="00C76457">
        <w:rPr>
          <w:rFonts w:ascii="Arial" w:hAnsi="Arial" w:cs="Arial"/>
          <w:bCs/>
          <w:sz w:val="16"/>
          <w:szCs w:val="16"/>
        </w:rPr>
        <w:t xml:space="preserve"> </w:t>
      </w:r>
      <w:r w:rsidR="00F55C82" w:rsidRPr="00C76457">
        <w:rPr>
          <w:rFonts w:ascii="Arial" w:hAnsi="Arial" w:cs="Arial"/>
          <w:bCs/>
          <w:sz w:val="16"/>
          <w:szCs w:val="16"/>
        </w:rPr>
        <w:t xml:space="preserve">DANE. Boletín Técnico – </w:t>
      </w:r>
      <w:r w:rsidR="0009009E" w:rsidRPr="00C76457">
        <w:rPr>
          <w:rFonts w:ascii="Arial" w:hAnsi="Arial" w:cs="Arial"/>
          <w:bCs/>
          <w:sz w:val="16"/>
          <w:szCs w:val="16"/>
        </w:rPr>
        <w:t xml:space="preserve">Índice de Costos de la Construcción de Obras Civiles </w:t>
      </w:r>
      <w:r w:rsidR="00F55C82" w:rsidRPr="00C76457">
        <w:rPr>
          <w:rFonts w:ascii="Arial" w:hAnsi="Arial" w:cs="Arial"/>
          <w:bCs/>
          <w:sz w:val="16"/>
          <w:szCs w:val="16"/>
        </w:rPr>
        <w:t>(</w:t>
      </w:r>
      <w:r w:rsidR="0009009E" w:rsidRPr="00C76457">
        <w:rPr>
          <w:rFonts w:ascii="Arial" w:hAnsi="Arial" w:cs="Arial"/>
          <w:bCs/>
          <w:sz w:val="16"/>
          <w:szCs w:val="16"/>
        </w:rPr>
        <w:t>ICOCIV</w:t>
      </w:r>
      <w:r w:rsidR="00F55C82" w:rsidRPr="00C76457">
        <w:rPr>
          <w:rFonts w:ascii="Arial" w:hAnsi="Arial" w:cs="Arial"/>
          <w:bCs/>
          <w:sz w:val="16"/>
          <w:szCs w:val="16"/>
        </w:rPr>
        <w:t>)</w:t>
      </w:r>
      <w:r w:rsidR="00C143B6">
        <w:rPr>
          <w:rFonts w:ascii="Arial" w:hAnsi="Arial" w:cs="Arial"/>
          <w:bCs/>
          <w:sz w:val="16"/>
          <w:szCs w:val="16"/>
        </w:rPr>
        <w:t xml:space="preserve"> </w:t>
      </w:r>
      <w:r w:rsidR="00D679EF">
        <w:rPr>
          <w:rFonts w:ascii="Arial" w:hAnsi="Arial" w:cs="Arial"/>
          <w:bCs/>
          <w:sz w:val="16"/>
          <w:szCs w:val="16"/>
        </w:rPr>
        <w:t>agosto</w:t>
      </w:r>
      <w:r w:rsidR="00C143B6">
        <w:rPr>
          <w:rFonts w:ascii="Arial" w:hAnsi="Arial" w:cs="Arial"/>
          <w:bCs/>
          <w:sz w:val="16"/>
          <w:szCs w:val="16"/>
        </w:rPr>
        <w:t xml:space="preserve"> 2026</w:t>
      </w:r>
      <w:r w:rsidR="00F55C82" w:rsidRPr="00C76457">
        <w:rPr>
          <w:rFonts w:ascii="Arial" w:hAnsi="Arial" w:cs="Arial"/>
          <w:bCs/>
          <w:sz w:val="16"/>
          <w:szCs w:val="16"/>
        </w:rPr>
        <w:t xml:space="preserve">. Fecha de publicación </w:t>
      </w:r>
      <w:r w:rsidR="00D679EF">
        <w:rPr>
          <w:rFonts w:ascii="Arial" w:hAnsi="Arial" w:cs="Arial"/>
          <w:bCs/>
          <w:sz w:val="16"/>
          <w:szCs w:val="16"/>
        </w:rPr>
        <w:t>30 de septiembre</w:t>
      </w:r>
      <w:r w:rsidR="00F55C82" w:rsidRPr="00C76457">
        <w:rPr>
          <w:rFonts w:ascii="Arial" w:hAnsi="Arial" w:cs="Arial"/>
          <w:bCs/>
          <w:sz w:val="16"/>
          <w:szCs w:val="16"/>
        </w:rPr>
        <w:t xml:space="preserve"> de 2026; Fecha de consulta </w:t>
      </w:r>
      <w:r w:rsidR="00D679EF">
        <w:rPr>
          <w:rFonts w:ascii="Arial" w:hAnsi="Arial" w:cs="Arial"/>
          <w:bCs/>
          <w:sz w:val="16"/>
          <w:szCs w:val="16"/>
        </w:rPr>
        <w:t>5 de octubre</w:t>
      </w:r>
      <w:r w:rsidR="00C143B6" w:rsidRPr="00C76457">
        <w:rPr>
          <w:rFonts w:ascii="Arial" w:hAnsi="Arial" w:cs="Arial"/>
          <w:bCs/>
          <w:sz w:val="16"/>
          <w:szCs w:val="16"/>
        </w:rPr>
        <w:t xml:space="preserve"> </w:t>
      </w:r>
      <w:r w:rsidR="00F55C82" w:rsidRPr="00C76457">
        <w:rPr>
          <w:rFonts w:ascii="Arial" w:hAnsi="Arial" w:cs="Arial"/>
          <w:bCs/>
          <w:sz w:val="16"/>
          <w:szCs w:val="16"/>
        </w:rPr>
        <w:t xml:space="preserve">de 2026. </w:t>
      </w:r>
      <w:hyperlink r:id="rId32" w:history="1">
        <w:r w:rsidR="00D679EF" w:rsidRPr="00B25DC6">
          <w:rPr>
            <w:rStyle w:val="Hipervnculo"/>
            <w:rFonts w:ascii="Arial" w:hAnsi="Arial" w:cs="Arial"/>
            <w:sz w:val="16"/>
            <w:szCs w:val="16"/>
          </w:rPr>
          <w:t>https://www.dane.gov.co/files/operaciones/ICOCIV/bol-ICOCIV-ago2026.pdf</w:t>
        </w:r>
      </w:hyperlink>
      <w:r w:rsidR="00D679EF">
        <w:rPr>
          <w:rFonts w:ascii="Arial" w:hAnsi="Arial" w:cs="Arial"/>
          <w:sz w:val="16"/>
          <w:szCs w:val="16"/>
        </w:rPr>
        <w:t xml:space="preserve"> </w:t>
      </w:r>
      <w:r w:rsidR="00C143B6">
        <w:rPr>
          <w:rFonts w:ascii="Arial" w:hAnsi="Arial" w:cs="Arial"/>
          <w:bCs/>
          <w:sz w:val="16"/>
          <w:szCs w:val="16"/>
        </w:rPr>
        <w:t xml:space="preserve"> </w:t>
      </w:r>
      <w:r w:rsidR="00D679EF">
        <w:rPr>
          <w:rFonts w:ascii="Arial" w:hAnsi="Arial" w:cs="Arial"/>
          <w:bCs/>
          <w:sz w:val="16"/>
          <w:szCs w:val="16"/>
        </w:rPr>
        <w:t xml:space="preserve"> </w:t>
      </w:r>
    </w:p>
    <w:p w14:paraId="24158327" w14:textId="77777777" w:rsidR="00F55C82" w:rsidRPr="00C76457" w:rsidRDefault="00F55C82" w:rsidP="00616FE1">
      <w:pPr>
        <w:spacing w:after="0"/>
        <w:jc w:val="both"/>
        <w:rPr>
          <w:rFonts w:ascii="Arial" w:hAnsi="Arial" w:cs="Arial"/>
          <w:bCs/>
        </w:rPr>
      </w:pPr>
    </w:p>
    <w:p w14:paraId="407C8F7B" w14:textId="17DC4936" w:rsidR="004E3392" w:rsidRPr="00C76457" w:rsidRDefault="00AC4BA7" w:rsidP="00616FE1">
      <w:pPr>
        <w:spacing w:after="0"/>
        <w:jc w:val="both"/>
        <w:rPr>
          <w:rFonts w:ascii="Arial" w:hAnsi="Arial" w:cs="Arial"/>
          <w:bCs/>
        </w:rPr>
      </w:pPr>
      <w:r w:rsidRPr="00AC4BA7">
        <w:rPr>
          <w:rFonts w:ascii="Arial" w:hAnsi="Arial" w:cs="Arial"/>
          <w:bCs/>
        </w:rPr>
        <w:t>En el caso específico de las actividades de desmantelamiento de infraestructura de hidrocarburos y estaciones de servicio, la evolución de los costos sectoriales incide de manera directa sobre la planeación y ejecución de los proyectos. Este tipo de intervenciones demanda una participación intensiva de recursos asociados a mano de obra especializada, maquinaria, transporte, equipos de apoyo, gestión de residuos y servicios técnicos especializados, componentes que hacen parte de la estructura de costos monitoreada por el DANE a través del Índice de Costos de la Construcción de Obras Civiles (ICOCIV).</w:t>
      </w:r>
      <w:r w:rsidR="004E3392" w:rsidRPr="00C76457">
        <w:rPr>
          <w:rFonts w:ascii="Arial" w:hAnsi="Arial" w:cs="Arial"/>
          <w:bCs/>
        </w:rPr>
        <w:t xml:space="preserve"> </w:t>
      </w:r>
      <w:r w:rsidR="0032625C">
        <w:rPr>
          <w:rStyle w:val="Refdenotaalpie"/>
          <w:rFonts w:ascii="Arial" w:hAnsi="Arial" w:cs="Arial"/>
          <w:bCs/>
        </w:rPr>
        <w:footnoteReference w:id="32"/>
      </w:r>
    </w:p>
    <w:p w14:paraId="059934B5" w14:textId="77777777" w:rsidR="004E3392" w:rsidRDefault="004E3392" w:rsidP="00616FE1">
      <w:pPr>
        <w:spacing w:after="0"/>
        <w:jc w:val="both"/>
        <w:rPr>
          <w:rFonts w:ascii="Arial" w:hAnsi="Arial" w:cs="Arial"/>
          <w:bCs/>
        </w:rPr>
      </w:pPr>
    </w:p>
    <w:p w14:paraId="0252C40D" w14:textId="77777777" w:rsidR="00AC4BA7" w:rsidRPr="00AC4BA7" w:rsidRDefault="00AC4BA7" w:rsidP="00AC4BA7">
      <w:pPr>
        <w:spacing w:after="0"/>
        <w:jc w:val="both"/>
        <w:rPr>
          <w:rFonts w:ascii="Arial" w:hAnsi="Arial" w:cs="Arial"/>
          <w:bCs/>
        </w:rPr>
      </w:pPr>
      <w:r w:rsidRPr="00AC4BA7">
        <w:rPr>
          <w:rFonts w:ascii="Arial" w:hAnsi="Arial" w:cs="Arial"/>
          <w:bCs/>
        </w:rPr>
        <w:t>De acuerdo con la información más reciente correspondiente a agosto de 2026, el comportamiento de los costos de construcción muestra una tendencia de estabilidad relativa, con una variación mensual nacional del ICOCIV de 0,03 %. No obstante, los proyectos de desmantelamiento continúan expuestos a variaciones en los costos de personal especializado, transporte, operación de maquinaria y manejo de materiales, debido a que estas actividades requieren procedimientos técnicos complejos, controles ambientales y de seguridad industrial, así como la movilización de equipos y residuos hacia sitios autorizados de tratamiento, aprovechamiento o disposición final.</w:t>
      </w:r>
    </w:p>
    <w:p w14:paraId="5B7B0752" w14:textId="77777777" w:rsidR="00AC4BA7" w:rsidRPr="00C76457" w:rsidRDefault="00AC4BA7" w:rsidP="00616FE1">
      <w:pPr>
        <w:spacing w:after="0"/>
        <w:jc w:val="both"/>
        <w:rPr>
          <w:rFonts w:ascii="Arial" w:hAnsi="Arial" w:cs="Arial"/>
          <w:bCs/>
        </w:rPr>
      </w:pPr>
    </w:p>
    <w:p w14:paraId="30089309" w14:textId="2E64FBC4" w:rsidR="004E3392" w:rsidRDefault="00EF6EBB" w:rsidP="00616FE1">
      <w:pPr>
        <w:spacing w:after="0"/>
        <w:jc w:val="both"/>
        <w:rPr>
          <w:rFonts w:ascii="Arial" w:hAnsi="Arial" w:cs="Arial"/>
          <w:bCs/>
        </w:rPr>
      </w:pPr>
      <w:r w:rsidRPr="00EF6EBB">
        <w:rPr>
          <w:rFonts w:ascii="Arial" w:hAnsi="Arial" w:cs="Arial"/>
          <w:bCs/>
        </w:rPr>
        <w:t xml:space="preserve">Adicionalmente, considerando que una parte significativa de estos proyectos se desarrolla en Bogotá y otros centros urbanos, los contratistas deben enfrentar simultáneamente los efectos de la inflación nacional y las particularidades de los mercados locales de trabajo, transporte, disposición de residuos, maquinaria y servicios especializados. Aunque las presiones inflacionarias observadas en años anteriores se han moderado de manera </w:t>
      </w:r>
      <w:r w:rsidRPr="00EF6EBB">
        <w:rPr>
          <w:rFonts w:ascii="Arial" w:hAnsi="Arial" w:cs="Arial"/>
          <w:bCs/>
        </w:rPr>
        <w:lastRenderedPageBreak/>
        <w:t>importante, la evolución de los precios continúa siendo un factor relevante para la estructuración de presupuestos, la actualización de costos y la gestión contractual de proyectos de desmantelamiento e intervención de infraestructura. De acuerdo con los indicadores más recientes publicados por el DANE, los costos asociados a la actividad constructora continúan presentando variaciones, aunque en niveles considerablemente más estables que los registrados durante el periodo de alta inflación. Esta situación obliga a los contratistas y entidades contratantes a mantener mecanismos de seguimiento permanente sobre la evolución de los precios de insumos, mano de obra, transporte y servicios especializados, con el fin de garantizar que las estimaciones económicas de los proyectos reflejen adecuadamente las condiciones vigentes del mercado y permitan una ejecución financiera sostenible.</w:t>
      </w:r>
    </w:p>
    <w:p w14:paraId="7D8A3EA1" w14:textId="77777777" w:rsidR="00EF6EBB" w:rsidRPr="00C76457" w:rsidRDefault="00EF6EBB" w:rsidP="00616FE1">
      <w:pPr>
        <w:spacing w:after="0"/>
        <w:jc w:val="both"/>
        <w:rPr>
          <w:rFonts w:ascii="Arial" w:hAnsi="Arial" w:cs="Arial"/>
          <w:bCs/>
        </w:rPr>
      </w:pPr>
    </w:p>
    <w:p w14:paraId="7340655D" w14:textId="53FD92C4" w:rsidR="004E3392" w:rsidRPr="00C76457" w:rsidRDefault="004E3392" w:rsidP="00616FE1">
      <w:pPr>
        <w:spacing w:after="0"/>
        <w:jc w:val="both"/>
        <w:rPr>
          <w:rFonts w:ascii="Arial" w:hAnsi="Arial" w:cs="Arial"/>
          <w:bCs/>
        </w:rPr>
      </w:pPr>
      <w:r w:rsidRPr="00C76457">
        <w:rPr>
          <w:rFonts w:ascii="Arial" w:hAnsi="Arial" w:cs="Arial"/>
          <w:bCs/>
        </w:rPr>
        <w:t>En consecuencia, la inflación se configura como un factor determinante para el análisis del mercado en el nicho de desmantelamiento de infraestructura de hidrocarburos, dado que afecta de manera simultánea los costos operativos, la disponibilidad de recursos y la estructuración financiera de los proyectos. Su impacto no solo se evidencia en el incremento de precios, sino también en la necesidad de adoptar estrategias de eficiencia y planificación técnica para garantizar la sostenibilidad de las intervenciones en un entorno económico cambiante.</w:t>
      </w:r>
    </w:p>
    <w:p w14:paraId="5CDC4FE2" w14:textId="77777777" w:rsidR="00B952FD" w:rsidRPr="00C76457" w:rsidRDefault="00B952FD" w:rsidP="00616FE1">
      <w:pPr>
        <w:spacing w:after="0"/>
        <w:jc w:val="both"/>
        <w:rPr>
          <w:rFonts w:ascii="Arial" w:hAnsi="Arial" w:cs="Arial"/>
          <w:bCs/>
        </w:rPr>
      </w:pPr>
    </w:p>
    <w:p w14:paraId="6BC883E6" w14:textId="51BDF5CD" w:rsidR="00B952FD" w:rsidRPr="00C76457" w:rsidRDefault="00B952FD" w:rsidP="00616FE1">
      <w:pPr>
        <w:spacing w:after="0"/>
        <w:jc w:val="both"/>
        <w:rPr>
          <w:rFonts w:ascii="Arial" w:hAnsi="Arial" w:cs="Arial"/>
          <w:bCs/>
          <w:u w:val="single"/>
        </w:rPr>
      </w:pPr>
      <w:r w:rsidRPr="00C76457">
        <w:rPr>
          <w:rFonts w:ascii="Arial" w:hAnsi="Arial" w:cs="Arial"/>
          <w:bCs/>
          <w:u w:val="single"/>
        </w:rPr>
        <w:t>Índice de precios al consumidor</w:t>
      </w:r>
      <w:r w:rsidR="00F10B2E" w:rsidRPr="00C76457">
        <w:rPr>
          <w:rFonts w:ascii="Arial" w:hAnsi="Arial" w:cs="Arial"/>
          <w:bCs/>
          <w:u w:val="single"/>
        </w:rPr>
        <w:t xml:space="preserve"> (IPC)</w:t>
      </w:r>
    </w:p>
    <w:p w14:paraId="2A542214" w14:textId="77777777" w:rsidR="00F10B2E" w:rsidRPr="00C76457" w:rsidRDefault="00F10B2E" w:rsidP="00616FE1">
      <w:pPr>
        <w:spacing w:after="0"/>
        <w:jc w:val="both"/>
        <w:rPr>
          <w:rFonts w:ascii="Arial" w:hAnsi="Arial" w:cs="Arial"/>
          <w:bCs/>
          <w:u w:val="single"/>
        </w:rPr>
      </w:pPr>
    </w:p>
    <w:p w14:paraId="37DDE507" w14:textId="2CE96546" w:rsidR="00034F2F" w:rsidRPr="00034F2F" w:rsidRDefault="00034F2F" w:rsidP="00034F2F">
      <w:pPr>
        <w:spacing w:after="0"/>
        <w:jc w:val="both"/>
        <w:rPr>
          <w:rFonts w:ascii="Arial" w:hAnsi="Arial" w:cs="Arial"/>
          <w:bCs/>
        </w:rPr>
      </w:pPr>
      <w:r w:rsidRPr="00034F2F">
        <w:rPr>
          <w:rFonts w:ascii="Arial" w:hAnsi="Arial" w:cs="Arial"/>
          <w:bCs/>
        </w:rPr>
        <w:t xml:space="preserve">El Índice de Precios al Consumidor (IPC) es el indicador oficial mediante el cual el DANE mide la inflación en Colombia, al estimar la variación promedio de los precios de una canasta representativa de bienes y servicios consumidos por los hogares. Desde una perspectiva económica, el IPC constituye una variable macroeconómica fundamental, dado que refleja la dinámica de los precios en la economía y, por consiguiente, incide en la formación de expectativas, la actualización de tarifas, la evolución de los costos de producción y la negociación de bienes y servicios en los distintos mercados. Para los estudios de mercado, este indicador resulta especialmente relevante porque proporciona una referencia objetiva y periódica del entorno inflacionario bajo el cual se estructuran los presupuestos, se estiman los costos y se celebran contratos. </w:t>
      </w:r>
    </w:p>
    <w:p w14:paraId="54957009" w14:textId="77777777" w:rsidR="00034F2F" w:rsidRPr="00034F2F" w:rsidRDefault="00034F2F" w:rsidP="00034F2F">
      <w:pPr>
        <w:spacing w:after="0"/>
        <w:jc w:val="both"/>
        <w:rPr>
          <w:rFonts w:ascii="Arial" w:hAnsi="Arial" w:cs="Arial"/>
          <w:bCs/>
        </w:rPr>
      </w:pPr>
    </w:p>
    <w:p w14:paraId="56A80F4A" w14:textId="79240986" w:rsidR="00034F2F" w:rsidRPr="00034F2F" w:rsidRDefault="00034F2F" w:rsidP="00034F2F">
      <w:pPr>
        <w:spacing w:after="0"/>
        <w:jc w:val="both"/>
        <w:rPr>
          <w:rFonts w:ascii="Arial" w:hAnsi="Arial" w:cs="Arial"/>
          <w:bCs/>
        </w:rPr>
      </w:pPr>
      <w:r w:rsidRPr="00034F2F">
        <w:rPr>
          <w:rFonts w:ascii="Arial" w:hAnsi="Arial" w:cs="Arial"/>
          <w:bCs/>
        </w:rPr>
        <w:t xml:space="preserve">De acuerdo con la información más reciente disponible, correspondiente a agosto de 2026, el IPC registró una variación mensual de 0,39 %, una variación acumulada en lo corrido del año de 5,35 % y una variación anual de 6,24 %. Estas cifras evidencian que, aunque la inflación se encuentra por debajo de los niveles extraordinarios observados en años anteriores, continúa siendo un factor relevante para la planeación financiera y la estimación de costos en proyectos de infraestructura, obras civiles y servicios especializados, debido a su incidencia sobre los precios de los insumos, la mano de obra, el transporte y demás componentes de la cadena productiva. </w:t>
      </w:r>
    </w:p>
    <w:p w14:paraId="7F42FAB9" w14:textId="6FE824EF" w:rsidR="00F10B2E" w:rsidRPr="00C76457" w:rsidRDefault="00F05CC6" w:rsidP="00616FE1">
      <w:pPr>
        <w:spacing w:after="0"/>
        <w:jc w:val="both"/>
        <w:rPr>
          <w:rFonts w:ascii="Arial" w:hAnsi="Arial" w:cs="Arial"/>
          <w:bCs/>
        </w:rPr>
      </w:pPr>
      <w:r w:rsidRPr="00C76457">
        <w:rPr>
          <w:rStyle w:val="Refdenotaalpie"/>
          <w:rFonts w:ascii="Arial" w:hAnsi="Arial" w:cs="Arial"/>
          <w:bCs/>
        </w:rPr>
        <w:lastRenderedPageBreak/>
        <w:footnoteReference w:id="33"/>
      </w:r>
      <w:r w:rsidR="003A417D" w:rsidRPr="00C76457">
        <w:rPr>
          <w:rFonts w:ascii="Arial" w:hAnsi="Arial" w:cs="Arial"/>
          <w:bCs/>
        </w:rPr>
        <w:t>.</w:t>
      </w:r>
    </w:p>
    <w:p w14:paraId="4E911ACB" w14:textId="5BDECDB0" w:rsidR="00C60E26" w:rsidRPr="00C76457" w:rsidRDefault="00D670E9" w:rsidP="00915023">
      <w:pPr>
        <w:spacing w:after="0"/>
        <w:jc w:val="center"/>
        <w:rPr>
          <w:rFonts w:ascii="Arial" w:hAnsi="Arial" w:cs="Arial"/>
          <w:bCs/>
        </w:rPr>
      </w:pPr>
      <w:r w:rsidRPr="00D670E9">
        <w:rPr>
          <w:rFonts w:ascii="Arial" w:hAnsi="Arial" w:cs="Arial"/>
          <w:bCs/>
          <w:noProof/>
        </w:rPr>
        <w:drawing>
          <wp:inline distT="0" distB="0" distL="0" distR="0" wp14:anchorId="0D85B8ED" wp14:editId="5E1F10DB">
            <wp:extent cx="3780544" cy="2384763"/>
            <wp:effectExtent l="0" t="0" r="0" b="0"/>
            <wp:docPr id="150008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8716" name=""/>
                    <pic:cNvPicPr/>
                  </pic:nvPicPr>
                  <pic:blipFill>
                    <a:blip r:embed="rId33"/>
                    <a:stretch>
                      <a:fillRect/>
                    </a:stretch>
                  </pic:blipFill>
                  <pic:spPr>
                    <a:xfrm>
                      <a:off x="0" y="0"/>
                      <a:ext cx="3798432" cy="2396047"/>
                    </a:xfrm>
                    <a:prstGeom prst="rect">
                      <a:avLst/>
                    </a:prstGeom>
                  </pic:spPr>
                </pic:pic>
              </a:graphicData>
            </a:graphic>
          </wp:inline>
        </w:drawing>
      </w:r>
    </w:p>
    <w:p w14:paraId="21F3FCC1" w14:textId="629E4E14" w:rsidR="00034054" w:rsidRPr="00C76457" w:rsidRDefault="00034054" w:rsidP="00616FE1">
      <w:pPr>
        <w:spacing w:after="0"/>
        <w:jc w:val="both"/>
        <w:rPr>
          <w:rFonts w:ascii="Arial" w:hAnsi="Arial" w:cs="Arial"/>
          <w:bCs/>
        </w:rPr>
      </w:pPr>
      <w:r w:rsidRPr="00915023">
        <w:rPr>
          <w:rFonts w:ascii="Arial" w:hAnsi="Arial" w:cs="Arial"/>
          <w:b/>
          <w:sz w:val="16"/>
          <w:szCs w:val="16"/>
        </w:rPr>
        <w:t>Fuente:</w:t>
      </w:r>
      <w:r w:rsidRPr="00C76457">
        <w:rPr>
          <w:rFonts w:ascii="Arial" w:hAnsi="Arial" w:cs="Arial"/>
          <w:bCs/>
          <w:sz w:val="16"/>
          <w:szCs w:val="16"/>
        </w:rPr>
        <w:t xml:space="preserve"> DANE.</w:t>
      </w:r>
      <w:r w:rsidR="00807755" w:rsidRPr="00C76457">
        <w:rPr>
          <w:rFonts w:ascii="Arial" w:hAnsi="Arial" w:cs="Arial"/>
          <w:bCs/>
          <w:sz w:val="16"/>
          <w:szCs w:val="16"/>
        </w:rPr>
        <w:t xml:space="preserve"> </w:t>
      </w:r>
      <w:r w:rsidR="003033D7">
        <w:rPr>
          <w:rFonts w:ascii="Arial" w:hAnsi="Arial" w:cs="Arial"/>
          <w:bCs/>
          <w:sz w:val="16"/>
          <w:szCs w:val="16"/>
        </w:rPr>
        <w:t xml:space="preserve">Boletín Técnico. </w:t>
      </w:r>
      <w:r w:rsidR="006F4080" w:rsidRPr="00C76457">
        <w:rPr>
          <w:rFonts w:ascii="Arial" w:hAnsi="Arial" w:cs="Arial"/>
          <w:bCs/>
          <w:sz w:val="16"/>
          <w:szCs w:val="16"/>
        </w:rPr>
        <w:t xml:space="preserve">Índice de precios al consumidor </w:t>
      </w:r>
      <w:r w:rsidR="00034F2F">
        <w:rPr>
          <w:rFonts w:ascii="Arial" w:hAnsi="Arial" w:cs="Arial"/>
          <w:bCs/>
          <w:sz w:val="16"/>
          <w:szCs w:val="16"/>
        </w:rPr>
        <w:t>agosto</w:t>
      </w:r>
      <w:r w:rsidR="003033D7">
        <w:rPr>
          <w:rFonts w:ascii="Arial" w:hAnsi="Arial" w:cs="Arial"/>
          <w:bCs/>
          <w:sz w:val="16"/>
          <w:szCs w:val="16"/>
        </w:rPr>
        <w:t xml:space="preserve"> 2026 </w:t>
      </w:r>
      <w:r w:rsidR="006F4080" w:rsidRPr="00C76457">
        <w:rPr>
          <w:rFonts w:ascii="Arial" w:hAnsi="Arial" w:cs="Arial"/>
          <w:bCs/>
          <w:sz w:val="16"/>
          <w:szCs w:val="16"/>
        </w:rPr>
        <w:t>–</w:t>
      </w:r>
      <w:r w:rsidRPr="00C76457">
        <w:rPr>
          <w:rFonts w:ascii="Arial" w:hAnsi="Arial" w:cs="Arial"/>
          <w:bCs/>
          <w:sz w:val="16"/>
          <w:szCs w:val="16"/>
        </w:rPr>
        <w:t xml:space="preserve">Fecha de publicación </w:t>
      </w:r>
      <w:r w:rsidR="00034F2F">
        <w:rPr>
          <w:rFonts w:ascii="Arial" w:hAnsi="Arial" w:cs="Arial"/>
          <w:bCs/>
          <w:sz w:val="16"/>
          <w:szCs w:val="16"/>
        </w:rPr>
        <w:t>7 de septiembre</w:t>
      </w:r>
      <w:r w:rsidR="003033D7">
        <w:rPr>
          <w:rFonts w:ascii="Arial" w:hAnsi="Arial" w:cs="Arial"/>
          <w:bCs/>
          <w:sz w:val="16"/>
          <w:szCs w:val="16"/>
        </w:rPr>
        <w:t xml:space="preserve"> de</w:t>
      </w:r>
      <w:r w:rsidR="003033D7" w:rsidRPr="00C76457">
        <w:rPr>
          <w:rFonts w:ascii="Arial" w:hAnsi="Arial" w:cs="Arial"/>
          <w:bCs/>
          <w:sz w:val="16"/>
          <w:szCs w:val="16"/>
        </w:rPr>
        <w:t xml:space="preserve"> </w:t>
      </w:r>
      <w:r w:rsidR="00AF3B77" w:rsidRPr="00C76457">
        <w:rPr>
          <w:rFonts w:ascii="Arial" w:hAnsi="Arial" w:cs="Arial"/>
          <w:bCs/>
          <w:sz w:val="16"/>
          <w:szCs w:val="16"/>
        </w:rPr>
        <w:t>2026</w:t>
      </w:r>
      <w:r w:rsidRPr="00C76457">
        <w:rPr>
          <w:rFonts w:ascii="Arial" w:hAnsi="Arial" w:cs="Arial"/>
          <w:bCs/>
          <w:sz w:val="16"/>
          <w:szCs w:val="16"/>
        </w:rPr>
        <w:t xml:space="preserve">; Fecha de consulta </w:t>
      </w:r>
      <w:r w:rsidR="00034F2F">
        <w:rPr>
          <w:rFonts w:ascii="Arial" w:hAnsi="Arial" w:cs="Arial"/>
          <w:bCs/>
          <w:sz w:val="16"/>
          <w:szCs w:val="16"/>
        </w:rPr>
        <w:t>5 de octubre de 2026</w:t>
      </w:r>
      <w:r w:rsidRPr="00C76457">
        <w:rPr>
          <w:rFonts w:ascii="Arial" w:hAnsi="Arial" w:cs="Arial"/>
          <w:bCs/>
          <w:sz w:val="16"/>
          <w:szCs w:val="16"/>
        </w:rPr>
        <w:t xml:space="preserve">. </w:t>
      </w:r>
      <w:hyperlink r:id="rId34" w:history="1">
        <w:r w:rsidR="00034F2F" w:rsidRPr="00B25DC6">
          <w:rPr>
            <w:rStyle w:val="Hipervnculo"/>
            <w:rFonts w:ascii="Arial" w:hAnsi="Arial" w:cs="Arial"/>
            <w:bCs/>
            <w:sz w:val="16"/>
            <w:szCs w:val="16"/>
          </w:rPr>
          <w:t>https://www.dane.gov.co/files/operaciones/IPC/ago2026/bol-IPC-ago2026.pdf</w:t>
        </w:r>
      </w:hyperlink>
      <w:r w:rsidR="00034F2F">
        <w:rPr>
          <w:rFonts w:ascii="Arial" w:hAnsi="Arial" w:cs="Arial"/>
          <w:bCs/>
          <w:sz w:val="16"/>
          <w:szCs w:val="16"/>
        </w:rPr>
        <w:t xml:space="preserve"> </w:t>
      </w:r>
    </w:p>
    <w:p w14:paraId="01E8613E" w14:textId="77777777" w:rsidR="00686357" w:rsidRDefault="00686357" w:rsidP="00A357EF">
      <w:pPr>
        <w:spacing w:after="0"/>
        <w:jc w:val="both"/>
        <w:rPr>
          <w:rFonts w:ascii="Arial" w:hAnsi="Arial" w:cs="Arial"/>
          <w:bCs/>
        </w:rPr>
      </w:pPr>
    </w:p>
    <w:p w14:paraId="76EED7D3" w14:textId="669C7C4E" w:rsidR="008D5850" w:rsidRPr="00087E40" w:rsidRDefault="00CE11B3" w:rsidP="008D5850">
      <w:pPr>
        <w:spacing w:after="0"/>
        <w:jc w:val="both"/>
        <w:rPr>
          <w:rFonts w:ascii="Arial" w:hAnsi="Arial" w:cs="Arial"/>
          <w:bCs/>
        </w:rPr>
      </w:pPr>
      <w:r w:rsidRPr="00C76457">
        <w:rPr>
          <w:rFonts w:ascii="Arial" w:hAnsi="Arial" w:cs="Arial"/>
          <w:bCs/>
        </w:rPr>
        <w:t xml:space="preserve">En el ámbito nacional, el DANE reportó que en </w:t>
      </w:r>
      <w:r w:rsidR="00C76C89">
        <w:rPr>
          <w:rFonts w:ascii="Arial" w:hAnsi="Arial" w:cs="Arial"/>
          <w:bCs/>
        </w:rPr>
        <w:t xml:space="preserve">agosto </w:t>
      </w:r>
      <w:r w:rsidRPr="00C76457">
        <w:rPr>
          <w:rFonts w:ascii="Arial" w:hAnsi="Arial" w:cs="Arial"/>
          <w:bCs/>
        </w:rPr>
        <w:t xml:space="preserve">de 2026 la variación anual del IPC fue </w:t>
      </w:r>
      <w:r w:rsidR="008D5850">
        <w:rPr>
          <w:rFonts w:ascii="Arial" w:hAnsi="Arial" w:cs="Arial"/>
          <w:bCs/>
        </w:rPr>
        <w:t>6,</w:t>
      </w:r>
      <w:r w:rsidR="00FF1207">
        <w:rPr>
          <w:rFonts w:ascii="Arial" w:hAnsi="Arial" w:cs="Arial"/>
          <w:bCs/>
        </w:rPr>
        <w:t>24</w:t>
      </w:r>
      <w:r w:rsidRPr="00C76457">
        <w:rPr>
          <w:rFonts w:ascii="Arial" w:hAnsi="Arial" w:cs="Arial"/>
          <w:bCs/>
        </w:rPr>
        <w:t xml:space="preserve">%, </w:t>
      </w:r>
      <w:r w:rsidR="008D5850" w:rsidRPr="00087E40">
        <w:rPr>
          <w:rFonts w:ascii="Arial" w:hAnsi="Arial" w:cs="Arial"/>
          <w:bCs/>
        </w:rPr>
        <w:t>mientras que la variación acumulada en lo corrido del año (enero-</w:t>
      </w:r>
      <w:r w:rsidR="00FF1207">
        <w:rPr>
          <w:rFonts w:ascii="Arial" w:hAnsi="Arial" w:cs="Arial"/>
          <w:bCs/>
        </w:rPr>
        <w:t>agosto</w:t>
      </w:r>
      <w:r w:rsidR="008D5850" w:rsidRPr="00087E40">
        <w:rPr>
          <w:rFonts w:ascii="Arial" w:hAnsi="Arial" w:cs="Arial"/>
          <w:bCs/>
        </w:rPr>
        <w:t xml:space="preserve">) alcanzó </w:t>
      </w:r>
      <w:r w:rsidR="00FF1207">
        <w:rPr>
          <w:rFonts w:ascii="Arial" w:hAnsi="Arial" w:cs="Arial"/>
          <w:bCs/>
        </w:rPr>
        <w:t>5.34</w:t>
      </w:r>
      <w:r w:rsidR="008D5850" w:rsidRPr="00915023">
        <w:rPr>
          <w:rFonts w:ascii="Arial" w:hAnsi="Arial" w:cs="Arial"/>
          <w:bCs/>
        </w:rPr>
        <w:t>%</w:t>
      </w:r>
      <w:r w:rsidR="008D5850" w:rsidRPr="00087E40">
        <w:rPr>
          <w:rFonts w:ascii="Arial" w:hAnsi="Arial" w:cs="Arial"/>
          <w:bCs/>
        </w:rPr>
        <w:t xml:space="preserve"> y la variación mensual fue de </w:t>
      </w:r>
      <w:r w:rsidR="008D5850" w:rsidRPr="00915023">
        <w:rPr>
          <w:rFonts w:ascii="Arial" w:hAnsi="Arial" w:cs="Arial"/>
          <w:bCs/>
        </w:rPr>
        <w:t>0,</w:t>
      </w:r>
      <w:r w:rsidR="00FF1207">
        <w:rPr>
          <w:rFonts w:ascii="Arial" w:hAnsi="Arial" w:cs="Arial"/>
          <w:bCs/>
        </w:rPr>
        <w:t>39</w:t>
      </w:r>
      <w:r w:rsidR="008D5850" w:rsidRPr="00915023">
        <w:rPr>
          <w:rFonts w:ascii="Arial" w:hAnsi="Arial" w:cs="Arial"/>
          <w:bCs/>
        </w:rPr>
        <w:t>%</w:t>
      </w:r>
      <w:r w:rsidR="008D5850" w:rsidRPr="00087E40">
        <w:rPr>
          <w:rFonts w:ascii="Arial" w:hAnsi="Arial" w:cs="Arial"/>
          <w:bCs/>
        </w:rPr>
        <w:t>.</w:t>
      </w:r>
    </w:p>
    <w:p w14:paraId="6955BEED" w14:textId="77777777" w:rsidR="008D5850" w:rsidRPr="008D5850" w:rsidRDefault="008D5850" w:rsidP="008D5850">
      <w:pPr>
        <w:spacing w:after="0"/>
        <w:jc w:val="both"/>
        <w:rPr>
          <w:rFonts w:ascii="Arial" w:hAnsi="Arial" w:cs="Arial"/>
          <w:bCs/>
        </w:rPr>
      </w:pPr>
    </w:p>
    <w:p w14:paraId="5C73BCD8" w14:textId="0A4DD47B" w:rsidR="00CE11B3" w:rsidRPr="00C76457" w:rsidRDefault="00FF1207" w:rsidP="00616FE1">
      <w:pPr>
        <w:spacing w:after="0"/>
        <w:jc w:val="both"/>
        <w:rPr>
          <w:rFonts w:ascii="Arial" w:hAnsi="Arial" w:cs="Arial"/>
          <w:bCs/>
        </w:rPr>
      </w:pPr>
      <w:r w:rsidRPr="00FF1207">
        <w:rPr>
          <w:rFonts w:ascii="Arial" w:hAnsi="Arial" w:cs="Arial"/>
          <w:bCs/>
        </w:rPr>
        <w:t>Los mayores aportes a la variación mensual provinieron de las divisiones de alimentos y bebidas no alcohólicas, alojamiento, agua, electricidad, gas y otros combustibles, restaurantes y hoteles, y recreación y cultura, componentes que inciden directa o indirectamente en la estructura de costos de proyectos de infraestructura y servicios. En consecuencia, la evolución reciente de la inflación constituye una variable macroeconómica que debe ser considerada dentro de los análisis de mercado, la estimación de costos y las proyecciones financieras del proyecto, toda vez que influye sobre los precios de bienes, servicios, transporte, insumos y mano de obra requeridos para su ejecución.</w:t>
      </w:r>
    </w:p>
    <w:p w14:paraId="04D50B42" w14:textId="77777777" w:rsidR="00CE11B3" w:rsidRPr="00C76457" w:rsidRDefault="00CE11B3" w:rsidP="00616FE1">
      <w:pPr>
        <w:spacing w:after="0"/>
        <w:jc w:val="both"/>
        <w:rPr>
          <w:rFonts w:ascii="Arial" w:hAnsi="Arial" w:cs="Arial"/>
          <w:bCs/>
        </w:rPr>
      </w:pPr>
    </w:p>
    <w:p w14:paraId="5A139E47" w14:textId="11C8ED37" w:rsidR="00A56F59" w:rsidRPr="00140818" w:rsidRDefault="00140818" w:rsidP="00A56F59">
      <w:pPr>
        <w:spacing w:after="0"/>
        <w:jc w:val="both"/>
        <w:rPr>
          <w:rFonts w:ascii="Arial" w:hAnsi="Arial" w:cs="Arial"/>
          <w:bCs/>
        </w:rPr>
      </w:pPr>
      <w:r w:rsidRPr="00140818">
        <w:rPr>
          <w:rFonts w:ascii="Arial" w:hAnsi="Arial" w:cs="Arial"/>
          <w:bCs/>
        </w:rPr>
        <w:t xml:space="preserve">En el contexto distrital, la evolución de los precios en Bogotá reviste especial importancia debido a que los proyectos objeto de análisis se desarrollan en un entorno urbano caracterizado por dinámicas propias del mercado laboral, la demanda de servicios, la movilidad y los costos operativos. Según los resultados del IPC publicados por el DANE para agosto de 2026, la ciudad continúa enfrentando presiones inflacionarias asociadas principalmente a gastos de alojamiento, servicios, alimentación y otros bienes de consumo, factores que tienen incidencia sobre los costos de operación y ejecución de proyectos. En este sentido, aunque el comportamiento de la inflación ha mostrado una moderación frente a los niveles excepcionalmente altos observados en años anteriores, la variación anual del IPC nacional de 6,24 % evidencia que los precios continúan creciendo a un ritmo </w:t>
      </w:r>
      <w:r w:rsidRPr="00140818">
        <w:rPr>
          <w:rFonts w:ascii="Arial" w:hAnsi="Arial" w:cs="Arial"/>
          <w:bCs/>
        </w:rPr>
        <w:lastRenderedPageBreak/>
        <w:t>significativo, por lo que resulta necesario incorporar este comportamiento dentro de los supuestos económicos, financieros y presupuestales que soportan la estructuración y ejecución de los contratos y proyectos de infraestructura.</w:t>
      </w:r>
    </w:p>
    <w:p w14:paraId="1D060DB7" w14:textId="77777777" w:rsidR="00A35FD0" w:rsidRPr="00140818" w:rsidRDefault="00A35FD0" w:rsidP="00A56F59">
      <w:pPr>
        <w:spacing w:after="0"/>
        <w:jc w:val="both"/>
        <w:rPr>
          <w:rFonts w:ascii="Arial" w:hAnsi="Arial" w:cs="Arial"/>
          <w:bCs/>
        </w:rPr>
      </w:pPr>
    </w:p>
    <w:p w14:paraId="6DD3B8C3" w14:textId="5ED7DD84" w:rsidR="00A35FD0" w:rsidRPr="00140818" w:rsidRDefault="00A35FD0" w:rsidP="00A35FD0">
      <w:pPr>
        <w:spacing w:after="0"/>
        <w:jc w:val="both"/>
        <w:rPr>
          <w:rFonts w:ascii="Arial" w:hAnsi="Arial" w:cs="Arial"/>
          <w:bCs/>
        </w:rPr>
      </w:pPr>
      <w:r w:rsidRPr="00140818">
        <w:rPr>
          <w:rFonts w:ascii="Arial" w:hAnsi="Arial" w:cs="Arial"/>
          <w:bCs/>
        </w:rPr>
        <w:t>Como referencia comparativa, en agosto de 2025 la inflación anual nacional se ubicó en 5,10%, evidenciando que durante el último año se presentó un incremento en el nivel general de precios hasta alcanzar el 6,03% registrado en julio de 2026. Esta tendencia sugiere la necesidad de mantener actualizados los análisis económicos y las estimaciones de costos, considerando la evolución reciente de los principales indicadores macroeconómicos.</w:t>
      </w:r>
      <w:r w:rsidR="006E0330" w:rsidRPr="00140818">
        <w:rPr>
          <w:rStyle w:val="Refdenotaalpie"/>
          <w:rFonts w:ascii="Arial" w:hAnsi="Arial" w:cs="Arial"/>
          <w:bCs/>
        </w:rPr>
        <w:footnoteReference w:id="34"/>
      </w:r>
    </w:p>
    <w:p w14:paraId="4CE9C5A5" w14:textId="77777777" w:rsidR="00A35FD0" w:rsidRPr="00140818" w:rsidRDefault="00A35FD0" w:rsidP="008C7BA7">
      <w:pPr>
        <w:spacing w:after="0"/>
        <w:jc w:val="both"/>
        <w:rPr>
          <w:rFonts w:ascii="Arial" w:hAnsi="Arial" w:cs="Arial"/>
          <w:bCs/>
        </w:rPr>
      </w:pPr>
    </w:p>
    <w:p w14:paraId="5AC6E1EA" w14:textId="6ABD9351" w:rsidR="008D26AE" w:rsidRPr="00C76457" w:rsidRDefault="008D26AE" w:rsidP="00616FE1">
      <w:pPr>
        <w:spacing w:after="0"/>
        <w:jc w:val="both"/>
        <w:rPr>
          <w:rFonts w:ascii="Arial" w:hAnsi="Arial" w:cs="Arial"/>
          <w:bCs/>
          <w:u w:val="single"/>
        </w:rPr>
      </w:pPr>
      <w:r w:rsidRPr="00140818">
        <w:rPr>
          <w:rFonts w:ascii="Arial" w:hAnsi="Arial" w:cs="Arial"/>
          <w:bCs/>
          <w:u w:val="single"/>
        </w:rPr>
        <w:t>Tasas de interés, costo del financiamiento y costos de insumos, equipos</w:t>
      </w:r>
      <w:r w:rsidRPr="00C76457">
        <w:rPr>
          <w:rFonts w:ascii="Arial" w:hAnsi="Arial" w:cs="Arial"/>
          <w:bCs/>
          <w:u w:val="single"/>
        </w:rPr>
        <w:t xml:space="preserve"> y servicios especializados</w:t>
      </w:r>
    </w:p>
    <w:p w14:paraId="283EBD47" w14:textId="77777777" w:rsidR="00BA4F75" w:rsidRPr="00C76457" w:rsidRDefault="00BA4F75" w:rsidP="00616FE1">
      <w:pPr>
        <w:spacing w:after="0"/>
        <w:jc w:val="both"/>
        <w:rPr>
          <w:rFonts w:ascii="Arial" w:hAnsi="Arial" w:cs="Arial"/>
          <w:bCs/>
        </w:rPr>
      </w:pPr>
    </w:p>
    <w:p w14:paraId="18B73D90" w14:textId="77777777" w:rsidR="00130CA6" w:rsidRDefault="00130CA6" w:rsidP="00130CA6">
      <w:pPr>
        <w:spacing w:after="0"/>
        <w:jc w:val="both"/>
        <w:rPr>
          <w:rFonts w:ascii="Arial" w:hAnsi="Arial" w:cs="Arial"/>
          <w:bCs/>
        </w:rPr>
      </w:pPr>
      <w:r w:rsidRPr="00130CA6">
        <w:rPr>
          <w:rFonts w:ascii="Arial" w:hAnsi="Arial" w:cs="Arial"/>
          <w:bCs/>
        </w:rPr>
        <w:t>La interacción entre las tasas de interés, el costo del financiamiento y la evolución de los costos de insumos, equipos y servicios especializados constituye una de las variables económicas más relevantes para el funcionamiento del mercado asociado al desmantelamiento de infraestructura de hidrocarburos y estaciones de servicio. Esta variable refleja tanto el costo del dinero en la economía como el comportamiento de los precios de los factores productivos requeridos para la ejecución de proyectos especializados, incidiendo directamente en las decisiones de inversión, contratación, adquisición de bienes y ejecución de actividades operativas.</w:t>
      </w:r>
    </w:p>
    <w:p w14:paraId="561CBF9C" w14:textId="77777777" w:rsidR="00130CA6" w:rsidRPr="00130CA6" w:rsidRDefault="00130CA6" w:rsidP="00130CA6">
      <w:pPr>
        <w:spacing w:after="0"/>
        <w:jc w:val="both"/>
        <w:rPr>
          <w:rFonts w:ascii="Arial" w:hAnsi="Arial" w:cs="Arial"/>
          <w:bCs/>
        </w:rPr>
      </w:pPr>
    </w:p>
    <w:p w14:paraId="4186AD7E" w14:textId="2F7E4DCD" w:rsidR="00461FC9" w:rsidRPr="00C76457" w:rsidRDefault="00130CA6" w:rsidP="00616FE1">
      <w:pPr>
        <w:spacing w:after="0"/>
        <w:jc w:val="both"/>
        <w:rPr>
          <w:rFonts w:ascii="Arial" w:hAnsi="Arial" w:cs="Arial"/>
          <w:bCs/>
        </w:rPr>
      </w:pPr>
      <w:r w:rsidRPr="00130CA6">
        <w:rPr>
          <w:rFonts w:ascii="Arial" w:hAnsi="Arial" w:cs="Arial"/>
          <w:bCs/>
        </w:rPr>
        <w:t xml:space="preserve">Desde una perspectiva macroeconómica, el costo del financiamiento en Colombia continúa determinado, en gran medida, por la tasa de política monetaria fijada por el Banco de la República, instrumento mediante el cual la autoridad monetaria orienta las condiciones de </w:t>
      </w:r>
      <w:r w:rsidRPr="007E25DF">
        <w:rPr>
          <w:rFonts w:ascii="Arial" w:hAnsi="Arial" w:cs="Arial"/>
          <w:bCs/>
        </w:rPr>
        <w:t xml:space="preserve">liquidez y crédito en la economía. A agosto de 2026, la tasa de política monetaria se ubica en </w:t>
      </w:r>
      <w:r w:rsidRPr="00915023">
        <w:rPr>
          <w:rFonts w:ascii="Arial" w:hAnsi="Arial" w:cs="Arial"/>
          <w:bCs/>
        </w:rPr>
        <w:t>12,00%</w:t>
      </w:r>
      <w:r w:rsidRPr="007E25DF">
        <w:rPr>
          <w:rFonts w:ascii="Arial" w:hAnsi="Arial" w:cs="Arial"/>
          <w:bCs/>
        </w:rPr>
        <w:t>, nivel que evidencia una postura monetaria aún restrictiva orientada al control de las presiones</w:t>
      </w:r>
      <w:r w:rsidRPr="00130CA6">
        <w:rPr>
          <w:rFonts w:ascii="Arial" w:hAnsi="Arial" w:cs="Arial"/>
          <w:bCs/>
        </w:rPr>
        <w:t xml:space="preserve"> inflacionarias y que mantiene condiciones de financiamiento relativamente exigentes para el sector productivo. Esta situación repercute directamente sobre el costo de obtención de recursos para capital de trabajo, adquisición de equipos, contratación de servicios especializados y ejecución de proyectos de infraestructura y desmantelamiento.</w:t>
      </w:r>
      <w:r w:rsidR="00F4720A" w:rsidRPr="00C76457">
        <w:rPr>
          <w:rStyle w:val="Refdenotaalpie"/>
          <w:rFonts w:ascii="Arial" w:hAnsi="Arial" w:cs="Arial"/>
          <w:bCs/>
        </w:rPr>
        <w:footnoteReference w:id="35"/>
      </w:r>
    </w:p>
    <w:p w14:paraId="20318DB5" w14:textId="77777777" w:rsidR="00461FC9" w:rsidRPr="00C76457" w:rsidRDefault="0084315F" w:rsidP="00616FE1">
      <w:pPr>
        <w:spacing w:after="0"/>
        <w:jc w:val="both"/>
        <w:rPr>
          <w:rFonts w:ascii="Arial" w:hAnsi="Arial" w:cs="Arial"/>
          <w:bCs/>
        </w:rPr>
      </w:pPr>
      <w:r w:rsidRPr="00C76457">
        <w:rPr>
          <w:rFonts w:ascii="Arial" w:hAnsi="Arial" w:cs="Arial"/>
          <w:bCs/>
        </w:rPr>
        <w:t xml:space="preserve"> </w:t>
      </w:r>
    </w:p>
    <w:p w14:paraId="7118CE23" w14:textId="21005706" w:rsidR="005657FC" w:rsidRDefault="005657FC" w:rsidP="005657FC">
      <w:pPr>
        <w:spacing w:after="0"/>
        <w:jc w:val="both"/>
        <w:rPr>
          <w:rFonts w:ascii="Arial" w:hAnsi="Arial" w:cs="Arial"/>
          <w:bCs/>
        </w:rPr>
      </w:pPr>
      <w:r w:rsidRPr="005657FC">
        <w:rPr>
          <w:rFonts w:ascii="Arial" w:hAnsi="Arial" w:cs="Arial"/>
          <w:bCs/>
        </w:rPr>
        <w:t xml:space="preserve">En </w:t>
      </w:r>
      <w:r w:rsidRPr="00C537C9">
        <w:rPr>
          <w:rFonts w:ascii="Arial" w:hAnsi="Arial" w:cs="Arial"/>
          <w:bCs/>
        </w:rPr>
        <w:t xml:space="preserve">concordancia con este entorno financiero, la Superintendencia Financiera de Colombia certificó para la modalidad de </w:t>
      </w:r>
      <w:r w:rsidRPr="00915023">
        <w:rPr>
          <w:rFonts w:ascii="Arial" w:hAnsi="Arial" w:cs="Arial"/>
          <w:bCs/>
        </w:rPr>
        <w:t>crédito de consumo y ordinario</w:t>
      </w:r>
      <w:r w:rsidRPr="00C537C9">
        <w:rPr>
          <w:rFonts w:ascii="Arial" w:hAnsi="Arial" w:cs="Arial"/>
          <w:bCs/>
        </w:rPr>
        <w:t xml:space="preserve"> un </w:t>
      </w:r>
      <w:r w:rsidRPr="00915023">
        <w:rPr>
          <w:rFonts w:ascii="Arial" w:hAnsi="Arial" w:cs="Arial"/>
          <w:bCs/>
        </w:rPr>
        <w:t>Interés Bancario Corriente (IBC) de 19,77% efectivo anual</w:t>
      </w:r>
      <w:r w:rsidRPr="00C537C9">
        <w:rPr>
          <w:rFonts w:ascii="Arial" w:hAnsi="Arial" w:cs="Arial"/>
          <w:bCs/>
        </w:rPr>
        <w:t xml:space="preserve">, vigente entre el 1 y el 31 de agosto de 2026, superior al registrado durante el mes anterior (19,19%). De igual manera, la tasa de usura correspondiente para esta modalidad fue establecida en </w:t>
      </w:r>
      <w:r w:rsidRPr="00915023">
        <w:rPr>
          <w:rFonts w:ascii="Arial" w:hAnsi="Arial" w:cs="Arial"/>
          <w:bCs/>
        </w:rPr>
        <w:t>29,66% efectivo anual</w:t>
      </w:r>
      <w:r w:rsidRPr="00C537C9">
        <w:rPr>
          <w:rFonts w:ascii="Arial" w:hAnsi="Arial" w:cs="Arial"/>
          <w:bCs/>
        </w:rPr>
        <w:t xml:space="preserve">, lo que </w:t>
      </w:r>
      <w:r w:rsidRPr="00C537C9">
        <w:rPr>
          <w:rFonts w:ascii="Arial" w:hAnsi="Arial" w:cs="Arial"/>
          <w:bCs/>
        </w:rPr>
        <w:lastRenderedPageBreak/>
        <w:t>evidencia que las condiciones de financiamiento continúan representando un factor significativo dentro de la estructura</w:t>
      </w:r>
      <w:r w:rsidRPr="005657FC">
        <w:rPr>
          <w:rFonts w:ascii="Arial" w:hAnsi="Arial" w:cs="Arial"/>
          <w:bCs/>
        </w:rPr>
        <w:t xml:space="preserve"> de costos de las empresas que requieren recursos provenientes del sistema financiero para el desarrollo de sus operaciones e inversiones.</w:t>
      </w:r>
      <w:r w:rsidR="00C537C9">
        <w:rPr>
          <w:rStyle w:val="Refdenotaalpie"/>
          <w:rFonts w:ascii="Arial" w:hAnsi="Arial" w:cs="Arial"/>
          <w:bCs/>
        </w:rPr>
        <w:footnoteReference w:id="36"/>
      </w:r>
      <w:r w:rsidRPr="005657FC">
        <w:rPr>
          <w:rFonts w:ascii="Arial" w:hAnsi="Arial" w:cs="Arial"/>
          <w:bCs/>
        </w:rPr>
        <w:t xml:space="preserve"> </w:t>
      </w:r>
    </w:p>
    <w:p w14:paraId="0A8782C3" w14:textId="77777777" w:rsidR="005657FC" w:rsidRPr="005657FC" w:rsidRDefault="005657FC" w:rsidP="005657FC">
      <w:pPr>
        <w:spacing w:after="0"/>
        <w:jc w:val="both"/>
        <w:rPr>
          <w:rFonts w:ascii="Arial" w:hAnsi="Arial" w:cs="Arial"/>
          <w:bCs/>
        </w:rPr>
      </w:pPr>
    </w:p>
    <w:p w14:paraId="5FA8FA8A" w14:textId="77777777" w:rsidR="005657FC" w:rsidRPr="005657FC" w:rsidRDefault="005657FC" w:rsidP="005657FC">
      <w:pPr>
        <w:spacing w:after="0"/>
        <w:jc w:val="both"/>
        <w:rPr>
          <w:rFonts w:ascii="Arial" w:hAnsi="Arial" w:cs="Arial"/>
          <w:bCs/>
        </w:rPr>
      </w:pPr>
      <w:r w:rsidRPr="005657FC">
        <w:rPr>
          <w:rFonts w:ascii="Arial" w:hAnsi="Arial" w:cs="Arial"/>
          <w:bCs/>
        </w:rPr>
        <w:t>En este contexto, las condiciones del mercado financiero constituyen un factor relevante dentro de la estructuración económica de proyectos relacionados con actividades de desmontaje, transporte, tratamiento y disposición de residuos, toda vez que impactan los costos asociados a la financiación de capital de trabajo, la contratación de personal especializado, el alquiler o adquisición de maquinaria y equipos, así como la prestación de servicios técnicos requeridos para la ejecución de las actividades previstas. Por tanto, la evolución de las tasas de interés y del costo del crédito debe incorporarse como una variable de análisis en la estimación de costos y en la evaluación de las condiciones de mercado del sector.</w:t>
      </w:r>
    </w:p>
    <w:p w14:paraId="1D03B4C1" w14:textId="4BA49876" w:rsidR="008D26AE" w:rsidRPr="00C76457" w:rsidRDefault="008D26AE" w:rsidP="00616FE1">
      <w:pPr>
        <w:spacing w:after="0"/>
        <w:jc w:val="both"/>
        <w:rPr>
          <w:rFonts w:ascii="Arial" w:hAnsi="Arial" w:cs="Arial"/>
          <w:bCs/>
        </w:rPr>
      </w:pPr>
    </w:p>
    <w:p w14:paraId="283E83A7" w14:textId="40738BF4" w:rsidR="00B923ED" w:rsidRPr="00915023" w:rsidRDefault="00291066" w:rsidP="00616FE1">
      <w:pPr>
        <w:spacing w:after="0"/>
        <w:jc w:val="both"/>
        <w:rPr>
          <w:rFonts w:ascii="Arial" w:hAnsi="Arial" w:cs="Arial"/>
          <w:b/>
          <w:u w:val="single"/>
        </w:rPr>
      </w:pPr>
      <w:r w:rsidRPr="00915023">
        <w:rPr>
          <w:rFonts w:ascii="Arial" w:hAnsi="Arial" w:cs="Arial"/>
          <w:b/>
          <w:u w:val="single"/>
        </w:rPr>
        <w:t>Perspectiva técnica</w:t>
      </w:r>
    </w:p>
    <w:p w14:paraId="0681A0BA" w14:textId="77777777" w:rsidR="00D5275B" w:rsidRPr="00C76457" w:rsidRDefault="00D5275B" w:rsidP="00616FE1">
      <w:pPr>
        <w:spacing w:after="0"/>
        <w:jc w:val="both"/>
        <w:rPr>
          <w:rFonts w:ascii="Arial" w:hAnsi="Arial" w:cs="Arial"/>
          <w:bCs/>
          <w:u w:val="single"/>
        </w:rPr>
      </w:pPr>
    </w:p>
    <w:p w14:paraId="01BC2545" w14:textId="599B0D53" w:rsidR="00731C9E" w:rsidRPr="00731C9E" w:rsidRDefault="00731C9E" w:rsidP="00731C9E">
      <w:pPr>
        <w:spacing w:after="0"/>
        <w:jc w:val="both"/>
        <w:rPr>
          <w:rFonts w:ascii="Arial" w:hAnsi="Arial" w:cs="Arial"/>
          <w:bCs/>
        </w:rPr>
      </w:pPr>
      <w:r w:rsidRPr="00731C9E">
        <w:rPr>
          <w:rFonts w:ascii="Arial" w:hAnsi="Arial" w:cs="Arial"/>
          <w:bCs/>
        </w:rPr>
        <w:t xml:space="preserve">Las actividades de desmantelamiento, desinstalación y retiro de infraestructura asociada al almacenamiento, conducción y suministro de combustibles líquidos forman parte de una cadena de valor especializada que integra servicios de ingeniería, gestión ambiental, excavación, </w:t>
      </w:r>
      <w:proofErr w:type="spellStart"/>
      <w:r w:rsidRPr="00731C9E">
        <w:rPr>
          <w:rFonts w:ascii="Arial" w:hAnsi="Arial" w:cs="Arial"/>
          <w:bCs/>
        </w:rPr>
        <w:t>izaje</w:t>
      </w:r>
      <w:proofErr w:type="spellEnd"/>
      <w:r w:rsidRPr="00731C9E">
        <w:rPr>
          <w:rFonts w:ascii="Arial" w:hAnsi="Arial" w:cs="Arial"/>
          <w:bCs/>
        </w:rPr>
        <w:t>, corte y demolición controlada, transporte especializado, gestión de residuos peligrosos y rehabilitación de áreas intervenidas. La demanda de estos servicios se encuentra estrechamente relacionada con la ejecución de proyectos de infraestructura, renovación de activos, reconversión tecnológica, cierre de instalaciones y cumplimiento de obligaciones ambientales y regulatorias. En este contexto, la dinámica reciente del sector construcción y de las obras civiles constituye un referente importante, toda vez que durante 2026 la ejecución de proyectos de infraestructura ha mantenido una actividad significativa, impulsada por grandes iniciativas de transporte y movilidad que han contribuido a sostener la demanda de servicios técnicos especializados, maquinaria, personal calificado y operadores con experiencia en intervenciones de alta complejidad.</w:t>
      </w:r>
      <w:r>
        <w:rPr>
          <w:rStyle w:val="Refdenotaalpie"/>
          <w:rFonts w:ascii="Arial" w:hAnsi="Arial" w:cs="Arial"/>
          <w:bCs/>
        </w:rPr>
        <w:footnoteReference w:id="37"/>
      </w:r>
    </w:p>
    <w:p w14:paraId="2F986D1B" w14:textId="67AFD3E3" w:rsidR="00D5275B" w:rsidRPr="00C76457" w:rsidRDefault="00D5275B" w:rsidP="00616FE1">
      <w:pPr>
        <w:spacing w:after="0"/>
        <w:jc w:val="both"/>
        <w:rPr>
          <w:rFonts w:ascii="Arial" w:hAnsi="Arial" w:cs="Arial"/>
        </w:rPr>
      </w:pPr>
    </w:p>
    <w:p w14:paraId="00E22E64" w14:textId="6ADA7D79" w:rsidR="0092604C" w:rsidRPr="0092604C" w:rsidRDefault="0092604C" w:rsidP="0092604C">
      <w:pPr>
        <w:spacing w:after="0"/>
        <w:jc w:val="both"/>
        <w:rPr>
          <w:rFonts w:ascii="Arial" w:hAnsi="Arial" w:cs="Arial"/>
          <w:bCs/>
        </w:rPr>
      </w:pPr>
      <w:r w:rsidRPr="0092604C">
        <w:rPr>
          <w:rFonts w:ascii="Arial" w:hAnsi="Arial" w:cs="Arial"/>
          <w:bCs/>
        </w:rPr>
        <w:t xml:space="preserve">Desde la perspectiva del mercado proveedor, la ejecución de actividades de desmantelamiento de infraestructura de combustibles requiere la concurrencia de múltiples capacidades técnicas y operativas, incluyendo profesionales de ingeniería, especialistas ambientales, personal certificado para trabajos en espacios confinados y atmósferas potencialmente explosivas, operadores de maquinaria, gestores autorizados de residuos peligrosos, laboratorios acreditados y empresas de transporte especializadas. En consecuencia, la disponibilidad y costo de estos servicios dependen no solo de la evolución </w:t>
      </w:r>
      <w:r w:rsidRPr="0092604C">
        <w:rPr>
          <w:rFonts w:ascii="Arial" w:hAnsi="Arial" w:cs="Arial"/>
          <w:bCs/>
        </w:rPr>
        <w:lastRenderedPageBreak/>
        <w:t>del sector construcción, sino también de las condiciones del mercado laboral especializado, de la capacidad instalada de los gestores ambientales y de la demanda de servicios asociados a proyectos de infraestructura, saneamiento ambiental y remediación de sitios potencialmente contaminados.</w:t>
      </w:r>
      <w:r w:rsidR="00635F02">
        <w:rPr>
          <w:rFonts w:ascii="Arial" w:hAnsi="Arial" w:cs="Arial"/>
          <w:bCs/>
        </w:rPr>
        <w:t xml:space="preserve"> </w:t>
      </w:r>
      <w:r w:rsidR="00635F02">
        <w:rPr>
          <w:rStyle w:val="Refdenotaalpie"/>
          <w:rFonts w:ascii="Arial" w:hAnsi="Arial" w:cs="Arial"/>
          <w:bCs/>
        </w:rPr>
        <w:footnoteReference w:id="38"/>
      </w:r>
    </w:p>
    <w:p w14:paraId="64B31ED5" w14:textId="61792DE2" w:rsidR="00DA4CBC" w:rsidRDefault="00DA4CBC" w:rsidP="00616FE1">
      <w:pPr>
        <w:spacing w:after="0"/>
        <w:jc w:val="both"/>
        <w:rPr>
          <w:rFonts w:ascii="Arial" w:hAnsi="Arial" w:cs="Arial"/>
          <w:bCs/>
        </w:rPr>
      </w:pPr>
    </w:p>
    <w:p w14:paraId="4320F025" w14:textId="77777777" w:rsidR="00635F02" w:rsidRPr="00635F02" w:rsidRDefault="00635F02" w:rsidP="00635F02">
      <w:pPr>
        <w:spacing w:after="0"/>
        <w:jc w:val="both"/>
        <w:rPr>
          <w:rFonts w:ascii="Arial" w:hAnsi="Arial" w:cs="Arial"/>
          <w:bCs/>
        </w:rPr>
      </w:pPr>
      <w:r w:rsidRPr="00635F02">
        <w:rPr>
          <w:rFonts w:ascii="Arial" w:hAnsi="Arial" w:cs="Arial"/>
          <w:bCs/>
        </w:rPr>
        <w:t>Desde el punto de vista técnico, el desmantelamiento de infraestructura para almacenamiento y distribución de combustibles se considera una actividad de alta complejidad debido a la presencia potencial de sustancias inflamables, atmósferas explosivas, espacios confinados, excavaciones profundas, redes subterráneas, residuos peligrosos y posibles afectaciones al suelo y a las aguas subterráneas. Por esta razón, las actividades de cierre y retiro de instalaciones deben ejecutarse bajo procedimientos controlados de ingeniería, seguridad industrial y gestión ambiental, que incluyan la limpieza e inertización de tanques y tuberías, la caracterización de materiales y residuos, la evaluación ambiental del sitio, la implementación de medidas de control de riesgos y, cuando corresponda, la investigación y remediación de impactos ambientales. Tales prácticas corresponden a estándares internacionalmente reconocidos para el cierre de sistemas de almacenamiento de combustibles y la gestión segura de instalaciones fuera de servicio</w:t>
      </w:r>
    </w:p>
    <w:p w14:paraId="4B07B87B" w14:textId="77777777" w:rsidR="00635F02" w:rsidRPr="00C76457" w:rsidRDefault="00635F02" w:rsidP="00616FE1">
      <w:pPr>
        <w:spacing w:after="0"/>
        <w:jc w:val="both"/>
        <w:rPr>
          <w:rFonts w:ascii="Arial" w:hAnsi="Arial" w:cs="Arial"/>
          <w:bCs/>
        </w:rPr>
      </w:pPr>
    </w:p>
    <w:p w14:paraId="51A10975" w14:textId="7EB0D9DB" w:rsidR="00013B3C" w:rsidRPr="00C76457" w:rsidRDefault="00013B3C" w:rsidP="00616FE1">
      <w:pPr>
        <w:spacing w:after="0"/>
        <w:jc w:val="both"/>
        <w:rPr>
          <w:rFonts w:ascii="Arial" w:hAnsi="Arial" w:cs="Arial"/>
          <w:bCs/>
          <w:u w:val="single"/>
        </w:rPr>
      </w:pPr>
      <w:r w:rsidRPr="00C76457">
        <w:rPr>
          <w:rFonts w:ascii="Arial" w:hAnsi="Arial" w:cs="Arial"/>
          <w:bCs/>
          <w:u w:val="single"/>
        </w:rPr>
        <w:t>Conceptos fundamentales</w:t>
      </w:r>
    </w:p>
    <w:p w14:paraId="2DE1FA67" w14:textId="77777777" w:rsidR="006C782B" w:rsidRPr="00C76457" w:rsidRDefault="006C782B" w:rsidP="00616FE1">
      <w:pPr>
        <w:spacing w:after="0"/>
        <w:jc w:val="both"/>
        <w:rPr>
          <w:rFonts w:ascii="Arial" w:hAnsi="Arial" w:cs="Arial"/>
          <w:bCs/>
        </w:rPr>
      </w:pPr>
    </w:p>
    <w:p w14:paraId="09EC7B32" w14:textId="69824E4D" w:rsidR="00E61580" w:rsidRPr="00C76457" w:rsidRDefault="00E61580" w:rsidP="00616FE1">
      <w:pPr>
        <w:spacing w:after="0"/>
        <w:jc w:val="both"/>
        <w:rPr>
          <w:rFonts w:ascii="Arial" w:hAnsi="Arial" w:cs="Arial"/>
          <w:bCs/>
        </w:rPr>
      </w:pPr>
      <w:r w:rsidRPr="00C76457">
        <w:rPr>
          <w:rFonts w:ascii="Arial" w:hAnsi="Arial" w:cs="Arial"/>
          <w:bCs/>
        </w:rPr>
        <w:t>En términos generales, el desmantelamiento de una estación de servicio o instalación equivalente implica la transición controlada de un activo desde su estado operativo hacia un estado fuera de servicio, cerrado o retirado, asegurando condiciones de seguridad industrial y control ambiental. En Colombia, el marco sectorial que regula estaciones de servicio y tanques de almacenamiento se estructura en el reglamento técnico expedido mediante la Resolución 40405 de 2020 del Ministerio de Minas y Energía, aplicable a estaciones de servicio, plantas de abastecimiento y tanques del consumidor final, estableciendo exigencias técnicas para instalaciones nuevas y existentes en combustibles líquidos derivados del petróleo y sus mezclas con biocombustibles (excepto GLP)</w:t>
      </w:r>
      <w:r w:rsidR="002D38A8" w:rsidRPr="00C76457">
        <w:rPr>
          <w:rFonts w:ascii="Arial" w:hAnsi="Arial" w:cs="Arial"/>
          <w:bCs/>
        </w:rPr>
        <w:fldChar w:fldCharType="begin"/>
      </w:r>
      <w:r w:rsidR="002D38A8" w:rsidRPr="00C76457">
        <w:rPr>
          <w:rFonts w:ascii="Arial" w:hAnsi="Arial" w:cs="Arial"/>
          <w:bCs/>
        </w:rPr>
        <w:instrText xml:space="preserve"> NOTEREF _Ref230858307 \f \h </w:instrText>
      </w:r>
      <w:r w:rsidR="00C76457">
        <w:rPr>
          <w:rFonts w:ascii="Arial" w:hAnsi="Arial" w:cs="Arial"/>
          <w:bCs/>
        </w:rPr>
        <w:instrText xml:space="preserve"> \* MERGEFORMAT </w:instrText>
      </w:r>
      <w:r w:rsidR="002D38A8" w:rsidRPr="00C76457">
        <w:rPr>
          <w:rFonts w:ascii="Arial" w:hAnsi="Arial" w:cs="Arial"/>
          <w:bCs/>
        </w:rPr>
      </w:r>
      <w:r w:rsidR="002D38A8" w:rsidRPr="00C76457">
        <w:rPr>
          <w:rFonts w:ascii="Arial" w:hAnsi="Arial" w:cs="Arial"/>
          <w:bCs/>
        </w:rPr>
        <w:fldChar w:fldCharType="separate"/>
      </w:r>
      <w:r w:rsidR="002D38A8" w:rsidRPr="00C76457">
        <w:rPr>
          <w:rStyle w:val="Refdenotaalpie"/>
          <w:rFonts w:ascii="Arial" w:hAnsi="Arial" w:cs="Arial"/>
        </w:rPr>
        <w:t>1</w:t>
      </w:r>
      <w:r w:rsidR="002D38A8" w:rsidRPr="00C76457">
        <w:rPr>
          <w:rFonts w:ascii="Arial" w:hAnsi="Arial" w:cs="Arial"/>
          <w:bCs/>
        </w:rPr>
        <w:fldChar w:fldCharType="end"/>
      </w:r>
      <w:r w:rsidR="00654A1A" w:rsidRPr="00C76457">
        <w:rPr>
          <w:rFonts w:ascii="Arial" w:hAnsi="Arial" w:cs="Arial"/>
          <w:bCs/>
        </w:rPr>
        <w:t>.</w:t>
      </w:r>
      <w:r w:rsidR="00A86544" w:rsidRPr="00C76457">
        <w:rPr>
          <w:rFonts w:ascii="Arial" w:hAnsi="Arial" w:cs="Arial"/>
          <w:bCs/>
        </w:rPr>
        <w:t xml:space="preserve"> </w:t>
      </w:r>
    </w:p>
    <w:p w14:paraId="503EF2B2" w14:textId="77777777" w:rsidR="00E61580" w:rsidRPr="00C76457" w:rsidRDefault="00E61580" w:rsidP="00616FE1">
      <w:pPr>
        <w:spacing w:after="0"/>
        <w:jc w:val="both"/>
        <w:rPr>
          <w:rFonts w:ascii="Arial" w:hAnsi="Arial" w:cs="Arial"/>
          <w:bCs/>
        </w:rPr>
      </w:pPr>
    </w:p>
    <w:p w14:paraId="0DF61C68" w14:textId="2B7C0513" w:rsidR="0036003D" w:rsidRPr="00C76457" w:rsidRDefault="00E61580" w:rsidP="00616FE1">
      <w:pPr>
        <w:spacing w:after="0"/>
        <w:jc w:val="both"/>
        <w:rPr>
          <w:rFonts w:ascii="Arial" w:hAnsi="Arial" w:cs="Arial"/>
          <w:bCs/>
        </w:rPr>
      </w:pPr>
      <w:r w:rsidRPr="00C76457">
        <w:rPr>
          <w:rFonts w:ascii="Arial" w:hAnsi="Arial" w:cs="Arial"/>
          <w:bCs/>
        </w:rPr>
        <w:t>En la práctica técnica, el desmantelamiento comprende</w:t>
      </w:r>
      <w:r w:rsidR="00A93CA1" w:rsidRPr="00C76457">
        <w:rPr>
          <w:rFonts w:ascii="Arial" w:hAnsi="Arial" w:cs="Arial"/>
          <w:bCs/>
        </w:rPr>
        <w:t xml:space="preserve"> de manera general:</w:t>
      </w:r>
      <w:r w:rsidRPr="00C76457">
        <w:rPr>
          <w:rFonts w:ascii="Arial" w:hAnsi="Arial" w:cs="Arial"/>
          <w:bCs/>
        </w:rPr>
        <w:t xml:space="preserve"> </w:t>
      </w:r>
    </w:p>
    <w:p w14:paraId="320A4E72" w14:textId="77777777" w:rsidR="0036003D" w:rsidRPr="00C76457" w:rsidRDefault="0036003D" w:rsidP="00616FE1">
      <w:pPr>
        <w:spacing w:after="0"/>
        <w:jc w:val="both"/>
        <w:rPr>
          <w:rFonts w:ascii="Arial" w:hAnsi="Arial" w:cs="Arial"/>
          <w:bCs/>
        </w:rPr>
      </w:pPr>
    </w:p>
    <w:p w14:paraId="2DBA25DF" w14:textId="6B755CBC" w:rsidR="0036003D" w:rsidRPr="00C76457" w:rsidRDefault="002E2ADE" w:rsidP="00915023">
      <w:pPr>
        <w:pStyle w:val="Prrafodelista"/>
        <w:numPr>
          <w:ilvl w:val="0"/>
          <w:numId w:val="55"/>
        </w:numPr>
        <w:spacing w:after="0"/>
        <w:jc w:val="both"/>
        <w:rPr>
          <w:rFonts w:ascii="Arial" w:hAnsi="Arial" w:cs="Arial"/>
          <w:bCs/>
        </w:rPr>
      </w:pPr>
      <w:proofErr w:type="spellStart"/>
      <w:r w:rsidRPr="00C76457">
        <w:rPr>
          <w:rFonts w:ascii="Arial" w:hAnsi="Arial" w:cs="Arial"/>
          <w:bCs/>
        </w:rPr>
        <w:t>D</w:t>
      </w:r>
      <w:r w:rsidR="00E61580" w:rsidRPr="00C76457">
        <w:rPr>
          <w:rFonts w:ascii="Arial" w:hAnsi="Arial" w:cs="Arial"/>
          <w:bCs/>
        </w:rPr>
        <w:t>esenergización</w:t>
      </w:r>
      <w:proofErr w:type="spellEnd"/>
      <w:r w:rsidR="00E61580" w:rsidRPr="00C76457">
        <w:rPr>
          <w:rFonts w:ascii="Arial" w:hAnsi="Arial" w:cs="Arial"/>
          <w:bCs/>
        </w:rPr>
        <w:t xml:space="preserve"> y aislamiento de sistemas </w:t>
      </w:r>
    </w:p>
    <w:p w14:paraId="448F9610" w14:textId="6D8A2223" w:rsidR="0036003D" w:rsidRPr="00C76457" w:rsidRDefault="009F7C6E" w:rsidP="00915023">
      <w:pPr>
        <w:pStyle w:val="Prrafodelista"/>
        <w:numPr>
          <w:ilvl w:val="0"/>
          <w:numId w:val="55"/>
        </w:numPr>
        <w:spacing w:after="0"/>
        <w:jc w:val="both"/>
        <w:rPr>
          <w:rFonts w:ascii="Arial" w:hAnsi="Arial" w:cs="Arial"/>
          <w:bCs/>
        </w:rPr>
      </w:pPr>
      <w:r w:rsidRPr="00C76457">
        <w:rPr>
          <w:rFonts w:ascii="Arial" w:hAnsi="Arial" w:cs="Arial"/>
          <w:bCs/>
        </w:rPr>
        <w:t>V</w:t>
      </w:r>
      <w:r w:rsidR="00E61580" w:rsidRPr="00C76457">
        <w:rPr>
          <w:rFonts w:ascii="Arial" w:hAnsi="Arial" w:cs="Arial"/>
          <w:bCs/>
        </w:rPr>
        <w:t>aciamiento, limpieza y desgasificación de tanques y tuberías</w:t>
      </w:r>
    </w:p>
    <w:p w14:paraId="4BF2969D" w14:textId="00346577" w:rsidR="0036003D" w:rsidRPr="00C76457" w:rsidRDefault="009F7C6E" w:rsidP="00915023">
      <w:pPr>
        <w:pStyle w:val="Prrafodelista"/>
        <w:numPr>
          <w:ilvl w:val="0"/>
          <w:numId w:val="55"/>
        </w:numPr>
        <w:spacing w:after="0"/>
        <w:jc w:val="both"/>
        <w:rPr>
          <w:rFonts w:ascii="Arial" w:hAnsi="Arial" w:cs="Arial"/>
          <w:bCs/>
        </w:rPr>
      </w:pPr>
      <w:r w:rsidRPr="00C76457">
        <w:rPr>
          <w:rFonts w:ascii="Arial" w:hAnsi="Arial" w:cs="Arial"/>
          <w:bCs/>
        </w:rPr>
        <w:t>I</w:t>
      </w:r>
      <w:r w:rsidR="00E61580" w:rsidRPr="00C76457">
        <w:rPr>
          <w:rFonts w:ascii="Arial" w:hAnsi="Arial" w:cs="Arial"/>
          <w:bCs/>
        </w:rPr>
        <w:t>nertización cuando aplica</w:t>
      </w:r>
    </w:p>
    <w:p w14:paraId="18C6882C" w14:textId="2F8B4D48" w:rsidR="0036003D" w:rsidRPr="00C76457" w:rsidRDefault="009F7C6E" w:rsidP="00915023">
      <w:pPr>
        <w:pStyle w:val="Prrafodelista"/>
        <w:numPr>
          <w:ilvl w:val="0"/>
          <w:numId w:val="55"/>
        </w:numPr>
        <w:spacing w:after="0"/>
        <w:jc w:val="both"/>
        <w:rPr>
          <w:rFonts w:ascii="Arial" w:hAnsi="Arial" w:cs="Arial"/>
          <w:bCs/>
        </w:rPr>
      </w:pPr>
      <w:r w:rsidRPr="00C76457">
        <w:rPr>
          <w:rFonts w:ascii="Arial" w:hAnsi="Arial" w:cs="Arial"/>
          <w:bCs/>
        </w:rPr>
        <w:t>R</w:t>
      </w:r>
      <w:r w:rsidR="00E61580" w:rsidRPr="00C76457">
        <w:rPr>
          <w:rFonts w:ascii="Arial" w:hAnsi="Arial" w:cs="Arial"/>
          <w:bCs/>
        </w:rPr>
        <w:t xml:space="preserve">etiro físico (extracción o cierre en sitio según diseño y aprobación competente); </w:t>
      </w:r>
    </w:p>
    <w:p w14:paraId="79BA0E2F" w14:textId="1489F06F" w:rsidR="002E2ADE" w:rsidRPr="00C76457" w:rsidRDefault="009F7C6E" w:rsidP="00915023">
      <w:pPr>
        <w:pStyle w:val="Prrafodelista"/>
        <w:numPr>
          <w:ilvl w:val="0"/>
          <w:numId w:val="55"/>
        </w:numPr>
        <w:spacing w:after="0"/>
        <w:jc w:val="both"/>
        <w:rPr>
          <w:rFonts w:ascii="Arial" w:hAnsi="Arial" w:cs="Arial"/>
          <w:bCs/>
        </w:rPr>
      </w:pPr>
      <w:r w:rsidRPr="00C76457">
        <w:rPr>
          <w:rFonts w:ascii="Arial" w:hAnsi="Arial" w:cs="Arial"/>
          <w:bCs/>
        </w:rPr>
        <w:t>G</w:t>
      </w:r>
      <w:r w:rsidR="00E61580" w:rsidRPr="00C76457">
        <w:rPr>
          <w:rFonts w:ascii="Arial" w:hAnsi="Arial" w:cs="Arial"/>
          <w:bCs/>
        </w:rPr>
        <w:t>estión integral de residuos (peligrosos y no peligrosos)</w:t>
      </w:r>
    </w:p>
    <w:p w14:paraId="4D407BAB" w14:textId="3217A3A7" w:rsidR="002E2ADE" w:rsidRPr="00C76457" w:rsidRDefault="009F7C6E" w:rsidP="00915023">
      <w:pPr>
        <w:pStyle w:val="Prrafodelista"/>
        <w:numPr>
          <w:ilvl w:val="0"/>
          <w:numId w:val="55"/>
        </w:numPr>
        <w:spacing w:after="0"/>
        <w:jc w:val="both"/>
        <w:rPr>
          <w:rFonts w:ascii="Arial" w:hAnsi="Arial" w:cs="Arial"/>
          <w:bCs/>
        </w:rPr>
      </w:pPr>
      <w:r w:rsidRPr="00C76457">
        <w:rPr>
          <w:rFonts w:ascii="Arial" w:hAnsi="Arial" w:cs="Arial"/>
          <w:bCs/>
        </w:rPr>
        <w:lastRenderedPageBreak/>
        <w:t>E</w:t>
      </w:r>
      <w:r w:rsidR="00E61580" w:rsidRPr="00C76457">
        <w:rPr>
          <w:rFonts w:ascii="Arial" w:hAnsi="Arial" w:cs="Arial"/>
          <w:bCs/>
        </w:rPr>
        <w:t xml:space="preserve">valuación ambiental del sitio (por ejemplo, zona de excavación y potencial </w:t>
      </w:r>
      <w:r w:rsidR="00DF341B" w:rsidRPr="00C76457">
        <w:rPr>
          <w:rFonts w:ascii="Arial" w:hAnsi="Arial" w:cs="Arial"/>
          <w:bCs/>
        </w:rPr>
        <w:t>afectación del riesgo ambiental</w:t>
      </w:r>
      <w:r w:rsidR="00E61580" w:rsidRPr="00C76457">
        <w:rPr>
          <w:rFonts w:ascii="Arial" w:hAnsi="Arial" w:cs="Arial"/>
          <w:bCs/>
        </w:rPr>
        <w:t>)</w:t>
      </w:r>
    </w:p>
    <w:p w14:paraId="7C92A1B0" w14:textId="77777777" w:rsidR="00DF341B" w:rsidRPr="00C76457" w:rsidRDefault="009F7C6E" w:rsidP="00915023">
      <w:pPr>
        <w:pStyle w:val="Prrafodelista"/>
        <w:numPr>
          <w:ilvl w:val="0"/>
          <w:numId w:val="55"/>
        </w:numPr>
        <w:spacing w:after="0"/>
        <w:jc w:val="both"/>
        <w:rPr>
          <w:rFonts w:ascii="Arial" w:hAnsi="Arial" w:cs="Arial"/>
          <w:bCs/>
        </w:rPr>
      </w:pPr>
      <w:r w:rsidRPr="00C76457">
        <w:rPr>
          <w:rFonts w:ascii="Arial" w:hAnsi="Arial" w:cs="Arial"/>
          <w:bCs/>
        </w:rPr>
        <w:t>R</w:t>
      </w:r>
      <w:r w:rsidR="00E61580" w:rsidRPr="00C76457">
        <w:rPr>
          <w:rFonts w:ascii="Arial" w:hAnsi="Arial" w:cs="Arial"/>
          <w:bCs/>
        </w:rPr>
        <w:t xml:space="preserve">estitución de condiciones seguras y funcionales del área intervenida. </w:t>
      </w:r>
    </w:p>
    <w:p w14:paraId="7EA64AF2" w14:textId="77777777" w:rsidR="00DF341B" w:rsidRPr="00C76457" w:rsidRDefault="00DF341B" w:rsidP="00616FE1">
      <w:pPr>
        <w:spacing w:after="0"/>
        <w:jc w:val="both"/>
        <w:rPr>
          <w:rFonts w:ascii="Arial" w:hAnsi="Arial" w:cs="Arial"/>
          <w:bCs/>
        </w:rPr>
      </w:pPr>
    </w:p>
    <w:p w14:paraId="2094CA0C" w14:textId="2051D6B3" w:rsidR="009D36BA" w:rsidRPr="00C76457" w:rsidRDefault="00E61580" w:rsidP="00616FE1">
      <w:pPr>
        <w:spacing w:after="0"/>
        <w:jc w:val="both"/>
        <w:rPr>
          <w:rFonts w:ascii="Arial" w:hAnsi="Arial" w:cs="Arial"/>
          <w:bCs/>
        </w:rPr>
      </w:pPr>
      <w:r w:rsidRPr="00C76457">
        <w:rPr>
          <w:rFonts w:ascii="Arial" w:hAnsi="Arial" w:cs="Arial"/>
          <w:bCs/>
        </w:rPr>
        <w:t>Estos pasos son coherentes con esquemas internacionales de cierre de tanques subterráneos, en los cuales la regulación exige notificación, limpieza, evaluación del sitio y cierre definitivo mediante remoción, relleno con material inerte o cierre in situ según aprobación</w:t>
      </w:r>
      <w:r w:rsidR="009F7C6E" w:rsidRPr="00C76457">
        <w:rPr>
          <w:rStyle w:val="Refdenotaalpie"/>
          <w:rFonts w:ascii="Arial" w:hAnsi="Arial" w:cs="Arial"/>
          <w:bCs/>
        </w:rPr>
        <w:footnoteReference w:id="39"/>
      </w:r>
      <w:r w:rsidRPr="00C76457">
        <w:rPr>
          <w:rFonts w:ascii="Arial" w:hAnsi="Arial" w:cs="Arial"/>
          <w:bCs/>
        </w:rPr>
        <w:t xml:space="preserve">. </w:t>
      </w:r>
    </w:p>
    <w:p w14:paraId="460BCFE2" w14:textId="77777777" w:rsidR="00371907" w:rsidRPr="00C76457" w:rsidRDefault="00371907" w:rsidP="00616FE1">
      <w:pPr>
        <w:spacing w:after="0"/>
        <w:jc w:val="both"/>
        <w:rPr>
          <w:rFonts w:ascii="Arial" w:hAnsi="Arial" w:cs="Arial"/>
          <w:bCs/>
        </w:rPr>
      </w:pPr>
    </w:p>
    <w:p w14:paraId="73BD2415" w14:textId="45D28FDE" w:rsidR="00371907" w:rsidRPr="00C76457" w:rsidRDefault="00371907" w:rsidP="00635F02">
      <w:pPr>
        <w:rPr>
          <w:rFonts w:ascii="Arial" w:hAnsi="Arial" w:cs="Arial"/>
          <w:bCs/>
          <w:u w:val="single"/>
        </w:rPr>
      </w:pPr>
      <w:r w:rsidRPr="00C76457">
        <w:rPr>
          <w:rFonts w:ascii="Arial" w:hAnsi="Arial" w:cs="Arial"/>
          <w:bCs/>
          <w:u w:val="single"/>
        </w:rPr>
        <w:t>Evolución tecnológica</w:t>
      </w:r>
    </w:p>
    <w:p w14:paraId="0FB085AE" w14:textId="2AB65C5B" w:rsidR="00D37BFC" w:rsidRPr="00C76457" w:rsidRDefault="00D37BFC" w:rsidP="00616FE1">
      <w:pPr>
        <w:spacing w:after="0"/>
        <w:jc w:val="both"/>
        <w:rPr>
          <w:rFonts w:ascii="Arial" w:hAnsi="Arial" w:cs="Arial"/>
          <w:bCs/>
        </w:rPr>
      </w:pPr>
    </w:p>
    <w:p w14:paraId="2592709E" w14:textId="57F2F7A1" w:rsidR="008970AC" w:rsidRPr="00C76457" w:rsidRDefault="008970AC" w:rsidP="00616FE1">
      <w:pPr>
        <w:spacing w:after="0"/>
        <w:jc w:val="both"/>
        <w:rPr>
          <w:rFonts w:ascii="Arial" w:hAnsi="Arial" w:cs="Arial"/>
          <w:bCs/>
        </w:rPr>
      </w:pPr>
      <w:r w:rsidRPr="00C76457">
        <w:rPr>
          <w:rFonts w:ascii="Arial" w:hAnsi="Arial" w:cs="Arial"/>
          <w:bCs/>
        </w:rPr>
        <w:t xml:space="preserve">Aunque el desmantelamiento no “evoluciona” como una tecnología de generación (p. ej., </w:t>
      </w:r>
      <w:r w:rsidR="002D6470" w:rsidRPr="00C76457">
        <w:rPr>
          <w:rFonts w:ascii="Arial" w:hAnsi="Arial" w:cs="Arial"/>
          <w:bCs/>
        </w:rPr>
        <w:t>eólica</w:t>
      </w:r>
      <w:r w:rsidRPr="00C76457">
        <w:rPr>
          <w:rFonts w:ascii="Arial" w:hAnsi="Arial" w:cs="Arial"/>
          <w:bCs/>
        </w:rPr>
        <w:t xml:space="preserve">), sí ha presentado avances técnicos relevantes en tres frentes: seguridad de procesos, control ambiental y mecanización. A nivel internacional, las guías técnicas modernas consolidan metodologías más estructuradas para diseño, modificación, mantenimiento y </w:t>
      </w:r>
      <w:proofErr w:type="spellStart"/>
      <w:r w:rsidRPr="000A5471">
        <w:rPr>
          <w:rFonts w:ascii="Arial" w:hAnsi="Arial" w:cs="Arial"/>
          <w:bCs/>
          <w:i/>
          <w:iCs/>
        </w:rPr>
        <w:t>decommissioning</w:t>
      </w:r>
      <w:proofErr w:type="spellEnd"/>
      <w:r w:rsidRPr="00C76457">
        <w:rPr>
          <w:rFonts w:ascii="Arial" w:hAnsi="Arial" w:cs="Arial"/>
          <w:bCs/>
        </w:rPr>
        <w:t xml:space="preserve"> de estaciones de servicio (incluyendo etapas de cierre y control de riesgos), evidenciando una tendencia a estandarizar prácticas, documentación y aseguramiento de la integridad durante la vida útil y retiro del activo. </w:t>
      </w:r>
    </w:p>
    <w:p w14:paraId="7DF72819" w14:textId="77777777" w:rsidR="008970AC" w:rsidRPr="00C76457" w:rsidRDefault="008970AC" w:rsidP="00616FE1">
      <w:pPr>
        <w:spacing w:after="0"/>
        <w:jc w:val="both"/>
        <w:rPr>
          <w:rFonts w:ascii="Arial" w:hAnsi="Arial" w:cs="Arial"/>
          <w:bCs/>
        </w:rPr>
      </w:pPr>
    </w:p>
    <w:p w14:paraId="2ED2667E" w14:textId="44B3D77D" w:rsidR="00371907" w:rsidRPr="00C76457" w:rsidRDefault="008970AC" w:rsidP="00616FE1">
      <w:pPr>
        <w:spacing w:after="0"/>
        <w:jc w:val="both"/>
        <w:rPr>
          <w:rFonts w:ascii="Arial" w:hAnsi="Arial" w:cs="Arial"/>
          <w:bCs/>
        </w:rPr>
      </w:pPr>
      <w:r w:rsidRPr="00C76457">
        <w:rPr>
          <w:rFonts w:ascii="Arial" w:hAnsi="Arial" w:cs="Arial"/>
          <w:bCs/>
        </w:rPr>
        <w:t xml:space="preserve">En paralelo, los marcos regulatorios han evolucionado hacia esquemas más explícitos de “fuera de servicio” y cierre, con obligaciones de mantener protecciones durante cierres temporales y requisitos de evaluación del sitio antes de extensiones o cambios de uso. En EE. UU., por ejemplo, el 40 </w:t>
      </w:r>
      <w:r w:rsidRPr="000A5471">
        <w:rPr>
          <w:rFonts w:ascii="Arial" w:hAnsi="Arial" w:cs="Arial"/>
          <w:bCs/>
          <w:i/>
          <w:iCs/>
        </w:rPr>
        <w:t>CFR Part</w:t>
      </w:r>
      <w:r w:rsidRPr="00C76457">
        <w:rPr>
          <w:rFonts w:ascii="Arial" w:hAnsi="Arial" w:cs="Arial"/>
          <w:bCs/>
        </w:rPr>
        <w:t xml:space="preserve"> 280 </w:t>
      </w:r>
      <w:proofErr w:type="spellStart"/>
      <w:r w:rsidRPr="000A5471">
        <w:rPr>
          <w:rFonts w:ascii="Arial" w:hAnsi="Arial" w:cs="Arial"/>
          <w:bCs/>
          <w:i/>
          <w:iCs/>
        </w:rPr>
        <w:t>Subpart</w:t>
      </w:r>
      <w:proofErr w:type="spellEnd"/>
      <w:r w:rsidRPr="000A5471">
        <w:rPr>
          <w:rFonts w:ascii="Arial" w:hAnsi="Arial" w:cs="Arial"/>
          <w:bCs/>
          <w:i/>
          <w:iCs/>
        </w:rPr>
        <w:t xml:space="preserve"> G</w:t>
      </w:r>
      <w:r w:rsidRPr="00C76457">
        <w:rPr>
          <w:rFonts w:ascii="Arial" w:hAnsi="Arial" w:cs="Arial"/>
          <w:bCs/>
        </w:rPr>
        <w:t xml:space="preserve"> establece reglas para UST</w:t>
      </w:r>
      <w:r w:rsidR="00F36D6B">
        <w:rPr>
          <w:rFonts w:ascii="Arial" w:hAnsi="Arial" w:cs="Arial"/>
          <w:bCs/>
        </w:rPr>
        <w:t xml:space="preserve"> (</w:t>
      </w:r>
      <w:proofErr w:type="spellStart"/>
      <w:r w:rsidR="00F36D6B" w:rsidRPr="000A5471">
        <w:rPr>
          <w:rFonts w:ascii="Arial" w:hAnsi="Arial" w:cs="Arial"/>
          <w:bCs/>
          <w:i/>
          <w:iCs/>
        </w:rPr>
        <w:t>Underground</w:t>
      </w:r>
      <w:proofErr w:type="spellEnd"/>
      <w:r w:rsidR="00F36D6B" w:rsidRPr="000A5471">
        <w:rPr>
          <w:rFonts w:ascii="Arial" w:hAnsi="Arial" w:cs="Arial"/>
          <w:bCs/>
          <w:i/>
          <w:iCs/>
        </w:rPr>
        <w:t xml:space="preserve"> Storage Tank</w:t>
      </w:r>
      <w:r w:rsidR="00F36D6B">
        <w:rPr>
          <w:rFonts w:ascii="Arial" w:hAnsi="Arial" w:cs="Arial"/>
          <w:bCs/>
        </w:rPr>
        <w:t>)</w:t>
      </w:r>
      <w:r w:rsidRPr="00C76457">
        <w:rPr>
          <w:rFonts w:ascii="Arial" w:hAnsi="Arial" w:cs="Arial"/>
          <w:bCs/>
        </w:rPr>
        <w:t xml:space="preserve"> fuera de servicio y cierre, incluyendo criterios para declarar un tanque “vacío”, obligaciones de notificación previa y exigencias de evaluación de la zona de excavación. Esta misma norma reconoce como procedimientos aceptables guías técnicas como API RP 1604 (cierre de tanques subterráneos de petróleo) y API 2015 (entrada segura y limpieza de tanques), lo que evidencia la integración entre regulación y estándares técnicos.</w:t>
      </w:r>
    </w:p>
    <w:p w14:paraId="7ADB55E4" w14:textId="77777777" w:rsidR="008970AC" w:rsidRPr="00C76457" w:rsidRDefault="008970AC" w:rsidP="00616FE1">
      <w:pPr>
        <w:spacing w:after="0"/>
        <w:jc w:val="both"/>
        <w:rPr>
          <w:rFonts w:ascii="Arial" w:hAnsi="Arial" w:cs="Arial"/>
          <w:bCs/>
        </w:rPr>
      </w:pPr>
    </w:p>
    <w:p w14:paraId="4B27799D" w14:textId="6F4785C2" w:rsidR="008970AC" w:rsidRPr="00C76457" w:rsidRDefault="002B0BCC" w:rsidP="00616FE1">
      <w:pPr>
        <w:spacing w:after="0"/>
        <w:jc w:val="both"/>
        <w:rPr>
          <w:rFonts w:ascii="Arial" w:hAnsi="Arial" w:cs="Arial"/>
          <w:u w:val="single"/>
        </w:rPr>
      </w:pPr>
      <w:r w:rsidRPr="00C76457">
        <w:rPr>
          <w:rFonts w:ascii="Arial" w:hAnsi="Arial" w:cs="Arial"/>
          <w:bCs/>
          <w:u w:val="single"/>
        </w:rPr>
        <w:t>Especificaciones técnicas generales</w:t>
      </w:r>
    </w:p>
    <w:p w14:paraId="7FAF1A5A" w14:textId="77777777" w:rsidR="002B0BCC" w:rsidRPr="00C76457" w:rsidRDefault="002B0BCC" w:rsidP="00616FE1">
      <w:pPr>
        <w:spacing w:after="0"/>
        <w:jc w:val="both"/>
        <w:rPr>
          <w:rFonts w:ascii="Arial" w:hAnsi="Arial" w:cs="Arial"/>
          <w:bCs/>
          <w:u w:val="single"/>
        </w:rPr>
      </w:pPr>
    </w:p>
    <w:p w14:paraId="3A5B2F2E" w14:textId="44C8B856" w:rsidR="002B0BCC" w:rsidRPr="00C76457" w:rsidRDefault="0094713D" w:rsidP="00616FE1">
      <w:pPr>
        <w:spacing w:after="0"/>
        <w:jc w:val="both"/>
        <w:rPr>
          <w:rFonts w:ascii="Arial" w:hAnsi="Arial" w:cs="Arial"/>
        </w:rPr>
      </w:pPr>
      <w:r w:rsidRPr="00C76457">
        <w:rPr>
          <w:rFonts w:ascii="Arial" w:hAnsi="Arial" w:cs="Arial"/>
          <w:bCs/>
        </w:rPr>
        <w:t xml:space="preserve">En estaciones de servicio </w:t>
      </w:r>
      <w:r w:rsidR="007F066B" w:rsidRPr="00C76457">
        <w:rPr>
          <w:rFonts w:ascii="Arial" w:hAnsi="Arial" w:cs="Arial"/>
          <w:bCs/>
        </w:rPr>
        <w:t>e infraestructuras</w:t>
      </w:r>
      <w:r w:rsidRPr="00C76457">
        <w:rPr>
          <w:rFonts w:ascii="Arial" w:hAnsi="Arial" w:cs="Arial"/>
          <w:bCs/>
        </w:rPr>
        <w:t xml:space="preserve"> asociadas, los principales componentes objeto de desmantelamiento suelen incluir tanques (subterráneos o superficiales), líneas de producto, sistemas de venteo, bombas/surtidores, sistemas eléctricos y de puesta a tierra, válvulas, dispositivos de prevención de sobrellenado y derrames, canalizaciones y elementos civiles (cámaras, islas, losas). La regulación sectorial colombiana para estaciones de servicio y tanques se concentra en requisitos técnicos obligatorios de diseño, </w:t>
      </w:r>
      <w:r w:rsidRPr="00C76457">
        <w:rPr>
          <w:rFonts w:ascii="Arial" w:hAnsi="Arial" w:cs="Arial"/>
          <w:bCs/>
        </w:rPr>
        <w:lastRenderedPageBreak/>
        <w:t>operación y seguridad en instalaciones de combustibles líquidos, marco que sirve de referencia para condiciones mínimas a controlar en la transición hacia fuera de servicio y retiro.</w:t>
      </w:r>
    </w:p>
    <w:p w14:paraId="292C51D9" w14:textId="77777777" w:rsidR="0094713D" w:rsidRPr="00C76457" w:rsidRDefault="0094713D" w:rsidP="00616FE1">
      <w:pPr>
        <w:spacing w:after="0"/>
        <w:jc w:val="both"/>
        <w:rPr>
          <w:rFonts w:ascii="Arial" w:hAnsi="Arial" w:cs="Arial"/>
          <w:bCs/>
        </w:rPr>
      </w:pPr>
    </w:p>
    <w:p w14:paraId="48C049BE" w14:textId="47D60E38" w:rsidR="0061436B" w:rsidRPr="00C76457" w:rsidRDefault="00DF6584" w:rsidP="00616FE1">
      <w:pPr>
        <w:spacing w:after="0"/>
        <w:jc w:val="both"/>
        <w:rPr>
          <w:rFonts w:ascii="Arial" w:hAnsi="Arial" w:cs="Arial"/>
          <w:bCs/>
        </w:rPr>
      </w:pPr>
      <w:r w:rsidRPr="00C76457">
        <w:rPr>
          <w:rFonts w:ascii="Arial" w:hAnsi="Arial" w:cs="Arial"/>
          <w:bCs/>
        </w:rPr>
        <w:t>La manipulación de combustibles implica riesgos asociados a vapores inflamables y atmósferas explosivas. En estándares internacionales de cierre de UST</w:t>
      </w:r>
      <w:r w:rsidR="009027F3">
        <w:rPr>
          <w:rFonts w:ascii="Arial" w:hAnsi="Arial" w:cs="Arial"/>
          <w:bCs/>
        </w:rPr>
        <w:t xml:space="preserve"> (</w:t>
      </w:r>
      <w:proofErr w:type="spellStart"/>
      <w:r w:rsidR="009027F3">
        <w:rPr>
          <w:rFonts w:ascii="Arial" w:hAnsi="Arial" w:cs="Arial"/>
          <w:bCs/>
        </w:rPr>
        <w:t>Underground</w:t>
      </w:r>
      <w:proofErr w:type="spellEnd"/>
      <w:r w:rsidR="009027F3">
        <w:rPr>
          <w:rFonts w:ascii="Arial" w:hAnsi="Arial" w:cs="Arial"/>
          <w:bCs/>
        </w:rPr>
        <w:t xml:space="preserve"> Storage Tank)</w:t>
      </w:r>
      <w:r w:rsidRPr="00C76457">
        <w:rPr>
          <w:rFonts w:ascii="Arial" w:hAnsi="Arial" w:cs="Arial"/>
          <w:bCs/>
        </w:rPr>
        <w:t xml:space="preserve">, se enfatiza que el cierre permanente requiere vaciamiento y limpieza, y que el tanque debe retirarse o cerrarse con métodos aprobados, con énfasis en procedimientos seguros de limpieza/entrada y control de atmósferas. En guías técnicas de </w:t>
      </w:r>
      <w:proofErr w:type="spellStart"/>
      <w:r w:rsidRPr="000A5471">
        <w:rPr>
          <w:rFonts w:ascii="Arial" w:hAnsi="Arial" w:cs="Arial"/>
          <w:bCs/>
          <w:i/>
          <w:iCs/>
        </w:rPr>
        <w:t>decommissioning</w:t>
      </w:r>
      <w:proofErr w:type="spellEnd"/>
      <w:r w:rsidRPr="00C76457">
        <w:rPr>
          <w:rFonts w:ascii="Arial" w:hAnsi="Arial" w:cs="Arial"/>
          <w:bCs/>
        </w:rPr>
        <w:t xml:space="preserve"> de estaciones (por ejemplo, lineamientos de autoridades locales en Reino Unido), se exige que las labores se realicen con métodos de trabajo seguros, permiso de trabajo y contratistas competentes, dada la peligrosidad residual de tanques y tuberías incluso después del cese de operación</w:t>
      </w:r>
      <w:r w:rsidR="0014557E" w:rsidRPr="00C76457">
        <w:rPr>
          <w:rStyle w:val="Refdenotaalpie"/>
          <w:rFonts w:ascii="Arial" w:hAnsi="Arial" w:cs="Arial"/>
          <w:bCs/>
        </w:rPr>
        <w:footnoteReference w:id="40"/>
      </w:r>
      <w:r w:rsidRPr="00C76457">
        <w:rPr>
          <w:rFonts w:ascii="Arial" w:hAnsi="Arial" w:cs="Arial"/>
          <w:bCs/>
        </w:rPr>
        <w:t>.</w:t>
      </w:r>
    </w:p>
    <w:p w14:paraId="7A421E1D" w14:textId="77777777" w:rsidR="003361CF" w:rsidRPr="00C76457" w:rsidRDefault="003361CF" w:rsidP="00616FE1">
      <w:pPr>
        <w:spacing w:after="0"/>
        <w:jc w:val="both"/>
        <w:rPr>
          <w:rFonts w:ascii="Arial" w:hAnsi="Arial" w:cs="Arial"/>
          <w:bCs/>
        </w:rPr>
      </w:pPr>
    </w:p>
    <w:p w14:paraId="30654F23" w14:textId="4526EC8C" w:rsidR="003361CF" w:rsidRPr="00C76457" w:rsidRDefault="003361CF" w:rsidP="00616FE1">
      <w:pPr>
        <w:spacing w:after="0"/>
        <w:jc w:val="both"/>
        <w:rPr>
          <w:rFonts w:ascii="Arial" w:hAnsi="Arial" w:cs="Arial"/>
          <w:bCs/>
        </w:rPr>
      </w:pPr>
      <w:r w:rsidRPr="00C76457">
        <w:rPr>
          <w:rFonts w:ascii="Arial" w:hAnsi="Arial" w:cs="Arial"/>
          <w:bCs/>
        </w:rPr>
        <w:t xml:space="preserve">Una porción crítica del desmantelamiento en estaciones de servicio es la excavación para retirar tanques y tuberías </w:t>
      </w:r>
      <w:r w:rsidR="00463E0A" w:rsidRPr="00C76457">
        <w:rPr>
          <w:rFonts w:ascii="Arial" w:hAnsi="Arial" w:cs="Arial"/>
          <w:bCs/>
        </w:rPr>
        <w:t>y/</w:t>
      </w:r>
      <w:r w:rsidRPr="00C76457">
        <w:rPr>
          <w:rFonts w:ascii="Arial" w:hAnsi="Arial" w:cs="Arial"/>
          <w:bCs/>
        </w:rPr>
        <w:t xml:space="preserve">o para verificar condiciones del suelo. A nivel de referencia internacional, la normativa OSHA de excavaciones (29 CFR 1926 </w:t>
      </w:r>
      <w:proofErr w:type="spellStart"/>
      <w:r w:rsidRPr="000A5471">
        <w:rPr>
          <w:rFonts w:ascii="Arial" w:hAnsi="Arial" w:cs="Arial"/>
          <w:bCs/>
          <w:i/>
          <w:iCs/>
        </w:rPr>
        <w:t>Subpart</w:t>
      </w:r>
      <w:proofErr w:type="spellEnd"/>
      <w:r w:rsidRPr="000A5471">
        <w:rPr>
          <w:rFonts w:ascii="Arial" w:hAnsi="Arial" w:cs="Arial"/>
          <w:bCs/>
          <w:i/>
          <w:iCs/>
        </w:rPr>
        <w:t xml:space="preserve"> P</w:t>
      </w:r>
      <w:r w:rsidRPr="00C76457">
        <w:rPr>
          <w:rFonts w:ascii="Arial" w:hAnsi="Arial" w:cs="Arial"/>
          <w:bCs/>
        </w:rPr>
        <w:t>) establece obligaciones técnicas previas y durante la excavación, incluyendo identificación previa de instalaciones subterráneas, protección y soporte de redes, y sistemas de protección contra derrumbes (</w:t>
      </w:r>
      <w:proofErr w:type="spellStart"/>
      <w:r w:rsidRPr="00281A82">
        <w:rPr>
          <w:rFonts w:ascii="Arial" w:hAnsi="Arial" w:cs="Arial"/>
          <w:bCs/>
          <w:i/>
          <w:iCs/>
        </w:rPr>
        <w:t>shoring</w:t>
      </w:r>
      <w:proofErr w:type="spellEnd"/>
      <w:r w:rsidRPr="00281A82">
        <w:rPr>
          <w:rFonts w:ascii="Arial" w:hAnsi="Arial" w:cs="Arial"/>
          <w:bCs/>
          <w:i/>
          <w:iCs/>
        </w:rPr>
        <w:t xml:space="preserve">, </w:t>
      </w:r>
      <w:proofErr w:type="spellStart"/>
      <w:r w:rsidRPr="00281A82">
        <w:rPr>
          <w:rFonts w:ascii="Arial" w:hAnsi="Arial" w:cs="Arial"/>
          <w:bCs/>
          <w:i/>
          <w:iCs/>
        </w:rPr>
        <w:t>sloping</w:t>
      </w:r>
      <w:proofErr w:type="spellEnd"/>
      <w:r w:rsidRPr="00281A82">
        <w:rPr>
          <w:rFonts w:ascii="Arial" w:hAnsi="Arial" w:cs="Arial"/>
          <w:bCs/>
          <w:i/>
          <w:iCs/>
        </w:rPr>
        <w:t xml:space="preserve">, </w:t>
      </w:r>
      <w:proofErr w:type="spellStart"/>
      <w:r w:rsidRPr="00281A82">
        <w:rPr>
          <w:rFonts w:ascii="Arial" w:hAnsi="Arial" w:cs="Arial"/>
          <w:bCs/>
          <w:i/>
          <w:iCs/>
        </w:rPr>
        <w:t>shielding</w:t>
      </w:r>
      <w:proofErr w:type="spellEnd"/>
      <w:r w:rsidRPr="00C76457">
        <w:rPr>
          <w:rFonts w:ascii="Arial" w:hAnsi="Arial" w:cs="Arial"/>
          <w:bCs/>
        </w:rPr>
        <w:t>). Si bien estas normas son estadounidenses, representan un referente técnico ampliamente utilizado en ingeniería de riesgos para excavaciones, y su lógica (localización de redes, estabilidad de taludes, control de derrumbes) es directamente aplicable como buena práctica en intervenciones de infraestructura enterrada</w:t>
      </w:r>
      <w:r w:rsidR="007C20F5" w:rsidRPr="00C76457">
        <w:rPr>
          <w:rStyle w:val="Refdenotaalpie"/>
          <w:rFonts w:ascii="Arial" w:hAnsi="Arial" w:cs="Arial"/>
          <w:bCs/>
        </w:rPr>
        <w:footnoteReference w:id="41"/>
      </w:r>
      <w:r w:rsidRPr="00C76457">
        <w:rPr>
          <w:rFonts w:ascii="Arial" w:hAnsi="Arial" w:cs="Arial"/>
          <w:bCs/>
        </w:rPr>
        <w:t>.</w:t>
      </w:r>
    </w:p>
    <w:p w14:paraId="21BA33AF" w14:textId="77777777" w:rsidR="00B90EAB" w:rsidRPr="00C76457" w:rsidRDefault="00B90EAB" w:rsidP="00616FE1">
      <w:pPr>
        <w:spacing w:after="0"/>
        <w:jc w:val="both"/>
        <w:rPr>
          <w:rFonts w:ascii="Arial" w:hAnsi="Arial" w:cs="Arial"/>
          <w:bCs/>
        </w:rPr>
      </w:pPr>
    </w:p>
    <w:p w14:paraId="673A8859" w14:textId="7D202624" w:rsidR="003361CF" w:rsidRPr="00C76457" w:rsidRDefault="003361CF" w:rsidP="00616FE1">
      <w:pPr>
        <w:spacing w:after="0"/>
        <w:jc w:val="both"/>
        <w:rPr>
          <w:rFonts w:ascii="Arial" w:hAnsi="Arial" w:cs="Arial"/>
          <w:bCs/>
        </w:rPr>
      </w:pPr>
      <w:r w:rsidRPr="00C76457">
        <w:rPr>
          <w:rFonts w:ascii="Arial" w:hAnsi="Arial" w:cs="Arial"/>
          <w:bCs/>
        </w:rPr>
        <w:t>El desmantelamiento de infraestructura de combustibles genera residuos peligrosos (lodos, hidrocarburos residuales, suelos contaminados, absorbentes, trapos, envases contaminados) y residuos no peligrosos (escombros, metales, concretos). En Colombia, el marco ambiental aplicable se articula, entre otros instrumentos, en el Decreto 1076 de 2015 (Decreto Único Reglamentario del sector Ambiente), que compila reglamentaciones del sector y constituye base normativa para obligaciones de gestión ambiental, incluyendo disposiciones relacionadas con control y manejo ambiental que resultan exigibles en intervenciones con potencial impacto.</w:t>
      </w:r>
    </w:p>
    <w:p w14:paraId="25E6147F" w14:textId="77777777" w:rsidR="00595283" w:rsidRPr="00C76457" w:rsidRDefault="00595283" w:rsidP="00616FE1">
      <w:pPr>
        <w:spacing w:after="0"/>
        <w:jc w:val="both"/>
        <w:rPr>
          <w:rFonts w:ascii="Arial" w:hAnsi="Arial" w:cs="Arial"/>
          <w:bCs/>
        </w:rPr>
      </w:pPr>
    </w:p>
    <w:p w14:paraId="62744880" w14:textId="77777777" w:rsidR="00CF5CA3" w:rsidRDefault="00CF5CA3">
      <w:pPr>
        <w:rPr>
          <w:rFonts w:ascii="Arial" w:hAnsi="Arial" w:cs="Arial"/>
          <w:u w:val="single"/>
        </w:rPr>
      </w:pPr>
      <w:r>
        <w:rPr>
          <w:rFonts w:ascii="Arial" w:hAnsi="Arial" w:cs="Arial"/>
          <w:u w:val="single"/>
        </w:rPr>
        <w:br w:type="page"/>
      </w:r>
    </w:p>
    <w:p w14:paraId="0F61B28F" w14:textId="1CB18CD3" w:rsidR="005A168F" w:rsidRPr="00C76457" w:rsidRDefault="005A168F" w:rsidP="00616FE1">
      <w:pPr>
        <w:spacing w:after="0"/>
        <w:jc w:val="both"/>
        <w:rPr>
          <w:rFonts w:ascii="Arial" w:hAnsi="Arial" w:cs="Arial"/>
          <w:u w:val="single"/>
        </w:rPr>
      </w:pPr>
      <w:r w:rsidRPr="00C76457">
        <w:rPr>
          <w:rFonts w:ascii="Arial" w:hAnsi="Arial" w:cs="Arial"/>
          <w:u w:val="single"/>
        </w:rPr>
        <w:lastRenderedPageBreak/>
        <w:t>Procedimientos Técnicos Recomendados</w:t>
      </w:r>
    </w:p>
    <w:p w14:paraId="1CD675D4" w14:textId="77777777" w:rsidR="00595283" w:rsidRPr="00C76457" w:rsidRDefault="00595283" w:rsidP="00616FE1">
      <w:pPr>
        <w:spacing w:after="0"/>
        <w:jc w:val="both"/>
        <w:rPr>
          <w:rFonts w:ascii="Arial" w:hAnsi="Arial" w:cs="Arial"/>
          <w:bCs/>
        </w:rPr>
      </w:pPr>
    </w:p>
    <w:p w14:paraId="1AABC4D4" w14:textId="77777777" w:rsidR="00A214C2" w:rsidRPr="00C76457" w:rsidRDefault="00A214C2" w:rsidP="00616FE1">
      <w:pPr>
        <w:spacing w:after="0"/>
        <w:jc w:val="both"/>
        <w:rPr>
          <w:rFonts w:ascii="Arial" w:hAnsi="Arial" w:cs="Arial"/>
          <w:bCs/>
        </w:rPr>
      </w:pPr>
      <w:r w:rsidRPr="00C76457">
        <w:rPr>
          <w:rFonts w:ascii="Arial" w:hAnsi="Arial" w:cs="Arial"/>
          <w:bCs/>
        </w:rPr>
        <w:t xml:space="preserve">En términos de buenas prácticas, el desmantelamiento de infraestructura de combustibles se estructura como una secuencia de control de riesgos, intervención y verificación: </w:t>
      </w:r>
    </w:p>
    <w:p w14:paraId="4AAAC25F" w14:textId="77777777" w:rsidR="00A214C2" w:rsidRPr="00C76457" w:rsidRDefault="00A214C2" w:rsidP="00616FE1">
      <w:pPr>
        <w:spacing w:after="0"/>
        <w:jc w:val="both"/>
        <w:rPr>
          <w:rFonts w:ascii="Arial" w:hAnsi="Arial" w:cs="Arial"/>
          <w:bCs/>
        </w:rPr>
      </w:pPr>
    </w:p>
    <w:p w14:paraId="1DFBFF44" w14:textId="30EDB6D0" w:rsidR="00A214C2" w:rsidRPr="00C76457" w:rsidRDefault="00A214C2" w:rsidP="00616FE1">
      <w:pPr>
        <w:pStyle w:val="Prrafodelista"/>
        <w:numPr>
          <w:ilvl w:val="0"/>
          <w:numId w:val="15"/>
        </w:numPr>
        <w:spacing w:after="0"/>
        <w:jc w:val="both"/>
        <w:rPr>
          <w:rFonts w:ascii="Arial" w:hAnsi="Arial" w:cs="Arial"/>
          <w:bCs/>
        </w:rPr>
      </w:pPr>
      <w:r w:rsidRPr="00C76457">
        <w:rPr>
          <w:rFonts w:ascii="Arial" w:hAnsi="Arial" w:cs="Arial"/>
          <w:bCs/>
        </w:rPr>
        <w:t>Diagnóstico y alistamiento técnico. Se realiza un levantamiento de información de infraestructura existente, verificación de interferencias, identificación de líneas y equipos, y planificación de aislamientos. Para cierres de UST, la regulación internacional establece que el regulador debe ser notificado antes del cierre permanente y que la evaluación del sitio debe realizarse antes de completar el cierre, evidenciando la importancia de planear y verificar condiciones previas.</w:t>
      </w:r>
    </w:p>
    <w:p w14:paraId="3400D758" w14:textId="66AD8330" w:rsidR="00A214C2" w:rsidRPr="00C76457" w:rsidRDefault="00A214C2" w:rsidP="00616FE1">
      <w:pPr>
        <w:pStyle w:val="Prrafodelista"/>
        <w:numPr>
          <w:ilvl w:val="0"/>
          <w:numId w:val="15"/>
        </w:numPr>
        <w:spacing w:after="0"/>
        <w:jc w:val="both"/>
        <w:rPr>
          <w:rFonts w:ascii="Arial" w:hAnsi="Arial" w:cs="Arial"/>
          <w:bCs/>
        </w:rPr>
      </w:pPr>
      <w:r w:rsidRPr="00C76457">
        <w:rPr>
          <w:rFonts w:ascii="Arial" w:hAnsi="Arial" w:cs="Arial"/>
          <w:bCs/>
        </w:rPr>
        <w:t>Aislamiento, vaciado y limpieza. Se procede al retiro del producto, extracción de lodos y limpieza interna; posteriormente se controla atmósfera y se realizan medidas de seguridad para impedir ignición. En 40 CFR §280.71 se exige vaciar y limpiar el tanque antes del cierre permanente o cambio de servicio, y se listan estándares recomendados (API RP 1604, API 2015, NFPA 326, entre otros) como guía para cierres seguros.</w:t>
      </w:r>
    </w:p>
    <w:p w14:paraId="13E38DAF" w14:textId="77777777" w:rsidR="00A73D15" w:rsidRPr="00C76457" w:rsidRDefault="00A73D15" w:rsidP="00616FE1">
      <w:pPr>
        <w:spacing w:after="0"/>
        <w:jc w:val="both"/>
        <w:rPr>
          <w:rFonts w:ascii="Arial" w:hAnsi="Arial" w:cs="Arial"/>
          <w:bCs/>
        </w:rPr>
      </w:pPr>
    </w:p>
    <w:p w14:paraId="0EADB7B3" w14:textId="28D3E1A7" w:rsidR="00A73D15" w:rsidRPr="00C76457" w:rsidRDefault="00A73D15" w:rsidP="00616FE1">
      <w:pPr>
        <w:pStyle w:val="Prrafodelista"/>
        <w:numPr>
          <w:ilvl w:val="0"/>
          <w:numId w:val="15"/>
        </w:numPr>
        <w:spacing w:after="0"/>
        <w:jc w:val="both"/>
        <w:rPr>
          <w:rFonts w:ascii="Arial" w:hAnsi="Arial" w:cs="Arial"/>
          <w:bCs/>
        </w:rPr>
      </w:pPr>
      <w:r w:rsidRPr="00C76457">
        <w:rPr>
          <w:rFonts w:ascii="Arial" w:hAnsi="Arial" w:cs="Arial"/>
          <w:bCs/>
        </w:rPr>
        <w:t xml:space="preserve">Intervención civil y retiro físico. Incluye excavación, </w:t>
      </w:r>
      <w:proofErr w:type="spellStart"/>
      <w:r w:rsidRPr="00C76457">
        <w:rPr>
          <w:rFonts w:ascii="Arial" w:hAnsi="Arial" w:cs="Arial"/>
          <w:bCs/>
        </w:rPr>
        <w:t>izaje</w:t>
      </w:r>
      <w:proofErr w:type="spellEnd"/>
      <w:r w:rsidRPr="00C76457">
        <w:rPr>
          <w:rFonts w:ascii="Arial" w:hAnsi="Arial" w:cs="Arial"/>
          <w:bCs/>
        </w:rPr>
        <w:t xml:space="preserve"> y retiro, o cierre en sitio con material inerte cuando sea permitido por autoridad competente, junto con retiro de tuberías y accesorios. La regulación federal de UST describe opciones típicas: remover, rellenar con material inerte o cerrar en sitio con aprobación del implementador.</w:t>
      </w:r>
    </w:p>
    <w:p w14:paraId="7B9D732E" w14:textId="77777777" w:rsidR="00A73D15" w:rsidRPr="00C76457" w:rsidRDefault="00A73D15" w:rsidP="00616FE1">
      <w:pPr>
        <w:spacing w:after="0"/>
        <w:jc w:val="both"/>
        <w:rPr>
          <w:rFonts w:ascii="Arial" w:hAnsi="Arial" w:cs="Arial"/>
          <w:bCs/>
        </w:rPr>
      </w:pPr>
    </w:p>
    <w:p w14:paraId="7D3B5399" w14:textId="61F6BD59" w:rsidR="00A73D15" w:rsidRPr="00C76457" w:rsidRDefault="00AD149A" w:rsidP="00616FE1">
      <w:pPr>
        <w:pStyle w:val="Prrafodelista"/>
        <w:numPr>
          <w:ilvl w:val="0"/>
          <w:numId w:val="15"/>
        </w:numPr>
        <w:spacing w:after="0"/>
        <w:jc w:val="both"/>
        <w:rPr>
          <w:rFonts w:ascii="Arial" w:hAnsi="Arial" w:cs="Arial"/>
          <w:bCs/>
        </w:rPr>
      </w:pPr>
      <w:r w:rsidRPr="00C76457">
        <w:rPr>
          <w:rFonts w:ascii="Arial" w:hAnsi="Arial" w:cs="Arial"/>
          <w:bCs/>
        </w:rPr>
        <w:t>Evaluación del sitio y control ambiental. La evaluación de la zona de excavación es un componente técnico clave para descartar liberaciones y definir medidas adicionales; en el marco estadounidense, la evaluación de excavación está formalizada como requisito asociado al cierre.</w:t>
      </w:r>
    </w:p>
    <w:p w14:paraId="7129FC1C" w14:textId="77777777" w:rsidR="00AD149A" w:rsidRPr="00C76457" w:rsidRDefault="00AD149A" w:rsidP="00616FE1">
      <w:pPr>
        <w:spacing w:after="0"/>
        <w:jc w:val="both"/>
        <w:rPr>
          <w:rFonts w:ascii="Arial" w:hAnsi="Arial" w:cs="Arial"/>
          <w:bCs/>
        </w:rPr>
      </w:pPr>
    </w:p>
    <w:p w14:paraId="57931F9C" w14:textId="5ECA92F3" w:rsidR="00AD149A" w:rsidRPr="00C76457" w:rsidRDefault="00AD149A" w:rsidP="00616FE1">
      <w:pPr>
        <w:pStyle w:val="Prrafodelista"/>
        <w:numPr>
          <w:ilvl w:val="0"/>
          <w:numId w:val="15"/>
        </w:numPr>
        <w:spacing w:after="0"/>
        <w:jc w:val="both"/>
        <w:rPr>
          <w:rFonts w:ascii="Arial" w:hAnsi="Arial" w:cs="Arial"/>
          <w:bCs/>
        </w:rPr>
      </w:pPr>
      <w:r w:rsidRPr="00C76457">
        <w:rPr>
          <w:rFonts w:ascii="Arial" w:hAnsi="Arial" w:cs="Arial"/>
          <w:bCs/>
        </w:rPr>
        <w:t>Gestión de residuos y restitución. Incluye segregación, embalaje, transporte, disposición y/o aprovechamiento, seguido de reposición de suelos, rellenos, compactación y restitución de pavimentos o superficies de operación.</w:t>
      </w:r>
    </w:p>
    <w:p w14:paraId="0B68F138" w14:textId="77777777" w:rsidR="003361CF" w:rsidRPr="00C76457" w:rsidRDefault="003361CF" w:rsidP="008C7BA7">
      <w:pPr>
        <w:spacing w:after="0"/>
        <w:jc w:val="both"/>
        <w:rPr>
          <w:rFonts w:ascii="Arial" w:hAnsi="Arial" w:cs="Arial"/>
          <w:bCs/>
        </w:rPr>
      </w:pPr>
    </w:p>
    <w:p w14:paraId="5A31A9CB" w14:textId="6745EB88" w:rsidR="00A10FEB" w:rsidRPr="00C76457" w:rsidRDefault="00CF5CA3" w:rsidP="00616FE1">
      <w:pPr>
        <w:spacing w:after="0"/>
        <w:jc w:val="both"/>
        <w:rPr>
          <w:rFonts w:ascii="Arial" w:hAnsi="Arial" w:cs="Arial"/>
          <w:bCs/>
          <w:u w:val="single"/>
        </w:rPr>
      </w:pPr>
      <w:r>
        <w:rPr>
          <w:rFonts w:ascii="Arial" w:hAnsi="Arial" w:cs="Arial"/>
          <w:bCs/>
          <w:u w:val="single"/>
        </w:rPr>
        <w:t>Tendencia</w:t>
      </w:r>
      <w:r w:rsidR="006602ED" w:rsidRPr="00C76457">
        <w:rPr>
          <w:rFonts w:ascii="Arial" w:hAnsi="Arial" w:cs="Arial"/>
          <w:bCs/>
          <w:u w:val="single"/>
        </w:rPr>
        <w:t xml:space="preserve"> técnica</w:t>
      </w:r>
    </w:p>
    <w:p w14:paraId="6E6944BB" w14:textId="77777777" w:rsidR="00A10FEB" w:rsidRPr="00C76457" w:rsidRDefault="00A10FEB" w:rsidP="00616FE1">
      <w:pPr>
        <w:spacing w:after="0"/>
        <w:jc w:val="both"/>
        <w:rPr>
          <w:rFonts w:ascii="Arial" w:hAnsi="Arial" w:cs="Arial"/>
          <w:bCs/>
          <w:u w:val="single"/>
        </w:rPr>
      </w:pPr>
    </w:p>
    <w:p w14:paraId="5A5E7B96" w14:textId="70E5118D" w:rsidR="005073AC" w:rsidRPr="00C76457" w:rsidRDefault="005073AC" w:rsidP="00616FE1">
      <w:pPr>
        <w:spacing w:after="0"/>
        <w:jc w:val="both"/>
        <w:rPr>
          <w:rFonts w:ascii="Arial" w:hAnsi="Arial" w:cs="Arial"/>
          <w:bCs/>
        </w:rPr>
      </w:pPr>
      <w:r w:rsidRPr="00C76457">
        <w:rPr>
          <w:rFonts w:ascii="Arial" w:hAnsi="Arial" w:cs="Arial"/>
          <w:bCs/>
        </w:rPr>
        <w:t xml:space="preserve">A nivel global, la tendencia técnica en desmantelamiento se caracteriza por mayor estandarización, trazabilidad y enfoque basado en riesgos. La regulación de UST en EE. UU. (40 CFR Part 280 </w:t>
      </w:r>
      <w:proofErr w:type="spellStart"/>
      <w:r w:rsidRPr="00C76457">
        <w:rPr>
          <w:rFonts w:ascii="Arial" w:hAnsi="Arial" w:cs="Arial"/>
          <w:bCs/>
        </w:rPr>
        <w:t>Subpart</w:t>
      </w:r>
      <w:proofErr w:type="spellEnd"/>
      <w:r w:rsidRPr="00C76457">
        <w:rPr>
          <w:rFonts w:ascii="Arial" w:hAnsi="Arial" w:cs="Arial"/>
          <w:bCs/>
        </w:rPr>
        <w:t xml:space="preserve"> G) establece criterios de cierre temporal y permanente, define condiciones de tanque “vacío”, exige notificación previa y evaluación del sitio, y vincula estándares reconocidos (API, NFPA, NIOSH) como referencia de procedimientos seguros.</w:t>
      </w:r>
    </w:p>
    <w:p w14:paraId="75B816A9" w14:textId="77777777" w:rsidR="005073AC" w:rsidRPr="00C76457" w:rsidRDefault="005073AC" w:rsidP="00616FE1">
      <w:pPr>
        <w:spacing w:after="0"/>
        <w:jc w:val="both"/>
        <w:rPr>
          <w:rFonts w:ascii="Arial" w:hAnsi="Arial" w:cs="Arial"/>
          <w:bCs/>
        </w:rPr>
      </w:pPr>
    </w:p>
    <w:p w14:paraId="68F14D0E" w14:textId="77777777" w:rsidR="00CF5CA3" w:rsidRDefault="005073AC" w:rsidP="00616FE1">
      <w:pPr>
        <w:spacing w:after="0"/>
        <w:jc w:val="both"/>
        <w:rPr>
          <w:rFonts w:ascii="Arial" w:hAnsi="Arial" w:cs="Arial"/>
          <w:bCs/>
        </w:rPr>
      </w:pPr>
      <w:r w:rsidRPr="00C76457">
        <w:rPr>
          <w:rFonts w:ascii="Arial" w:hAnsi="Arial" w:cs="Arial"/>
          <w:bCs/>
        </w:rPr>
        <w:lastRenderedPageBreak/>
        <w:t xml:space="preserve">En Europa y otros mercados, existen documentos técnicos de referencia que integran diseño, modificación, mantenimiento y desmantelamiento de estaciones de servicio, como el estándar APEA/Energy </w:t>
      </w:r>
      <w:proofErr w:type="spellStart"/>
      <w:r w:rsidRPr="00C76457">
        <w:rPr>
          <w:rFonts w:ascii="Arial" w:hAnsi="Arial" w:cs="Arial"/>
          <w:bCs/>
        </w:rPr>
        <w:t>Institute</w:t>
      </w:r>
      <w:proofErr w:type="spellEnd"/>
      <w:r w:rsidRPr="00C76457">
        <w:rPr>
          <w:rFonts w:ascii="Arial" w:hAnsi="Arial" w:cs="Arial"/>
          <w:bCs/>
        </w:rPr>
        <w:t xml:space="preserve"> (edición 2024) para “</w:t>
      </w:r>
      <w:proofErr w:type="spellStart"/>
      <w:r w:rsidRPr="00650BFD">
        <w:rPr>
          <w:rFonts w:ascii="Arial" w:hAnsi="Arial" w:cs="Arial"/>
          <w:bCs/>
          <w:i/>
          <w:iCs/>
        </w:rPr>
        <w:t>design</w:t>
      </w:r>
      <w:proofErr w:type="spellEnd"/>
      <w:r w:rsidRPr="00650BFD">
        <w:rPr>
          <w:rFonts w:ascii="Arial" w:hAnsi="Arial" w:cs="Arial"/>
          <w:bCs/>
          <w:i/>
          <w:iCs/>
        </w:rPr>
        <w:t xml:space="preserve">, </w:t>
      </w:r>
      <w:proofErr w:type="spellStart"/>
      <w:r w:rsidRPr="00650BFD">
        <w:rPr>
          <w:rFonts w:ascii="Arial" w:hAnsi="Arial" w:cs="Arial"/>
          <w:bCs/>
          <w:i/>
          <w:iCs/>
        </w:rPr>
        <w:t>construction</w:t>
      </w:r>
      <w:proofErr w:type="spellEnd"/>
      <w:r w:rsidRPr="00650BFD">
        <w:rPr>
          <w:rFonts w:ascii="Arial" w:hAnsi="Arial" w:cs="Arial"/>
          <w:bCs/>
          <w:i/>
          <w:iCs/>
        </w:rPr>
        <w:t xml:space="preserve">, </w:t>
      </w:r>
      <w:proofErr w:type="spellStart"/>
      <w:r w:rsidRPr="00650BFD">
        <w:rPr>
          <w:rFonts w:ascii="Arial" w:hAnsi="Arial" w:cs="Arial"/>
          <w:bCs/>
          <w:i/>
          <w:iCs/>
        </w:rPr>
        <w:t>modification</w:t>
      </w:r>
      <w:proofErr w:type="spellEnd"/>
      <w:r w:rsidRPr="00650BFD">
        <w:rPr>
          <w:rFonts w:ascii="Arial" w:hAnsi="Arial" w:cs="Arial"/>
          <w:bCs/>
          <w:i/>
          <w:iCs/>
        </w:rPr>
        <w:t xml:space="preserve">, </w:t>
      </w:r>
      <w:proofErr w:type="spellStart"/>
      <w:r w:rsidRPr="00650BFD">
        <w:rPr>
          <w:rFonts w:ascii="Arial" w:hAnsi="Arial" w:cs="Arial"/>
          <w:bCs/>
          <w:i/>
          <w:iCs/>
        </w:rPr>
        <w:t>maintenance</w:t>
      </w:r>
      <w:proofErr w:type="spellEnd"/>
      <w:r w:rsidRPr="00650BFD">
        <w:rPr>
          <w:rFonts w:ascii="Arial" w:hAnsi="Arial" w:cs="Arial"/>
          <w:bCs/>
          <w:i/>
          <w:iCs/>
        </w:rPr>
        <w:t xml:space="preserve"> and </w:t>
      </w:r>
      <w:proofErr w:type="spellStart"/>
      <w:r w:rsidRPr="00650BFD">
        <w:rPr>
          <w:rFonts w:ascii="Arial" w:hAnsi="Arial" w:cs="Arial"/>
          <w:bCs/>
          <w:i/>
          <w:iCs/>
        </w:rPr>
        <w:t>decommissioning</w:t>
      </w:r>
      <w:proofErr w:type="spellEnd"/>
      <w:r w:rsidRPr="00650BFD">
        <w:rPr>
          <w:rFonts w:ascii="Arial" w:hAnsi="Arial" w:cs="Arial"/>
          <w:bCs/>
          <w:i/>
          <w:iCs/>
        </w:rPr>
        <w:t xml:space="preserve"> </w:t>
      </w:r>
      <w:proofErr w:type="spellStart"/>
      <w:r w:rsidRPr="00650BFD">
        <w:rPr>
          <w:rFonts w:ascii="Arial" w:hAnsi="Arial" w:cs="Arial"/>
          <w:bCs/>
          <w:i/>
          <w:iCs/>
        </w:rPr>
        <w:t>of</w:t>
      </w:r>
      <w:proofErr w:type="spellEnd"/>
      <w:r w:rsidRPr="00650BFD">
        <w:rPr>
          <w:rFonts w:ascii="Arial" w:hAnsi="Arial" w:cs="Arial"/>
          <w:bCs/>
          <w:i/>
          <w:iCs/>
        </w:rPr>
        <w:t xml:space="preserve"> </w:t>
      </w:r>
      <w:proofErr w:type="spellStart"/>
      <w:r w:rsidRPr="00650BFD">
        <w:rPr>
          <w:rFonts w:ascii="Arial" w:hAnsi="Arial" w:cs="Arial"/>
          <w:bCs/>
          <w:i/>
          <w:iCs/>
        </w:rPr>
        <w:t>petrol</w:t>
      </w:r>
      <w:proofErr w:type="spellEnd"/>
      <w:r w:rsidRPr="00650BFD">
        <w:rPr>
          <w:rFonts w:ascii="Arial" w:hAnsi="Arial" w:cs="Arial"/>
          <w:bCs/>
          <w:i/>
          <w:iCs/>
        </w:rPr>
        <w:t xml:space="preserve"> </w:t>
      </w:r>
      <w:proofErr w:type="spellStart"/>
      <w:r w:rsidRPr="00650BFD">
        <w:rPr>
          <w:rFonts w:ascii="Arial" w:hAnsi="Arial" w:cs="Arial"/>
          <w:bCs/>
          <w:i/>
          <w:iCs/>
        </w:rPr>
        <w:t>filling</w:t>
      </w:r>
      <w:proofErr w:type="spellEnd"/>
      <w:r w:rsidRPr="00650BFD">
        <w:rPr>
          <w:rFonts w:ascii="Arial" w:hAnsi="Arial" w:cs="Arial"/>
          <w:bCs/>
          <w:i/>
          <w:iCs/>
        </w:rPr>
        <w:t xml:space="preserve"> </w:t>
      </w:r>
      <w:proofErr w:type="spellStart"/>
      <w:r w:rsidRPr="00650BFD">
        <w:rPr>
          <w:rFonts w:ascii="Arial" w:hAnsi="Arial" w:cs="Arial"/>
          <w:bCs/>
          <w:i/>
          <w:iCs/>
        </w:rPr>
        <w:t>stations</w:t>
      </w:r>
      <w:proofErr w:type="spellEnd"/>
      <w:r w:rsidRPr="00C76457">
        <w:rPr>
          <w:rFonts w:ascii="Arial" w:hAnsi="Arial" w:cs="Arial"/>
          <w:bCs/>
        </w:rPr>
        <w:t xml:space="preserve">”, que consolida buenas prácticas y criterios técnicos de seguridad e ingeniería en el ciclo de vida de este tipo de instalaciones. </w:t>
      </w:r>
    </w:p>
    <w:p w14:paraId="266E2E0C" w14:textId="77777777" w:rsidR="00CF5CA3" w:rsidRDefault="00CF5CA3" w:rsidP="00616FE1">
      <w:pPr>
        <w:spacing w:after="0"/>
        <w:jc w:val="both"/>
        <w:rPr>
          <w:rFonts w:ascii="Arial" w:hAnsi="Arial" w:cs="Arial"/>
          <w:bCs/>
        </w:rPr>
      </w:pPr>
    </w:p>
    <w:p w14:paraId="537B5C90" w14:textId="0C25EFD3" w:rsidR="005073AC" w:rsidRPr="00C76457" w:rsidRDefault="005073AC" w:rsidP="00616FE1">
      <w:pPr>
        <w:spacing w:after="0"/>
        <w:jc w:val="both"/>
        <w:rPr>
          <w:rFonts w:ascii="Arial" w:hAnsi="Arial" w:cs="Arial"/>
          <w:bCs/>
        </w:rPr>
      </w:pPr>
      <w:r w:rsidRPr="00C76457">
        <w:rPr>
          <w:rFonts w:ascii="Arial" w:hAnsi="Arial" w:cs="Arial"/>
          <w:bCs/>
        </w:rPr>
        <w:t>En el entorno británico, la autoridad reguladora de ambiente y desmantelamiento offshore (OPRED) publica y actualiza lineamientos de desmantelamiento para instalaciones y tuberías, con transparencia sobre programas, requisitos y consideraciones ambientales, mostrando cómo los reguladores estructuran procesos formales de aprobación y control para retiro de infraestructura energética. Aunque el foco offshore difiere de estaciones urbanas, el enfoque de ciclo de vida, evaluación, documentación y control ambiental es técnicamente transferible como buena práctica de gestión del retiro de activos</w:t>
      </w:r>
      <w:r w:rsidR="00693C77" w:rsidRPr="00C76457">
        <w:rPr>
          <w:rStyle w:val="Refdenotaalpie"/>
          <w:rFonts w:ascii="Arial" w:hAnsi="Arial" w:cs="Arial"/>
          <w:bCs/>
        </w:rPr>
        <w:footnoteReference w:id="42"/>
      </w:r>
      <w:r w:rsidRPr="00C76457">
        <w:rPr>
          <w:rFonts w:ascii="Arial" w:hAnsi="Arial" w:cs="Arial"/>
          <w:bCs/>
        </w:rPr>
        <w:t>.</w:t>
      </w:r>
    </w:p>
    <w:p w14:paraId="4FEC1A38" w14:textId="77777777" w:rsidR="00F81112" w:rsidRPr="00C76457" w:rsidRDefault="00F81112" w:rsidP="00616FE1">
      <w:pPr>
        <w:spacing w:after="0"/>
        <w:jc w:val="both"/>
        <w:rPr>
          <w:rFonts w:ascii="Arial" w:hAnsi="Arial" w:cs="Arial"/>
          <w:bCs/>
        </w:rPr>
      </w:pPr>
    </w:p>
    <w:p w14:paraId="10FBD0F2" w14:textId="1E7D4BC4" w:rsidR="00F81112" w:rsidRPr="00C76457" w:rsidRDefault="00F81112" w:rsidP="00616FE1">
      <w:pPr>
        <w:spacing w:after="0"/>
        <w:jc w:val="both"/>
        <w:rPr>
          <w:rFonts w:ascii="Arial" w:hAnsi="Arial" w:cs="Arial"/>
          <w:bCs/>
          <w:u w:val="single"/>
        </w:rPr>
      </w:pPr>
      <w:r w:rsidRPr="00C76457">
        <w:rPr>
          <w:rFonts w:ascii="Arial" w:hAnsi="Arial" w:cs="Arial"/>
          <w:bCs/>
          <w:u w:val="single"/>
        </w:rPr>
        <w:t>Implicaciones técnicas</w:t>
      </w:r>
    </w:p>
    <w:p w14:paraId="3E642AB7" w14:textId="77777777" w:rsidR="00A10FEB" w:rsidRPr="00C76457" w:rsidRDefault="00A10FEB" w:rsidP="00616FE1">
      <w:pPr>
        <w:spacing w:after="0"/>
        <w:jc w:val="both"/>
        <w:rPr>
          <w:rFonts w:ascii="Arial" w:hAnsi="Arial" w:cs="Arial"/>
          <w:bCs/>
        </w:rPr>
      </w:pPr>
    </w:p>
    <w:p w14:paraId="21106CE6" w14:textId="6E0802A6" w:rsidR="00F81112" w:rsidRPr="00C76457" w:rsidRDefault="00C60D9F" w:rsidP="00616FE1">
      <w:pPr>
        <w:spacing w:after="0"/>
        <w:jc w:val="both"/>
        <w:rPr>
          <w:rFonts w:ascii="Arial" w:hAnsi="Arial" w:cs="Arial"/>
          <w:bCs/>
        </w:rPr>
      </w:pPr>
      <w:r w:rsidRPr="00C76457">
        <w:rPr>
          <w:rFonts w:ascii="Arial" w:hAnsi="Arial" w:cs="Arial"/>
          <w:bCs/>
        </w:rPr>
        <w:t>Desde la perspectiva del estudio de mercado, el componente técnico muestra que este nicho exige capacidades que no son genéricas del sector construcción: requiere empresas con competencia verificable en trabajos de riesgo (atmósferas inflamables, excavación, espacios confinados), control ambiental y gestión de residuos. La existencia de marcos regulatorios sectoriales para estaciones de servicio (MinMinas) y ambientales (</w:t>
      </w:r>
      <w:proofErr w:type="spellStart"/>
      <w:r w:rsidRPr="00C76457">
        <w:rPr>
          <w:rFonts w:ascii="Arial" w:hAnsi="Arial" w:cs="Arial"/>
          <w:bCs/>
        </w:rPr>
        <w:t>MinAmbiente</w:t>
      </w:r>
      <w:proofErr w:type="spellEnd"/>
      <w:r w:rsidRPr="00C76457">
        <w:rPr>
          <w:rFonts w:ascii="Arial" w:hAnsi="Arial" w:cs="Arial"/>
          <w:bCs/>
        </w:rPr>
        <w:t>/Decreto Único) condiciona el tipo de oferentes idóneos y los recursos técnicos exigibles, lo que afecta oferta y precios del mercado.</w:t>
      </w:r>
    </w:p>
    <w:p w14:paraId="41E139F5" w14:textId="77777777" w:rsidR="00C60D9F" w:rsidRPr="00C76457" w:rsidRDefault="00C60D9F" w:rsidP="00616FE1">
      <w:pPr>
        <w:spacing w:after="0"/>
        <w:jc w:val="both"/>
        <w:rPr>
          <w:rFonts w:ascii="Arial" w:hAnsi="Arial" w:cs="Arial"/>
          <w:bCs/>
        </w:rPr>
      </w:pPr>
    </w:p>
    <w:p w14:paraId="78E0E9CB" w14:textId="56EE1BE3" w:rsidR="00C60D9F" w:rsidRPr="00C76457" w:rsidRDefault="0028127D" w:rsidP="00616FE1">
      <w:pPr>
        <w:spacing w:after="0"/>
        <w:jc w:val="both"/>
        <w:rPr>
          <w:rFonts w:ascii="Arial" w:hAnsi="Arial" w:cs="Arial"/>
          <w:bCs/>
        </w:rPr>
      </w:pPr>
      <w:r w:rsidRPr="00C76457">
        <w:rPr>
          <w:rFonts w:ascii="Arial" w:hAnsi="Arial" w:cs="Arial"/>
          <w:bCs/>
        </w:rPr>
        <w:t>Adicionalmente, el comportamiento sectorial reportado por el DANE para actividades especializadas y obras civiles sugiere que la capacidad disponible y el costo de ejecutar este tipo de servicios se encuentran influenciados por el ciclo económico de la construcción, con efectos en disponibilidad de mano de obra, equipos y contratistas. En este marco, la estructuración técnica del proceso contractual debe apoyarse en: especificaciones mínimas de seguridad y ambiente, procedimientos de cierre y evaluación del sitio, perfiles técnicos de personal y requerimientos de equipos, alineados con estándares reconocidos y normas vigentes.</w:t>
      </w:r>
    </w:p>
    <w:p w14:paraId="4AB0BDB2" w14:textId="77777777" w:rsidR="009A62E9" w:rsidRPr="00C76457" w:rsidRDefault="009A62E9" w:rsidP="00616FE1">
      <w:pPr>
        <w:spacing w:after="0"/>
        <w:jc w:val="both"/>
        <w:rPr>
          <w:rFonts w:ascii="Arial" w:hAnsi="Arial" w:cs="Arial"/>
          <w:bCs/>
        </w:rPr>
      </w:pPr>
    </w:p>
    <w:p w14:paraId="648971BD" w14:textId="60A9FEA4" w:rsidR="009A62E9" w:rsidRPr="00C76457" w:rsidRDefault="009A62E9" w:rsidP="00616FE1">
      <w:pPr>
        <w:spacing w:after="0"/>
        <w:jc w:val="both"/>
        <w:rPr>
          <w:rFonts w:ascii="Arial" w:hAnsi="Arial" w:cs="Arial"/>
          <w:bCs/>
          <w:u w:val="single"/>
        </w:rPr>
      </w:pPr>
      <w:r w:rsidRPr="00C76457">
        <w:rPr>
          <w:rFonts w:ascii="Arial" w:hAnsi="Arial" w:cs="Arial"/>
          <w:bCs/>
          <w:u w:val="single"/>
        </w:rPr>
        <w:t>Perspectiva regulatoria</w:t>
      </w:r>
    </w:p>
    <w:p w14:paraId="35768336" w14:textId="77777777" w:rsidR="00927735" w:rsidRPr="00C76457" w:rsidRDefault="00927735" w:rsidP="00616FE1">
      <w:pPr>
        <w:spacing w:after="0"/>
        <w:jc w:val="both"/>
        <w:rPr>
          <w:rFonts w:ascii="Arial" w:hAnsi="Arial" w:cs="Arial"/>
          <w:bCs/>
        </w:rPr>
      </w:pPr>
    </w:p>
    <w:p w14:paraId="60DE45AF" w14:textId="77777777" w:rsidR="00C40E37" w:rsidRPr="00C76457" w:rsidRDefault="00C40E37" w:rsidP="00616FE1">
      <w:pPr>
        <w:spacing w:after="0"/>
        <w:jc w:val="both"/>
        <w:rPr>
          <w:rFonts w:ascii="Arial" w:hAnsi="Arial" w:cs="Arial"/>
          <w:bCs/>
        </w:rPr>
      </w:pPr>
      <w:r w:rsidRPr="00C76457">
        <w:rPr>
          <w:rFonts w:ascii="Arial" w:hAnsi="Arial" w:cs="Arial"/>
          <w:bCs/>
        </w:rPr>
        <w:t xml:space="preserve">El desmantelamiento de infraestructura asociada a combustibles líquidos (tanques, líneas, surtidores, cámaras, islas y elementos civiles) se ejecuta en un marco regulatorio multisectorial: </w:t>
      </w:r>
    </w:p>
    <w:p w14:paraId="687BBDD5" w14:textId="77777777" w:rsidR="00C40E37" w:rsidRPr="00C76457" w:rsidRDefault="00C40E37" w:rsidP="00616FE1">
      <w:pPr>
        <w:spacing w:after="0"/>
        <w:jc w:val="both"/>
        <w:rPr>
          <w:rFonts w:ascii="Arial" w:hAnsi="Arial" w:cs="Arial"/>
          <w:bCs/>
        </w:rPr>
      </w:pPr>
    </w:p>
    <w:p w14:paraId="55906BA7" w14:textId="70384592" w:rsidR="00C40E37" w:rsidRPr="00C76457" w:rsidRDefault="00C40E37" w:rsidP="00616FE1">
      <w:pPr>
        <w:pStyle w:val="Prrafodelista"/>
        <w:numPr>
          <w:ilvl w:val="0"/>
          <w:numId w:val="16"/>
        </w:numPr>
        <w:spacing w:after="0"/>
        <w:jc w:val="both"/>
        <w:rPr>
          <w:rFonts w:ascii="Arial" w:hAnsi="Arial" w:cs="Arial"/>
          <w:bCs/>
        </w:rPr>
      </w:pPr>
      <w:r w:rsidRPr="00C76457">
        <w:rPr>
          <w:rFonts w:ascii="Arial" w:hAnsi="Arial" w:cs="Arial"/>
          <w:bCs/>
        </w:rPr>
        <w:t xml:space="preserve">Reglas de contratación pública cuando se trate de entidades estatales. </w:t>
      </w:r>
    </w:p>
    <w:p w14:paraId="21F94A2E" w14:textId="44F3D588" w:rsidR="00C40E37" w:rsidRPr="00C76457" w:rsidRDefault="00C40E37" w:rsidP="00616FE1">
      <w:pPr>
        <w:pStyle w:val="Prrafodelista"/>
        <w:numPr>
          <w:ilvl w:val="0"/>
          <w:numId w:val="16"/>
        </w:numPr>
        <w:spacing w:after="0"/>
        <w:jc w:val="both"/>
        <w:rPr>
          <w:rFonts w:ascii="Arial" w:hAnsi="Arial" w:cs="Arial"/>
          <w:bCs/>
        </w:rPr>
      </w:pPr>
      <w:r w:rsidRPr="00C76457">
        <w:rPr>
          <w:rFonts w:ascii="Arial" w:hAnsi="Arial" w:cs="Arial"/>
          <w:bCs/>
        </w:rPr>
        <w:lastRenderedPageBreak/>
        <w:t>Reglamentación técnica del sector hidrocarburos (seguridad operacional e integridad de instalaciones)</w:t>
      </w:r>
    </w:p>
    <w:p w14:paraId="4B4D82B1" w14:textId="76BAD8C6" w:rsidR="00C40E37" w:rsidRPr="00C76457" w:rsidRDefault="00C40E37" w:rsidP="00616FE1">
      <w:pPr>
        <w:pStyle w:val="Prrafodelista"/>
        <w:numPr>
          <w:ilvl w:val="0"/>
          <w:numId w:val="16"/>
        </w:numPr>
        <w:spacing w:after="0"/>
        <w:jc w:val="both"/>
        <w:rPr>
          <w:rFonts w:ascii="Arial" w:hAnsi="Arial" w:cs="Arial"/>
          <w:bCs/>
        </w:rPr>
      </w:pPr>
      <w:r w:rsidRPr="00C76457">
        <w:rPr>
          <w:rFonts w:ascii="Arial" w:hAnsi="Arial" w:cs="Arial"/>
          <w:bCs/>
        </w:rPr>
        <w:t>Exigencias ambientales (manejo de residuos, control de afectaciones y obligaciones de gestión)</w:t>
      </w:r>
    </w:p>
    <w:p w14:paraId="3522E03B" w14:textId="1E40C0F7" w:rsidR="00C40E37" w:rsidRPr="00C76457" w:rsidRDefault="00C40E37" w:rsidP="00616FE1">
      <w:pPr>
        <w:pStyle w:val="Prrafodelista"/>
        <w:numPr>
          <w:ilvl w:val="0"/>
          <w:numId w:val="16"/>
        </w:numPr>
        <w:spacing w:after="0"/>
        <w:jc w:val="both"/>
        <w:rPr>
          <w:rFonts w:ascii="Arial" w:hAnsi="Arial" w:cs="Arial"/>
          <w:bCs/>
        </w:rPr>
      </w:pPr>
      <w:r w:rsidRPr="00C76457">
        <w:rPr>
          <w:rFonts w:ascii="Arial" w:hAnsi="Arial" w:cs="Arial"/>
          <w:bCs/>
        </w:rPr>
        <w:t>Seguridad y salud en el trabajo (SG</w:t>
      </w:r>
      <w:r w:rsidRPr="00C76457">
        <w:rPr>
          <w:rFonts w:ascii="Cambria Math" w:hAnsi="Cambria Math" w:cs="Cambria Math"/>
          <w:bCs/>
        </w:rPr>
        <w:t>‑</w:t>
      </w:r>
      <w:r w:rsidRPr="00C76457">
        <w:rPr>
          <w:rFonts w:ascii="Arial" w:hAnsi="Arial" w:cs="Arial"/>
          <w:bCs/>
        </w:rPr>
        <w:t>SST y estándares mínimos)</w:t>
      </w:r>
    </w:p>
    <w:p w14:paraId="54F8C2B1" w14:textId="2D54ED60" w:rsidR="00C40E37" w:rsidRPr="00C76457" w:rsidRDefault="00C40E37" w:rsidP="00616FE1">
      <w:pPr>
        <w:pStyle w:val="Prrafodelista"/>
        <w:numPr>
          <w:ilvl w:val="0"/>
          <w:numId w:val="16"/>
        </w:numPr>
        <w:spacing w:after="0"/>
        <w:jc w:val="both"/>
        <w:rPr>
          <w:rFonts w:ascii="Arial" w:hAnsi="Arial" w:cs="Arial"/>
          <w:bCs/>
        </w:rPr>
      </w:pPr>
      <w:r w:rsidRPr="00C76457">
        <w:rPr>
          <w:rFonts w:ascii="Arial" w:hAnsi="Arial" w:cs="Arial"/>
          <w:bCs/>
        </w:rPr>
        <w:t>Transporte de mercancías peligrosas por carretera</w:t>
      </w:r>
    </w:p>
    <w:p w14:paraId="6E775AD1" w14:textId="183B1198" w:rsidR="009A62E9" w:rsidRPr="00C76457" w:rsidRDefault="00C40E37" w:rsidP="00616FE1">
      <w:pPr>
        <w:pStyle w:val="Prrafodelista"/>
        <w:numPr>
          <w:ilvl w:val="0"/>
          <w:numId w:val="16"/>
        </w:numPr>
        <w:spacing w:after="0"/>
        <w:jc w:val="both"/>
        <w:rPr>
          <w:rFonts w:ascii="Arial" w:hAnsi="Arial" w:cs="Arial"/>
          <w:bCs/>
        </w:rPr>
      </w:pPr>
      <w:r w:rsidRPr="00C76457">
        <w:rPr>
          <w:rFonts w:ascii="Arial" w:hAnsi="Arial" w:cs="Arial"/>
          <w:bCs/>
        </w:rPr>
        <w:t>Estándares técnicos voluntarios (ISO/NTC/Guías ICONTEC) que, aunque no siempre son obligatorios por sí mismos, suelen incorporarse como requisitos habilitantes o de calidad en especificaciones contractuales y auditorías.</w:t>
      </w:r>
    </w:p>
    <w:p w14:paraId="3BFE3702" w14:textId="77777777" w:rsidR="009461ED" w:rsidRPr="00C76457" w:rsidRDefault="009461ED" w:rsidP="00616FE1">
      <w:pPr>
        <w:spacing w:after="0"/>
        <w:ind w:left="360"/>
        <w:jc w:val="both"/>
        <w:rPr>
          <w:rFonts w:ascii="Arial" w:hAnsi="Arial" w:cs="Arial"/>
          <w:bCs/>
        </w:rPr>
      </w:pPr>
    </w:p>
    <w:p w14:paraId="129863BB" w14:textId="1F424E5B" w:rsidR="009461ED" w:rsidRPr="00C76457" w:rsidRDefault="009461ED" w:rsidP="00616FE1">
      <w:pPr>
        <w:spacing w:after="0"/>
        <w:jc w:val="both"/>
        <w:rPr>
          <w:rFonts w:ascii="Arial" w:hAnsi="Arial" w:cs="Arial"/>
          <w:bCs/>
        </w:rPr>
      </w:pPr>
      <w:r w:rsidRPr="00C76457">
        <w:rPr>
          <w:rFonts w:ascii="Arial" w:hAnsi="Arial" w:cs="Arial"/>
          <w:bCs/>
        </w:rPr>
        <w:t xml:space="preserve">A </w:t>
      </w:r>
      <w:r w:rsidR="00141117" w:rsidRPr="00C76457">
        <w:rPr>
          <w:rFonts w:ascii="Arial" w:hAnsi="Arial" w:cs="Arial"/>
          <w:bCs/>
        </w:rPr>
        <w:t>continuación,</w:t>
      </w:r>
      <w:r w:rsidRPr="00C76457">
        <w:rPr>
          <w:rFonts w:ascii="Arial" w:hAnsi="Arial" w:cs="Arial"/>
          <w:bCs/>
        </w:rPr>
        <w:t xml:space="preserve"> se presenta la normativa y estándares más relevantes, sin limitarse a estos, organizada por ejes regulatorios y con fuentes verificables.</w:t>
      </w:r>
    </w:p>
    <w:p w14:paraId="2F549113" w14:textId="77777777" w:rsidR="009461ED" w:rsidRPr="00C76457" w:rsidRDefault="009461ED" w:rsidP="00616FE1">
      <w:pPr>
        <w:spacing w:after="0"/>
        <w:ind w:left="360"/>
        <w:jc w:val="both"/>
        <w:rPr>
          <w:rFonts w:ascii="Arial" w:hAnsi="Arial" w:cs="Arial"/>
          <w:bCs/>
        </w:rPr>
      </w:pPr>
    </w:p>
    <w:p w14:paraId="7C35451C" w14:textId="01B75036" w:rsidR="009461ED" w:rsidRPr="00C76457" w:rsidRDefault="009461ED" w:rsidP="00616FE1">
      <w:pPr>
        <w:pStyle w:val="Prrafodelista"/>
        <w:numPr>
          <w:ilvl w:val="0"/>
          <w:numId w:val="17"/>
        </w:numPr>
        <w:spacing w:after="0"/>
        <w:jc w:val="both"/>
        <w:rPr>
          <w:rFonts w:ascii="Arial" w:hAnsi="Arial" w:cs="Arial"/>
          <w:bCs/>
        </w:rPr>
      </w:pPr>
      <w:r w:rsidRPr="00C76457">
        <w:rPr>
          <w:rFonts w:ascii="Arial" w:hAnsi="Arial" w:cs="Arial"/>
          <w:bCs/>
        </w:rPr>
        <w:t>Contratación publica</w:t>
      </w:r>
    </w:p>
    <w:p w14:paraId="771C0E57" w14:textId="77777777" w:rsidR="009F1B14" w:rsidRPr="00C76457" w:rsidRDefault="009F1B14" w:rsidP="00616FE1">
      <w:pPr>
        <w:spacing w:after="0"/>
        <w:jc w:val="both"/>
        <w:rPr>
          <w:rFonts w:ascii="Arial" w:hAnsi="Arial" w:cs="Arial"/>
          <w:bCs/>
        </w:rPr>
      </w:pPr>
    </w:p>
    <w:p w14:paraId="6AC5BB1A" w14:textId="40015B64" w:rsidR="006F1B2B" w:rsidRPr="00C76457" w:rsidRDefault="006F1B2B" w:rsidP="00616FE1">
      <w:pPr>
        <w:spacing w:after="0"/>
        <w:jc w:val="both"/>
        <w:rPr>
          <w:rFonts w:ascii="Arial" w:hAnsi="Arial" w:cs="Arial"/>
          <w:bCs/>
        </w:rPr>
      </w:pPr>
      <w:r w:rsidRPr="00C76457">
        <w:rPr>
          <w:rFonts w:ascii="Arial" w:hAnsi="Arial" w:cs="Arial"/>
          <w:bCs/>
        </w:rPr>
        <w:t>La contratación estatal en Colombia se rige por el Estatuto General de Contratación, principalmente la Ley 80 de 1993, que fija reglas y principios de los contratos estatales. La Ley 80 es complementada por la Ley 1150 de 2007, que introduce medidas de eficiencia y transparencia e incorpora modalidades de selección (licitación, selección abreviada, concurso de méritos, contratación directa)</w:t>
      </w:r>
      <w:r w:rsidR="00141117" w:rsidRPr="00C76457">
        <w:rPr>
          <w:rStyle w:val="Refdenotaalpie"/>
          <w:rFonts w:ascii="Arial" w:hAnsi="Arial" w:cs="Arial"/>
          <w:bCs/>
        </w:rPr>
        <w:footnoteReference w:id="43"/>
      </w:r>
      <w:r w:rsidRPr="00C76457">
        <w:rPr>
          <w:rFonts w:ascii="Arial" w:hAnsi="Arial" w:cs="Arial"/>
          <w:bCs/>
        </w:rPr>
        <w:t>.</w:t>
      </w:r>
    </w:p>
    <w:p w14:paraId="3EA7D433" w14:textId="77777777" w:rsidR="006F1B2B" w:rsidRPr="00C76457" w:rsidRDefault="006F1B2B" w:rsidP="00616FE1">
      <w:pPr>
        <w:spacing w:after="0"/>
        <w:jc w:val="both"/>
        <w:rPr>
          <w:rFonts w:ascii="Arial" w:hAnsi="Arial" w:cs="Arial"/>
          <w:bCs/>
        </w:rPr>
      </w:pPr>
    </w:p>
    <w:p w14:paraId="478476D4" w14:textId="22FE721C" w:rsidR="006F1B2B" w:rsidRPr="00C76457" w:rsidRDefault="006F1B2B" w:rsidP="00616FE1">
      <w:pPr>
        <w:spacing w:after="0"/>
        <w:jc w:val="both"/>
        <w:rPr>
          <w:rFonts w:ascii="Arial" w:hAnsi="Arial" w:cs="Arial"/>
          <w:bCs/>
        </w:rPr>
      </w:pPr>
      <w:r w:rsidRPr="00C76457">
        <w:rPr>
          <w:rFonts w:ascii="Arial" w:hAnsi="Arial" w:cs="Arial"/>
          <w:bCs/>
        </w:rPr>
        <w:t>A nivel reglamentario, el marco operativo del sistema de compras públicas se compila en el Decreto 1082 de 2015 (Decreto Único Reglamentario del sector Planeación), que incluye disposiciones del sistema de compras y contratación pública (planeación, modalidades, documentos del proceso, publicidad, etc.)</w:t>
      </w:r>
      <w:r w:rsidR="00C66F1E" w:rsidRPr="00C76457">
        <w:rPr>
          <w:rStyle w:val="Refdenotaalpie"/>
          <w:rFonts w:ascii="Arial" w:hAnsi="Arial" w:cs="Arial"/>
          <w:bCs/>
        </w:rPr>
        <w:footnoteReference w:id="44"/>
      </w:r>
      <w:r w:rsidRPr="00C76457">
        <w:rPr>
          <w:rFonts w:ascii="Arial" w:hAnsi="Arial" w:cs="Arial"/>
          <w:bCs/>
        </w:rPr>
        <w:t xml:space="preserve">. En integridad y control, la Ley 1474 de 2011 (Estatuto Anticorrupción) fortalece mecanismos de prevención y sanción de actos de corrupción e introduce, por ejemplo, reglas de inhabilidades relacionadas con contratación estatal. </w:t>
      </w:r>
    </w:p>
    <w:p w14:paraId="3FCF75BD" w14:textId="77777777" w:rsidR="006F1B2B" w:rsidRPr="00C76457" w:rsidRDefault="006F1B2B" w:rsidP="00616FE1">
      <w:pPr>
        <w:spacing w:after="0"/>
        <w:jc w:val="both"/>
        <w:rPr>
          <w:rFonts w:ascii="Arial" w:hAnsi="Arial" w:cs="Arial"/>
          <w:bCs/>
        </w:rPr>
      </w:pPr>
    </w:p>
    <w:p w14:paraId="4D45E332" w14:textId="135ED768" w:rsidR="006F1B2B" w:rsidRPr="00C76457" w:rsidRDefault="006F1B2B" w:rsidP="00616FE1">
      <w:pPr>
        <w:spacing w:after="0"/>
        <w:jc w:val="both"/>
        <w:rPr>
          <w:rFonts w:ascii="Arial" w:hAnsi="Arial" w:cs="Arial"/>
          <w:bCs/>
        </w:rPr>
      </w:pPr>
      <w:r w:rsidRPr="00C76457">
        <w:rPr>
          <w:rFonts w:ascii="Arial" w:hAnsi="Arial" w:cs="Arial"/>
          <w:bCs/>
        </w:rPr>
        <w:t>En el nicho suele implicar riesgos técnicos (SST y ambiente) que exigen en pliegos y contratos una adecuada asignación de responsabilidades, interventoría, verificación documental y control de riesgos, todo dentro del marco de planeación y ejecución contractual previsto por estas normas.</w:t>
      </w:r>
    </w:p>
    <w:p w14:paraId="71E1494B" w14:textId="77777777" w:rsidR="006F1B2B" w:rsidRPr="00C76457" w:rsidRDefault="006F1B2B" w:rsidP="00616FE1">
      <w:pPr>
        <w:spacing w:after="0"/>
        <w:jc w:val="both"/>
        <w:rPr>
          <w:rFonts w:ascii="Arial" w:hAnsi="Arial" w:cs="Arial"/>
          <w:bCs/>
        </w:rPr>
      </w:pPr>
    </w:p>
    <w:p w14:paraId="6F1349C5" w14:textId="77777777" w:rsidR="00CF5CA3" w:rsidRDefault="00CF5CA3">
      <w:pPr>
        <w:rPr>
          <w:rFonts w:ascii="Arial" w:hAnsi="Arial" w:cs="Arial"/>
          <w:bCs/>
        </w:rPr>
      </w:pPr>
      <w:r>
        <w:rPr>
          <w:rFonts w:ascii="Arial" w:hAnsi="Arial" w:cs="Arial"/>
          <w:bCs/>
        </w:rPr>
        <w:br w:type="page"/>
      </w:r>
    </w:p>
    <w:p w14:paraId="6DE757A7" w14:textId="6BE94545" w:rsidR="009F1B14" w:rsidRPr="00C76457" w:rsidRDefault="006F1B2B" w:rsidP="00616FE1">
      <w:pPr>
        <w:pStyle w:val="Prrafodelista"/>
        <w:numPr>
          <w:ilvl w:val="0"/>
          <w:numId w:val="17"/>
        </w:numPr>
        <w:spacing w:after="0"/>
        <w:jc w:val="both"/>
        <w:rPr>
          <w:rFonts w:ascii="Arial" w:hAnsi="Arial" w:cs="Arial"/>
          <w:bCs/>
        </w:rPr>
      </w:pPr>
      <w:r w:rsidRPr="00C76457">
        <w:rPr>
          <w:rFonts w:ascii="Arial" w:hAnsi="Arial" w:cs="Arial"/>
          <w:bCs/>
        </w:rPr>
        <w:lastRenderedPageBreak/>
        <w:t xml:space="preserve">Regulación técnica sectorial </w:t>
      </w:r>
    </w:p>
    <w:p w14:paraId="25EE5932" w14:textId="77777777" w:rsidR="006F1B2B" w:rsidRPr="00C76457" w:rsidRDefault="006F1B2B" w:rsidP="00616FE1">
      <w:pPr>
        <w:spacing w:after="0"/>
        <w:jc w:val="both"/>
        <w:rPr>
          <w:rFonts w:ascii="Arial" w:hAnsi="Arial" w:cs="Arial"/>
          <w:bCs/>
        </w:rPr>
      </w:pPr>
    </w:p>
    <w:p w14:paraId="105DFDE0" w14:textId="1F61CF21" w:rsidR="006F1B2B" w:rsidRPr="00C76457" w:rsidRDefault="006F1B2B" w:rsidP="00616FE1">
      <w:pPr>
        <w:spacing w:after="0"/>
        <w:jc w:val="both"/>
        <w:rPr>
          <w:rFonts w:ascii="Arial" w:hAnsi="Arial" w:cs="Arial"/>
          <w:bCs/>
        </w:rPr>
      </w:pPr>
      <w:r w:rsidRPr="00C76457">
        <w:rPr>
          <w:rFonts w:ascii="Arial" w:hAnsi="Arial" w:cs="Arial"/>
          <w:bCs/>
        </w:rPr>
        <w:t>El marco técnico más directo para estaciones de servicio en Colombia es la Resolución 40405 de 2020 del Ministerio de Minas y Energía, que expide el reglamento técnico aplicable a estaciones de servicio, plantas de abastecimiento, instalaciones del gran consumidor con instalación fija y tanques de almacenamiento del consumidor final, para combustibles líquidos derivados del petróleo y mezclas con biocombustibles (excepto GLP). Esta resolución se soporta en competencias del sector definidas en el Decreto 1073 de 2015 (Decreto Único Reglamentario del sector Minas y Energía) y en las funciones del Ministerio para regular la cadena de distribución de combustibles líquidos</w:t>
      </w:r>
      <w:r w:rsidR="003E4872" w:rsidRPr="00C76457">
        <w:rPr>
          <w:rStyle w:val="Refdenotaalpie"/>
          <w:rFonts w:ascii="Arial" w:hAnsi="Arial" w:cs="Arial"/>
          <w:bCs/>
        </w:rPr>
        <w:t>37</w:t>
      </w:r>
      <w:r w:rsidRPr="00C76457">
        <w:rPr>
          <w:rFonts w:ascii="Arial" w:hAnsi="Arial" w:cs="Arial"/>
          <w:bCs/>
        </w:rPr>
        <w:t>.</w:t>
      </w:r>
    </w:p>
    <w:p w14:paraId="120BC1A6" w14:textId="77777777" w:rsidR="005B79B1" w:rsidRPr="00C76457" w:rsidRDefault="005B79B1" w:rsidP="00616FE1">
      <w:pPr>
        <w:spacing w:after="0"/>
        <w:jc w:val="both"/>
        <w:rPr>
          <w:rFonts w:ascii="Arial" w:hAnsi="Arial" w:cs="Arial"/>
          <w:bCs/>
        </w:rPr>
      </w:pPr>
    </w:p>
    <w:p w14:paraId="61B42D56" w14:textId="30ED3B1F" w:rsidR="005B79B1" w:rsidRPr="00C76457" w:rsidRDefault="005B79B1" w:rsidP="00616FE1">
      <w:pPr>
        <w:spacing w:after="0"/>
        <w:jc w:val="both"/>
        <w:rPr>
          <w:rFonts w:ascii="Arial" w:hAnsi="Arial" w:cs="Arial"/>
          <w:bCs/>
        </w:rPr>
      </w:pPr>
      <w:r w:rsidRPr="00C76457">
        <w:rPr>
          <w:rFonts w:ascii="Arial" w:hAnsi="Arial" w:cs="Arial"/>
          <w:bCs/>
        </w:rPr>
        <w:t>En el desmantelamiento, aunque la resolución es un reglamento técnico de instalaciones (nuevas y existentes), su aplicación se relaciona con la seguridad e integridad del sistema, y por tanto constituye la referencia principal para caracterizar técnicamente el activo a intervenir y los criterios de seguridad, control y cumplimiento exigibles durante la transición a estado fuera de servicio y retiro.</w:t>
      </w:r>
    </w:p>
    <w:p w14:paraId="367167F8" w14:textId="77777777" w:rsidR="005B79B1" w:rsidRPr="00C76457" w:rsidRDefault="005B79B1" w:rsidP="00616FE1">
      <w:pPr>
        <w:spacing w:after="0"/>
        <w:jc w:val="both"/>
        <w:rPr>
          <w:rFonts w:ascii="Arial" w:hAnsi="Arial" w:cs="Arial"/>
          <w:bCs/>
        </w:rPr>
      </w:pPr>
    </w:p>
    <w:p w14:paraId="36A04CBA" w14:textId="45678F32" w:rsidR="006F1B2B" w:rsidRPr="00C76457" w:rsidRDefault="005B79B1" w:rsidP="00616FE1">
      <w:pPr>
        <w:pStyle w:val="Prrafodelista"/>
        <w:numPr>
          <w:ilvl w:val="0"/>
          <w:numId w:val="17"/>
        </w:numPr>
        <w:spacing w:after="0"/>
        <w:jc w:val="both"/>
        <w:rPr>
          <w:rFonts w:ascii="Arial" w:hAnsi="Arial" w:cs="Arial"/>
          <w:bCs/>
        </w:rPr>
      </w:pPr>
      <w:r w:rsidRPr="00C76457">
        <w:rPr>
          <w:rFonts w:ascii="Arial" w:hAnsi="Arial" w:cs="Arial"/>
          <w:bCs/>
        </w:rPr>
        <w:t xml:space="preserve">Normativa ambiental </w:t>
      </w:r>
    </w:p>
    <w:p w14:paraId="286976AC" w14:textId="78CA83AF" w:rsidR="009F1B14" w:rsidRPr="00C76457" w:rsidRDefault="009F1B14" w:rsidP="00616FE1">
      <w:pPr>
        <w:spacing w:after="0"/>
        <w:jc w:val="both"/>
        <w:rPr>
          <w:rFonts w:ascii="Arial" w:hAnsi="Arial" w:cs="Arial"/>
          <w:bCs/>
        </w:rPr>
      </w:pPr>
    </w:p>
    <w:p w14:paraId="169DE74E" w14:textId="1BC2EFD1" w:rsidR="009F1B14" w:rsidRPr="00C76457" w:rsidRDefault="008178A9" w:rsidP="00616FE1">
      <w:pPr>
        <w:spacing w:after="0"/>
        <w:jc w:val="both"/>
        <w:rPr>
          <w:rFonts w:ascii="Arial" w:hAnsi="Arial" w:cs="Arial"/>
          <w:bCs/>
        </w:rPr>
      </w:pPr>
      <w:r w:rsidRPr="00C76457">
        <w:rPr>
          <w:rFonts w:ascii="Arial" w:hAnsi="Arial" w:cs="Arial"/>
          <w:bCs/>
        </w:rPr>
        <w:t>El componente ambiental se enmarca en el Decreto 1076 de 2015, Decreto Único Reglamentario del sector Ambiente y Desarrollo Sostenible, que compila reglamentación ambiental vigente y constituye el marco base para obligaciones ambientales aplicables a proyectos y actividades con potencial afectación al ambiente. En términos de gestión, este decreto se usa como referencia transversal para permisos, obligaciones, control y régimen reglamentario ambiental aplicable (incluyendo lineamientos que se relacionan con gestión de residuos, emisiones, vertimientos, y demás instrumentos según corresponda al caso)</w:t>
      </w:r>
      <w:r w:rsidR="00512AE4" w:rsidRPr="00C76457">
        <w:rPr>
          <w:rFonts w:ascii="Arial" w:hAnsi="Arial" w:cs="Arial"/>
          <w:bCs/>
        </w:rPr>
        <w:t>.</w:t>
      </w:r>
    </w:p>
    <w:p w14:paraId="2C125234" w14:textId="77777777" w:rsidR="008178A9" w:rsidRPr="00C76457" w:rsidRDefault="008178A9" w:rsidP="00616FE1">
      <w:pPr>
        <w:spacing w:after="0"/>
        <w:jc w:val="both"/>
        <w:rPr>
          <w:rFonts w:ascii="Arial" w:hAnsi="Arial" w:cs="Arial"/>
          <w:bCs/>
        </w:rPr>
      </w:pPr>
    </w:p>
    <w:p w14:paraId="506E534C" w14:textId="1D35B662" w:rsidR="008178A9" w:rsidRPr="00C76457" w:rsidRDefault="00512AE4" w:rsidP="00616FE1">
      <w:pPr>
        <w:spacing w:after="0"/>
        <w:jc w:val="both"/>
        <w:rPr>
          <w:rFonts w:ascii="Arial" w:hAnsi="Arial" w:cs="Arial"/>
          <w:bCs/>
        </w:rPr>
      </w:pPr>
      <w:r w:rsidRPr="00C76457">
        <w:rPr>
          <w:rFonts w:ascii="Arial" w:hAnsi="Arial" w:cs="Arial"/>
          <w:bCs/>
        </w:rPr>
        <w:t>En desmantelamiento, particularmente</w:t>
      </w:r>
      <w:r w:rsidR="008178A9" w:rsidRPr="00C76457">
        <w:rPr>
          <w:rFonts w:ascii="Arial" w:hAnsi="Arial" w:cs="Arial"/>
          <w:bCs/>
        </w:rPr>
        <w:t xml:space="preserve"> en EDS suelen implicar manejo de residuos peligrosos (p. ej., lodos, combustibles residuales, suelos/absorbentes contaminados) y potenciales afectaciones a suelo y agua, por lo que el estudio de mercado y las especificaciones técnicas deben exigir trazabilidad de residuos, cumplimiento de obligaciones ambientales aplicables y soportes documentales que se alineen con el marco ambiental compilado.</w:t>
      </w:r>
    </w:p>
    <w:p w14:paraId="27F7C55E" w14:textId="77777777" w:rsidR="008178A9" w:rsidRPr="00C76457" w:rsidRDefault="008178A9" w:rsidP="00616FE1">
      <w:pPr>
        <w:spacing w:after="0"/>
        <w:jc w:val="both"/>
        <w:rPr>
          <w:rFonts w:ascii="Arial" w:hAnsi="Arial" w:cs="Arial"/>
          <w:bCs/>
        </w:rPr>
      </w:pPr>
    </w:p>
    <w:p w14:paraId="166754E7" w14:textId="12AFE804" w:rsidR="008178A9" w:rsidRPr="00C76457" w:rsidRDefault="003A1FE5" w:rsidP="00616FE1">
      <w:pPr>
        <w:pStyle w:val="Prrafodelista"/>
        <w:numPr>
          <w:ilvl w:val="0"/>
          <w:numId w:val="17"/>
        </w:numPr>
        <w:spacing w:after="0"/>
        <w:jc w:val="both"/>
        <w:rPr>
          <w:rFonts w:ascii="Arial" w:hAnsi="Arial" w:cs="Arial"/>
          <w:bCs/>
        </w:rPr>
      </w:pPr>
      <w:r w:rsidRPr="00C76457">
        <w:rPr>
          <w:rFonts w:ascii="Arial" w:hAnsi="Arial" w:cs="Arial"/>
          <w:bCs/>
        </w:rPr>
        <w:t>Seguridad y salud en el trabajo (SG-SST) y gestión del riesgo operativo</w:t>
      </w:r>
    </w:p>
    <w:p w14:paraId="57DA3E3B" w14:textId="77777777" w:rsidR="00172F31" w:rsidRPr="00C76457" w:rsidRDefault="00172F31" w:rsidP="00616FE1">
      <w:pPr>
        <w:pStyle w:val="Prrafodelista"/>
        <w:spacing w:after="0"/>
        <w:jc w:val="both"/>
        <w:rPr>
          <w:rFonts w:ascii="Arial" w:hAnsi="Arial" w:cs="Arial"/>
          <w:bCs/>
        </w:rPr>
      </w:pPr>
    </w:p>
    <w:p w14:paraId="3B751ED0" w14:textId="3AA18D83" w:rsidR="00172F31" w:rsidRPr="00C76457" w:rsidRDefault="00172F31" w:rsidP="00616FE1">
      <w:pPr>
        <w:spacing w:after="0"/>
        <w:jc w:val="both"/>
        <w:rPr>
          <w:rFonts w:ascii="Arial" w:hAnsi="Arial" w:cs="Arial"/>
          <w:bCs/>
        </w:rPr>
      </w:pPr>
      <w:r w:rsidRPr="00C76457">
        <w:rPr>
          <w:rFonts w:ascii="Arial" w:hAnsi="Arial" w:cs="Arial"/>
          <w:bCs/>
        </w:rPr>
        <w:t>La exigencia central en SST se articula mediante el Decreto 1072 de 2015 (Decreto Único Reglamentario del sector Trabajo), que integra el marco normativo del sector y soporta la implementación del Sistema de Gestión de Seguridad y Salud en el Trabajo (SG</w:t>
      </w:r>
      <w:r w:rsidRPr="00C76457">
        <w:rPr>
          <w:rFonts w:ascii="Arial" w:hAnsi="Arial" w:cs="Arial"/>
          <w:bCs/>
        </w:rPr>
        <w:noBreakHyphen/>
        <w:t xml:space="preserve">SST) en organizaciones. Para estándares </w:t>
      </w:r>
      <w:r w:rsidR="005A324D" w:rsidRPr="00C76457">
        <w:rPr>
          <w:rFonts w:ascii="Arial" w:hAnsi="Arial" w:cs="Arial"/>
          <w:bCs/>
        </w:rPr>
        <w:t>mínimos</w:t>
      </w:r>
      <w:r w:rsidRPr="00C76457">
        <w:rPr>
          <w:rFonts w:ascii="Arial" w:hAnsi="Arial" w:cs="Arial"/>
          <w:bCs/>
        </w:rPr>
        <w:t xml:space="preserve">, la Resolución 0312 de 2019 del Ministerio del </w:t>
      </w:r>
      <w:r w:rsidRPr="00C76457">
        <w:rPr>
          <w:rFonts w:ascii="Arial" w:hAnsi="Arial" w:cs="Arial"/>
          <w:bCs/>
        </w:rPr>
        <w:lastRenderedPageBreak/>
        <w:t>Trabajo define los Estándares Mínimos del SG</w:t>
      </w:r>
      <w:r w:rsidRPr="00C76457">
        <w:rPr>
          <w:rFonts w:ascii="Arial" w:hAnsi="Arial" w:cs="Arial"/>
          <w:bCs/>
        </w:rPr>
        <w:noBreakHyphen/>
        <w:t>SST y su aplicación por tipo y tamaño de organización, siendo referencia obligatoria para la estructura mínima de gestión en SST</w:t>
      </w:r>
      <w:r w:rsidR="00FB0611" w:rsidRPr="00C76457">
        <w:rPr>
          <w:rStyle w:val="Refdenotaalpie"/>
          <w:rFonts w:ascii="Arial" w:hAnsi="Arial" w:cs="Arial"/>
          <w:bCs/>
        </w:rPr>
        <w:footnoteReference w:id="45"/>
      </w:r>
      <w:r w:rsidRPr="00C76457">
        <w:rPr>
          <w:rFonts w:ascii="Arial" w:hAnsi="Arial" w:cs="Arial"/>
          <w:bCs/>
        </w:rPr>
        <w:t>.</w:t>
      </w:r>
    </w:p>
    <w:p w14:paraId="06AFC67C" w14:textId="77777777" w:rsidR="00172F31" w:rsidRPr="00C76457" w:rsidRDefault="00172F31" w:rsidP="00616FE1">
      <w:pPr>
        <w:spacing w:after="0"/>
        <w:jc w:val="both"/>
        <w:rPr>
          <w:rFonts w:ascii="Arial" w:hAnsi="Arial" w:cs="Arial"/>
          <w:bCs/>
        </w:rPr>
      </w:pPr>
    </w:p>
    <w:p w14:paraId="5941C5A5" w14:textId="08008ED4" w:rsidR="00172F31" w:rsidRPr="00C76457" w:rsidRDefault="00F4375F" w:rsidP="00616FE1">
      <w:pPr>
        <w:spacing w:after="0"/>
        <w:jc w:val="both"/>
        <w:rPr>
          <w:rFonts w:ascii="Arial" w:hAnsi="Arial" w:cs="Arial"/>
          <w:bCs/>
        </w:rPr>
      </w:pPr>
      <w:r w:rsidRPr="00C76457">
        <w:rPr>
          <w:rFonts w:ascii="Arial" w:hAnsi="Arial" w:cs="Arial"/>
          <w:bCs/>
        </w:rPr>
        <w:t>La ejecución de</w:t>
      </w:r>
      <w:r w:rsidR="00172F31" w:rsidRPr="00C76457">
        <w:rPr>
          <w:rFonts w:ascii="Arial" w:hAnsi="Arial" w:cs="Arial"/>
          <w:bCs/>
        </w:rPr>
        <w:t xml:space="preserve"> estas actividades combina excavaciones, manipulación de equipos, riesgo de atmósferas peligrosas, trabajos eléctricos y tareas no rutinarias; por ello, el mercado suele exigir evidencia de SG</w:t>
      </w:r>
      <w:r w:rsidR="00172F31" w:rsidRPr="00C76457">
        <w:rPr>
          <w:rFonts w:ascii="Arial" w:hAnsi="Arial" w:cs="Arial"/>
          <w:bCs/>
        </w:rPr>
        <w:noBreakHyphen/>
        <w:t>SST implementado, procedimientos seguros, permisos de trabajo, capacitación, inspecciones y control operativo, todo soportado en el DUR del sector Trabajo y en los estándares mínimos definidos por resolución</w:t>
      </w:r>
      <w:r w:rsidR="002960EF" w:rsidRPr="00C76457">
        <w:rPr>
          <w:rStyle w:val="Refdenotaalpie"/>
          <w:rFonts w:ascii="Arial" w:hAnsi="Arial" w:cs="Arial"/>
          <w:bCs/>
        </w:rPr>
        <w:footnoteReference w:id="46"/>
      </w:r>
      <w:r w:rsidR="00172F31" w:rsidRPr="00C76457">
        <w:rPr>
          <w:rFonts w:ascii="Arial" w:hAnsi="Arial" w:cs="Arial"/>
          <w:bCs/>
        </w:rPr>
        <w:t>.</w:t>
      </w:r>
    </w:p>
    <w:p w14:paraId="65C39FEF" w14:textId="3A736DCE" w:rsidR="00172F31" w:rsidRPr="00C76457" w:rsidRDefault="00522258" w:rsidP="00616FE1">
      <w:pPr>
        <w:pStyle w:val="Prrafodelista"/>
        <w:numPr>
          <w:ilvl w:val="0"/>
          <w:numId w:val="17"/>
        </w:numPr>
        <w:spacing w:after="0"/>
        <w:jc w:val="both"/>
        <w:rPr>
          <w:rFonts w:ascii="Arial" w:hAnsi="Arial" w:cs="Arial"/>
          <w:bCs/>
        </w:rPr>
      </w:pPr>
      <w:r w:rsidRPr="00C76457">
        <w:rPr>
          <w:rFonts w:ascii="Arial" w:hAnsi="Arial" w:cs="Arial"/>
          <w:bCs/>
        </w:rPr>
        <w:t>Transporte y logística de mercancías peligrosas</w:t>
      </w:r>
    </w:p>
    <w:p w14:paraId="64BA5F4E" w14:textId="77777777" w:rsidR="00522258" w:rsidRPr="00C76457" w:rsidRDefault="00522258" w:rsidP="00616FE1">
      <w:pPr>
        <w:spacing w:after="0"/>
        <w:jc w:val="both"/>
        <w:rPr>
          <w:rFonts w:ascii="Arial" w:hAnsi="Arial" w:cs="Arial"/>
          <w:bCs/>
        </w:rPr>
      </w:pPr>
    </w:p>
    <w:p w14:paraId="66EAF7D9" w14:textId="5A838DD7" w:rsidR="00522258" w:rsidRPr="00C76457" w:rsidRDefault="00CC50A2" w:rsidP="00616FE1">
      <w:pPr>
        <w:spacing w:after="0"/>
        <w:jc w:val="both"/>
        <w:rPr>
          <w:rFonts w:ascii="Arial" w:hAnsi="Arial" w:cs="Arial"/>
          <w:bCs/>
        </w:rPr>
      </w:pPr>
      <w:r w:rsidRPr="00C76457">
        <w:rPr>
          <w:rFonts w:ascii="Arial" w:hAnsi="Arial" w:cs="Arial"/>
          <w:bCs/>
        </w:rPr>
        <w:t>El desmantelamiento de EDS requiere transportar materiales y residuos que pueden clasificarse como peligrosos. En Colombia, el transporte terrestre automotor de mercancías peligrosas por carretera se reglamenta mediante el Decreto 1609 de 2002, que define reglas de manejo, obligaciones y condiciones de seguridad para esta actividad. Este marco se compila en el Decreto 1079 de 2015 (Decreto Único Reglamentario del sector Transporte), el cual integra disposiciones del sector transporte y su régimen reglamentario</w:t>
      </w:r>
      <w:r w:rsidR="00234294" w:rsidRPr="00C76457">
        <w:rPr>
          <w:rStyle w:val="Refdenotaalpie"/>
          <w:rFonts w:ascii="Arial" w:hAnsi="Arial" w:cs="Arial"/>
          <w:bCs/>
        </w:rPr>
        <w:footnoteReference w:id="47"/>
      </w:r>
      <w:r w:rsidRPr="00C76457">
        <w:rPr>
          <w:rFonts w:ascii="Arial" w:hAnsi="Arial" w:cs="Arial"/>
          <w:bCs/>
        </w:rPr>
        <w:t>.</w:t>
      </w:r>
    </w:p>
    <w:p w14:paraId="3B4ACB4C" w14:textId="77777777" w:rsidR="00CC50A2" w:rsidRPr="00C76457" w:rsidRDefault="00CC50A2" w:rsidP="00616FE1">
      <w:pPr>
        <w:spacing w:after="0"/>
        <w:jc w:val="both"/>
        <w:rPr>
          <w:rFonts w:ascii="Arial" w:hAnsi="Arial" w:cs="Arial"/>
          <w:bCs/>
        </w:rPr>
      </w:pPr>
    </w:p>
    <w:p w14:paraId="4350FEF4" w14:textId="7258F5CE" w:rsidR="00CC50A2" w:rsidRPr="00C76457" w:rsidRDefault="006D7860" w:rsidP="00616FE1">
      <w:pPr>
        <w:spacing w:after="0"/>
        <w:jc w:val="both"/>
        <w:rPr>
          <w:rFonts w:ascii="Arial" w:hAnsi="Arial" w:cs="Arial"/>
          <w:bCs/>
        </w:rPr>
      </w:pPr>
      <w:r w:rsidRPr="00C76457">
        <w:rPr>
          <w:rFonts w:ascii="Arial" w:hAnsi="Arial" w:cs="Arial"/>
          <w:bCs/>
        </w:rPr>
        <w:t>En la práctica</w:t>
      </w:r>
      <w:r w:rsidR="00930DC2" w:rsidRPr="00C76457">
        <w:rPr>
          <w:rFonts w:ascii="Arial" w:hAnsi="Arial" w:cs="Arial"/>
          <w:bCs/>
        </w:rPr>
        <w:t>,</w:t>
      </w:r>
      <w:r w:rsidRPr="00C76457">
        <w:rPr>
          <w:rFonts w:ascii="Arial" w:hAnsi="Arial" w:cs="Arial"/>
          <w:bCs/>
        </w:rPr>
        <w:t xml:space="preserve"> </w:t>
      </w:r>
      <w:r w:rsidR="00CC50A2" w:rsidRPr="00C76457">
        <w:rPr>
          <w:rFonts w:ascii="Arial" w:hAnsi="Arial" w:cs="Arial"/>
          <w:bCs/>
        </w:rPr>
        <w:t>la logística de retiro y disposición (especialmente residuos contaminados) requiere que los oferentes cumplan normas de transporte de mercancías peligrosas, lo cual</w:t>
      </w:r>
      <w:r w:rsidR="00195CFB" w:rsidRPr="00C76457">
        <w:rPr>
          <w:rFonts w:ascii="Arial" w:hAnsi="Arial" w:cs="Arial"/>
          <w:bCs/>
        </w:rPr>
        <w:t xml:space="preserve"> </w:t>
      </w:r>
      <w:r w:rsidR="00CC50A2" w:rsidRPr="00C76457">
        <w:rPr>
          <w:rFonts w:ascii="Arial" w:hAnsi="Arial" w:cs="Arial"/>
          <w:bCs/>
        </w:rPr>
        <w:t>afecta costos, habilitaciones, pólizas y requisitos documentales que deben aparecer en el análisis de mercado y en los requisitos habilitantes</w:t>
      </w:r>
      <w:r w:rsidR="00930DC2" w:rsidRPr="00C76457">
        <w:rPr>
          <w:rStyle w:val="Refdenotaalpie"/>
          <w:rFonts w:ascii="Arial" w:hAnsi="Arial" w:cs="Arial"/>
          <w:bCs/>
        </w:rPr>
        <w:footnoteReference w:id="48"/>
      </w:r>
      <w:r w:rsidR="00CC50A2" w:rsidRPr="00C76457">
        <w:rPr>
          <w:rFonts w:ascii="Arial" w:hAnsi="Arial" w:cs="Arial"/>
          <w:bCs/>
        </w:rPr>
        <w:t>.</w:t>
      </w:r>
    </w:p>
    <w:p w14:paraId="6F59A766" w14:textId="77777777" w:rsidR="00CC50A2" w:rsidRPr="00C76457" w:rsidRDefault="00CC50A2" w:rsidP="00616FE1">
      <w:pPr>
        <w:spacing w:after="0"/>
        <w:jc w:val="both"/>
        <w:rPr>
          <w:rFonts w:ascii="Arial" w:hAnsi="Arial" w:cs="Arial"/>
          <w:bCs/>
        </w:rPr>
      </w:pPr>
    </w:p>
    <w:p w14:paraId="5EBCCFE5" w14:textId="2BE0934E" w:rsidR="00CC50A2" w:rsidRPr="00C76457" w:rsidRDefault="00CC50A2" w:rsidP="00616FE1">
      <w:pPr>
        <w:pStyle w:val="Prrafodelista"/>
        <w:numPr>
          <w:ilvl w:val="0"/>
          <w:numId w:val="17"/>
        </w:numPr>
        <w:spacing w:after="0"/>
        <w:jc w:val="both"/>
        <w:rPr>
          <w:rFonts w:ascii="Arial" w:hAnsi="Arial" w:cs="Arial"/>
          <w:bCs/>
        </w:rPr>
      </w:pPr>
      <w:r w:rsidRPr="00C76457">
        <w:rPr>
          <w:rFonts w:ascii="Arial" w:hAnsi="Arial" w:cs="Arial"/>
          <w:bCs/>
        </w:rPr>
        <w:t xml:space="preserve">Reglamento </w:t>
      </w:r>
      <w:r w:rsidR="009F7A44" w:rsidRPr="00C76457">
        <w:rPr>
          <w:rFonts w:ascii="Arial" w:hAnsi="Arial" w:cs="Arial"/>
          <w:bCs/>
        </w:rPr>
        <w:t>eléctrico</w:t>
      </w:r>
      <w:r w:rsidRPr="00C76457">
        <w:rPr>
          <w:rFonts w:ascii="Arial" w:hAnsi="Arial" w:cs="Arial"/>
          <w:bCs/>
        </w:rPr>
        <w:t xml:space="preserve"> aplicable </w:t>
      </w:r>
    </w:p>
    <w:p w14:paraId="03FDE0E7" w14:textId="77777777" w:rsidR="009F7A44" w:rsidRPr="00C76457" w:rsidRDefault="009F7A44" w:rsidP="00616FE1">
      <w:pPr>
        <w:spacing w:after="0"/>
        <w:jc w:val="both"/>
        <w:rPr>
          <w:rFonts w:ascii="Arial" w:hAnsi="Arial" w:cs="Arial"/>
          <w:bCs/>
        </w:rPr>
      </w:pPr>
    </w:p>
    <w:p w14:paraId="5D1816FD" w14:textId="3D65E88D" w:rsidR="009F7A44" w:rsidRPr="00C76457" w:rsidRDefault="009F7A44" w:rsidP="00616FE1">
      <w:pPr>
        <w:spacing w:after="0"/>
        <w:jc w:val="both"/>
        <w:rPr>
          <w:rFonts w:ascii="Arial" w:hAnsi="Arial" w:cs="Arial"/>
          <w:bCs/>
        </w:rPr>
      </w:pPr>
      <w:r w:rsidRPr="00C76457">
        <w:rPr>
          <w:rFonts w:ascii="Arial" w:hAnsi="Arial" w:cs="Arial"/>
          <w:bCs/>
        </w:rPr>
        <w:t>Las estaciones de servicio poseen infraestructura eléctrica y, en desmantelamientos, es frecuente la desconexión, retiro o modificación de instalaciones. En Colombia, el Reglamento Técnico de Instalaciones Eléctricas (RETIE) es el referente obligatorio del sector eléctrico; el Ministerio de Minas y Energía reporta que la versión vigente fue expedida mediante Resolución 40117 de 2024</w:t>
      </w:r>
      <w:r w:rsidR="00192016" w:rsidRPr="00C76457">
        <w:rPr>
          <w:rStyle w:val="Refdenotaalpie"/>
          <w:rFonts w:ascii="Arial" w:hAnsi="Arial" w:cs="Arial"/>
          <w:bCs/>
        </w:rPr>
        <w:footnoteReference w:id="49"/>
      </w:r>
      <w:r w:rsidRPr="00C76457">
        <w:rPr>
          <w:rFonts w:ascii="Arial" w:hAnsi="Arial" w:cs="Arial"/>
          <w:bCs/>
        </w:rPr>
        <w:t xml:space="preserve">. Además, el RETIE ha incorporado históricamente como referencia el Código Eléctrico Colombiano (NTC 2050) en capítulos específicos, lo </w:t>
      </w:r>
      <w:r w:rsidRPr="00C76457">
        <w:rPr>
          <w:rFonts w:ascii="Arial" w:hAnsi="Arial" w:cs="Arial"/>
          <w:bCs/>
        </w:rPr>
        <w:lastRenderedPageBreak/>
        <w:t>cual se refleja en antecedentes normativos del propio sector y en la relación normativa de la NTC 2050 como estándar técnico nacional</w:t>
      </w:r>
      <w:r w:rsidR="001A0FAD" w:rsidRPr="00C76457">
        <w:rPr>
          <w:rStyle w:val="Refdenotaalpie"/>
          <w:rFonts w:ascii="Arial" w:hAnsi="Arial" w:cs="Arial"/>
          <w:bCs/>
        </w:rPr>
        <w:footnoteReference w:id="50"/>
      </w:r>
      <w:r w:rsidRPr="00C76457">
        <w:rPr>
          <w:rFonts w:ascii="Arial" w:hAnsi="Arial" w:cs="Arial"/>
          <w:bCs/>
        </w:rPr>
        <w:t xml:space="preserve">. </w:t>
      </w:r>
    </w:p>
    <w:p w14:paraId="0036D6A9" w14:textId="77777777" w:rsidR="009F7A44" w:rsidRPr="00C76457" w:rsidRDefault="009F7A44" w:rsidP="00616FE1">
      <w:pPr>
        <w:spacing w:after="0"/>
        <w:jc w:val="both"/>
        <w:rPr>
          <w:rFonts w:ascii="Arial" w:hAnsi="Arial" w:cs="Arial"/>
          <w:bCs/>
        </w:rPr>
      </w:pPr>
    </w:p>
    <w:p w14:paraId="13A7BBD6" w14:textId="00A13D51" w:rsidR="009F7A44" w:rsidRPr="00C76457" w:rsidRDefault="00997820" w:rsidP="00616FE1">
      <w:pPr>
        <w:spacing w:after="0"/>
        <w:jc w:val="both"/>
        <w:rPr>
          <w:rFonts w:ascii="Arial" w:hAnsi="Arial" w:cs="Arial"/>
          <w:bCs/>
        </w:rPr>
      </w:pPr>
      <w:r w:rsidRPr="00C76457">
        <w:rPr>
          <w:rFonts w:ascii="Arial" w:hAnsi="Arial" w:cs="Arial"/>
          <w:bCs/>
        </w:rPr>
        <w:t>En el desmantelamiento de EDS,</w:t>
      </w:r>
      <w:r w:rsidR="009F7A44" w:rsidRPr="00C76457">
        <w:rPr>
          <w:rFonts w:ascii="Arial" w:hAnsi="Arial" w:cs="Arial"/>
          <w:bCs/>
        </w:rPr>
        <w:t xml:space="preserve"> la </w:t>
      </w:r>
      <w:proofErr w:type="spellStart"/>
      <w:r w:rsidR="009F7A44" w:rsidRPr="00C76457">
        <w:rPr>
          <w:rFonts w:ascii="Arial" w:hAnsi="Arial" w:cs="Arial"/>
          <w:bCs/>
        </w:rPr>
        <w:t>desenergización</w:t>
      </w:r>
      <w:proofErr w:type="spellEnd"/>
      <w:r w:rsidR="009F7A44" w:rsidRPr="00C76457">
        <w:rPr>
          <w:rFonts w:ascii="Arial" w:hAnsi="Arial" w:cs="Arial"/>
          <w:bCs/>
        </w:rPr>
        <w:t xml:space="preserve"> y retiro seguro de equipos exige cumplimiento de reglamentos técnicos aplicables y buenas prácticas de seguridad eléctrica, especialmente donde existan áreas clasificadas o riesgo de ignición, lo cual suele incorporarse en especificaciones técnicas y planes de SST.</w:t>
      </w:r>
    </w:p>
    <w:p w14:paraId="64B0B7FB" w14:textId="77777777" w:rsidR="004979FC" w:rsidRPr="00C76457" w:rsidRDefault="004979FC" w:rsidP="00616FE1">
      <w:pPr>
        <w:spacing w:after="0"/>
        <w:jc w:val="both"/>
        <w:rPr>
          <w:rFonts w:ascii="Arial" w:hAnsi="Arial" w:cs="Arial"/>
          <w:bCs/>
        </w:rPr>
      </w:pPr>
    </w:p>
    <w:p w14:paraId="69171132" w14:textId="1A092E36" w:rsidR="009F7A44" w:rsidRPr="00C76457" w:rsidRDefault="00825017" w:rsidP="00616FE1">
      <w:pPr>
        <w:pStyle w:val="Prrafodelista"/>
        <w:numPr>
          <w:ilvl w:val="0"/>
          <w:numId w:val="17"/>
        </w:numPr>
        <w:spacing w:after="0"/>
        <w:jc w:val="both"/>
        <w:rPr>
          <w:rFonts w:ascii="Arial" w:hAnsi="Arial" w:cs="Arial"/>
          <w:bCs/>
        </w:rPr>
      </w:pPr>
      <w:r w:rsidRPr="00C76457">
        <w:rPr>
          <w:rFonts w:ascii="Arial" w:hAnsi="Arial" w:cs="Arial"/>
          <w:bCs/>
        </w:rPr>
        <w:t xml:space="preserve">Estándares ISO/NTC/ICONTEC y guías técnicas </w:t>
      </w:r>
    </w:p>
    <w:p w14:paraId="509D9F04" w14:textId="77777777" w:rsidR="00825017" w:rsidRPr="00C76457" w:rsidRDefault="00825017" w:rsidP="00616FE1">
      <w:pPr>
        <w:spacing w:after="0"/>
        <w:jc w:val="both"/>
        <w:rPr>
          <w:rFonts w:ascii="Arial" w:hAnsi="Arial" w:cs="Arial"/>
          <w:bCs/>
        </w:rPr>
      </w:pPr>
    </w:p>
    <w:p w14:paraId="3548A2B4" w14:textId="77777777" w:rsidR="00294C68" w:rsidRPr="00C76457" w:rsidRDefault="00294C68" w:rsidP="00616FE1">
      <w:pPr>
        <w:spacing w:after="0"/>
        <w:jc w:val="both"/>
        <w:rPr>
          <w:rFonts w:ascii="Arial" w:hAnsi="Arial" w:cs="Arial"/>
          <w:bCs/>
        </w:rPr>
      </w:pPr>
      <w:r w:rsidRPr="00C76457">
        <w:rPr>
          <w:rFonts w:ascii="Arial" w:hAnsi="Arial" w:cs="Arial"/>
          <w:bCs/>
        </w:rPr>
        <w:t xml:space="preserve">Además de la regulación obligatoria, en proyectos de desmantelamiento es común exigir estándares de gestión y guías técnicas reconocidas para asegurar trazabilidad, control y mejora continua. En Colombia, ICONTEC es el organismo de referencia en normalización técnica, y la adopción de normas ISO en versión NTC se utiliza ampliamente en contratación y auditoría. </w:t>
      </w:r>
    </w:p>
    <w:p w14:paraId="3E96B433" w14:textId="77777777" w:rsidR="00294C68" w:rsidRPr="00C76457" w:rsidRDefault="00294C68" w:rsidP="00616FE1">
      <w:pPr>
        <w:spacing w:after="0"/>
        <w:jc w:val="both"/>
        <w:rPr>
          <w:rFonts w:ascii="Arial" w:hAnsi="Arial" w:cs="Arial"/>
          <w:bCs/>
        </w:rPr>
      </w:pPr>
    </w:p>
    <w:p w14:paraId="368BD614" w14:textId="25F1CD72" w:rsidR="00294C68" w:rsidRPr="00C76457" w:rsidRDefault="00294C68" w:rsidP="00616FE1">
      <w:pPr>
        <w:spacing w:after="0"/>
        <w:jc w:val="both"/>
        <w:rPr>
          <w:rFonts w:ascii="Arial" w:hAnsi="Arial" w:cs="Arial"/>
          <w:bCs/>
        </w:rPr>
      </w:pPr>
      <w:r w:rsidRPr="00C76457">
        <w:rPr>
          <w:rFonts w:ascii="Arial" w:hAnsi="Arial" w:cs="Arial"/>
          <w:bCs/>
        </w:rPr>
        <w:t>En gestión ambiental, la adopción y certificación bajo ISO 14001 es un referente común para demostrar control de aspectos e impactos ambientales y cumplimiento legal; ICONTEC ofrece certificación ISO 14001 y detalla su propósito y enfoque de prevención de contaminación y mejora continua</w:t>
      </w:r>
      <w:r w:rsidR="00322FE5" w:rsidRPr="00C76457">
        <w:rPr>
          <w:rStyle w:val="Refdenotaalpie"/>
          <w:rFonts w:ascii="Arial" w:hAnsi="Arial" w:cs="Arial"/>
          <w:bCs/>
        </w:rPr>
        <w:footnoteReference w:id="51"/>
      </w:r>
      <w:r w:rsidRPr="00C76457">
        <w:rPr>
          <w:rFonts w:ascii="Arial" w:hAnsi="Arial" w:cs="Arial"/>
          <w:bCs/>
        </w:rPr>
        <w:t>.</w:t>
      </w:r>
    </w:p>
    <w:p w14:paraId="2DA09708" w14:textId="77777777" w:rsidR="00294C68" w:rsidRPr="00C76457" w:rsidRDefault="00294C68" w:rsidP="00616FE1">
      <w:pPr>
        <w:spacing w:after="0"/>
        <w:jc w:val="both"/>
        <w:rPr>
          <w:rFonts w:ascii="Arial" w:hAnsi="Arial" w:cs="Arial"/>
          <w:bCs/>
        </w:rPr>
      </w:pPr>
    </w:p>
    <w:p w14:paraId="04CED89D" w14:textId="5A807CBA" w:rsidR="00294C68" w:rsidRPr="00C76457" w:rsidRDefault="00294C68" w:rsidP="00616FE1">
      <w:pPr>
        <w:spacing w:after="0"/>
        <w:jc w:val="both"/>
        <w:rPr>
          <w:rFonts w:ascii="Arial" w:hAnsi="Arial" w:cs="Arial"/>
          <w:bCs/>
        </w:rPr>
      </w:pPr>
      <w:r w:rsidRPr="00C76457">
        <w:rPr>
          <w:rFonts w:ascii="Arial" w:hAnsi="Arial" w:cs="Arial"/>
          <w:bCs/>
        </w:rPr>
        <w:t>En SST, la certificación ISO 45001:2018 se utiliza como soporte de un sistema formal de gestión de riesgos y mejora del desempeño en seguridad y salud; ICONTEC describe su aplicación a organizaciones y su orientación a eliminación de peligros y minimización de riesgos</w:t>
      </w:r>
      <w:r w:rsidR="005537B8" w:rsidRPr="00C76457">
        <w:rPr>
          <w:rStyle w:val="Refdenotaalpie"/>
          <w:rFonts w:ascii="Arial" w:hAnsi="Arial" w:cs="Arial"/>
          <w:bCs/>
        </w:rPr>
        <w:footnoteReference w:id="52"/>
      </w:r>
      <w:r w:rsidR="00512436" w:rsidRPr="00C76457">
        <w:rPr>
          <w:rFonts w:ascii="Arial" w:hAnsi="Arial" w:cs="Arial"/>
          <w:bCs/>
        </w:rPr>
        <w:t>.</w:t>
      </w:r>
    </w:p>
    <w:p w14:paraId="0E58B630" w14:textId="77777777" w:rsidR="00294C68" w:rsidRPr="00C76457" w:rsidRDefault="00294C68" w:rsidP="00616FE1">
      <w:pPr>
        <w:spacing w:after="0"/>
        <w:jc w:val="both"/>
        <w:rPr>
          <w:rFonts w:ascii="Arial" w:hAnsi="Arial" w:cs="Arial"/>
          <w:bCs/>
        </w:rPr>
      </w:pPr>
    </w:p>
    <w:p w14:paraId="7C51F6EC" w14:textId="0E3DD5F9" w:rsidR="00294C68" w:rsidRPr="00C76457" w:rsidRDefault="00294C68" w:rsidP="00616FE1">
      <w:pPr>
        <w:spacing w:after="0"/>
        <w:jc w:val="both"/>
        <w:rPr>
          <w:rFonts w:ascii="Arial" w:hAnsi="Arial" w:cs="Arial"/>
          <w:bCs/>
        </w:rPr>
      </w:pPr>
      <w:r w:rsidRPr="00C76457">
        <w:rPr>
          <w:rFonts w:ascii="Arial" w:hAnsi="Arial" w:cs="Arial"/>
          <w:bCs/>
        </w:rPr>
        <w:t>En calidad, ISO 9001 es un estándar frecuente para asegurar gestión por procesos, control operacional y satisfacción del cliente, y ICONTEC ofrece certificación ISO 9001 como base para sistemas de gestión integrables con ambiente y SST</w:t>
      </w:r>
      <w:r w:rsidR="008443CD" w:rsidRPr="00C76457">
        <w:rPr>
          <w:rStyle w:val="Refdenotaalpie"/>
          <w:rFonts w:ascii="Arial" w:hAnsi="Arial" w:cs="Arial"/>
          <w:bCs/>
        </w:rPr>
        <w:footnoteReference w:id="53"/>
      </w:r>
      <w:r w:rsidRPr="00C76457">
        <w:rPr>
          <w:rFonts w:ascii="Arial" w:hAnsi="Arial" w:cs="Arial"/>
          <w:bCs/>
        </w:rPr>
        <w:t>.</w:t>
      </w:r>
    </w:p>
    <w:p w14:paraId="6F7AB15F" w14:textId="77777777" w:rsidR="00294C68" w:rsidRPr="00C76457" w:rsidRDefault="00294C68" w:rsidP="00616FE1">
      <w:pPr>
        <w:spacing w:after="0"/>
        <w:jc w:val="both"/>
        <w:rPr>
          <w:rFonts w:ascii="Arial" w:hAnsi="Arial" w:cs="Arial"/>
          <w:bCs/>
        </w:rPr>
      </w:pPr>
    </w:p>
    <w:p w14:paraId="50F36A3E" w14:textId="3FD3BCD6" w:rsidR="00294C68" w:rsidRPr="00C76457" w:rsidRDefault="00294C68" w:rsidP="00616FE1">
      <w:pPr>
        <w:spacing w:after="0"/>
        <w:jc w:val="both"/>
        <w:rPr>
          <w:rFonts w:ascii="Arial" w:hAnsi="Arial" w:cs="Arial"/>
          <w:bCs/>
        </w:rPr>
      </w:pPr>
      <w:r w:rsidRPr="00C76457">
        <w:rPr>
          <w:rFonts w:ascii="Arial" w:hAnsi="Arial" w:cs="Arial"/>
          <w:bCs/>
        </w:rPr>
        <w:t xml:space="preserve">En identificación de peligros y valoración de riesgos, la GTC 45 (Guía Técnica Colombiana) es una referencia metodológica ampliamente utilizada en Colombia para estructurar matrices de peligros y valoración de riesgos en SST; la guía establece directrices para </w:t>
      </w:r>
      <w:r w:rsidRPr="00C76457">
        <w:rPr>
          <w:rFonts w:ascii="Arial" w:hAnsi="Arial" w:cs="Arial"/>
          <w:bCs/>
        </w:rPr>
        <w:lastRenderedPageBreak/>
        <w:t>identificar peligros y valorar riesgos, y su edición/ratificación por ICONTEC está documentada en sus versiones públicas consultables</w:t>
      </w:r>
      <w:r w:rsidR="00DE59ED" w:rsidRPr="00C76457">
        <w:rPr>
          <w:rStyle w:val="Refdenotaalpie"/>
          <w:rFonts w:ascii="Arial" w:hAnsi="Arial" w:cs="Arial"/>
          <w:bCs/>
        </w:rPr>
        <w:footnoteReference w:id="54"/>
      </w:r>
      <w:r w:rsidRPr="00C76457">
        <w:rPr>
          <w:rFonts w:ascii="Arial" w:hAnsi="Arial" w:cs="Arial"/>
          <w:bCs/>
        </w:rPr>
        <w:t>.</w:t>
      </w:r>
    </w:p>
    <w:p w14:paraId="253FB98C" w14:textId="77777777" w:rsidR="00294C68" w:rsidRPr="00C76457" w:rsidRDefault="00294C68" w:rsidP="00616FE1">
      <w:pPr>
        <w:spacing w:after="0"/>
        <w:jc w:val="both"/>
        <w:rPr>
          <w:rFonts w:ascii="Arial" w:hAnsi="Arial" w:cs="Arial"/>
          <w:bCs/>
        </w:rPr>
      </w:pPr>
    </w:p>
    <w:p w14:paraId="18BDEE5A" w14:textId="310F4B63" w:rsidR="00294C68" w:rsidRPr="00C76457" w:rsidRDefault="00294C68" w:rsidP="00616FE1">
      <w:pPr>
        <w:spacing w:after="0"/>
        <w:jc w:val="both"/>
        <w:rPr>
          <w:rFonts w:ascii="Arial" w:hAnsi="Arial" w:cs="Arial"/>
          <w:bCs/>
        </w:rPr>
      </w:pPr>
      <w:r w:rsidRPr="00C76457">
        <w:rPr>
          <w:rFonts w:ascii="Arial" w:hAnsi="Arial" w:cs="Arial"/>
          <w:bCs/>
        </w:rPr>
        <w:t>En gestión de riesgos a nivel organizacional, la ISO 31000 es un marco de referencia internacional, y ICONTEC ofrece formación explícita orientada a la NTC ISO 31000:2018</w:t>
      </w:r>
      <w:r w:rsidR="0097634A">
        <w:rPr>
          <w:rFonts w:ascii="Arial" w:hAnsi="Arial" w:cs="Arial"/>
          <w:bCs/>
        </w:rPr>
        <w:t xml:space="preserve">, </w:t>
      </w:r>
      <w:r w:rsidR="0097634A" w:rsidRPr="0097634A">
        <w:rPr>
          <w:rFonts w:ascii="Arial" w:hAnsi="Arial" w:cs="Arial"/>
          <w:bCs/>
        </w:rPr>
        <w:t>lo que refleja su uso como herramienta para estructurar la gestión del riesgo en organizaciones y sistemas integrados.</w:t>
      </w:r>
      <w:r w:rsidR="0097634A">
        <w:rPr>
          <w:rFonts w:ascii="Arial" w:hAnsi="Arial" w:cs="Arial"/>
          <w:bCs/>
        </w:rPr>
        <w:t xml:space="preserve"> </w:t>
      </w:r>
    </w:p>
    <w:p w14:paraId="14AB441B" w14:textId="77777777" w:rsidR="002073BC" w:rsidRPr="00C76457" w:rsidRDefault="002073BC" w:rsidP="00616FE1">
      <w:pPr>
        <w:spacing w:after="0"/>
        <w:jc w:val="both"/>
        <w:rPr>
          <w:rFonts w:ascii="Arial" w:hAnsi="Arial" w:cs="Arial"/>
          <w:bCs/>
        </w:rPr>
      </w:pPr>
    </w:p>
    <w:p w14:paraId="18887671" w14:textId="29CB6D4A" w:rsidR="00825017" w:rsidRPr="00C76457" w:rsidRDefault="002073BC" w:rsidP="00616FE1">
      <w:pPr>
        <w:spacing w:after="0"/>
        <w:jc w:val="both"/>
        <w:rPr>
          <w:rFonts w:ascii="Arial" w:hAnsi="Arial" w:cs="Arial"/>
          <w:bCs/>
        </w:rPr>
      </w:pPr>
      <w:r w:rsidRPr="00C76457">
        <w:rPr>
          <w:rFonts w:ascii="Arial" w:hAnsi="Arial" w:cs="Arial"/>
          <w:bCs/>
        </w:rPr>
        <w:t xml:space="preserve">Estos </w:t>
      </w:r>
      <w:r w:rsidR="00294C68" w:rsidRPr="00C76457">
        <w:rPr>
          <w:rFonts w:ascii="Arial" w:hAnsi="Arial" w:cs="Arial"/>
          <w:bCs/>
        </w:rPr>
        <w:t>estándares</w:t>
      </w:r>
      <w:r w:rsidRPr="00C76457">
        <w:rPr>
          <w:rFonts w:ascii="Arial" w:hAnsi="Arial" w:cs="Arial"/>
          <w:bCs/>
        </w:rPr>
        <w:t xml:space="preserve"> son cruciales en el desmantelamiento porque</w:t>
      </w:r>
      <w:r w:rsidR="00294C68" w:rsidRPr="00C76457">
        <w:rPr>
          <w:rFonts w:ascii="Arial" w:hAnsi="Arial" w:cs="Arial"/>
          <w:bCs/>
        </w:rPr>
        <w:t xml:space="preserve"> suelen incorporarse como requisitos habilitantes (certificaciones vigentes o equivalentes), o como criterios de evaluación técnica, porque el nicho combina riesgos críticos (SST), impactos ambientales (residuos y suelos) y exigencias de trazabilidad y control (calidad), lo que favorece esquemas integrados HSEQ y gestión del riesgo</w:t>
      </w:r>
      <w:r w:rsidR="00CD1457" w:rsidRPr="00C76457">
        <w:rPr>
          <w:rFonts w:ascii="Arial" w:hAnsi="Arial" w:cs="Arial"/>
          <w:bCs/>
        </w:rPr>
        <w:t xml:space="preserve">. </w:t>
      </w:r>
    </w:p>
    <w:p w14:paraId="42E1D546" w14:textId="77777777" w:rsidR="00600844" w:rsidRPr="00C76457" w:rsidRDefault="00600844" w:rsidP="00616FE1">
      <w:pPr>
        <w:spacing w:after="0"/>
        <w:jc w:val="both"/>
        <w:rPr>
          <w:rFonts w:ascii="Arial" w:hAnsi="Arial" w:cs="Arial"/>
          <w:bCs/>
        </w:rPr>
      </w:pPr>
    </w:p>
    <w:p w14:paraId="7D7E57D9" w14:textId="76A5BE2F" w:rsidR="00EF0283" w:rsidRPr="00C76457" w:rsidRDefault="002F1D05" w:rsidP="00616FE1">
      <w:pPr>
        <w:pStyle w:val="Ttulo1"/>
        <w:numPr>
          <w:ilvl w:val="0"/>
          <w:numId w:val="8"/>
        </w:numPr>
        <w:spacing w:before="0"/>
        <w:ind w:left="360"/>
        <w:rPr>
          <w:rFonts w:cs="Arial"/>
          <w:color w:val="auto"/>
          <w:sz w:val="22"/>
          <w:szCs w:val="22"/>
        </w:rPr>
      </w:pPr>
      <w:bookmarkStart w:id="5" w:name="_Toc242091251"/>
      <w:r w:rsidRPr="00C76457">
        <w:rPr>
          <w:rFonts w:cs="Arial"/>
          <w:color w:val="auto"/>
          <w:sz w:val="22"/>
          <w:szCs w:val="22"/>
        </w:rPr>
        <w:t>ESTUDIO DE LA OFERTA</w:t>
      </w:r>
      <w:bookmarkEnd w:id="5"/>
      <w:r w:rsidR="00EF0283" w:rsidRPr="00C76457">
        <w:rPr>
          <w:rFonts w:cs="Arial"/>
          <w:color w:val="auto"/>
          <w:sz w:val="22"/>
          <w:szCs w:val="22"/>
        </w:rPr>
        <w:t xml:space="preserve"> </w:t>
      </w:r>
    </w:p>
    <w:p w14:paraId="49DCCC65" w14:textId="77777777" w:rsidR="00600844" w:rsidRPr="00C76457" w:rsidRDefault="00600844" w:rsidP="00616FE1">
      <w:pPr>
        <w:spacing w:after="0"/>
        <w:jc w:val="both"/>
        <w:rPr>
          <w:rFonts w:ascii="Arial" w:hAnsi="Arial" w:cs="Arial"/>
        </w:rPr>
      </w:pPr>
    </w:p>
    <w:p w14:paraId="580961D6" w14:textId="79082E15" w:rsidR="003A4BE4" w:rsidRPr="00C76457" w:rsidRDefault="003A4BE4" w:rsidP="00616FE1">
      <w:pPr>
        <w:spacing w:after="0"/>
        <w:jc w:val="both"/>
        <w:rPr>
          <w:rFonts w:ascii="Arial" w:hAnsi="Arial" w:cs="Arial"/>
        </w:rPr>
      </w:pPr>
      <w:r w:rsidRPr="00C76457">
        <w:rPr>
          <w:rFonts w:ascii="Arial" w:hAnsi="Arial" w:cs="Arial"/>
        </w:rPr>
        <w:t>La oferta del mercado para desmantelamiento de infraestructura asociada a hidrocarburos y estaciones de servicio (EDS) en Colombia se configura como un ecosistema multiservicio y multidisciplinario, en el que convergen contratistas de actividades especializadas de construcción, empresas de mantenimiento y servicios para EDS (tanques, tuberías, calibración y limpieza), gestores autorizados para residuos peligrosos (RESPEL), firmas de caracterización y remediación de suelos contaminados, y proveedores de demoliciones y desmontajes industriales. La identificación de oferentes suele apoyarse en fuentes públicas de contratación y registros sectoriales: por ejemplo, el Estado dispone de información abierta de contratos en SECOP II (conjunto de datos oficial en datos.gov.co) y material de consulta institucional para búsqueda de procesos, lo que permite ubicar proveedores que históricamente han contratado con entidades estatales para servicios de desmontaje, lavado de tanques y actividades afines</w:t>
      </w:r>
      <w:bookmarkStart w:id="6" w:name="_Ref230883411"/>
      <w:r w:rsidR="003343C5" w:rsidRPr="00C76457">
        <w:rPr>
          <w:rStyle w:val="Refdenotaalpie"/>
          <w:rFonts w:ascii="Arial" w:hAnsi="Arial" w:cs="Arial"/>
        </w:rPr>
        <w:footnoteReference w:id="55"/>
      </w:r>
      <w:bookmarkEnd w:id="6"/>
      <w:r w:rsidR="0066111B" w:rsidRPr="00C76457">
        <w:rPr>
          <w:rFonts w:ascii="Arial" w:hAnsi="Arial" w:cs="Arial"/>
        </w:rPr>
        <w:t>.</w:t>
      </w:r>
    </w:p>
    <w:p w14:paraId="4FBB3DF1" w14:textId="77777777" w:rsidR="00AF5E61" w:rsidRPr="00C76457" w:rsidRDefault="00AF5E61" w:rsidP="00616FE1">
      <w:pPr>
        <w:spacing w:after="0"/>
        <w:jc w:val="both"/>
        <w:rPr>
          <w:rFonts w:ascii="Arial" w:hAnsi="Arial" w:cs="Arial"/>
        </w:rPr>
      </w:pPr>
    </w:p>
    <w:p w14:paraId="080B2B34" w14:textId="14A0D594" w:rsidR="002F1D05" w:rsidRPr="00C76457" w:rsidRDefault="00081B68" w:rsidP="002F1D05">
      <w:pPr>
        <w:spacing w:after="0"/>
        <w:jc w:val="both"/>
        <w:rPr>
          <w:rFonts w:ascii="Arial" w:hAnsi="Arial" w:cs="Arial"/>
          <w:u w:val="single"/>
          <w:lang w:eastAsia="es-CO"/>
        </w:rPr>
      </w:pPr>
      <w:r w:rsidRPr="00C76457">
        <w:rPr>
          <w:rFonts w:ascii="Arial" w:hAnsi="Arial" w:cs="Arial"/>
          <w:u w:val="single"/>
          <w:lang w:eastAsia="es-CO"/>
        </w:rPr>
        <w:t>Análisis de empresas del sector de desmantelamiento en Colombia</w:t>
      </w:r>
    </w:p>
    <w:p w14:paraId="011CFA44" w14:textId="77777777" w:rsidR="00081B68" w:rsidRPr="00C76457" w:rsidRDefault="00081B68" w:rsidP="002F1D05">
      <w:pPr>
        <w:spacing w:after="0"/>
        <w:jc w:val="both"/>
        <w:rPr>
          <w:rFonts w:ascii="Arial" w:hAnsi="Arial" w:cs="Arial"/>
          <w:u w:val="single"/>
          <w:lang w:eastAsia="es-CO"/>
        </w:rPr>
      </w:pPr>
    </w:p>
    <w:p w14:paraId="0A72BF3C" w14:textId="77777777" w:rsidR="0021300C" w:rsidRPr="00C76457" w:rsidRDefault="00FE6C25" w:rsidP="002F1D05">
      <w:pPr>
        <w:spacing w:after="0"/>
        <w:jc w:val="both"/>
        <w:rPr>
          <w:rFonts w:ascii="Arial" w:hAnsi="Arial" w:cs="Arial"/>
          <w:lang w:eastAsia="es-CO"/>
        </w:rPr>
      </w:pPr>
      <w:r w:rsidRPr="00C76457">
        <w:rPr>
          <w:rFonts w:ascii="Arial" w:hAnsi="Arial" w:cs="Arial"/>
          <w:lang w:eastAsia="es-CO"/>
        </w:rPr>
        <w:t xml:space="preserve">En Colombia, el mercado de oferentes para desmantelamiento no se concentra en una sola tipología empresarial; por el contrario, se organiza por capacidades técnicas y por su rol dentro de la cadena de prestación del servicio. Una primera categoría corresponde a empresas que prestan servicios técnicos específicos para estaciones de servicio, incluyendo obras civiles en EDS, intervención de tanques, limpieza y actividades asociadas al retiro o aseguramiento de infraestructura. </w:t>
      </w:r>
    </w:p>
    <w:p w14:paraId="17497345" w14:textId="6F1F21FB" w:rsidR="002F1D05" w:rsidRPr="00C76457" w:rsidRDefault="00FE6C25" w:rsidP="002F1D05">
      <w:pPr>
        <w:spacing w:after="0"/>
        <w:jc w:val="both"/>
        <w:rPr>
          <w:rFonts w:ascii="Arial" w:hAnsi="Arial" w:cs="Arial"/>
          <w:lang w:eastAsia="es-CO"/>
        </w:rPr>
      </w:pPr>
      <w:r w:rsidRPr="00C76457">
        <w:rPr>
          <w:rFonts w:ascii="Arial" w:hAnsi="Arial" w:cs="Arial"/>
          <w:lang w:eastAsia="es-CO"/>
        </w:rPr>
        <w:lastRenderedPageBreak/>
        <w:t>En este grupo se encuentran compañías que declaran experiencia en construcción, mantenimiento y renovación de EDS, así como servicios sobre tanques y componentes propios del sistema de abastecimiento, lo cual las hace potencialmente comparables para el análisis de oferta cuando el alcance incluye desmontajes, retiros, adecuaciones y restitución de áreas. En la misma línea, se identifican proveedores especializados en desgasificación y limpieza de tanques de combustibles, un componente técnico recurrente en cierres y desmantelamientos, debido a que la eliminación de vapores y residuos es condición habilitante para actividades posteriores de retiro o intervención física.</w:t>
      </w:r>
    </w:p>
    <w:p w14:paraId="2E6069BB" w14:textId="77777777" w:rsidR="002F1D05" w:rsidRPr="00C76457" w:rsidRDefault="002F1D05" w:rsidP="002F1D05">
      <w:pPr>
        <w:spacing w:after="0"/>
        <w:jc w:val="both"/>
        <w:rPr>
          <w:rFonts w:ascii="Arial" w:hAnsi="Arial" w:cs="Arial"/>
          <w:lang w:eastAsia="es-CO"/>
        </w:rPr>
      </w:pPr>
    </w:p>
    <w:p w14:paraId="1A93D86A" w14:textId="498FAC5A" w:rsidR="006C53AE" w:rsidRPr="00C76457" w:rsidRDefault="006C53AE" w:rsidP="002F1D05">
      <w:pPr>
        <w:spacing w:after="0"/>
        <w:jc w:val="both"/>
        <w:rPr>
          <w:rFonts w:ascii="Arial" w:hAnsi="Arial" w:cs="Arial"/>
          <w:lang w:eastAsia="es-CO"/>
        </w:rPr>
      </w:pPr>
      <w:r w:rsidRPr="00C76457">
        <w:rPr>
          <w:rFonts w:ascii="Arial" w:hAnsi="Arial" w:cs="Arial"/>
          <w:lang w:eastAsia="es-CO"/>
        </w:rPr>
        <w:t>Una segunda categoría la conforman empresas con oferta de montaje y desmontaje industrial (desmontajes de tanques, estructuras, líneas de tubería y equipos electromecánicos). Este tipo de empresas suele participar en el nicho cuando el desmantelamiento incluye retiro de equipos auxiliares, sistemas de bombeo, líneas y estructuras, o cuando se requiere coordinación logística y técnica de desmontaje en condiciones operativas restringidas. En complemento, el mercado también incluye empresas de demolición y desmantelamiento constructivo, cuya experiencia se relaciona con derribos controlados, excavaciones, retiro de escombros y gestión de residuos de construcción y demolición; estas capacidades resultan pertinentes cuando el cierre de una EDS implica demolición parcial, excavación, retiro de superficies y restitución de pavimentos o estructuras. Como evidencia de que existe una base amplia de empresas formalmente identificables en actividades de demolición (subsegmento que con frecuencia se articula al desmantelamiento), existen directorios empresariales que listan compañías por actividad económica “demolición” y por territorio, lo que permite ampliar la muestra de oferentes potenciales para fases civiles del servicio.</w:t>
      </w:r>
    </w:p>
    <w:p w14:paraId="4230F379" w14:textId="77777777" w:rsidR="00684275" w:rsidRPr="00C76457" w:rsidRDefault="00684275" w:rsidP="002F1D05">
      <w:pPr>
        <w:spacing w:after="0"/>
        <w:jc w:val="both"/>
        <w:rPr>
          <w:rFonts w:ascii="Arial" w:hAnsi="Arial" w:cs="Arial"/>
          <w:lang w:eastAsia="es-CO"/>
        </w:rPr>
      </w:pPr>
    </w:p>
    <w:p w14:paraId="782276AA" w14:textId="2B322439" w:rsidR="00684275" w:rsidRPr="00C76457" w:rsidRDefault="00684275" w:rsidP="002F1D05">
      <w:pPr>
        <w:spacing w:after="0"/>
        <w:jc w:val="both"/>
        <w:rPr>
          <w:rFonts w:ascii="Arial" w:hAnsi="Arial" w:cs="Arial"/>
          <w:lang w:eastAsia="es-CO"/>
        </w:rPr>
      </w:pPr>
      <w:r w:rsidRPr="00C76457">
        <w:rPr>
          <w:rFonts w:ascii="Arial" w:hAnsi="Arial" w:cs="Arial"/>
          <w:lang w:eastAsia="es-CO"/>
        </w:rPr>
        <w:t>Una tercera categoría crítica corresponde a los actores de gestión de residuos peligrosos (RESPEL), dado que el desmantelamiento de infraestructura de hidrocarburos genera residuos peligrosos (por ejemplo, lodos, combustibles residuales, absorbentes contaminados, suelos impactados, envases contaminados) y su manejo requiere operadores con autorizaciones vigentes según la autoridad ambiental competente. En Bogotá, por ejemplo, existe un listado oficial de gestores RESPEL publicado por la autoridad ambiental distrital, que identifica empresas y actos administrativos asociados a actividades aprobadas (almacenamiento, aprovechamiento, disposición, entre otros)</w:t>
      </w:r>
      <w:r w:rsidR="002212FD" w:rsidRPr="00C76457">
        <w:rPr>
          <w:rStyle w:val="Refdenotaalpie"/>
          <w:rFonts w:ascii="Arial" w:hAnsi="Arial" w:cs="Arial"/>
          <w:lang w:eastAsia="es-CO"/>
        </w:rPr>
        <w:footnoteReference w:id="56"/>
      </w:r>
      <w:r w:rsidRPr="00C76457">
        <w:rPr>
          <w:rFonts w:ascii="Arial" w:hAnsi="Arial" w:cs="Arial"/>
          <w:lang w:eastAsia="es-CO"/>
        </w:rPr>
        <w:t xml:space="preserve">. Este instrumento es una fuente directa para verificar oferta disponible en la ciudad y para sustentar el análisis de proveedores que podrían participar en la cadena de prestación del servicio (transporte, almacenamiento, tratamiento y disposición). Adicionalmente, otras autoridades ambientales regionales publican listados de gestores RESPEL autorizados, lo </w:t>
      </w:r>
      <w:r w:rsidRPr="00C76457">
        <w:rPr>
          <w:rFonts w:ascii="Arial" w:hAnsi="Arial" w:cs="Arial"/>
          <w:lang w:eastAsia="es-CO"/>
        </w:rPr>
        <w:lastRenderedPageBreak/>
        <w:t>cual permite evidenciar que la oferta de gestión de residuos peligrosos está distribuida territorialmente y debe revisarse por jurisdicción.</w:t>
      </w:r>
    </w:p>
    <w:p w14:paraId="37E09379" w14:textId="77777777" w:rsidR="006C53AE" w:rsidRPr="00C76457" w:rsidRDefault="006C53AE" w:rsidP="002F1D05">
      <w:pPr>
        <w:spacing w:after="0"/>
        <w:jc w:val="both"/>
        <w:rPr>
          <w:rFonts w:ascii="Arial" w:hAnsi="Arial" w:cs="Arial"/>
          <w:lang w:eastAsia="es-CO"/>
        </w:rPr>
      </w:pPr>
    </w:p>
    <w:p w14:paraId="26A3745D" w14:textId="78CB20F0" w:rsidR="0086341D" w:rsidRPr="00C76457" w:rsidRDefault="009B39B5" w:rsidP="002F1D05">
      <w:pPr>
        <w:spacing w:after="0"/>
        <w:jc w:val="both"/>
        <w:rPr>
          <w:rFonts w:ascii="Arial" w:hAnsi="Arial" w:cs="Arial"/>
          <w:lang w:eastAsia="es-CO"/>
        </w:rPr>
      </w:pPr>
      <w:r w:rsidRPr="00C76457">
        <w:rPr>
          <w:rFonts w:ascii="Arial" w:hAnsi="Arial" w:cs="Arial"/>
          <w:lang w:eastAsia="es-CO"/>
        </w:rPr>
        <w:t>Una cuarta categoría está integrada por empresas de caracterización y remediación de suelos contaminados por hidrocarburos, componente frecuente en cierres de estaciones de servicio cuando se requiere evaluar impactos, definir medidas correctivas y ejecutar tratamientos in situ o ex situ. En el mercado colombiano se identifican proveedores que ofertan explícitamente remediación de suelos con énfasis en contaminación por hidrocarburos y pasivos ambientales, y que describen metodologías como remoción de suelo, aireación o tratamientos biológicos (biorremediación), especialmente asociadas a instalaciones industriales y EDS. Este segmento suele articularse con los gestores de residuos peligrosos y con contratistas de obra civil, dado que el tratamiento de suelos puede requerir excavación, confinamiento, transporte y disposición final, además de validaciones técnicas posteriores.</w:t>
      </w:r>
    </w:p>
    <w:p w14:paraId="2DDE9852" w14:textId="77777777" w:rsidR="009B39B5" w:rsidRPr="00C76457" w:rsidRDefault="009B39B5" w:rsidP="002F1D05">
      <w:pPr>
        <w:spacing w:after="0"/>
        <w:jc w:val="both"/>
        <w:rPr>
          <w:rFonts w:ascii="Arial" w:hAnsi="Arial" w:cs="Arial"/>
          <w:lang w:eastAsia="es-CO"/>
        </w:rPr>
      </w:pPr>
    </w:p>
    <w:p w14:paraId="2C85943A" w14:textId="77777777" w:rsidR="00AF5E61" w:rsidRPr="00C76457" w:rsidRDefault="009B39B5" w:rsidP="002F1D05">
      <w:pPr>
        <w:spacing w:after="0"/>
        <w:jc w:val="both"/>
        <w:rPr>
          <w:rFonts w:ascii="Arial" w:hAnsi="Arial" w:cs="Arial"/>
          <w:lang w:eastAsia="es-CO"/>
        </w:rPr>
      </w:pPr>
      <w:r w:rsidRPr="00C76457">
        <w:rPr>
          <w:rFonts w:ascii="Arial" w:hAnsi="Arial" w:cs="Arial"/>
          <w:lang w:eastAsia="es-CO"/>
        </w:rPr>
        <w:t xml:space="preserve">Finalmente, para efectos de estructuración del análisis de oferta con enfoque de contratación pública, la consulta de procesos y contratos en SECOP II constituye una fuente verificable para identificar quiénes han participado en servicios relacionados con desmontajes, lavados de tanques y operaciones similares dentro del sector hidrocarburos. </w:t>
      </w:r>
    </w:p>
    <w:p w14:paraId="22CF5BE3" w14:textId="77777777" w:rsidR="00AF5E61" w:rsidRPr="00C76457" w:rsidRDefault="00AF5E61" w:rsidP="002F1D05">
      <w:pPr>
        <w:spacing w:after="0"/>
        <w:jc w:val="both"/>
        <w:rPr>
          <w:rFonts w:ascii="Arial" w:hAnsi="Arial" w:cs="Arial"/>
          <w:lang w:eastAsia="es-CO"/>
        </w:rPr>
      </w:pPr>
    </w:p>
    <w:p w14:paraId="6E709870" w14:textId="1B94495E" w:rsidR="009B39B5" w:rsidRPr="00C76457" w:rsidRDefault="009B39B5" w:rsidP="002F1D05">
      <w:pPr>
        <w:spacing w:after="0"/>
        <w:jc w:val="both"/>
        <w:rPr>
          <w:rFonts w:ascii="Arial" w:hAnsi="Arial" w:cs="Arial"/>
          <w:lang w:eastAsia="es-CO"/>
        </w:rPr>
      </w:pPr>
      <w:r w:rsidRPr="00C76457">
        <w:rPr>
          <w:rFonts w:ascii="Arial" w:hAnsi="Arial" w:cs="Arial"/>
          <w:lang w:eastAsia="es-CO"/>
        </w:rPr>
        <w:t>La plataforma SECOP II cuenta con un conjunto de datos oficial en el portal de Datos Abiertos (actualización diaria) y con canales institucionales para la consulta de procesos, lo que permite a la Entidad sustentar con evidencia la identificación de oferentes y antecedentes contractuales del mercado.</w:t>
      </w:r>
    </w:p>
    <w:p w14:paraId="483595F4" w14:textId="77777777" w:rsidR="00743FDF" w:rsidRPr="00C76457" w:rsidRDefault="00743FDF" w:rsidP="002F1D05">
      <w:pPr>
        <w:spacing w:after="0"/>
        <w:jc w:val="both"/>
        <w:rPr>
          <w:rFonts w:ascii="Arial" w:hAnsi="Arial" w:cs="Arial"/>
          <w:lang w:eastAsia="es-CO"/>
        </w:rPr>
      </w:pPr>
    </w:p>
    <w:p w14:paraId="7CA6C96B" w14:textId="4F5D993E" w:rsidR="007711FC" w:rsidRPr="00C76457" w:rsidRDefault="007711FC" w:rsidP="00426B90">
      <w:pPr>
        <w:pStyle w:val="Prrafodelista"/>
        <w:numPr>
          <w:ilvl w:val="0"/>
          <w:numId w:val="18"/>
        </w:numPr>
        <w:spacing w:after="0"/>
        <w:jc w:val="both"/>
        <w:rPr>
          <w:rFonts w:ascii="Arial" w:hAnsi="Arial" w:cs="Arial"/>
          <w:lang w:eastAsia="es-CO"/>
        </w:rPr>
      </w:pPr>
      <w:r w:rsidRPr="00C76457">
        <w:rPr>
          <w:rFonts w:ascii="Arial" w:hAnsi="Arial" w:cs="Arial"/>
          <w:lang w:eastAsia="es-CO"/>
        </w:rPr>
        <w:t xml:space="preserve">Empresas de obras y servicios especializados para EDS (tanques, obra civil, mantenimiento, componentes) </w:t>
      </w:r>
    </w:p>
    <w:p w14:paraId="258A0DDA" w14:textId="77777777" w:rsidR="007711FC" w:rsidRPr="00C76457" w:rsidRDefault="007711FC" w:rsidP="007711FC">
      <w:pPr>
        <w:spacing w:after="0"/>
        <w:jc w:val="both"/>
        <w:rPr>
          <w:rFonts w:ascii="Arial" w:hAnsi="Arial" w:cs="Arial"/>
          <w:lang w:eastAsia="es-CO"/>
        </w:rPr>
      </w:pPr>
    </w:p>
    <w:p w14:paraId="4FF7631F" w14:textId="139FE0FD" w:rsidR="007711FC" w:rsidRPr="00C76457" w:rsidRDefault="007711FC" w:rsidP="00426B90">
      <w:pPr>
        <w:pStyle w:val="Prrafodelista"/>
        <w:numPr>
          <w:ilvl w:val="0"/>
          <w:numId w:val="24"/>
        </w:numPr>
        <w:spacing w:after="0"/>
        <w:ind w:left="1134"/>
        <w:jc w:val="both"/>
        <w:rPr>
          <w:rFonts w:ascii="Arial" w:hAnsi="Arial" w:cs="Arial"/>
          <w:lang w:eastAsia="es-CO"/>
        </w:rPr>
      </w:pPr>
      <w:proofErr w:type="spellStart"/>
      <w:r w:rsidRPr="00C76457">
        <w:rPr>
          <w:rFonts w:ascii="Arial" w:hAnsi="Arial" w:cs="Arial"/>
          <w:lang w:eastAsia="es-CO"/>
        </w:rPr>
        <w:t>Fenix</w:t>
      </w:r>
      <w:proofErr w:type="spellEnd"/>
      <w:r w:rsidRPr="00C76457">
        <w:rPr>
          <w:rFonts w:ascii="Arial" w:hAnsi="Arial" w:cs="Arial"/>
          <w:lang w:eastAsia="es-CO"/>
        </w:rPr>
        <w:t xml:space="preserve"> Group Colombia</w:t>
      </w:r>
      <w:r w:rsidR="00BA0A93" w:rsidRPr="00C76457">
        <w:rPr>
          <w:rFonts w:ascii="Arial" w:hAnsi="Arial" w:cs="Arial"/>
          <w:lang w:eastAsia="es-CO"/>
        </w:rPr>
        <w:t>:</w:t>
      </w:r>
      <w:r w:rsidR="009170BF" w:rsidRPr="00C76457">
        <w:rPr>
          <w:rFonts w:ascii="Arial" w:hAnsi="Arial" w:cs="Arial"/>
          <w:lang w:eastAsia="es-CO"/>
        </w:rPr>
        <w:t xml:space="preserve">  </w:t>
      </w:r>
      <w:r w:rsidRPr="00C76457">
        <w:rPr>
          <w:rFonts w:ascii="Arial" w:hAnsi="Arial" w:cs="Arial"/>
          <w:lang w:eastAsia="es-CO"/>
        </w:rPr>
        <w:t>Servicios de diseño, construcción,</w:t>
      </w:r>
      <w:r w:rsidR="009170BF" w:rsidRPr="00C76457">
        <w:rPr>
          <w:rFonts w:ascii="Arial" w:hAnsi="Arial" w:cs="Arial"/>
          <w:lang w:eastAsia="es-CO"/>
        </w:rPr>
        <w:t xml:space="preserve"> </w:t>
      </w:r>
      <w:r w:rsidRPr="00C76457">
        <w:rPr>
          <w:rFonts w:ascii="Arial" w:hAnsi="Arial" w:cs="Arial"/>
          <w:lang w:eastAsia="es-CO"/>
        </w:rPr>
        <w:t>mantenimiento</w:t>
      </w:r>
      <w:r w:rsidR="009170BF" w:rsidRPr="00C76457">
        <w:rPr>
          <w:rFonts w:ascii="Arial" w:hAnsi="Arial" w:cs="Arial"/>
          <w:lang w:eastAsia="es-CO"/>
        </w:rPr>
        <w:t xml:space="preserve"> y </w:t>
      </w:r>
      <w:r w:rsidRPr="00C76457">
        <w:rPr>
          <w:rFonts w:ascii="Arial" w:hAnsi="Arial" w:cs="Arial"/>
          <w:lang w:eastAsia="es-CO"/>
        </w:rPr>
        <w:t>renovación de EDS y servicios asociados a tanques y obras civiles para estaciones de servicio.</w:t>
      </w:r>
    </w:p>
    <w:p w14:paraId="1344D611" w14:textId="6D6BCEAB" w:rsidR="007711FC" w:rsidRPr="00C76457" w:rsidRDefault="007711FC" w:rsidP="00426B90">
      <w:pPr>
        <w:pStyle w:val="Prrafodelista"/>
        <w:numPr>
          <w:ilvl w:val="0"/>
          <w:numId w:val="24"/>
        </w:numPr>
        <w:spacing w:after="0"/>
        <w:ind w:left="1134"/>
        <w:jc w:val="both"/>
        <w:rPr>
          <w:rFonts w:ascii="Arial" w:hAnsi="Arial" w:cs="Arial"/>
          <w:lang w:eastAsia="es-CO"/>
        </w:rPr>
      </w:pPr>
      <w:r w:rsidRPr="00C76457">
        <w:rPr>
          <w:rFonts w:ascii="Arial" w:hAnsi="Arial" w:cs="Arial"/>
          <w:lang w:eastAsia="es-CO"/>
        </w:rPr>
        <w:t xml:space="preserve">Grupo </w:t>
      </w:r>
      <w:proofErr w:type="spellStart"/>
      <w:r w:rsidRPr="00C76457">
        <w:rPr>
          <w:rFonts w:ascii="Arial" w:hAnsi="Arial" w:cs="Arial"/>
          <w:lang w:eastAsia="es-CO"/>
        </w:rPr>
        <w:t>Serintec</w:t>
      </w:r>
      <w:proofErr w:type="spellEnd"/>
      <w:r w:rsidR="009170BF" w:rsidRPr="00C76457">
        <w:rPr>
          <w:rFonts w:ascii="Arial" w:hAnsi="Arial" w:cs="Arial"/>
          <w:lang w:eastAsia="es-CO"/>
        </w:rPr>
        <w:t>:</w:t>
      </w:r>
      <w:r w:rsidRPr="00C76457">
        <w:rPr>
          <w:rFonts w:ascii="Arial" w:hAnsi="Arial" w:cs="Arial"/>
          <w:lang w:eastAsia="es-CO"/>
        </w:rPr>
        <w:t xml:space="preserve"> Servicios de mantenimiento en estaciones de servicio, con líneas asociadas a tanques, obra civil, calibración de dispensadores, limpieza, y otros servicios de operación y mantenimiento en EDS.</w:t>
      </w:r>
    </w:p>
    <w:p w14:paraId="1491871F" w14:textId="77777777" w:rsidR="0012361E" w:rsidRPr="00C76457" w:rsidRDefault="0012361E" w:rsidP="0012361E">
      <w:pPr>
        <w:pStyle w:val="Prrafodelista"/>
        <w:spacing w:after="0"/>
        <w:jc w:val="both"/>
        <w:rPr>
          <w:rFonts w:ascii="Arial" w:hAnsi="Arial" w:cs="Arial"/>
          <w:lang w:eastAsia="es-CO"/>
        </w:rPr>
      </w:pPr>
    </w:p>
    <w:p w14:paraId="2C1F2742" w14:textId="556B686A" w:rsidR="007711FC" w:rsidRPr="00C76457" w:rsidRDefault="007711FC" w:rsidP="00426B90">
      <w:pPr>
        <w:pStyle w:val="Prrafodelista"/>
        <w:numPr>
          <w:ilvl w:val="0"/>
          <w:numId w:val="18"/>
        </w:numPr>
        <w:spacing w:after="0"/>
        <w:jc w:val="both"/>
        <w:rPr>
          <w:rFonts w:ascii="Arial" w:hAnsi="Arial" w:cs="Arial"/>
          <w:lang w:eastAsia="es-CO"/>
        </w:rPr>
      </w:pPr>
      <w:r w:rsidRPr="00C76457">
        <w:rPr>
          <w:rFonts w:ascii="Arial" w:hAnsi="Arial" w:cs="Arial"/>
          <w:lang w:eastAsia="es-CO"/>
        </w:rPr>
        <w:t>Empresas de limpieza</w:t>
      </w:r>
      <w:r w:rsidR="009170BF" w:rsidRPr="00C76457">
        <w:rPr>
          <w:rFonts w:ascii="Arial" w:hAnsi="Arial" w:cs="Arial"/>
          <w:lang w:eastAsia="es-CO"/>
        </w:rPr>
        <w:t xml:space="preserve"> y </w:t>
      </w:r>
      <w:r w:rsidRPr="00C76457">
        <w:rPr>
          <w:rFonts w:ascii="Arial" w:hAnsi="Arial" w:cs="Arial"/>
          <w:lang w:eastAsia="es-CO"/>
        </w:rPr>
        <w:t xml:space="preserve">desgasificación e intervención técnica de tanques </w:t>
      </w:r>
    </w:p>
    <w:p w14:paraId="4231D8EE" w14:textId="77777777" w:rsidR="007711FC" w:rsidRPr="00C76457" w:rsidRDefault="007711FC" w:rsidP="008E3BBF">
      <w:pPr>
        <w:spacing w:after="0"/>
        <w:jc w:val="both"/>
        <w:rPr>
          <w:rFonts w:ascii="Arial" w:hAnsi="Arial" w:cs="Arial"/>
          <w:lang w:eastAsia="es-CO"/>
        </w:rPr>
      </w:pPr>
    </w:p>
    <w:p w14:paraId="1E85F527" w14:textId="351B99B3" w:rsidR="007711FC" w:rsidRPr="00C76457" w:rsidRDefault="007711FC" w:rsidP="00426B90">
      <w:pPr>
        <w:pStyle w:val="Prrafodelista"/>
        <w:numPr>
          <w:ilvl w:val="0"/>
          <w:numId w:val="25"/>
        </w:numPr>
        <w:spacing w:after="0"/>
        <w:jc w:val="both"/>
        <w:rPr>
          <w:rFonts w:ascii="Arial" w:hAnsi="Arial" w:cs="Arial"/>
          <w:lang w:eastAsia="es-CO"/>
        </w:rPr>
      </w:pPr>
      <w:r w:rsidRPr="00C76457">
        <w:rPr>
          <w:rFonts w:ascii="Arial" w:hAnsi="Arial" w:cs="Arial"/>
          <w:lang w:eastAsia="es-CO"/>
        </w:rPr>
        <w:t>ULTRATANK</w:t>
      </w:r>
      <w:r w:rsidR="009170BF" w:rsidRPr="00C76457">
        <w:rPr>
          <w:rFonts w:ascii="Arial" w:hAnsi="Arial" w:cs="Arial"/>
          <w:lang w:eastAsia="es-CO"/>
        </w:rPr>
        <w:t xml:space="preserve">: </w:t>
      </w:r>
      <w:r w:rsidRPr="00C76457">
        <w:rPr>
          <w:rFonts w:ascii="Arial" w:hAnsi="Arial" w:cs="Arial"/>
          <w:lang w:eastAsia="es-CO"/>
        </w:rPr>
        <w:t>Servicios de desgasificación de tanques de almacenamiento de combustible y servicios de limpieza/mantenimiento de tanques para estaciones e industria.</w:t>
      </w:r>
    </w:p>
    <w:p w14:paraId="141AA4B3" w14:textId="6F0D86CC" w:rsidR="007711FC" w:rsidRPr="00C76457" w:rsidRDefault="007711FC" w:rsidP="00426B90">
      <w:pPr>
        <w:pStyle w:val="Prrafodelista"/>
        <w:numPr>
          <w:ilvl w:val="0"/>
          <w:numId w:val="25"/>
        </w:numPr>
        <w:spacing w:after="0"/>
        <w:jc w:val="both"/>
        <w:rPr>
          <w:rFonts w:ascii="Arial" w:hAnsi="Arial" w:cs="Arial"/>
          <w:lang w:eastAsia="es-CO"/>
        </w:rPr>
      </w:pPr>
      <w:r w:rsidRPr="00C76457">
        <w:rPr>
          <w:rFonts w:ascii="Arial" w:hAnsi="Arial" w:cs="Arial"/>
          <w:lang w:eastAsia="es-CO"/>
        </w:rPr>
        <w:t>APC Industries</w:t>
      </w:r>
      <w:r w:rsidR="009170BF" w:rsidRPr="00C76457">
        <w:rPr>
          <w:rFonts w:ascii="Arial" w:hAnsi="Arial" w:cs="Arial"/>
          <w:lang w:eastAsia="es-CO"/>
        </w:rPr>
        <w:t xml:space="preserve">: </w:t>
      </w:r>
      <w:r w:rsidRPr="00C76457">
        <w:rPr>
          <w:rFonts w:ascii="Arial" w:hAnsi="Arial" w:cs="Arial"/>
          <w:lang w:eastAsia="es-CO"/>
        </w:rPr>
        <w:t>Servicios de desgasificación de tanques mediante sistemas móviles y actividades asociadas al control de vapores</w:t>
      </w:r>
      <w:r w:rsidR="009170BF" w:rsidRPr="00C76457">
        <w:rPr>
          <w:rFonts w:ascii="Arial" w:hAnsi="Arial" w:cs="Arial"/>
          <w:lang w:eastAsia="es-CO"/>
        </w:rPr>
        <w:t xml:space="preserve"> y </w:t>
      </w:r>
      <w:r w:rsidRPr="00C76457">
        <w:rPr>
          <w:rFonts w:ascii="Arial" w:hAnsi="Arial" w:cs="Arial"/>
          <w:lang w:eastAsia="es-CO"/>
        </w:rPr>
        <w:t>seguridad del tanque.</w:t>
      </w:r>
    </w:p>
    <w:p w14:paraId="0B3827E1" w14:textId="19758B31" w:rsidR="007711FC" w:rsidRPr="00C76457" w:rsidRDefault="008E3BBF" w:rsidP="00426B90">
      <w:pPr>
        <w:pStyle w:val="Prrafodelista"/>
        <w:numPr>
          <w:ilvl w:val="0"/>
          <w:numId w:val="18"/>
        </w:numPr>
        <w:spacing w:after="0"/>
        <w:jc w:val="both"/>
        <w:rPr>
          <w:rFonts w:ascii="Arial" w:hAnsi="Arial" w:cs="Arial"/>
          <w:lang w:eastAsia="es-CO"/>
        </w:rPr>
      </w:pPr>
      <w:r w:rsidRPr="00C76457">
        <w:rPr>
          <w:rFonts w:ascii="Arial" w:hAnsi="Arial" w:cs="Arial"/>
          <w:lang w:eastAsia="es-CO"/>
        </w:rPr>
        <w:lastRenderedPageBreak/>
        <w:t>Montaje y desmontaje industrial</w:t>
      </w:r>
    </w:p>
    <w:p w14:paraId="4E16974E" w14:textId="77777777" w:rsidR="00634F66" w:rsidRPr="00C76457" w:rsidRDefault="00634F66" w:rsidP="00634F66">
      <w:pPr>
        <w:spacing w:after="0"/>
        <w:jc w:val="both"/>
        <w:rPr>
          <w:rFonts w:ascii="Arial" w:hAnsi="Arial" w:cs="Arial"/>
          <w:lang w:eastAsia="es-CO"/>
        </w:rPr>
      </w:pPr>
    </w:p>
    <w:p w14:paraId="4785AAFB" w14:textId="4289647A" w:rsidR="00634F66" w:rsidRPr="00C76457" w:rsidRDefault="00634F66" w:rsidP="00426B90">
      <w:pPr>
        <w:pStyle w:val="Prrafodelista"/>
        <w:numPr>
          <w:ilvl w:val="0"/>
          <w:numId w:val="19"/>
        </w:numPr>
        <w:spacing w:after="0"/>
        <w:ind w:left="1134"/>
        <w:jc w:val="both"/>
        <w:rPr>
          <w:rFonts w:ascii="Arial" w:hAnsi="Arial" w:cs="Arial"/>
          <w:lang w:eastAsia="es-CO"/>
        </w:rPr>
      </w:pPr>
      <w:r w:rsidRPr="00C76457">
        <w:rPr>
          <w:rFonts w:ascii="Arial" w:hAnsi="Arial" w:cs="Arial"/>
          <w:lang w:eastAsia="es-CO"/>
        </w:rPr>
        <w:t>TRANSCOL</w:t>
      </w:r>
      <w:r w:rsidR="00DB2B86" w:rsidRPr="00C76457">
        <w:rPr>
          <w:rFonts w:ascii="Arial" w:hAnsi="Arial" w:cs="Arial"/>
          <w:lang w:eastAsia="es-CO"/>
        </w:rPr>
        <w:t xml:space="preserve">: </w:t>
      </w:r>
      <w:r w:rsidRPr="00C76457">
        <w:rPr>
          <w:rFonts w:ascii="Arial" w:hAnsi="Arial" w:cs="Arial"/>
          <w:lang w:eastAsia="es-CO"/>
        </w:rPr>
        <w:t xml:space="preserve">Oferta de “montajes y desmontajes industriales” que incluye tanques, estructuras, líneas de tubería y equipos, útil como capacidad complementaria en desmantelamientos. </w:t>
      </w:r>
    </w:p>
    <w:p w14:paraId="2915E1D7" w14:textId="77777777" w:rsidR="00634F66" w:rsidRDefault="00634F66" w:rsidP="00634F66">
      <w:pPr>
        <w:spacing w:after="0"/>
        <w:jc w:val="both"/>
        <w:rPr>
          <w:rFonts w:ascii="Arial" w:hAnsi="Arial" w:cs="Arial"/>
          <w:lang w:eastAsia="es-CO"/>
        </w:rPr>
      </w:pPr>
    </w:p>
    <w:p w14:paraId="776C7B78" w14:textId="5E7AC50C" w:rsidR="007711FC" w:rsidRPr="00C76457" w:rsidRDefault="00634F66" w:rsidP="00426B90">
      <w:pPr>
        <w:pStyle w:val="Prrafodelista"/>
        <w:numPr>
          <w:ilvl w:val="0"/>
          <w:numId w:val="18"/>
        </w:numPr>
        <w:spacing w:after="0"/>
        <w:jc w:val="both"/>
        <w:rPr>
          <w:rFonts w:ascii="Arial" w:hAnsi="Arial" w:cs="Arial"/>
          <w:lang w:eastAsia="es-CO"/>
        </w:rPr>
      </w:pPr>
      <w:r w:rsidRPr="00C76457">
        <w:rPr>
          <w:rFonts w:ascii="Arial" w:hAnsi="Arial" w:cs="Arial"/>
          <w:lang w:eastAsia="es-CO"/>
        </w:rPr>
        <w:t>Demoliciones, excavaciones y desmantelamiento constructivo</w:t>
      </w:r>
    </w:p>
    <w:p w14:paraId="3B472CCE" w14:textId="77777777" w:rsidR="00634F66" w:rsidRPr="00C76457" w:rsidRDefault="00634F66" w:rsidP="00634F66">
      <w:pPr>
        <w:pStyle w:val="Prrafodelista"/>
        <w:spacing w:after="0"/>
        <w:jc w:val="both"/>
        <w:rPr>
          <w:rFonts w:ascii="Arial" w:hAnsi="Arial" w:cs="Arial"/>
          <w:lang w:eastAsia="es-CO"/>
        </w:rPr>
      </w:pPr>
    </w:p>
    <w:p w14:paraId="433151D1" w14:textId="75FD48A8" w:rsidR="00634F66" w:rsidRPr="00C76457" w:rsidRDefault="00634F66" w:rsidP="00426B90">
      <w:pPr>
        <w:pStyle w:val="Prrafodelista"/>
        <w:numPr>
          <w:ilvl w:val="0"/>
          <w:numId w:val="19"/>
        </w:numPr>
        <w:spacing w:after="0"/>
        <w:ind w:left="1134"/>
        <w:jc w:val="both"/>
        <w:rPr>
          <w:rFonts w:ascii="Arial" w:hAnsi="Arial" w:cs="Arial"/>
          <w:lang w:eastAsia="es-CO"/>
        </w:rPr>
      </w:pPr>
      <w:r w:rsidRPr="00C76457">
        <w:rPr>
          <w:rFonts w:ascii="Arial" w:hAnsi="Arial" w:cs="Arial"/>
          <w:lang w:eastAsia="es-CO"/>
        </w:rPr>
        <w:t>ATILA</w:t>
      </w:r>
      <w:r w:rsidR="00DB2B86" w:rsidRPr="00C76457">
        <w:rPr>
          <w:rFonts w:ascii="Arial" w:hAnsi="Arial" w:cs="Arial"/>
          <w:lang w:eastAsia="es-CO"/>
        </w:rPr>
        <w:t>:</w:t>
      </w:r>
      <w:r w:rsidRPr="00C76457">
        <w:rPr>
          <w:rFonts w:ascii="Arial" w:hAnsi="Arial" w:cs="Arial"/>
          <w:lang w:eastAsia="es-CO"/>
        </w:rPr>
        <w:t xml:space="preserve"> Servicios de demolición </w:t>
      </w:r>
      <w:r w:rsidR="00D117E3" w:rsidRPr="00C76457">
        <w:rPr>
          <w:rFonts w:ascii="Arial" w:hAnsi="Arial" w:cs="Arial"/>
          <w:lang w:eastAsia="es-CO"/>
        </w:rPr>
        <w:t xml:space="preserve">mediante </w:t>
      </w:r>
      <w:r w:rsidRPr="00C76457">
        <w:rPr>
          <w:rFonts w:ascii="Arial" w:hAnsi="Arial" w:cs="Arial"/>
          <w:lang w:eastAsia="es-CO"/>
        </w:rPr>
        <w:t>mecánica</w:t>
      </w:r>
      <w:r w:rsidR="00A76C0C" w:rsidRPr="00C76457">
        <w:rPr>
          <w:rFonts w:ascii="Arial" w:hAnsi="Arial" w:cs="Arial"/>
          <w:lang w:eastAsia="es-CO"/>
        </w:rPr>
        <w:t xml:space="preserve"> </w:t>
      </w:r>
      <w:r w:rsidRPr="00C76457">
        <w:rPr>
          <w:rFonts w:ascii="Arial" w:hAnsi="Arial" w:cs="Arial"/>
          <w:lang w:eastAsia="es-CO"/>
        </w:rPr>
        <w:t>especializada, excavaciones y consultoría en desmontajes</w:t>
      </w:r>
      <w:r w:rsidR="00D117E3" w:rsidRPr="00C76457">
        <w:rPr>
          <w:rFonts w:ascii="Arial" w:hAnsi="Arial" w:cs="Arial"/>
          <w:lang w:eastAsia="es-CO"/>
        </w:rPr>
        <w:t xml:space="preserve"> y </w:t>
      </w:r>
      <w:r w:rsidRPr="00C76457">
        <w:rPr>
          <w:rFonts w:ascii="Arial" w:hAnsi="Arial" w:cs="Arial"/>
          <w:lang w:eastAsia="es-CO"/>
        </w:rPr>
        <w:t>demoliciones</w:t>
      </w:r>
      <w:r w:rsidR="00D117E3" w:rsidRPr="00C76457">
        <w:rPr>
          <w:rFonts w:ascii="Arial" w:hAnsi="Arial" w:cs="Arial"/>
          <w:lang w:eastAsia="es-CO"/>
        </w:rPr>
        <w:t>. C</w:t>
      </w:r>
      <w:r w:rsidRPr="00C76457">
        <w:rPr>
          <w:rFonts w:ascii="Arial" w:hAnsi="Arial" w:cs="Arial"/>
          <w:lang w:eastAsia="es-CO"/>
        </w:rPr>
        <w:t>apacidad aplicable a fases civiles del desmantelamiento (retiro de superficies, excavación, demolición parcial).</w:t>
      </w:r>
    </w:p>
    <w:p w14:paraId="5F6E9CC5" w14:textId="2E07F50B" w:rsidR="00634F66" w:rsidRPr="00C76457" w:rsidRDefault="00634F66" w:rsidP="00616FE1">
      <w:pPr>
        <w:pStyle w:val="Prrafodelista"/>
        <w:numPr>
          <w:ilvl w:val="0"/>
          <w:numId w:val="19"/>
        </w:numPr>
        <w:spacing w:after="0"/>
        <w:ind w:left="1134"/>
        <w:jc w:val="both"/>
        <w:rPr>
          <w:rFonts w:ascii="Arial" w:hAnsi="Arial" w:cs="Arial"/>
          <w:lang w:eastAsia="es-CO"/>
        </w:rPr>
      </w:pPr>
      <w:r w:rsidRPr="00C76457">
        <w:rPr>
          <w:rFonts w:ascii="Arial" w:hAnsi="Arial" w:cs="Arial"/>
          <w:lang w:eastAsia="es-CO"/>
        </w:rPr>
        <w:t>Grupo Yamill Montenegro</w:t>
      </w:r>
      <w:r w:rsidR="00F67B14" w:rsidRPr="00C76457">
        <w:rPr>
          <w:rFonts w:ascii="Arial" w:hAnsi="Arial" w:cs="Arial"/>
          <w:lang w:eastAsia="es-CO"/>
        </w:rPr>
        <w:t xml:space="preserve">: </w:t>
      </w:r>
      <w:r w:rsidRPr="00C76457">
        <w:rPr>
          <w:rFonts w:ascii="Arial" w:hAnsi="Arial" w:cs="Arial"/>
          <w:lang w:eastAsia="es-CO"/>
        </w:rPr>
        <w:t>Oferta de desmantelamiento y gestión de residuos de construcción y demolición, con enfoque de retiro componente por componente</w:t>
      </w:r>
      <w:r w:rsidR="00F67B14" w:rsidRPr="00C76457">
        <w:rPr>
          <w:rFonts w:ascii="Arial" w:hAnsi="Arial" w:cs="Arial"/>
          <w:lang w:eastAsia="es-CO"/>
        </w:rPr>
        <w:t>.</w:t>
      </w:r>
    </w:p>
    <w:p w14:paraId="1689D47C" w14:textId="77777777" w:rsidR="00E917E0" w:rsidRPr="00C76457" w:rsidRDefault="00E917E0" w:rsidP="0021300C">
      <w:pPr>
        <w:spacing w:after="0"/>
        <w:jc w:val="both"/>
        <w:rPr>
          <w:rFonts w:ascii="Arial" w:hAnsi="Arial" w:cs="Arial"/>
          <w:lang w:eastAsia="es-CO"/>
        </w:rPr>
      </w:pPr>
    </w:p>
    <w:p w14:paraId="17C9A986" w14:textId="7F0434D3" w:rsidR="007711FC" w:rsidRPr="00C76457" w:rsidRDefault="00634F66" w:rsidP="00426B90">
      <w:pPr>
        <w:pStyle w:val="Prrafodelista"/>
        <w:numPr>
          <w:ilvl w:val="0"/>
          <w:numId w:val="18"/>
        </w:numPr>
        <w:spacing w:after="0"/>
        <w:jc w:val="both"/>
        <w:rPr>
          <w:rFonts w:ascii="Arial" w:hAnsi="Arial" w:cs="Arial"/>
          <w:lang w:eastAsia="es-CO"/>
        </w:rPr>
      </w:pPr>
      <w:r w:rsidRPr="00C76457">
        <w:rPr>
          <w:rFonts w:ascii="Arial" w:hAnsi="Arial" w:cs="Arial"/>
          <w:lang w:eastAsia="es-CO"/>
        </w:rPr>
        <w:t>Caracterización y remediación de suelos contaminados por hidrocarburos</w:t>
      </w:r>
    </w:p>
    <w:p w14:paraId="65702BC3" w14:textId="77777777" w:rsidR="009251F7" w:rsidRPr="00C76457" w:rsidRDefault="009251F7" w:rsidP="009251F7">
      <w:pPr>
        <w:pStyle w:val="Prrafodelista"/>
        <w:spacing w:after="0"/>
        <w:jc w:val="both"/>
        <w:rPr>
          <w:rFonts w:ascii="Arial" w:hAnsi="Arial" w:cs="Arial"/>
          <w:lang w:eastAsia="es-CO"/>
        </w:rPr>
      </w:pPr>
    </w:p>
    <w:p w14:paraId="418408B3" w14:textId="41D6B87B" w:rsidR="000A10CB" w:rsidRPr="00C76457" w:rsidRDefault="000A10CB" w:rsidP="00426B90">
      <w:pPr>
        <w:pStyle w:val="Prrafodelista"/>
        <w:numPr>
          <w:ilvl w:val="0"/>
          <w:numId w:val="26"/>
        </w:numPr>
        <w:spacing w:after="0"/>
        <w:jc w:val="both"/>
        <w:rPr>
          <w:rFonts w:ascii="Arial" w:hAnsi="Arial" w:cs="Arial"/>
          <w:lang w:eastAsia="es-CO"/>
        </w:rPr>
      </w:pPr>
      <w:r w:rsidRPr="00C76457">
        <w:rPr>
          <w:rFonts w:ascii="Arial" w:hAnsi="Arial" w:cs="Arial"/>
          <w:lang w:eastAsia="es-CO"/>
        </w:rPr>
        <w:t>Acuíferos S.A.S.</w:t>
      </w:r>
      <w:r w:rsidR="00935B98" w:rsidRPr="00C76457">
        <w:rPr>
          <w:rFonts w:ascii="Arial" w:hAnsi="Arial" w:cs="Arial"/>
          <w:lang w:eastAsia="es-CO"/>
        </w:rPr>
        <w:t>:</w:t>
      </w:r>
      <w:r w:rsidRPr="00C76457">
        <w:rPr>
          <w:rFonts w:ascii="Arial" w:hAnsi="Arial" w:cs="Arial"/>
          <w:lang w:eastAsia="es-CO"/>
        </w:rPr>
        <w:t xml:space="preserve"> Oferta de estudios</w:t>
      </w:r>
      <w:r w:rsidR="00935B98" w:rsidRPr="00C76457">
        <w:rPr>
          <w:rFonts w:ascii="Arial" w:hAnsi="Arial" w:cs="Arial"/>
          <w:lang w:eastAsia="es-CO"/>
        </w:rPr>
        <w:t xml:space="preserve"> y </w:t>
      </w:r>
      <w:r w:rsidRPr="00C76457">
        <w:rPr>
          <w:rFonts w:ascii="Arial" w:hAnsi="Arial" w:cs="Arial"/>
          <w:lang w:eastAsia="es-CO"/>
        </w:rPr>
        <w:t xml:space="preserve">procesos de remediación de suelo y tratamiento asociado a contaminación por hidrocarburos, mencionando aplicación en estaciones de servicio. </w:t>
      </w:r>
    </w:p>
    <w:p w14:paraId="78C419C4" w14:textId="35093D09" w:rsidR="009A3954" w:rsidRPr="00C76457" w:rsidRDefault="000A10CB" w:rsidP="00426B90">
      <w:pPr>
        <w:pStyle w:val="Prrafodelista"/>
        <w:numPr>
          <w:ilvl w:val="0"/>
          <w:numId w:val="26"/>
        </w:numPr>
        <w:spacing w:after="0"/>
        <w:jc w:val="both"/>
        <w:rPr>
          <w:rFonts w:ascii="Arial" w:hAnsi="Arial" w:cs="Arial"/>
          <w:lang w:eastAsia="es-CO"/>
        </w:rPr>
      </w:pPr>
      <w:r w:rsidRPr="00C76457">
        <w:rPr>
          <w:rFonts w:ascii="Arial" w:hAnsi="Arial" w:cs="Arial"/>
          <w:lang w:eastAsia="es-CO"/>
        </w:rPr>
        <w:t>Veolia</w:t>
      </w:r>
      <w:r w:rsidR="00935B98" w:rsidRPr="00C76457">
        <w:rPr>
          <w:rFonts w:ascii="Arial" w:hAnsi="Arial" w:cs="Arial"/>
          <w:lang w:eastAsia="es-CO"/>
        </w:rPr>
        <w:t xml:space="preserve">: </w:t>
      </w:r>
      <w:r w:rsidRPr="00C76457">
        <w:rPr>
          <w:rFonts w:ascii="Arial" w:hAnsi="Arial" w:cs="Arial"/>
          <w:lang w:eastAsia="es-CO"/>
        </w:rPr>
        <w:t>Oferta de servicios de remediación de suelos contaminados por hidrocarburos y tecnologías</w:t>
      </w:r>
      <w:r w:rsidR="000127ED" w:rsidRPr="00C76457">
        <w:rPr>
          <w:rFonts w:ascii="Arial" w:hAnsi="Arial" w:cs="Arial"/>
          <w:lang w:eastAsia="es-CO"/>
        </w:rPr>
        <w:t xml:space="preserve"> y </w:t>
      </w:r>
      <w:r w:rsidRPr="00C76457">
        <w:rPr>
          <w:rFonts w:ascii="Arial" w:hAnsi="Arial" w:cs="Arial"/>
          <w:lang w:eastAsia="es-CO"/>
        </w:rPr>
        <w:t xml:space="preserve">operación asociada. </w:t>
      </w:r>
    </w:p>
    <w:p w14:paraId="0332FB01" w14:textId="77777777" w:rsidR="00935B98" w:rsidRPr="00C76457" w:rsidRDefault="00935B98" w:rsidP="00935B98">
      <w:pPr>
        <w:pStyle w:val="Prrafodelista"/>
        <w:spacing w:after="0"/>
        <w:jc w:val="both"/>
        <w:rPr>
          <w:rFonts w:ascii="Arial" w:hAnsi="Arial" w:cs="Arial"/>
          <w:lang w:eastAsia="es-CO"/>
        </w:rPr>
      </w:pPr>
    </w:p>
    <w:p w14:paraId="2A3E66E4" w14:textId="09E4432D" w:rsidR="0021300C" w:rsidRPr="00C76457" w:rsidRDefault="009A3954" w:rsidP="000A10CB">
      <w:pPr>
        <w:spacing w:after="0"/>
        <w:jc w:val="both"/>
        <w:rPr>
          <w:rFonts w:ascii="Arial" w:hAnsi="Arial" w:cs="Arial"/>
          <w:lang w:eastAsia="es-CO"/>
        </w:rPr>
      </w:pPr>
      <w:r w:rsidRPr="00C76457">
        <w:rPr>
          <w:rFonts w:ascii="Arial" w:hAnsi="Arial" w:cs="Arial"/>
          <w:bCs/>
          <w:lang w:eastAsia="es-CO"/>
        </w:rPr>
        <w:t>Cabe señalar que el marco de análisis inicialmente definido no es restrictivo. En el transcurso del desarrollo del estudio de mercado, podrán incorporarse otros actores relevantes que</w:t>
      </w:r>
      <w:r w:rsidR="000B7670" w:rsidRPr="00C76457">
        <w:rPr>
          <w:rFonts w:ascii="Arial" w:hAnsi="Arial" w:cs="Arial"/>
          <w:bCs/>
          <w:lang w:eastAsia="es-CO"/>
        </w:rPr>
        <w:t xml:space="preserve"> permitan ampliar la comprensión del ecosistema de proveedores de los servicios requeridos, fortaleciendo así el análisis de la oferta disponible en el sector.</w:t>
      </w:r>
    </w:p>
    <w:p w14:paraId="7D564263" w14:textId="77777777" w:rsidR="0021300C" w:rsidRPr="00C76457" w:rsidRDefault="0021300C" w:rsidP="000A10CB">
      <w:pPr>
        <w:spacing w:after="0"/>
        <w:jc w:val="both"/>
        <w:rPr>
          <w:rFonts w:ascii="Arial" w:hAnsi="Arial" w:cs="Arial"/>
          <w:bCs/>
          <w:lang w:eastAsia="es-CO"/>
        </w:rPr>
      </w:pPr>
    </w:p>
    <w:p w14:paraId="736FA9FC" w14:textId="736C2930" w:rsidR="002F1D05" w:rsidRPr="00C76457" w:rsidRDefault="002F1D05" w:rsidP="00426B90">
      <w:pPr>
        <w:numPr>
          <w:ilvl w:val="0"/>
          <w:numId w:val="10"/>
        </w:numPr>
        <w:spacing w:after="0"/>
        <w:ind w:left="284"/>
        <w:rPr>
          <w:rFonts w:ascii="Arial" w:hAnsi="Arial" w:cs="Arial"/>
          <w:b/>
          <w:u w:val="single"/>
        </w:rPr>
      </w:pPr>
      <w:r w:rsidRPr="00C76457">
        <w:rPr>
          <w:rFonts w:ascii="Arial" w:hAnsi="Arial" w:cs="Arial"/>
          <w:b/>
          <w:u w:val="single"/>
        </w:rPr>
        <w:t>Perspectiva organizacional</w:t>
      </w:r>
    </w:p>
    <w:p w14:paraId="29D86361" w14:textId="77777777" w:rsidR="007D2192" w:rsidRPr="00C76457" w:rsidRDefault="007D2192" w:rsidP="007D2192">
      <w:pPr>
        <w:spacing w:after="0"/>
        <w:ind w:left="-76"/>
        <w:jc w:val="both"/>
        <w:rPr>
          <w:rFonts w:ascii="Arial" w:hAnsi="Arial" w:cs="Arial"/>
          <w:b/>
          <w:bCs/>
          <w:u w:val="single"/>
        </w:rPr>
      </w:pPr>
    </w:p>
    <w:p w14:paraId="4A3E1218" w14:textId="4702CEB7" w:rsidR="00110072" w:rsidRPr="00C76457" w:rsidRDefault="001855C3" w:rsidP="007D2192">
      <w:pPr>
        <w:spacing w:after="0"/>
        <w:ind w:left="-76"/>
        <w:jc w:val="both"/>
        <w:rPr>
          <w:rFonts w:ascii="Arial" w:hAnsi="Arial" w:cs="Arial"/>
        </w:rPr>
      </w:pPr>
      <w:r w:rsidRPr="00C76457">
        <w:rPr>
          <w:rFonts w:ascii="Arial" w:hAnsi="Arial" w:cs="Arial"/>
        </w:rPr>
        <w:t>La prestación del servicio de desmantelamiento de infraestructura asociada a hidrocarburos y estaciones de servicio (EDS) se organiza como una cadena integrada y secuencial de actividades técnicas, ambientales, logísticas y de gestión HSEQ. A diferencia de un bien, la “capacidad de oferta” en este mercado no depende de una planta de producción, sino de la capacidad operativa verificable para planear, ejecutar y cerrar intervenciones de alto riesgo sobre infraestructura regulada, bajo exigencias de seguridad industrial, gestión de residuos y cumplimiento normativo. En Colombia, esta prestación se inserta en el sector construcción y se relaciona con las actividades especializadas; de hecho, el DANE reporta comportamientos diferenciados dentro del sector construcción (edificaciones, obras civiles y actividades especializadas), lo que influye en disponibilidad de mano de obra y contratistas especializados en periodos de contracción o expansión sectorial</w:t>
      </w:r>
      <w:r w:rsidR="000E7621" w:rsidRPr="00C76457">
        <w:rPr>
          <w:rFonts w:ascii="Arial" w:hAnsi="Arial" w:cs="Arial"/>
        </w:rPr>
        <w:fldChar w:fldCharType="begin"/>
      </w:r>
      <w:r w:rsidR="000E7621" w:rsidRPr="00C76457">
        <w:rPr>
          <w:rFonts w:ascii="Arial" w:hAnsi="Arial" w:cs="Arial"/>
        </w:rPr>
        <w:instrText xml:space="preserve"> NOTEREF _Ref230858673 \f \h </w:instrText>
      </w:r>
      <w:r w:rsidR="00C76457">
        <w:rPr>
          <w:rFonts w:ascii="Arial" w:hAnsi="Arial" w:cs="Arial"/>
        </w:rPr>
        <w:instrText xml:space="preserve"> \* MERGEFORMAT </w:instrText>
      </w:r>
      <w:r w:rsidR="000E7621" w:rsidRPr="00C76457">
        <w:rPr>
          <w:rFonts w:ascii="Arial" w:hAnsi="Arial" w:cs="Arial"/>
        </w:rPr>
      </w:r>
      <w:r w:rsidR="000E7621" w:rsidRPr="00C76457">
        <w:rPr>
          <w:rFonts w:ascii="Arial" w:hAnsi="Arial" w:cs="Arial"/>
        </w:rPr>
        <w:fldChar w:fldCharType="separate"/>
      </w:r>
      <w:r w:rsidR="000E7621" w:rsidRPr="00C76457">
        <w:rPr>
          <w:rStyle w:val="Refdenotaalpie"/>
          <w:rFonts w:ascii="Arial" w:hAnsi="Arial" w:cs="Arial"/>
        </w:rPr>
        <w:t>3</w:t>
      </w:r>
      <w:r w:rsidR="000E7621" w:rsidRPr="00C76457">
        <w:rPr>
          <w:rFonts w:ascii="Arial" w:hAnsi="Arial" w:cs="Arial"/>
        </w:rPr>
        <w:fldChar w:fldCharType="end"/>
      </w:r>
      <w:r w:rsidRPr="00C76457">
        <w:rPr>
          <w:rFonts w:ascii="Arial" w:hAnsi="Arial" w:cs="Arial"/>
        </w:rPr>
        <w:t>.</w:t>
      </w:r>
    </w:p>
    <w:p w14:paraId="091DCCC3" w14:textId="33054CCB" w:rsidR="00EE061C" w:rsidRPr="00C76457" w:rsidRDefault="00EE061C" w:rsidP="00EE061C">
      <w:pPr>
        <w:spacing w:after="0"/>
        <w:ind w:left="-76"/>
        <w:jc w:val="both"/>
        <w:rPr>
          <w:rFonts w:ascii="Arial" w:hAnsi="Arial" w:cs="Arial"/>
          <w:u w:val="single"/>
        </w:rPr>
      </w:pPr>
      <w:r w:rsidRPr="00C76457">
        <w:rPr>
          <w:rFonts w:ascii="Arial" w:hAnsi="Arial" w:cs="Arial"/>
          <w:u w:val="single"/>
        </w:rPr>
        <w:lastRenderedPageBreak/>
        <w:t>Alistamiento</w:t>
      </w:r>
      <w:r w:rsidR="00A42B55" w:rsidRPr="00C76457">
        <w:rPr>
          <w:rFonts w:ascii="Arial" w:hAnsi="Arial" w:cs="Arial"/>
          <w:u w:val="single"/>
        </w:rPr>
        <w:t xml:space="preserve"> y</w:t>
      </w:r>
      <w:r w:rsidRPr="00C76457">
        <w:rPr>
          <w:rFonts w:ascii="Arial" w:hAnsi="Arial" w:cs="Arial"/>
          <w:u w:val="single"/>
        </w:rPr>
        <w:t xml:space="preserve"> planeación </w:t>
      </w:r>
    </w:p>
    <w:p w14:paraId="0F9DC8DA" w14:textId="77777777" w:rsidR="00A42B55" w:rsidRPr="00C76457" w:rsidRDefault="00A42B55" w:rsidP="00EE061C">
      <w:pPr>
        <w:spacing w:after="0"/>
        <w:ind w:left="-76"/>
        <w:jc w:val="both"/>
        <w:rPr>
          <w:rFonts w:ascii="Arial" w:hAnsi="Arial" w:cs="Arial"/>
          <w:u w:val="single"/>
        </w:rPr>
      </w:pPr>
    </w:p>
    <w:p w14:paraId="2FE5F1B9" w14:textId="51C12E27" w:rsidR="00A42B55" w:rsidRPr="00C76457" w:rsidRDefault="00A42B55" w:rsidP="00EE061C">
      <w:pPr>
        <w:spacing w:after="0"/>
        <w:ind w:left="-76"/>
        <w:jc w:val="both"/>
        <w:rPr>
          <w:rFonts w:ascii="Arial" w:hAnsi="Arial" w:cs="Arial"/>
        </w:rPr>
      </w:pPr>
      <w:r w:rsidRPr="00C76457">
        <w:rPr>
          <w:rFonts w:ascii="Arial" w:hAnsi="Arial" w:cs="Arial"/>
        </w:rPr>
        <w:t>La primera fase organizacional del servicio corresponde al alistamiento, que incluye diagnóstico del activo, definición del método de trabajo, programación, coordinación con terceros y verificación de habilitaciones. Esta etapa está condicionada por la regulación técnica sectorial aplicable a estaciones de servicio y tanques, dado que la infraestructura objeto de intervención se encuentra regulada por el reglamento técnico del Ministerio de Minas y Energía (Resolución 40405 de 2020), el cual aplica a estaciones de servicio, instalaciones del gran consumidor con instalación fija y tanques de almacenamiento para combustibles líquidos derivados del petróleo y sus mezclas con biocombustibles (excepto GLP)</w:t>
      </w:r>
      <w:r w:rsidR="00C84CD2" w:rsidRPr="00C76457">
        <w:rPr>
          <w:rFonts w:ascii="Arial" w:hAnsi="Arial" w:cs="Arial"/>
        </w:rPr>
        <w:fldChar w:fldCharType="begin"/>
      </w:r>
      <w:r w:rsidR="00C84CD2" w:rsidRPr="00C76457">
        <w:rPr>
          <w:rFonts w:ascii="Arial" w:hAnsi="Arial" w:cs="Arial"/>
        </w:rPr>
        <w:instrText xml:space="preserve"> NOTEREF _Ref230858307 \f \h </w:instrText>
      </w:r>
      <w:r w:rsidR="00C76457">
        <w:rPr>
          <w:rFonts w:ascii="Arial" w:hAnsi="Arial" w:cs="Arial"/>
        </w:rPr>
        <w:instrText xml:space="preserve"> \* MERGEFORMAT </w:instrText>
      </w:r>
      <w:r w:rsidR="00C84CD2" w:rsidRPr="00C76457">
        <w:rPr>
          <w:rFonts w:ascii="Arial" w:hAnsi="Arial" w:cs="Arial"/>
        </w:rPr>
      </w:r>
      <w:r w:rsidR="00C84CD2" w:rsidRPr="00C76457">
        <w:rPr>
          <w:rFonts w:ascii="Arial" w:hAnsi="Arial" w:cs="Arial"/>
        </w:rPr>
        <w:fldChar w:fldCharType="separate"/>
      </w:r>
      <w:r w:rsidR="00C84CD2" w:rsidRPr="00C76457">
        <w:rPr>
          <w:rStyle w:val="Refdenotaalpie"/>
          <w:rFonts w:ascii="Arial" w:hAnsi="Arial" w:cs="Arial"/>
        </w:rPr>
        <w:t>1</w:t>
      </w:r>
      <w:r w:rsidR="00C84CD2" w:rsidRPr="00C76457">
        <w:rPr>
          <w:rFonts w:ascii="Arial" w:hAnsi="Arial" w:cs="Arial"/>
        </w:rPr>
        <w:fldChar w:fldCharType="end"/>
      </w:r>
      <w:r w:rsidRPr="00C76457">
        <w:rPr>
          <w:rFonts w:ascii="Arial" w:hAnsi="Arial" w:cs="Arial"/>
        </w:rPr>
        <w:t xml:space="preserve">. </w:t>
      </w:r>
      <w:r w:rsidR="000E7621" w:rsidRPr="00C76457">
        <w:rPr>
          <w:rFonts w:ascii="Arial" w:hAnsi="Arial" w:cs="Arial"/>
        </w:rPr>
        <w:t xml:space="preserve"> </w:t>
      </w:r>
      <w:r w:rsidRPr="00C76457">
        <w:rPr>
          <w:rFonts w:ascii="Arial" w:hAnsi="Arial" w:cs="Arial"/>
        </w:rPr>
        <w:t xml:space="preserve">En términos organizacionales, esta norma se convierte en referencia para caracterizar la infraestructura (tanques, tuberías, sistemas asociados), y para determinar restricciones técnicas, controles de seguridad e hitos de intervención en la transición a fuera de servicio y retiro. </w:t>
      </w:r>
    </w:p>
    <w:p w14:paraId="6D868630" w14:textId="77777777" w:rsidR="00110072" w:rsidRPr="00C76457" w:rsidRDefault="00110072" w:rsidP="007D2192">
      <w:pPr>
        <w:spacing w:after="0"/>
        <w:ind w:left="-76"/>
        <w:jc w:val="both"/>
        <w:rPr>
          <w:rFonts w:ascii="Arial" w:hAnsi="Arial" w:cs="Arial"/>
          <w:u w:val="single"/>
        </w:rPr>
      </w:pPr>
    </w:p>
    <w:p w14:paraId="445B6530" w14:textId="37B4ED0D" w:rsidR="004D70F1" w:rsidRDefault="004D70F1" w:rsidP="004D70F1">
      <w:pPr>
        <w:spacing w:after="0"/>
        <w:ind w:left="-76"/>
        <w:jc w:val="both"/>
        <w:rPr>
          <w:rFonts w:ascii="Arial" w:hAnsi="Arial" w:cs="Arial"/>
        </w:rPr>
      </w:pPr>
      <w:r w:rsidRPr="00C76457">
        <w:rPr>
          <w:rFonts w:ascii="Arial" w:hAnsi="Arial" w:cs="Arial"/>
        </w:rPr>
        <w:t xml:space="preserve">En paralelo, el alistamiento requiere estructurar la gestión de Seguridad y Salud en el Trabajo (SST) desde la planeación, por tratarse de actividades con riesgos críticos (excavación, </w:t>
      </w:r>
      <w:proofErr w:type="spellStart"/>
      <w:r w:rsidRPr="00C76457">
        <w:rPr>
          <w:rFonts w:ascii="Arial" w:hAnsi="Arial" w:cs="Arial"/>
        </w:rPr>
        <w:t>izaje</w:t>
      </w:r>
      <w:proofErr w:type="spellEnd"/>
      <w:r w:rsidRPr="00C76457">
        <w:rPr>
          <w:rFonts w:ascii="Arial" w:hAnsi="Arial" w:cs="Arial"/>
        </w:rPr>
        <w:t>, atmósferas inflamables, electricidad, manejo de residuos). El marco normativo del Sistema de Gestión de Seguridad y Salud en el Trabajo (SG</w:t>
      </w:r>
      <w:r w:rsidRPr="00C76457">
        <w:rPr>
          <w:rFonts w:ascii="Cambria Math" w:hAnsi="Cambria Math" w:cs="Cambria Math"/>
        </w:rPr>
        <w:t>‑</w:t>
      </w:r>
      <w:r w:rsidRPr="00C76457">
        <w:rPr>
          <w:rFonts w:ascii="Arial" w:hAnsi="Arial" w:cs="Arial"/>
        </w:rPr>
        <w:t>SST) se compila en el Decreto 1072 de 2015 (DUR sector Trabajo) y sus actualizaciones, y los estándares mínimos exigibles se establecen en la Resolución 0312 de 2019, que define requisitos de estructura, verificación y mejora del SG</w:t>
      </w:r>
      <w:r w:rsidRPr="00C76457">
        <w:rPr>
          <w:rFonts w:ascii="Cambria Math" w:hAnsi="Cambria Math" w:cs="Cambria Math"/>
        </w:rPr>
        <w:t>‑</w:t>
      </w:r>
      <w:r w:rsidRPr="00C76457">
        <w:rPr>
          <w:rFonts w:ascii="Arial" w:hAnsi="Arial" w:cs="Arial"/>
        </w:rPr>
        <w:t>SST. En esta fase se materializan productos organizacionales como: matriz de peligros y controles, permisos de trabajo, planes de emergencia, competencias del personal, inspecciones preoperacionales y gestión de contratistas.</w:t>
      </w:r>
    </w:p>
    <w:p w14:paraId="23659046" w14:textId="77777777" w:rsidR="00B64007" w:rsidRPr="00C76457" w:rsidRDefault="00B64007" w:rsidP="004D70F1">
      <w:pPr>
        <w:spacing w:after="0"/>
        <w:ind w:left="-76"/>
        <w:jc w:val="both"/>
        <w:rPr>
          <w:rFonts w:ascii="Arial" w:hAnsi="Arial" w:cs="Arial"/>
        </w:rPr>
      </w:pPr>
    </w:p>
    <w:p w14:paraId="6D6AC41E" w14:textId="106151C1" w:rsidR="00EE061C" w:rsidRPr="00C76457" w:rsidRDefault="004D70F1" w:rsidP="004D70F1">
      <w:pPr>
        <w:spacing w:after="0"/>
        <w:ind w:left="-76"/>
        <w:jc w:val="both"/>
        <w:rPr>
          <w:rFonts w:ascii="Arial" w:hAnsi="Arial" w:cs="Arial"/>
        </w:rPr>
      </w:pPr>
      <w:r w:rsidRPr="00C76457">
        <w:rPr>
          <w:rFonts w:ascii="Arial" w:hAnsi="Arial" w:cs="Arial"/>
        </w:rPr>
        <w:t>El alistamiento también incorpora un componente ambiental y de cumplimiento, dado que la intervención puede implicar generación de residuos peligrosos, remoción de suelos impactados o manejo de pasivos ambientales. El marco ambiental general está compilado en el Decreto 1076 de 2015 (DUR sector Ambiente y Desarrollo Sostenible), que sirve como base normativa para obligaciones ambientales aplicables a actividades con potencial impacto.</w:t>
      </w:r>
      <w:r w:rsidR="00AB7C32" w:rsidRPr="00C76457">
        <w:rPr>
          <w:rFonts w:ascii="Arial" w:hAnsi="Arial" w:cs="Arial"/>
        </w:rPr>
        <w:t xml:space="preserve"> </w:t>
      </w:r>
      <w:r w:rsidRPr="00C76457">
        <w:rPr>
          <w:rFonts w:ascii="Arial" w:hAnsi="Arial" w:cs="Arial"/>
        </w:rPr>
        <w:t>En esta etapa se define el esquema de manejo ambiental: segregación, almacenamiento temporal, rutas y gestores autorizados, trazabilidad documental y criterios de restitución del área, en función de la jurisdicción ambiental aplicable.</w:t>
      </w:r>
    </w:p>
    <w:p w14:paraId="1B1A2247" w14:textId="77777777" w:rsidR="000C0D15" w:rsidRPr="00C76457" w:rsidRDefault="000C0D15" w:rsidP="00346D73">
      <w:pPr>
        <w:spacing w:after="0"/>
        <w:ind w:left="-76"/>
        <w:jc w:val="both"/>
        <w:rPr>
          <w:rFonts w:ascii="Arial" w:hAnsi="Arial" w:cs="Arial"/>
        </w:rPr>
      </w:pPr>
    </w:p>
    <w:p w14:paraId="453AEDD8" w14:textId="77777777" w:rsidR="00C5595F" w:rsidRPr="00C76457" w:rsidRDefault="00C5595F" w:rsidP="00C5595F">
      <w:pPr>
        <w:spacing w:after="0"/>
        <w:ind w:left="-76"/>
        <w:jc w:val="both"/>
        <w:rPr>
          <w:rFonts w:ascii="Arial" w:hAnsi="Arial" w:cs="Arial"/>
          <w:u w:val="single"/>
        </w:rPr>
      </w:pPr>
      <w:r w:rsidRPr="00C76457">
        <w:rPr>
          <w:rFonts w:ascii="Arial" w:hAnsi="Arial" w:cs="Arial"/>
          <w:u w:val="single"/>
        </w:rPr>
        <w:t>Articulación de capacidades, abastecimiento y coordinación de la cadena</w:t>
      </w:r>
    </w:p>
    <w:p w14:paraId="4BCCA61F" w14:textId="77777777" w:rsidR="00AB7C32" w:rsidRPr="00C76457" w:rsidRDefault="00AB7C32" w:rsidP="00346D73">
      <w:pPr>
        <w:spacing w:after="0"/>
        <w:ind w:left="-76"/>
        <w:jc w:val="both"/>
        <w:rPr>
          <w:rFonts w:ascii="Arial" w:hAnsi="Arial" w:cs="Arial"/>
        </w:rPr>
      </w:pPr>
    </w:p>
    <w:p w14:paraId="2EC51196" w14:textId="36F79377" w:rsidR="00D324FB" w:rsidRPr="00C76457" w:rsidRDefault="00D324FB" w:rsidP="00D324FB">
      <w:pPr>
        <w:spacing w:after="0"/>
        <w:ind w:left="-76"/>
        <w:jc w:val="both"/>
        <w:rPr>
          <w:rFonts w:ascii="Arial" w:hAnsi="Arial" w:cs="Arial"/>
        </w:rPr>
      </w:pPr>
      <w:r w:rsidRPr="00C76457">
        <w:rPr>
          <w:rFonts w:ascii="Arial" w:hAnsi="Arial" w:cs="Arial"/>
        </w:rPr>
        <w:t xml:space="preserve">En desmantelamiento de EDS, es común que un contratista integrador coordine </w:t>
      </w:r>
      <w:proofErr w:type="spellStart"/>
      <w:r w:rsidRPr="00C76457">
        <w:rPr>
          <w:rFonts w:ascii="Arial" w:hAnsi="Arial" w:cs="Arial"/>
        </w:rPr>
        <w:t>subservicios</w:t>
      </w:r>
      <w:proofErr w:type="spellEnd"/>
      <w:r w:rsidRPr="00C76457">
        <w:rPr>
          <w:rFonts w:ascii="Arial" w:hAnsi="Arial" w:cs="Arial"/>
        </w:rPr>
        <w:t xml:space="preserve"> especializados como: desgasificación/limpieza de tanques, excavación y retiro, transporte especializado, gestión de residuos peligrosos (RESPEL) y, cuando aplica, caracterización o remediación. Esta estructura no es opcional: responde a que cada subcomponente exige </w:t>
      </w:r>
      <w:r w:rsidRPr="00C76457">
        <w:rPr>
          <w:rFonts w:ascii="Arial" w:hAnsi="Arial" w:cs="Arial"/>
        </w:rPr>
        <w:lastRenderedPageBreak/>
        <w:t>capacidades técnicas y habilitaciones distintas (ambientales, de transporte, HSE) y disponibilidad territorial.</w:t>
      </w:r>
    </w:p>
    <w:p w14:paraId="73F2753C" w14:textId="77777777" w:rsidR="00D324FB" w:rsidRPr="00C76457" w:rsidRDefault="00D324FB" w:rsidP="00D324FB">
      <w:pPr>
        <w:spacing w:after="0"/>
        <w:ind w:left="-76"/>
        <w:jc w:val="both"/>
        <w:rPr>
          <w:rFonts w:ascii="Arial" w:hAnsi="Arial" w:cs="Arial"/>
        </w:rPr>
      </w:pPr>
    </w:p>
    <w:p w14:paraId="5940847A" w14:textId="79BEA436" w:rsidR="00D324FB" w:rsidRPr="00C76457" w:rsidRDefault="00D324FB" w:rsidP="00D324FB">
      <w:pPr>
        <w:spacing w:after="0"/>
        <w:ind w:left="-76"/>
        <w:jc w:val="both"/>
        <w:rPr>
          <w:rFonts w:ascii="Arial" w:hAnsi="Arial" w:cs="Arial"/>
        </w:rPr>
      </w:pPr>
      <w:r w:rsidRPr="00C76457">
        <w:rPr>
          <w:rFonts w:ascii="Arial" w:hAnsi="Arial" w:cs="Arial"/>
        </w:rPr>
        <w:t>Un eslabón determinante en esta etapa es la contratación de gestores RESPEL autorizados, ya que la prestación puede producir residuos que requieren manejo especializado. En Bogotá, la Secretaría Distrital de Ambiente publica un listado oficial de gestores RESPEL con empresas, actos administrativos y actividades/residuos aprobados; esta fuente permite verificar oferta habilitada para componentes críticos de la cadena (almacenamiento, aprovechamiento y/o disposición según el residuo).</w:t>
      </w:r>
    </w:p>
    <w:p w14:paraId="427026BA" w14:textId="77777777" w:rsidR="00791712" w:rsidRPr="00C76457" w:rsidRDefault="00791712" w:rsidP="00D324FB">
      <w:pPr>
        <w:spacing w:after="0"/>
        <w:ind w:left="-76"/>
        <w:jc w:val="both"/>
        <w:rPr>
          <w:rFonts w:ascii="Arial" w:hAnsi="Arial" w:cs="Arial"/>
        </w:rPr>
      </w:pPr>
    </w:p>
    <w:p w14:paraId="1B27261F" w14:textId="1BBC4E48" w:rsidR="00D324FB" w:rsidRPr="00C76457" w:rsidRDefault="00D324FB" w:rsidP="00D324FB">
      <w:pPr>
        <w:spacing w:after="0"/>
        <w:ind w:left="-76"/>
        <w:jc w:val="both"/>
        <w:rPr>
          <w:rFonts w:ascii="Arial" w:hAnsi="Arial" w:cs="Arial"/>
        </w:rPr>
      </w:pPr>
      <w:r w:rsidRPr="00C76457">
        <w:rPr>
          <w:rFonts w:ascii="Arial" w:hAnsi="Arial" w:cs="Arial"/>
        </w:rPr>
        <w:t>La logística y coordinación de la cadena se vuelve más exigente cuando el servicio implica transporte de mercancías peligrosas (por ejemplo, residuos o materiales contaminados). En Colombia, el manejo y transporte terrestre automotor de mercancías peligrosas por carretera se reglamenta mediante el Decreto 1609 de 2002, y el sector transporte se compila normativamente en el Decreto 1079 de 2015 (DUR sector Transporte). En consecuencia, la oferta del servicio depende de la disponibilidad de transportadores habilitados, documentación y condiciones de seguridad, y de una coordinación que garantice cumplimiento en cargue, movilización y entrega a gestores autorizados.</w:t>
      </w:r>
    </w:p>
    <w:p w14:paraId="45BD9AF5" w14:textId="77777777" w:rsidR="00D324FB" w:rsidRPr="00C76457" w:rsidRDefault="00D324FB" w:rsidP="00D324FB">
      <w:pPr>
        <w:spacing w:after="0"/>
        <w:ind w:left="-76"/>
        <w:jc w:val="both"/>
        <w:rPr>
          <w:rFonts w:ascii="Arial" w:hAnsi="Arial" w:cs="Arial"/>
        </w:rPr>
      </w:pPr>
    </w:p>
    <w:p w14:paraId="2350E98E" w14:textId="2583DBAF" w:rsidR="00C5595F" w:rsidRPr="00C76457" w:rsidRDefault="00D324FB" w:rsidP="00D324FB">
      <w:pPr>
        <w:spacing w:after="0"/>
        <w:ind w:left="-76"/>
        <w:jc w:val="both"/>
        <w:rPr>
          <w:rFonts w:ascii="Arial" w:hAnsi="Arial" w:cs="Arial"/>
        </w:rPr>
      </w:pPr>
      <w:r w:rsidRPr="00C76457">
        <w:rPr>
          <w:rFonts w:ascii="Arial" w:hAnsi="Arial" w:cs="Arial"/>
        </w:rPr>
        <w:t xml:space="preserve">Finalmente, para fines de mercado (especialmente cuando se trata de demanda pública), la articulación de oferta se apoya en fuentes institucionales que permiten identificar actores con experiencia verificable. SECOP II habilita consulta de procesos y, además, el Estado dispone el conjunto de datos oficial “SECOP II – Contratos Electrónicos” en Datos Abiertos, útil para rastrear contratos, proveedores y objetos contractuales relacionados con servicios similares. Esto permite que la oferta no se describa solo “por presencia web”, sino por evidencia de participación en contratación pública y trazabilidad de ejecución histórica. </w:t>
      </w:r>
    </w:p>
    <w:p w14:paraId="5E984202" w14:textId="77777777" w:rsidR="000C0D15" w:rsidRPr="00C76457" w:rsidRDefault="000C0D15" w:rsidP="00346D73">
      <w:pPr>
        <w:spacing w:after="0"/>
        <w:ind w:left="-76"/>
        <w:jc w:val="both"/>
        <w:rPr>
          <w:rFonts w:ascii="Arial" w:hAnsi="Arial" w:cs="Arial"/>
        </w:rPr>
      </w:pPr>
    </w:p>
    <w:p w14:paraId="59583CF9" w14:textId="77777777" w:rsidR="00BB257F" w:rsidRPr="00C76457" w:rsidRDefault="00BB257F" w:rsidP="00BB257F">
      <w:pPr>
        <w:spacing w:after="0"/>
        <w:ind w:left="-76"/>
        <w:jc w:val="both"/>
        <w:rPr>
          <w:rFonts w:ascii="Arial" w:hAnsi="Arial" w:cs="Arial"/>
          <w:u w:val="single"/>
        </w:rPr>
      </w:pPr>
      <w:r w:rsidRPr="00C76457">
        <w:rPr>
          <w:rFonts w:ascii="Arial" w:hAnsi="Arial" w:cs="Arial"/>
          <w:u w:val="single"/>
        </w:rPr>
        <w:t>Ejecución en campo, entrega técnica y cierre del servicio</w:t>
      </w:r>
    </w:p>
    <w:p w14:paraId="43C7DFA0" w14:textId="77777777" w:rsidR="000E1EED" w:rsidRPr="00C76457" w:rsidRDefault="000E1EED" w:rsidP="00346D73">
      <w:pPr>
        <w:spacing w:after="0"/>
        <w:ind w:left="-76"/>
        <w:jc w:val="both"/>
        <w:rPr>
          <w:rFonts w:ascii="Arial" w:hAnsi="Arial" w:cs="Arial"/>
          <w:u w:val="single"/>
        </w:rPr>
      </w:pPr>
    </w:p>
    <w:p w14:paraId="0B3FFD36" w14:textId="6D9060D5" w:rsidR="00557F39" w:rsidRPr="00C76457" w:rsidRDefault="00557F39" w:rsidP="00557F39">
      <w:pPr>
        <w:spacing w:after="0"/>
        <w:ind w:left="-76"/>
        <w:jc w:val="both"/>
        <w:rPr>
          <w:rFonts w:ascii="Arial" w:hAnsi="Arial" w:cs="Arial"/>
        </w:rPr>
      </w:pPr>
      <w:r w:rsidRPr="00C76457">
        <w:rPr>
          <w:rFonts w:ascii="Arial" w:hAnsi="Arial" w:cs="Arial"/>
        </w:rPr>
        <w:t xml:space="preserve">La fase final corresponde a la ejecución en sitio y la entrega verificable del servicio, que incluye intervención física, control HSEQ, gestión de residuos, restitución y cierre documental. En esta etapa se materializa el desmantelamiento mediante actividades típicas: aislamiento y </w:t>
      </w:r>
      <w:proofErr w:type="spellStart"/>
      <w:r w:rsidRPr="00C76457">
        <w:rPr>
          <w:rFonts w:ascii="Arial" w:hAnsi="Arial" w:cs="Arial"/>
        </w:rPr>
        <w:t>desenergización</w:t>
      </w:r>
      <w:proofErr w:type="spellEnd"/>
      <w:r w:rsidRPr="00C76457">
        <w:rPr>
          <w:rFonts w:ascii="Arial" w:hAnsi="Arial" w:cs="Arial"/>
        </w:rPr>
        <w:t>, vaciado y limpieza/desgasificación, excavación, retiro de tanques y tuberías, demolición parcial o adecuación civil, embalaje de residuos y restitución del área. La ejecución debe mantenerse alineada con exigencias de seguridad y control sobre infraestructura regulada por el reglamento técnico sectorial</w:t>
      </w:r>
    </w:p>
    <w:p w14:paraId="60A65AEA" w14:textId="77777777" w:rsidR="00C759C4" w:rsidRPr="00C76457" w:rsidRDefault="00C759C4" w:rsidP="00557F39">
      <w:pPr>
        <w:spacing w:after="0"/>
        <w:ind w:left="-76"/>
        <w:jc w:val="both"/>
        <w:rPr>
          <w:rFonts w:ascii="Arial" w:hAnsi="Arial" w:cs="Arial"/>
        </w:rPr>
      </w:pPr>
    </w:p>
    <w:p w14:paraId="30E1AF73" w14:textId="6B86F364" w:rsidR="00557F39" w:rsidRPr="00C76457" w:rsidRDefault="00557F39" w:rsidP="00557F39">
      <w:pPr>
        <w:spacing w:after="0"/>
        <w:ind w:left="-76"/>
        <w:jc w:val="both"/>
        <w:rPr>
          <w:rFonts w:ascii="Arial" w:hAnsi="Arial" w:cs="Arial"/>
        </w:rPr>
      </w:pPr>
      <w:r w:rsidRPr="00C76457">
        <w:rPr>
          <w:rFonts w:ascii="Arial" w:hAnsi="Arial" w:cs="Arial"/>
        </w:rPr>
        <w:t>Cuando la intervención incluye desconexiones o modificaciones eléctricas, la ejecución debe considerar el marco técnico obligatorio del RETIE, publicado por el Ministerio de Minas y Energí</w:t>
      </w:r>
      <w:r w:rsidR="00CB40A0" w:rsidRPr="00C76457">
        <w:rPr>
          <w:rFonts w:ascii="Arial" w:hAnsi="Arial" w:cs="Arial"/>
        </w:rPr>
        <w:t>a. E</w:t>
      </w:r>
      <w:r w:rsidRPr="00C76457">
        <w:rPr>
          <w:rFonts w:ascii="Arial" w:hAnsi="Arial" w:cs="Arial"/>
        </w:rPr>
        <w:t xml:space="preserve">ste reglamento es referencia obligatoria para instalaciones eléctricas y evaluación de conformidad, lo que afecta la forma como se planifica y ejecuta la </w:t>
      </w:r>
      <w:proofErr w:type="spellStart"/>
      <w:r w:rsidRPr="00C76457">
        <w:rPr>
          <w:rFonts w:ascii="Arial" w:hAnsi="Arial" w:cs="Arial"/>
        </w:rPr>
        <w:t>desenergización</w:t>
      </w:r>
      <w:proofErr w:type="spellEnd"/>
      <w:r w:rsidRPr="00C76457">
        <w:rPr>
          <w:rFonts w:ascii="Arial" w:hAnsi="Arial" w:cs="Arial"/>
        </w:rPr>
        <w:t xml:space="preserve"> y el retiro seguro de componentes eléctricos en instalaciones. Como referencia técnica nacional </w:t>
      </w:r>
      <w:r w:rsidRPr="00C76457">
        <w:rPr>
          <w:rFonts w:ascii="Arial" w:hAnsi="Arial" w:cs="Arial"/>
        </w:rPr>
        <w:lastRenderedPageBreak/>
        <w:t>complementaria, la NTC 2050 (Código Eléctrico Colombiano) se mantiene como estándar ampliamente utilizado, verificable a través de la oferta normativa de ICONTEC.</w:t>
      </w:r>
    </w:p>
    <w:p w14:paraId="769F6F1E" w14:textId="77777777" w:rsidR="0094202D" w:rsidRPr="00C76457" w:rsidRDefault="0094202D" w:rsidP="00557F39">
      <w:pPr>
        <w:spacing w:after="0"/>
        <w:ind w:left="-76"/>
        <w:jc w:val="both"/>
        <w:rPr>
          <w:rFonts w:ascii="Arial" w:hAnsi="Arial" w:cs="Arial"/>
        </w:rPr>
      </w:pPr>
    </w:p>
    <w:p w14:paraId="6304957F" w14:textId="06E85208" w:rsidR="007C077B" w:rsidRPr="00C76457" w:rsidRDefault="00557F39" w:rsidP="007C077B">
      <w:pPr>
        <w:spacing w:after="0"/>
        <w:ind w:left="-76"/>
        <w:jc w:val="both"/>
        <w:rPr>
          <w:rFonts w:ascii="Arial" w:hAnsi="Arial" w:cs="Arial"/>
        </w:rPr>
      </w:pPr>
      <w:r w:rsidRPr="00C76457">
        <w:rPr>
          <w:rFonts w:ascii="Arial" w:hAnsi="Arial" w:cs="Arial"/>
        </w:rPr>
        <w:t>El cierre del servicio se soporta en evidencias documentales: certificados de disposición/gestión de residuos, actas de entrega, reportes de seguridad, registros de inspección y soportes de cumplimiento de permisos. En el componente ambiental, la trazabilidad se fortalece al verificar que los gestores utilizados están incluidos en listados oficiales y cuentan con autorizaciones vigentes para el alcance contratado, como se evidencia en el listado oficial de gestores RESPEL en Bogotá</w:t>
      </w:r>
      <w:r w:rsidR="000161D3" w:rsidRPr="00C76457">
        <w:rPr>
          <w:rFonts w:ascii="Arial" w:hAnsi="Arial" w:cs="Arial"/>
        </w:rPr>
        <w:t>.</w:t>
      </w:r>
      <w:r w:rsidRPr="00C76457">
        <w:rPr>
          <w:rFonts w:ascii="Arial" w:hAnsi="Arial" w:cs="Arial"/>
        </w:rPr>
        <w:t xml:space="preserve"> En SST, el cierre debe ser consistente con las obligaciones del SG</w:t>
      </w:r>
      <w:r w:rsidRPr="00C76457">
        <w:rPr>
          <w:rFonts w:ascii="Cambria Math" w:hAnsi="Cambria Math" w:cs="Cambria Math"/>
        </w:rPr>
        <w:t>‑</w:t>
      </w:r>
      <w:r w:rsidRPr="00C76457">
        <w:rPr>
          <w:rFonts w:ascii="Arial" w:hAnsi="Arial" w:cs="Arial"/>
        </w:rPr>
        <w:t>SST (DUR Trabajo) y con los estándares mínimos, que exigen mecanismos de seguimiento, investigación de incidentes, capacitación y mejora continua según aplique.</w:t>
      </w:r>
    </w:p>
    <w:p w14:paraId="024D42DE" w14:textId="77777777" w:rsidR="007C077B" w:rsidRPr="00C76457" w:rsidRDefault="007C077B" w:rsidP="007C077B">
      <w:pPr>
        <w:spacing w:after="0"/>
        <w:ind w:left="-76"/>
        <w:jc w:val="both"/>
        <w:rPr>
          <w:rFonts w:ascii="Arial" w:hAnsi="Arial" w:cs="Arial"/>
        </w:rPr>
      </w:pPr>
    </w:p>
    <w:p w14:paraId="6B4492D8" w14:textId="2AA9CA6F" w:rsidR="007C077B" w:rsidRPr="00C76457" w:rsidRDefault="007C077B" w:rsidP="007C077B">
      <w:pPr>
        <w:spacing w:after="0"/>
        <w:ind w:left="-76"/>
        <w:jc w:val="both"/>
        <w:rPr>
          <w:rFonts w:ascii="Arial" w:hAnsi="Arial" w:cs="Arial"/>
        </w:rPr>
      </w:pPr>
      <w:r w:rsidRPr="00C76457">
        <w:rPr>
          <w:rFonts w:ascii="Arial" w:hAnsi="Arial" w:cs="Arial"/>
        </w:rPr>
        <w:t xml:space="preserve">A continuación, se muestra un resumen de los aspectos más representativos de la dinámica de </w:t>
      </w:r>
      <w:r w:rsidR="00280E84" w:rsidRPr="00C76457">
        <w:rPr>
          <w:rFonts w:ascii="Arial" w:hAnsi="Arial" w:cs="Arial"/>
        </w:rPr>
        <w:t>la cadena de prestación del servicio para el desmantelamiento de estaciones de servicio:</w:t>
      </w:r>
    </w:p>
    <w:p w14:paraId="609231BE" w14:textId="77777777" w:rsidR="00280E84" w:rsidRPr="00C76457" w:rsidRDefault="00280E84" w:rsidP="007C077B">
      <w:pPr>
        <w:spacing w:after="0"/>
        <w:ind w:left="-76"/>
        <w:jc w:val="both"/>
        <w:rPr>
          <w:rFonts w:ascii="Arial" w:hAnsi="Arial" w:cs="Arial"/>
        </w:rPr>
      </w:pPr>
    </w:p>
    <w:tbl>
      <w:tblPr>
        <w:tblStyle w:val="Tablaconcuadrcula1"/>
        <w:tblW w:w="0" w:type="auto"/>
        <w:tblLook w:val="04A0" w:firstRow="1" w:lastRow="0" w:firstColumn="1" w:lastColumn="0" w:noHBand="0" w:noVBand="1"/>
      </w:tblPr>
      <w:tblGrid>
        <w:gridCol w:w="1750"/>
        <w:gridCol w:w="3390"/>
        <w:gridCol w:w="3562"/>
      </w:tblGrid>
      <w:tr w:rsidR="0047359F" w:rsidRPr="00207FA4" w14:paraId="7D523BC0" w14:textId="77777777" w:rsidTr="004E4D5E">
        <w:trPr>
          <w:trHeight w:val="574"/>
        </w:trPr>
        <w:tc>
          <w:tcPr>
            <w:tcW w:w="1750" w:type="dxa"/>
            <w:vAlign w:val="center"/>
            <w:hideMark/>
          </w:tcPr>
          <w:p w14:paraId="27B11A06" w14:textId="77777777" w:rsidR="0047359F" w:rsidRPr="00207FA4" w:rsidRDefault="0047359F" w:rsidP="004E4D5E">
            <w:pPr>
              <w:spacing w:line="276" w:lineRule="auto"/>
              <w:ind w:left="-76"/>
              <w:jc w:val="center"/>
              <w:rPr>
                <w:rFonts w:ascii="Arial" w:hAnsi="Arial" w:cs="Arial"/>
                <w:b/>
                <w:bCs/>
                <w:sz w:val="20"/>
                <w:szCs w:val="20"/>
              </w:rPr>
            </w:pPr>
            <w:r w:rsidRPr="00207FA4">
              <w:rPr>
                <w:rFonts w:ascii="Arial" w:hAnsi="Arial" w:cs="Arial"/>
                <w:b/>
                <w:bCs/>
                <w:sz w:val="20"/>
                <w:szCs w:val="20"/>
              </w:rPr>
              <w:t>Aspecto</w:t>
            </w:r>
          </w:p>
        </w:tc>
        <w:tc>
          <w:tcPr>
            <w:tcW w:w="3390" w:type="dxa"/>
            <w:vAlign w:val="center"/>
            <w:hideMark/>
          </w:tcPr>
          <w:p w14:paraId="504013E6" w14:textId="77777777" w:rsidR="0047359F" w:rsidRPr="00207FA4" w:rsidRDefault="0047359F" w:rsidP="004E4D5E">
            <w:pPr>
              <w:spacing w:line="276" w:lineRule="auto"/>
              <w:ind w:left="-76"/>
              <w:jc w:val="center"/>
              <w:rPr>
                <w:rFonts w:ascii="Arial" w:hAnsi="Arial" w:cs="Arial"/>
                <w:b/>
                <w:bCs/>
                <w:sz w:val="20"/>
                <w:szCs w:val="20"/>
              </w:rPr>
            </w:pPr>
            <w:r w:rsidRPr="00207FA4">
              <w:rPr>
                <w:rFonts w:ascii="Arial" w:hAnsi="Arial" w:cs="Arial"/>
                <w:b/>
                <w:bCs/>
                <w:sz w:val="20"/>
                <w:szCs w:val="20"/>
              </w:rPr>
              <w:t>Colombia</w:t>
            </w:r>
          </w:p>
        </w:tc>
        <w:tc>
          <w:tcPr>
            <w:tcW w:w="3562" w:type="dxa"/>
            <w:vAlign w:val="center"/>
            <w:hideMark/>
          </w:tcPr>
          <w:p w14:paraId="45482F7A" w14:textId="77777777" w:rsidR="0047359F" w:rsidRPr="00207FA4" w:rsidRDefault="0047359F" w:rsidP="004E4D5E">
            <w:pPr>
              <w:spacing w:line="276" w:lineRule="auto"/>
              <w:ind w:left="-76"/>
              <w:jc w:val="center"/>
              <w:rPr>
                <w:rFonts w:ascii="Arial" w:hAnsi="Arial" w:cs="Arial"/>
                <w:b/>
                <w:bCs/>
                <w:sz w:val="20"/>
                <w:szCs w:val="20"/>
              </w:rPr>
            </w:pPr>
            <w:r w:rsidRPr="00207FA4">
              <w:rPr>
                <w:rFonts w:ascii="Arial" w:hAnsi="Arial" w:cs="Arial"/>
                <w:b/>
                <w:bCs/>
                <w:sz w:val="20"/>
                <w:szCs w:val="20"/>
              </w:rPr>
              <w:t>Internacional</w:t>
            </w:r>
          </w:p>
        </w:tc>
      </w:tr>
      <w:tr w:rsidR="0047359F" w:rsidRPr="00207FA4" w14:paraId="394C106D" w14:textId="77777777" w:rsidTr="004E4D5E">
        <w:trPr>
          <w:trHeight w:val="1746"/>
        </w:trPr>
        <w:tc>
          <w:tcPr>
            <w:tcW w:w="1750" w:type="dxa"/>
            <w:vAlign w:val="center"/>
            <w:hideMark/>
          </w:tcPr>
          <w:p w14:paraId="56CB2C2F" w14:textId="701A24B6"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b/>
                <w:bCs/>
                <w:sz w:val="20"/>
                <w:szCs w:val="20"/>
              </w:rPr>
              <w:t xml:space="preserve">Capacidad operativa </w:t>
            </w:r>
          </w:p>
        </w:tc>
        <w:tc>
          <w:tcPr>
            <w:tcW w:w="3390" w:type="dxa"/>
            <w:vAlign w:val="center"/>
            <w:hideMark/>
          </w:tcPr>
          <w:p w14:paraId="4B6AF598"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Prestación basada en capacidad técnica disponible (cuadrillas, maquinaria, HSEQ), usualmente integrada por contratista principal y especialistas.</w:t>
            </w:r>
          </w:p>
        </w:tc>
        <w:tc>
          <w:tcPr>
            <w:tcW w:w="3562" w:type="dxa"/>
            <w:vAlign w:val="center"/>
            <w:hideMark/>
          </w:tcPr>
          <w:p w14:paraId="615C9EFC"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Prestación más estandarizada, con cadenas de servicio maduras y procedimientos ampliamente normalizados para cierre y retiro de activos.</w:t>
            </w:r>
          </w:p>
        </w:tc>
      </w:tr>
      <w:tr w:rsidR="0047359F" w:rsidRPr="00207FA4" w14:paraId="63F249BA" w14:textId="77777777" w:rsidTr="004E4D5E">
        <w:trPr>
          <w:trHeight w:val="1746"/>
        </w:trPr>
        <w:tc>
          <w:tcPr>
            <w:tcW w:w="1750" w:type="dxa"/>
            <w:vAlign w:val="center"/>
            <w:hideMark/>
          </w:tcPr>
          <w:p w14:paraId="361EE823" w14:textId="1C2D5A3D"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b/>
                <w:bCs/>
                <w:sz w:val="20"/>
                <w:szCs w:val="20"/>
              </w:rPr>
              <w:t xml:space="preserve">Articulación de proveedores </w:t>
            </w:r>
          </w:p>
        </w:tc>
        <w:tc>
          <w:tcPr>
            <w:tcW w:w="3390" w:type="dxa"/>
            <w:vAlign w:val="center"/>
            <w:hideMark/>
          </w:tcPr>
          <w:p w14:paraId="5ABC4594"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Fragmentada y territorial: requiere integrar subcontratos (tanques/desgasificación, obra civil, RESPEL, remediación, transporte) según permisos y disponibilidad local.</w:t>
            </w:r>
          </w:p>
        </w:tc>
        <w:tc>
          <w:tcPr>
            <w:tcW w:w="3562" w:type="dxa"/>
            <w:vAlign w:val="center"/>
            <w:hideMark/>
          </w:tcPr>
          <w:p w14:paraId="03C627D2"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Red global con proveedores especializados y mayor interoperabilidad; persisten diferencias regulatorias entre países que afectan comparabilidad.</w:t>
            </w:r>
          </w:p>
        </w:tc>
      </w:tr>
      <w:tr w:rsidR="0047359F" w:rsidRPr="00207FA4" w14:paraId="53439E82" w14:textId="77777777" w:rsidTr="004E4D5E">
        <w:trPr>
          <w:trHeight w:val="1746"/>
        </w:trPr>
        <w:tc>
          <w:tcPr>
            <w:tcW w:w="1750" w:type="dxa"/>
            <w:vAlign w:val="center"/>
            <w:hideMark/>
          </w:tcPr>
          <w:p w14:paraId="61034560" w14:textId="12EB8D76"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b/>
                <w:bCs/>
                <w:sz w:val="20"/>
                <w:szCs w:val="20"/>
              </w:rPr>
              <w:t xml:space="preserve">Ejecución y cierre </w:t>
            </w:r>
          </w:p>
        </w:tc>
        <w:tc>
          <w:tcPr>
            <w:tcW w:w="3390" w:type="dxa"/>
            <w:vAlign w:val="center"/>
            <w:hideMark/>
          </w:tcPr>
          <w:p w14:paraId="558967CA"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Ejecución por frentes (aislamiento, retiro, excavación, gestión de residuos, restitución) con alta carga documental y coordinación urbana.</w:t>
            </w:r>
          </w:p>
        </w:tc>
        <w:tc>
          <w:tcPr>
            <w:tcW w:w="3562" w:type="dxa"/>
            <w:vAlign w:val="center"/>
            <w:hideMark/>
          </w:tcPr>
          <w:p w14:paraId="135F8A26"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Ejecución acelerada en mercados con marcos técnicos consolidados; mayor uso de estándares sectoriales y mejores prácticas homogéneas.</w:t>
            </w:r>
          </w:p>
        </w:tc>
      </w:tr>
      <w:tr w:rsidR="0047359F" w:rsidRPr="00207FA4" w14:paraId="19A88505" w14:textId="77777777" w:rsidTr="004E4D5E">
        <w:trPr>
          <w:trHeight w:val="1746"/>
        </w:trPr>
        <w:tc>
          <w:tcPr>
            <w:tcW w:w="1750" w:type="dxa"/>
            <w:vAlign w:val="center"/>
            <w:hideMark/>
          </w:tcPr>
          <w:p w14:paraId="6424BEBC" w14:textId="6D050D4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b/>
                <w:bCs/>
                <w:sz w:val="20"/>
                <w:szCs w:val="20"/>
              </w:rPr>
              <w:t xml:space="preserve">Marco habilitante </w:t>
            </w:r>
          </w:p>
        </w:tc>
        <w:tc>
          <w:tcPr>
            <w:tcW w:w="3390" w:type="dxa"/>
            <w:vAlign w:val="center"/>
            <w:hideMark/>
          </w:tcPr>
          <w:p w14:paraId="70B62682"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Predomina el cumplimiento regulatorio (hidrocarburos, ambiente, SST, transporte de peligrosos) y la contratación pública como canal relevante de demanda.</w:t>
            </w:r>
          </w:p>
        </w:tc>
        <w:tc>
          <w:tcPr>
            <w:tcW w:w="3562" w:type="dxa"/>
            <w:vAlign w:val="center"/>
            <w:hideMark/>
          </w:tcPr>
          <w:p w14:paraId="16F03EDE" w14:textId="77777777" w:rsidR="0047359F" w:rsidRPr="00207FA4" w:rsidRDefault="0047359F" w:rsidP="004E4D5E">
            <w:pPr>
              <w:spacing w:line="276" w:lineRule="auto"/>
              <w:ind w:left="-76"/>
              <w:jc w:val="center"/>
              <w:rPr>
                <w:rFonts w:ascii="Arial" w:hAnsi="Arial" w:cs="Arial"/>
                <w:sz w:val="20"/>
                <w:szCs w:val="20"/>
              </w:rPr>
            </w:pPr>
            <w:r w:rsidRPr="00207FA4">
              <w:rPr>
                <w:rFonts w:ascii="Arial" w:hAnsi="Arial" w:cs="Arial"/>
                <w:sz w:val="20"/>
                <w:szCs w:val="20"/>
              </w:rPr>
              <w:t>Mayor presencia de políticas de gestión de pasivos y obligaciones de cierre (incluida responsabilidad extendida del operador), con guías técnicas sectoriales consolidadas.</w:t>
            </w:r>
          </w:p>
        </w:tc>
      </w:tr>
    </w:tbl>
    <w:p w14:paraId="19720539" w14:textId="4F09BC07" w:rsidR="005045AA" w:rsidRPr="00C76457" w:rsidRDefault="005045AA" w:rsidP="005045AA">
      <w:pPr>
        <w:spacing w:after="0"/>
        <w:ind w:left="-76"/>
        <w:jc w:val="both"/>
        <w:rPr>
          <w:rFonts w:ascii="Arial" w:hAnsi="Arial" w:cs="Arial"/>
          <w:b/>
          <w:bCs/>
        </w:rPr>
      </w:pPr>
      <w:r w:rsidRPr="00C76457">
        <w:rPr>
          <w:rFonts w:ascii="Arial" w:hAnsi="Arial" w:cs="Arial"/>
          <w:b/>
          <w:bCs/>
        </w:rPr>
        <w:lastRenderedPageBreak/>
        <w:t>Análisis de la Cadena de Prestación del Servicio de Desmantelamiento de Infraestructura de Hidrocarburos y Estaciones de Servicio (EDS) en Colombia</w:t>
      </w:r>
    </w:p>
    <w:p w14:paraId="7059F904" w14:textId="77777777" w:rsidR="00280E84" w:rsidRPr="00C76457" w:rsidRDefault="00280E84" w:rsidP="007C077B">
      <w:pPr>
        <w:spacing w:after="0"/>
        <w:ind w:left="-76"/>
        <w:jc w:val="both"/>
        <w:rPr>
          <w:rFonts w:ascii="Arial" w:hAnsi="Arial" w:cs="Arial"/>
        </w:rPr>
      </w:pPr>
    </w:p>
    <w:p w14:paraId="457B94DD" w14:textId="77777777" w:rsidR="00A50816" w:rsidRPr="00C76457" w:rsidRDefault="003701EB" w:rsidP="007C077B">
      <w:pPr>
        <w:spacing w:after="0"/>
        <w:ind w:left="-76"/>
        <w:jc w:val="both"/>
        <w:rPr>
          <w:rFonts w:ascii="Arial" w:hAnsi="Arial" w:cs="Arial"/>
        </w:rPr>
      </w:pPr>
      <w:r w:rsidRPr="00C76457">
        <w:rPr>
          <w:rFonts w:ascii="Arial" w:hAnsi="Arial" w:cs="Arial"/>
        </w:rPr>
        <w:t>En Colombia, la cadena de prestación del servicio de desmantelamiento de infraestructura asociada a hidrocarburos y EDS opera como una red de servicios especializados, más que como una cadena de distribución de bienes. Su consolidación depende de la articulación entre</w:t>
      </w:r>
      <w:r w:rsidR="00A50816" w:rsidRPr="00C76457">
        <w:rPr>
          <w:rFonts w:ascii="Arial" w:hAnsi="Arial" w:cs="Arial"/>
        </w:rPr>
        <w:t xml:space="preserve"> los actores y sectores:</w:t>
      </w:r>
    </w:p>
    <w:p w14:paraId="1D79491B" w14:textId="22FC55FD" w:rsidR="003701EB" w:rsidRPr="00C76457" w:rsidRDefault="003701EB" w:rsidP="007C077B">
      <w:pPr>
        <w:spacing w:after="0"/>
        <w:ind w:left="-76"/>
        <w:jc w:val="both"/>
        <w:rPr>
          <w:rFonts w:ascii="Arial" w:hAnsi="Arial" w:cs="Arial"/>
        </w:rPr>
      </w:pPr>
      <w:r w:rsidRPr="00C76457">
        <w:rPr>
          <w:rFonts w:ascii="Arial" w:hAnsi="Arial" w:cs="Arial"/>
        </w:rPr>
        <w:t xml:space="preserve"> </w:t>
      </w:r>
    </w:p>
    <w:p w14:paraId="5A90DC90" w14:textId="026A77AD" w:rsidR="003701EB" w:rsidRPr="00C76457" w:rsidRDefault="003701EB" w:rsidP="00426B90">
      <w:pPr>
        <w:pStyle w:val="Prrafodelista"/>
        <w:numPr>
          <w:ilvl w:val="0"/>
          <w:numId w:val="20"/>
        </w:numPr>
        <w:spacing w:after="0"/>
        <w:jc w:val="both"/>
        <w:rPr>
          <w:rFonts w:ascii="Arial" w:hAnsi="Arial" w:cs="Arial"/>
        </w:rPr>
      </w:pPr>
      <w:r w:rsidRPr="00C76457">
        <w:rPr>
          <w:rFonts w:ascii="Arial" w:hAnsi="Arial" w:cs="Arial"/>
        </w:rPr>
        <w:t xml:space="preserve">un contratista integrador (que coordina el proyecto) </w:t>
      </w:r>
    </w:p>
    <w:p w14:paraId="4CA899B8" w14:textId="77777777" w:rsidR="003701EB" w:rsidRPr="00C76457" w:rsidRDefault="003701EB" w:rsidP="00426B90">
      <w:pPr>
        <w:pStyle w:val="Prrafodelista"/>
        <w:numPr>
          <w:ilvl w:val="0"/>
          <w:numId w:val="20"/>
        </w:numPr>
        <w:spacing w:after="0"/>
        <w:jc w:val="both"/>
        <w:rPr>
          <w:rFonts w:ascii="Arial" w:hAnsi="Arial" w:cs="Arial"/>
        </w:rPr>
      </w:pPr>
      <w:proofErr w:type="spellStart"/>
      <w:r w:rsidRPr="00C76457">
        <w:rPr>
          <w:rFonts w:ascii="Arial" w:hAnsi="Arial" w:cs="Arial"/>
        </w:rPr>
        <w:t>Subservicios</w:t>
      </w:r>
      <w:proofErr w:type="spellEnd"/>
      <w:r w:rsidRPr="00C76457">
        <w:rPr>
          <w:rFonts w:ascii="Arial" w:hAnsi="Arial" w:cs="Arial"/>
        </w:rPr>
        <w:t xml:space="preserve"> técnicos (intervención de tanques, obra civil, desmontajes) </w:t>
      </w:r>
    </w:p>
    <w:p w14:paraId="57E6A40E" w14:textId="77777777" w:rsidR="003701EB" w:rsidRPr="00C76457" w:rsidRDefault="003701EB" w:rsidP="00426B90">
      <w:pPr>
        <w:pStyle w:val="Prrafodelista"/>
        <w:numPr>
          <w:ilvl w:val="0"/>
          <w:numId w:val="20"/>
        </w:numPr>
        <w:spacing w:after="0"/>
        <w:jc w:val="both"/>
        <w:rPr>
          <w:rFonts w:ascii="Arial" w:hAnsi="Arial" w:cs="Arial"/>
        </w:rPr>
      </w:pPr>
      <w:r w:rsidRPr="00C76457">
        <w:rPr>
          <w:rFonts w:ascii="Arial" w:hAnsi="Arial" w:cs="Arial"/>
        </w:rPr>
        <w:t xml:space="preserve">Gestión ambiental (especialmente RESPEL) </w:t>
      </w:r>
    </w:p>
    <w:p w14:paraId="049DFA11" w14:textId="2663A611" w:rsidR="005045AA" w:rsidRPr="00C76457" w:rsidRDefault="003701EB" w:rsidP="00426B90">
      <w:pPr>
        <w:pStyle w:val="Prrafodelista"/>
        <w:numPr>
          <w:ilvl w:val="0"/>
          <w:numId w:val="20"/>
        </w:numPr>
        <w:spacing w:after="0"/>
        <w:jc w:val="both"/>
        <w:rPr>
          <w:rFonts w:ascii="Arial" w:hAnsi="Arial" w:cs="Arial"/>
        </w:rPr>
      </w:pPr>
      <w:r w:rsidRPr="00C76457">
        <w:rPr>
          <w:rFonts w:ascii="Arial" w:hAnsi="Arial" w:cs="Arial"/>
        </w:rPr>
        <w:t>Logística regulada (transporte de mercancías peligrosas cuando aplique). Este diseño organizacional está condicionado por el reglamento técnico sectorial de estaciones de servicio y tanques, y por los marcos ambientales y de SST que definen requisitos mínimos de control, trazabilidad y evidencia documental.</w:t>
      </w:r>
    </w:p>
    <w:p w14:paraId="73455AD8" w14:textId="77777777" w:rsidR="00603548" w:rsidRDefault="00603548" w:rsidP="009F67DA">
      <w:pPr>
        <w:spacing w:after="0"/>
        <w:ind w:left="-76"/>
        <w:jc w:val="both"/>
        <w:rPr>
          <w:rFonts w:ascii="Arial" w:hAnsi="Arial" w:cs="Arial"/>
          <w:u w:val="single"/>
        </w:rPr>
      </w:pPr>
    </w:p>
    <w:p w14:paraId="63202827" w14:textId="45875143" w:rsidR="00107B28" w:rsidRPr="00C76457" w:rsidRDefault="00107B28" w:rsidP="00107B28">
      <w:pPr>
        <w:spacing w:after="0"/>
        <w:ind w:left="-76"/>
        <w:jc w:val="both"/>
        <w:rPr>
          <w:rFonts w:ascii="Arial" w:hAnsi="Arial" w:cs="Arial"/>
          <w:u w:val="single"/>
        </w:rPr>
      </w:pPr>
      <w:r w:rsidRPr="00C76457">
        <w:rPr>
          <w:rFonts w:ascii="Arial" w:hAnsi="Arial" w:cs="Arial"/>
          <w:u w:val="single"/>
        </w:rPr>
        <w:t>Estructura nacional</w:t>
      </w:r>
    </w:p>
    <w:p w14:paraId="22F9B129" w14:textId="77777777" w:rsidR="00107B28" w:rsidRPr="00C76457" w:rsidRDefault="00107B28" w:rsidP="00107B28">
      <w:pPr>
        <w:spacing w:after="0"/>
        <w:jc w:val="both"/>
        <w:rPr>
          <w:rFonts w:ascii="Arial" w:hAnsi="Arial" w:cs="Arial"/>
        </w:rPr>
      </w:pPr>
    </w:p>
    <w:p w14:paraId="2C305A0C" w14:textId="34EC68BF" w:rsidR="00107B28" w:rsidRPr="00C76457" w:rsidRDefault="00107B28" w:rsidP="00107B28">
      <w:pPr>
        <w:spacing w:after="0"/>
        <w:ind w:left="-76"/>
        <w:jc w:val="both"/>
        <w:rPr>
          <w:rFonts w:ascii="Arial" w:hAnsi="Arial" w:cs="Arial"/>
        </w:rPr>
      </w:pPr>
      <w:r w:rsidRPr="00C76457">
        <w:rPr>
          <w:rFonts w:ascii="Arial" w:hAnsi="Arial" w:cs="Arial"/>
        </w:rPr>
        <w:t>Intervención sobre infraestructura regulada (EDS y tanques): La prestación se inicia con diagnóstico y planeación sobre instalaciones de combustibles líquidos reguladas por el reglamento técnico aplicable a estaciones de servicio y tanques, lo que condiciona requisitos técnicos y de seguridad del activo antes y durante el retiro o cierre.</w:t>
      </w:r>
    </w:p>
    <w:p w14:paraId="55FB5B0B" w14:textId="77777777" w:rsidR="00107B28" w:rsidRPr="00C76457" w:rsidRDefault="00107B28" w:rsidP="00107B28">
      <w:pPr>
        <w:spacing w:after="0"/>
        <w:ind w:left="-76"/>
        <w:jc w:val="both"/>
        <w:rPr>
          <w:rFonts w:ascii="Arial" w:hAnsi="Arial" w:cs="Arial"/>
        </w:rPr>
      </w:pPr>
    </w:p>
    <w:p w14:paraId="745AB44C" w14:textId="651E1D9D" w:rsidR="00107B28" w:rsidRPr="00C76457" w:rsidRDefault="00107B28" w:rsidP="007A50C0">
      <w:pPr>
        <w:spacing w:after="0"/>
        <w:ind w:left="-76"/>
        <w:jc w:val="both"/>
        <w:rPr>
          <w:rFonts w:ascii="Arial" w:hAnsi="Arial" w:cs="Arial"/>
        </w:rPr>
      </w:pPr>
      <w:r w:rsidRPr="00C76457">
        <w:rPr>
          <w:rFonts w:ascii="Arial" w:hAnsi="Arial" w:cs="Arial"/>
        </w:rPr>
        <w:t>Contratista integrador (coordinación del servicio): La oferta suele concentrarse en un integrador que coordina cronograma, cuadrillas, maquinaria, control HSEQ y documentación, y que articula subcontratos técnicos y ambientales. En contratación pública, la identificación de actores y antecedentes contractuales puede rastrearse en SECOP II y en el conjunto de datos oficial de contratos</w:t>
      </w:r>
      <w:r w:rsidR="007A50C0" w:rsidRPr="00C76457">
        <w:rPr>
          <w:rFonts w:ascii="Arial" w:hAnsi="Arial" w:cs="Arial"/>
        </w:rPr>
        <w:t>.</w:t>
      </w:r>
    </w:p>
    <w:p w14:paraId="56C3CD5B" w14:textId="77777777" w:rsidR="00107B28" w:rsidRPr="00C76457" w:rsidRDefault="00107B28" w:rsidP="00107B28">
      <w:pPr>
        <w:spacing w:after="0"/>
        <w:ind w:left="-76"/>
        <w:jc w:val="both"/>
        <w:rPr>
          <w:rFonts w:ascii="Arial" w:hAnsi="Arial" w:cs="Arial"/>
        </w:rPr>
      </w:pPr>
    </w:p>
    <w:p w14:paraId="4EE03B8F" w14:textId="4C7C93FC" w:rsidR="00107B28" w:rsidRPr="00C76457" w:rsidRDefault="00107B28" w:rsidP="007A50C0">
      <w:pPr>
        <w:spacing w:after="0"/>
        <w:ind w:left="-76"/>
        <w:jc w:val="both"/>
        <w:rPr>
          <w:rFonts w:ascii="Arial" w:hAnsi="Arial" w:cs="Arial"/>
        </w:rPr>
      </w:pPr>
      <w:proofErr w:type="spellStart"/>
      <w:r w:rsidRPr="00C76457">
        <w:rPr>
          <w:rFonts w:ascii="Arial" w:hAnsi="Arial" w:cs="Arial"/>
        </w:rPr>
        <w:t>Subservicios</w:t>
      </w:r>
      <w:proofErr w:type="spellEnd"/>
      <w:r w:rsidRPr="00C76457">
        <w:rPr>
          <w:rFonts w:ascii="Arial" w:hAnsi="Arial" w:cs="Arial"/>
        </w:rPr>
        <w:t xml:space="preserve"> técnicos especializados (cadena de ejecución): La cadena suele incluir intervención de tanques (vaciado/limpieza/desgasificación), excavación y retiro de infraestructura enterrada, demolición parcial, restitución civil, y cierre técnico. Estos componentes se alinean con la naturaleza de “actividades especializadas” dentro del sector construcción, monitoreadas por el DANE en sus indicadores sectoriales.</w:t>
      </w:r>
    </w:p>
    <w:p w14:paraId="0B59B106" w14:textId="77777777" w:rsidR="00107B28" w:rsidRPr="00C76457" w:rsidRDefault="00107B28" w:rsidP="00107B28">
      <w:pPr>
        <w:spacing w:after="0"/>
        <w:ind w:left="-76"/>
        <w:jc w:val="both"/>
        <w:rPr>
          <w:rFonts w:ascii="Arial" w:hAnsi="Arial" w:cs="Arial"/>
        </w:rPr>
      </w:pPr>
    </w:p>
    <w:p w14:paraId="48457DEF" w14:textId="22C76C3D" w:rsidR="00107B28" w:rsidRPr="00C76457" w:rsidRDefault="00107B28" w:rsidP="007A50C0">
      <w:pPr>
        <w:spacing w:after="0"/>
        <w:ind w:left="-76"/>
        <w:jc w:val="both"/>
        <w:rPr>
          <w:rFonts w:ascii="Arial" w:hAnsi="Arial" w:cs="Arial"/>
        </w:rPr>
      </w:pPr>
      <w:r w:rsidRPr="00C76457">
        <w:rPr>
          <w:rFonts w:ascii="Arial" w:hAnsi="Arial" w:cs="Arial"/>
        </w:rPr>
        <w:t>Gestión de residuos peligrosos (RESPEL) como eslabón obligatorio: La cadena depende de gestores autorizados por autoridad ambiental competente. En Bogotá, por ejemplo, existe un listado oficial de gestores RESPEL con actos administrativos y actividades aprobadas, útil para verificar oferta habilitada para almacenamiento, aprovechamiento y/o disposición según residuo.</w:t>
      </w:r>
    </w:p>
    <w:p w14:paraId="2CFD0833" w14:textId="77777777" w:rsidR="00107B28" w:rsidRPr="00C76457" w:rsidRDefault="00107B28" w:rsidP="00107B28">
      <w:pPr>
        <w:spacing w:after="0"/>
        <w:ind w:left="-76"/>
        <w:jc w:val="both"/>
        <w:rPr>
          <w:rFonts w:ascii="Arial" w:hAnsi="Arial" w:cs="Arial"/>
        </w:rPr>
      </w:pPr>
    </w:p>
    <w:p w14:paraId="22FD7EE7" w14:textId="2D2EF4E3" w:rsidR="00107B28" w:rsidRPr="00C76457" w:rsidRDefault="00107B28" w:rsidP="007A50C0">
      <w:pPr>
        <w:spacing w:after="0"/>
        <w:ind w:left="-76"/>
        <w:jc w:val="both"/>
        <w:rPr>
          <w:rFonts w:ascii="Arial" w:hAnsi="Arial" w:cs="Arial"/>
        </w:rPr>
      </w:pPr>
      <w:r w:rsidRPr="00C76457">
        <w:rPr>
          <w:rFonts w:ascii="Arial" w:hAnsi="Arial" w:cs="Arial"/>
        </w:rPr>
        <w:lastRenderedPageBreak/>
        <w:t>Logística y transporte regulado (si hay mercancías peligrosas): Cuando el servicio involucra traslado de residuos o materiales peligrosos, la prestación se apoya en el marco de transporte terrestre de mercancías peligrosas y su compilación sectorial, lo que define requisitos de habilitación, seguridad y documentación.</w:t>
      </w:r>
    </w:p>
    <w:p w14:paraId="71FA2208" w14:textId="77777777" w:rsidR="00107B28" w:rsidRPr="00C76457" w:rsidRDefault="00107B28" w:rsidP="00107B28">
      <w:pPr>
        <w:spacing w:after="0"/>
        <w:ind w:left="-76"/>
        <w:jc w:val="both"/>
        <w:rPr>
          <w:rFonts w:ascii="Arial" w:hAnsi="Arial" w:cs="Arial"/>
        </w:rPr>
      </w:pPr>
    </w:p>
    <w:p w14:paraId="5E0060CD" w14:textId="11E899C6" w:rsidR="000E1EED" w:rsidRPr="00C76457" w:rsidRDefault="00107B28" w:rsidP="007A50C0">
      <w:pPr>
        <w:spacing w:after="0"/>
        <w:ind w:left="-76"/>
        <w:jc w:val="both"/>
        <w:rPr>
          <w:rFonts w:ascii="Arial" w:hAnsi="Arial" w:cs="Arial"/>
        </w:rPr>
      </w:pPr>
      <w:r w:rsidRPr="00C76457">
        <w:rPr>
          <w:rFonts w:ascii="Arial" w:hAnsi="Arial" w:cs="Arial"/>
        </w:rPr>
        <w:t>Base material del servicio (equipos/insumos industriales): Aunque es un servicio, su ejecución depende de maquinaria, equipos, repuestos y bienes industriales. Las importaciones oficiales muestran que las manufacturas concentran la mayor parte del valor importado, lo que evidencia la importancia de la disponibilidad/costo de insumos industriales para sectores que ejecutan obra e intervenciones técnicas</w:t>
      </w:r>
      <w:r w:rsidR="007A50C0" w:rsidRPr="00C76457">
        <w:rPr>
          <w:rFonts w:ascii="Arial" w:hAnsi="Arial" w:cs="Arial"/>
        </w:rPr>
        <w:t>.</w:t>
      </w:r>
    </w:p>
    <w:p w14:paraId="28F1DFA6" w14:textId="77777777" w:rsidR="000E1EED" w:rsidRPr="00C76457" w:rsidRDefault="000E1EED" w:rsidP="00346D73">
      <w:pPr>
        <w:spacing w:after="0"/>
        <w:ind w:left="-76"/>
        <w:jc w:val="both"/>
        <w:rPr>
          <w:rFonts w:ascii="Arial" w:hAnsi="Arial" w:cs="Arial"/>
        </w:rPr>
      </w:pPr>
    </w:p>
    <w:p w14:paraId="5AB61540" w14:textId="77777777" w:rsidR="00342A46" w:rsidRPr="00C76457" w:rsidRDefault="00342A46" w:rsidP="00342A46">
      <w:pPr>
        <w:spacing w:after="0"/>
        <w:ind w:left="-76"/>
        <w:jc w:val="both"/>
        <w:rPr>
          <w:rFonts w:ascii="Arial" w:hAnsi="Arial" w:cs="Arial"/>
          <w:u w:val="single"/>
        </w:rPr>
      </w:pPr>
      <w:r w:rsidRPr="00C76457">
        <w:rPr>
          <w:rFonts w:ascii="Arial" w:hAnsi="Arial" w:cs="Arial"/>
          <w:u w:val="single"/>
        </w:rPr>
        <w:t>Desafíos</w:t>
      </w:r>
    </w:p>
    <w:p w14:paraId="1BEA2633" w14:textId="77777777" w:rsidR="00342A46" w:rsidRPr="00C76457" w:rsidRDefault="00342A46" w:rsidP="00342A46">
      <w:pPr>
        <w:spacing w:after="0"/>
        <w:jc w:val="both"/>
        <w:rPr>
          <w:rFonts w:ascii="Arial" w:hAnsi="Arial" w:cs="Arial"/>
        </w:rPr>
      </w:pPr>
    </w:p>
    <w:p w14:paraId="71B222FB" w14:textId="249694AA" w:rsidR="00342A46" w:rsidRPr="00C76457" w:rsidRDefault="00342A46" w:rsidP="009729A5">
      <w:pPr>
        <w:spacing w:after="0"/>
        <w:ind w:left="-76"/>
        <w:jc w:val="both"/>
        <w:rPr>
          <w:rFonts w:ascii="Arial" w:hAnsi="Arial" w:cs="Arial"/>
        </w:rPr>
      </w:pPr>
      <w:r w:rsidRPr="00C76457">
        <w:rPr>
          <w:rFonts w:ascii="Arial" w:hAnsi="Arial" w:cs="Arial"/>
        </w:rPr>
        <w:t>Fragmentación de la cadena y coordinación de actores habilitados: La prestación integral exige articular capacidades técnicas, ambientales y logísticas que no siempre están en una sola empresa. La verificación de permisos y alcances autorizados (p. ej., gestores RESPEL) introduce complejidad operativa y documental.</w:t>
      </w:r>
    </w:p>
    <w:p w14:paraId="4D60964F" w14:textId="37765805" w:rsidR="00342A46" w:rsidRPr="00C76457" w:rsidRDefault="00342A46" w:rsidP="009729A5">
      <w:pPr>
        <w:spacing w:after="0"/>
        <w:ind w:left="-76"/>
        <w:jc w:val="both"/>
        <w:rPr>
          <w:rFonts w:ascii="Arial" w:hAnsi="Arial" w:cs="Arial"/>
        </w:rPr>
      </w:pPr>
      <w:r w:rsidRPr="00C76457">
        <w:rPr>
          <w:rFonts w:ascii="Arial" w:hAnsi="Arial" w:cs="Arial"/>
        </w:rPr>
        <w:t>Oferta territorial (no homogénea) de gestores y disposición: La disponibilidad de gestores RESPEL y sus alcances autorizados varía por jurisdicción ambiental, lo que puede afectar costos y tiempos. Esto se evidencia en listados oficiales publicados por autoridades ambientales distritales y regionales.</w:t>
      </w:r>
    </w:p>
    <w:p w14:paraId="06B28B94" w14:textId="77777777" w:rsidR="009729A5" w:rsidRPr="00C76457" w:rsidRDefault="009729A5" w:rsidP="009729A5">
      <w:pPr>
        <w:spacing w:after="0"/>
        <w:ind w:left="-76"/>
        <w:jc w:val="both"/>
        <w:rPr>
          <w:rFonts w:ascii="Arial" w:hAnsi="Arial" w:cs="Arial"/>
        </w:rPr>
      </w:pPr>
    </w:p>
    <w:p w14:paraId="78DE05FE" w14:textId="1E3981CF" w:rsidR="00342A46" w:rsidRPr="00C76457" w:rsidRDefault="00342A46" w:rsidP="009729A5">
      <w:pPr>
        <w:spacing w:after="0"/>
        <w:ind w:left="-76"/>
        <w:jc w:val="both"/>
        <w:rPr>
          <w:rFonts w:ascii="Arial" w:hAnsi="Arial" w:cs="Arial"/>
        </w:rPr>
      </w:pPr>
      <w:r w:rsidRPr="00C76457">
        <w:rPr>
          <w:rFonts w:ascii="Arial" w:hAnsi="Arial" w:cs="Arial"/>
        </w:rPr>
        <w:t>Carga de SST y control de riesgos en obra: El cumplimiento del SG</w:t>
      </w:r>
      <w:r w:rsidRPr="00C76457">
        <w:rPr>
          <w:rFonts w:ascii="Cambria Math" w:hAnsi="Cambria Math" w:cs="Cambria Math"/>
        </w:rPr>
        <w:t>‑</w:t>
      </w:r>
      <w:r w:rsidRPr="00C76457">
        <w:rPr>
          <w:rFonts w:ascii="Arial" w:hAnsi="Arial" w:cs="Arial"/>
        </w:rPr>
        <w:t>SST y de los estándares mínimos exige procedimientos, formación, inspecciones y evidencias, elevando barreras de entrada y costos indirectos de prestación.</w:t>
      </w:r>
    </w:p>
    <w:p w14:paraId="7898DCD4" w14:textId="77777777" w:rsidR="00342A46" w:rsidRPr="00C76457" w:rsidRDefault="00342A46" w:rsidP="00342A46">
      <w:pPr>
        <w:spacing w:after="0"/>
        <w:ind w:left="-76"/>
        <w:jc w:val="both"/>
        <w:rPr>
          <w:rFonts w:ascii="Arial" w:hAnsi="Arial" w:cs="Arial"/>
        </w:rPr>
      </w:pPr>
    </w:p>
    <w:p w14:paraId="1B5C9F16" w14:textId="77777777" w:rsidR="00342A46" w:rsidRPr="00C76457" w:rsidRDefault="00342A46" w:rsidP="00342A46">
      <w:pPr>
        <w:spacing w:after="0"/>
        <w:ind w:left="-76"/>
        <w:jc w:val="both"/>
        <w:rPr>
          <w:rFonts w:ascii="Arial" w:hAnsi="Arial" w:cs="Arial"/>
        </w:rPr>
      </w:pPr>
      <w:r w:rsidRPr="00C76457">
        <w:rPr>
          <w:rFonts w:ascii="Arial" w:hAnsi="Arial" w:cs="Arial"/>
        </w:rPr>
        <w:t>Restricciones logísticas por transporte de peligrosos: La movilización de residuos/materiales peligrosos activa requisitos normativos (vehículos, documentación, seguridad) que pueden convertirse en cuellos de botella en disponibilidad y programación.</w:t>
      </w:r>
    </w:p>
    <w:p w14:paraId="048F3E54" w14:textId="77777777" w:rsidR="00342A46" w:rsidRPr="00C76457" w:rsidRDefault="00342A46" w:rsidP="00342A46">
      <w:pPr>
        <w:spacing w:after="0"/>
        <w:ind w:left="-76"/>
        <w:jc w:val="both"/>
        <w:rPr>
          <w:rFonts w:ascii="Arial" w:hAnsi="Arial" w:cs="Arial"/>
        </w:rPr>
      </w:pPr>
    </w:p>
    <w:p w14:paraId="642471B1" w14:textId="77777777" w:rsidR="00CB639C" w:rsidRPr="00C76457" w:rsidRDefault="00B45188" w:rsidP="00616FE1">
      <w:pPr>
        <w:spacing w:after="0"/>
        <w:jc w:val="both"/>
        <w:rPr>
          <w:rFonts w:ascii="Arial" w:hAnsi="Arial" w:cs="Arial"/>
          <w:u w:val="single"/>
        </w:rPr>
      </w:pPr>
      <w:r w:rsidRPr="00C76457">
        <w:rPr>
          <w:rFonts w:ascii="Arial" w:hAnsi="Arial" w:cs="Arial"/>
          <w:u w:val="single"/>
        </w:rPr>
        <w:t>Análisis de la Oferta y la Demanda</w:t>
      </w:r>
    </w:p>
    <w:p w14:paraId="289B44E3" w14:textId="77777777" w:rsidR="00CB639C" w:rsidRPr="00C76457" w:rsidRDefault="00CB639C" w:rsidP="00616FE1">
      <w:pPr>
        <w:spacing w:after="0"/>
        <w:jc w:val="both"/>
        <w:rPr>
          <w:rFonts w:ascii="Arial" w:hAnsi="Arial" w:cs="Arial"/>
          <w:u w:val="single"/>
        </w:rPr>
      </w:pPr>
    </w:p>
    <w:p w14:paraId="19232FCB" w14:textId="652A736F" w:rsidR="000349DE" w:rsidRPr="00C76457" w:rsidRDefault="000349DE" w:rsidP="00616FE1">
      <w:pPr>
        <w:spacing w:after="0"/>
        <w:jc w:val="both"/>
        <w:rPr>
          <w:rFonts w:ascii="Arial" w:hAnsi="Arial" w:cs="Arial"/>
          <w:u w:val="single"/>
        </w:rPr>
      </w:pPr>
      <w:r w:rsidRPr="00C76457">
        <w:rPr>
          <w:rFonts w:ascii="Arial" w:hAnsi="Arial" w:cs="Arial"/>
        </w:rPr>
        <w:t>La oferta del nicho no se concentra en un “fabricante”, sino en prestadores especializados que se agrupan por capacidades. En términos de clasificación económica, el servicio suele ubicarse dentro de actividades especializadas de la construcción (división 43), que comprende actividades especializadas de obra (incluye demolición, instalaciones y trabajos que normalmente se ejecutan en subcontratación)</w:t>
      </w:r>
      <w:bookmarkStart w:id="7" w:name="_Ref230888670"/>
      <w:r w:rsidRPr="00C76457">
        <w:rPr>
          <w:rStyle w:val="Refdenotaalpie"/>
          <w:rFonts w:ascii="Arial" w:hAnsi="Arial" w:cs="Arial"/>
        </w:rPr>
        <w:footnoteReference w:id="57"/>
      </w:r>
      <w:bookmarkEnd w:id="7"/>
      <w:r w:rsidRPr="00C76457">
        <w:rPr>
          <w:rFonts w:ascii="Arial" w:hAnsi="Arial" w:cs="Arial"/>
        </w:rPr>
        <w:t>.</w:t>
      </w:r>
    </w:p>
    <w:p w14:paraId="75ED3BBC" w14:textId="77777777" w:rsidR="000349DE" w:rsidRPr="00C76457" w:rsidRDefault="000349DE" w:rsidP="00616FE1">
      <w:pPr>
        <w:spacing w:after="0"/>
        <w:jc w:val="both"/>
        <w:rPr>
          <w:rFonts w:ascii="Arial" w:hAnsi="Arial" w:cs="Arial"/>
        </w:rPr>
      </w:pPr>
    </w:p>
    <w:p w14:paraId="291995F5" w14:textId="2A8B1551" w:rsidR="000349DE" w:rsidRPr="00C76457" w:rsidRDefault="000349DE" w:rsidP="00616FE1">
      <w:pPr>
        <w:spacing w:after="0"/>
        <w:jc w:val="both"/>
        <w:rPr>
          <w:rFonts w:ascii="Arial" w:hAnsi="Arial" w:cs="Arial"/>
        </w:rPr>
      </w:pPr>
      <w:r w:rsidRPr="00C76457">
        <w:rPr>
          <w:rFonts w:ascii="Arial" w:hAnsi="Arial" w:cs="Arial"/>
        </w:rPr>
        <w:t>En la práctica, la oferta se compone de cuatro tipos de actores</w:t>
      </w:r>
      <w:r w:rsidR="00B6196A" w:rsidRPr="00C76457">
        <w:rPr>
          <w:rFonts w:ascii="Arial" w:hAnsi="Arial" w:cs="Arial"/>
        </w:rPr>
        <w:t>:</w:t>
      </w:r>
    </w:p>
    <w:p w14:paraId="559A98D1" w14:textId="77777777" w:rsidR="000349DE" w:rsidRPr="00C76457" w:rsidRDefault="000349DE" w:rsidP="00616FE1">
      <w:pPr>
        <w:spacing w:after="0"/>
        <w:jc w:val="both"/>
        <w:rPr>
          <w:rFonts w:ascii="Arial" w:hAnsi="Arial" w:cs="Arial"/>
        </w:rPr>
      </w:pPr>
    </w:p>
    <w:p w14:paraId="26E56856" w14:textId="799D2107" w:rsidR="000349DE" w:rsidRPr="00C76457" w:rsidRDefault="000349DE" w:rsidP="00616FE1">
      <w:pPr>
        <w:pStyle w:val="Prrafodelista"/>
        <w:numPr>
          <w:ilvl w:val="0"/>
          <w:numId w:val="27"/>
        </w:numPr>
        <w:spacing w:after="0"/>
        <w:jc w:val="both"/>
        <w:rPr>
          <w:rFonts w:ascii="Arial" w:hAnsi="Arial" w:cs="Arial"/>
        </w:rPr>
      </w:pPr>
      <w:r w:rsidRPr="00C76457">
        <w:rPr>
          <w:rFonts w:ascii="Arial" w:hAnsi="Arial" w:cs="Arial"/>
        </w:rPr>
        <w:t>Contratistas integradores de obra</w:t>
      </w:r>
      <w:r w:rsidR="00B6196A" w:rsidRPr="00C76457">
        <w:rPr>
          <w:rFonts w:ascii="Arial" w:hAnsi="Arial" w:cs="Arial"/>
        </w:rPr>
        <w:t xml:space="preserve"> e </w:t>
      </w:r>
      <w:r w:rsidRPr="00C76457">
        <w:rPr>
          <w:rFonts w:ascii="Arial" w:hAnsi="Arial" w:cs="Arial"/>
        </w:rPr>
        <w:t>intervención</w:t>
      </w:r>
      <w:r w:rsidR="00B6196A" w:rsidRPr="00C76457">
        <w:rPr>
          <w:rFonts w:ascii="Arial" w:hAnsi="Arial" w:cs="Arial"/>
        </w:rPr>
        <w:t xml:space="preserve">, estos </w:t>
      </w:r>
      <w:r w:rsidRPr="00C76457">
        <w:rPr>
          <w:rFonts w:ascii="Arial" w:hAnsi="Arial" w:cs="Arial"/>
        </w:rPr>
        <w:t>coordinan cronograma, equipos, subcontratos y cierre documental</w:t>
      </w:r>
      <w:r w:rsidR="00B6196A" w:rsidRPr="00C76457">
        <w:rPr>
          <w:rFonts w:ascii="Arial" w:hAnsi="Arial" w:cs="Arial"/>
        </w:rPr>
        <w:t xml:space="preserve">. </w:t>
      </w:r>
      <w:r w:rsidRPr="00C76457">
        <w:rPr>
          <w:rFonts w:ascii="Arial" w:hAnsi="Arial" w:cs="Arial"/>
        </w:rPr>
        <w:t>La trazabilidad de este tipo de proveedor, cuando opera con el Estado, puede verificarse en SECOP II</w:t>
      </w:r>
      <w:r w:rsidR="00B6196A" w:rsidRPr="00C76457">
        <w:rPr>
          <w:rFonts w:ascii="Arial" w:hAnsi="Arial" w:cs="Arial"/>
        </w:rPr>
        <w:t>.</w:t>
      </w:r>
    </w:p>
    <w:p w14:paraId="449AD118" w14:textId="68F5EFC2" w:rsidR="000349DE" w:rsidRPr="00C76457" w:rsidRDefault="000349DE" w:rsidP="00616FE1">
      <w:pPr>
        <w:pStyle w:val="Prrafodelista"/>
        <w:numPr>
          <w:ilvl w:val="0"/>
          <w:numId w:val="27"/>
        </w:numPr>
        <w:spacing w:after="0"/>
        <w:jc w:val="both"/>
        <w:rPr>
          <w:rFonts w:ascii="Arial" w:hAnsi="Arial" w:cs="Arial"/>
        </w:rPr>
      </w:pPr>
      <w:r w:rsidRPr="00C76457">
        <w:rPr>
          <w:rFonts w:ascii="Arial" w:hAnsi="Arial" w:cs="Arial"/>
        </w:rPr>
        <w:t>Especialistas técnicos en tanques y sistemas asociados</w:t>
      </w:r>
      <w:r w:rsidR="00B6196A" w:rsidRPr="00C76457">
        <w:rPr>
          <w:rFonts w:ascii="Arial" w:hAnsi="Arial" w:cs="Arial"/>
        </w:rPr>
        <w:t xml:space="preserve">. Tales como </w:t>
      </w:r>
      <w:r w:rsidRPr="00C76457">
        <w:rPr>
          <w:rFonts w:ascii="Arial" w:hAnsi="Arial" w:cs="Arial"/>
        </w:rPr>
        <w:t>vaciado, limpieza</w:t>
      </w:r>
      <w:r w:rsidR="003E2220" w:rsidRPr="00C76457">
        <w:rPr>
          <w:rFonts w:ascii="Arial" w:hAnsi="Arial" w:cs="Arial"/>
        </w:rPr>
        <w:t xml:space="preserve">, </w:t>
      </w:r>
      <w:r w:rsidRPr="00C76457">
        <w:rPr>
          <w:rFonts w:ascii="Arial" w:hAnsi="Arial" w:cs="Arial"/>
        </w:rPr>
        <w:t>desgasificación</w:t>
      </w:r>
      <w:r w:rsidR="003E2220" w:rsidRPr="00C76457">
        <w:rPr>
          <w:rFonts w:ascii="Arial" w:hAnsi="Arial" w:cs="Arial"/>
        </w:rPr>
        <w:t xml:space="preserve"> y </w:t>
      </w:r>
      <w:r w:rsidRPr="00C76457">
        <w:rPr>
          <w:rFonts w:ascii="Arial" w:hAnsi="Arial" w:cs="Arial"/>
        </w:rPr>
        <w:t xml:space="preserve">desinstalación. </w:t>
      </w:r>
    </w:p>
    <w:p w14:paraId="02546ACD" w14:textId="77777777" w:rsidR="000349DE" w:rsidRPr="00C76457" w:rsidRDefault="000349DE" w:rsidP="00616FE1">
      <w:pPr>
        <w:spacing w:after="0"/>
        <w:jc w:val="both"/>
        <w:rPr>
          <w:rFonts w:ascii="Arial" w:hAnsi="Arial" w:cs="Arial"/>
        </w:rPr>
      </w:pPr>
    </w:p>
    <w:p w14:paraId="7B91EF38" w14:textId="49BA3377" w:rsidR="000349DE" w:rsidRPr="00C76457" w:rsidRDefault="000349DE" w:rsidP="00616FE1">
      <w:pPr>
        <w:pStyle w:val="Prrafodelista"/>
        <w:numPr>
          <w:ilvl w:val="0"/>
          <w:numId w:val="27"/>
        </w:numPr>
        <w:spacing w:after="0"/>
        <w:jc w:val="both"/>
        <w:rPr>
          <w:rFonts w:ascii="Arial" w:hAnsi="Arial" w:cs="Arial"/>
        </w:rPr>
      </w:pPr>
      <w:r w:rsidRPr="00C76457">
        <w:rPr>
          <w:rFonts w:ascii="Arial" w:hAnsi="Arial" w:cs="Arial"/>
        </w:rPr>
        <w:t>Gestores autorizados de RESPEL</w:t>
      </w:r>
      <w:r w:rsidR="003E2220" w:rsidRPr="00C76457">
        <w:rPr>
          <w:rFonts w:ascii="Arial" w:hAnsi="Arial" w:cs="Arial"/>
        </w:rPr>
        <w:t xml:space="preserve">, es un </w:t>
      </w:r>
      <w:r w:rsidRPr="00C76457">
        <w:rPr>
          <w:rFonts w:ascii="Arial" w:hAnsi="Arial" w:cs="Arial"/>
        </w:rPr>
        <w:t>eslabón obligatorio cuando hay residuos peligrosos</w:t>
      </w:r>
      <w:r w:rsidR="003E2220" w:rsidRPr="00C76457">
        <w:rPr>
          <w:rFonts w:ascii="Arial" w:hAnsi="Arial" w:cs="Arial"/>
        </w:rPr>
        <w:t>. L</w:t>
      </w:r>
      <w:r w:rsidRPr="00C76457">
        <w:rPr>
          <w:rFonts w:ascii="Arial" w:hAnsi="Arial" w:cs="Arial"/>
        </w:rPr>
        <w:t xml:space="preserve">a oferta habilitada es territorial y se verifica por listados oficiales de la autoridad ambiental. </w:t>
      </w:r>
    </w:p>
    <w:p w14:paraId="289332C1" w14:textId="77777777" w:rsidR="000349DE" w:rsidRPr="00C76457" w:rsidRDefault="000349DE" w:rsidP="00616FE1">
      <w:pPr>
        <w:spacing w:after="0"/>
        <w:jc w:val="both"/>
        <w:rPr>
          <w:rFonts w:ascii="Arial" w:hAnsi="Arial" w:cs="Arial"/>
        </w:rPr>
      </w:pPr>
    </w:p>
    <w:p w14:paraId="4E790E4F" w14:textId="2DB94D69" w:rsidR="00B45188" w:rsidRPr="00844B28" w:rsidRDefault="000349DE" w:rsidP="00844B28">
      <w:pPr>
        <w:pStyle w:val="Prrafodelista"/>
        <w:numPr>
          <w:ilvl w:val="0"/>
          <w:numId w:val="27"/>
        </w:numPr>
        <w:spacing w:after="0"/>
        <w:jc w:val="both"/>
        <w:rPr>
          <w:rFonts w:ascii="Arial" w:hAnsi="Arial" w:cs="Arial"/>
        </w:rPr>
      </w:pPr>
      <w:r w:rsidRPr="00C76457">
        <w:rPr>
          <w:rFonts w:ascii="Arial" w:hAnsi="Arial" w:cs="Arial"/>
        </w:rPr>
        <w:t xml:space="preserve">Servicios ambientales complementarios </w:t>
      </w:r>
      <w:r w:rsidR="001B1BB4" w:rsidRPr="00C76457">
        <w:rPr>
          <w:rFonts w:ascii="Arial" w:hAnsi="Arial" w:cs="Arial"/>
        </w:rPr>
        <w:t xml:space="preserve">como </w:t>
      </w:r>
      <w:r w:rsidRPr="00C76457">
        <w:rPr>
          <w:rFonts w:ascii="Arial" w:hAnsi="Arial" w:cs="Arial"/>
        </w:rPr>
        <w:t>caracterización</w:t>
      </w:r>
      <w:r w:rsidR="001B1BB4" w:rsidRPr="00C76457">
        <w:rPr>
          <w:rFonts w:ascii="Arial" w:hAnsi="Arial" w:cs="Arial"/>
        </w:rPr>
        <w:t xml:space="preserve"> y/o </w:t>
      </w:r>
      <w:r w:rsidRPr="00C76457">
        <w:rPr>
          <w:rFonts w:ascii="Arial" w:hAnsi="Arial" w:cs="Arial"/>
        </w:rPr>
        <w:t>remediación de suelos</w:t>
      </w:r>
      <w:r w:rsidR="001B1BB4" w:rsidRPr="00C76457">
        <w:rPr>
          <w:rFonts w:ascii="Arial" w:hAnsi="Arial" w:cs="Arial"/>
        </w:rPr>
        <w:t>, siempre y</w:t>
      </w:r>
      <w:r w:rsidRPr="00C76457">
        <w:rPr>
          <w:rFonts w:ascii="Arial" w:hAnsi="Arial" w:cs="Arial"/>
        </w:rPr>
        <w:t xml:space="preserve"> cuando el sitio lo requier</w:t>
      </w:r>
      <w:r w:rsidR="001B1BB4" w:rsidRPr="00C76457">
        <w:rPr>
          <w:rFonts w:ascii="Arial" w:hAnsi="Arial" w:cs="Arial"/>
        </w:rPr>
        <w:t>a</w:t>
      </w:r>
      <w:r w:rsidRPr="00C76457">
        <w:rPr>
          <w:rFonts w:ascii="Arial" w:hAnsi="Arial" w:cs="Arial"/>
        </w:rPr>
        <w:t>.</w:t>
      </w:r>
    </w:p>
    <w:p w14:paraId="40797321" w14:textId="77777777" w:rsidR="00CF4828" w:rsidRPr="00C76457" w:rsidRDefault="00CF4828" w:rsidP="00346D73">
      <w:pPr>
        <w:spacing w:after="0"/>
        <w:ind w:left="-76"/>
        <w:jc w:val="both"/>
        <w:rPr>
          <w:rFonts w:ascii="Arial" w:hAnsi="Arial" w:cs="Arial"/>
        </w:rPr>
      </w:pPr>
    </w:p>
    <w:p w14:paraId="2BD97740" w14:textId="4EF43082" w:rsidR="00CF4828" w:rsidRPr="00C76457" w:rsidRDefault="00487D3F" w:rsidP="00346D73">
      <w:pPr>
        <w:spacing w:after="0"/>
        <w:ind w:left="-76"/>
        <w:jc w:val="both"/>
        <w:rPr>
          <w:rFonts w:ascii="Arial" w:hAnsi="Arial" w:cs="Arial"/>
          <w:u w:val="single"/>
        </w:rPr>
      </w:pPr>
      <w:r w:rsidRPr="00C76457">
        <w:rPr>
          <w:rFonts w:ascii="Arial" w:hAnsi="Arial" w:cs="Arial"/>
          <w:u w:val="single"/>
        </w:rPr>
        <w:t>Evidencia verificable de oferta en contratación pública</w:t>
      </w:r>
    </w:p>
    <w:p w14:paraId="72984B2B" w14:textId="77777777" w:rsidR="00730004" w:rsidRPr="00C76457" w:rsidRDefault="00730004" w:rsidP="00346D73">
      <w:pPr>
        <w:spacing w:after="0"/>
        <w:ind w:left="-76"/>
        <w:jc w:val="both"/>
        <w:rPr>
          <w:rFonts w:ascii="Arial" w:hAnsi="Arial" w:cs="Arial"/>
        </w:rPr>
      </w:pPr>
    </w:p>
    <w:p w14:paraId="34A266AA" w14:textId="49476973" w:rsidR="00CF4828" w:rsidRPr="00C76457" w:rsidRDefault="00CF4828" w:rsidP="00CF4828">
      <w:pPr>
        <w:spacing w:after="0"/>
        <w:ind w:left="-76"/>
        <w:jc w:val="both"/>
        <w:rPr>
          <w:rFonts w:ascii="Arial" w:hAnsi="Arial" w:cs="Arial"/>
        </w:rPr>
      </w:pPr>
      <w:r w:rsidRPr="00C76457">
        <w:rPr>
          <w:rFonts w:ascii="Arial" w:hAnsi="Arial" w:cs="Arial"/>
        </w:rPr>
        <w:t>Para el nicho, SECOP II es el principal insumo verificable para mapear proveedores con experiencia contractual pública. El conjunto de datos oficial</w:t>
      </w:r>
      <w:r w:rsidR="005340ED" w:rsidRPr="00C76457">
        <w:rPr>
          <w:rFonts w:ascii="Arial" w:hAnsi="Arial" w:cs="Arial"/>
        </w:rPr>
        <w:t xml:space="preserve"> </w:t>
      </w:r>
      <w:r w:rsidRPr="00C76457">
        <w:rPr>
          <w:rFonts w:ascii="Arial" w:hAnsi="Arial" w:cs="Arial"/>
        </w:rPr>
        <w:t>“SECOP II – Contratos Electrónicos” (Datos Abiertos)</w:t>
      </w:r>
      <w:r w:rsidR="005340ED" w:rsidRPr="00C76457">
        <w:rPr>
          <w:rFonts w:ascii="Arial" w:hAnsi="Arial" w:cs="Arial"/>
        </w:rPr>
        <w:t>,</w:t>
      </w:r>
      <w:r w:rsidRPr="00C76457">
        <w:rPr>
          <w:rFonts w:ascii="Arial" w:hAnsi="Arial" w:cs="Arial"/>
        </w:rPr>
        <w:t xml:space="preserve"> contiene información de contratos desde el lanzamiento de SECOP II, con cobertura nacional, actualización diaria y campos útiles para filtrar por </w:t>
      </w:r>
      <w:r w:rsidR="005340ED" w:rsidRPr="00C76457">
        <w:rPr>
          <w:rFonts w:ascii="Arial" w:hAnsi="Arial" w:cs="Arial"/>
        </w:rPr>
        <w:t>ítem deseado.</w:t>
      </w:r>
    </w:p>
    <w:p w14:paraId="307BD144" w14:textId="3301E8AA" w:rsidR="00730004" w:rsidRPr="00C76457" w:rsidRDefault="005340ED" w:rsidP="00CF4828">
      <w:pPr>
        <w:spacing w:after="0"/>
        <w:ind w:left="-76"/>
        <w:jc w:val="both"/>
        <w:rPr>
          <w:rFonts w:ascii="Arial" w:hAnsi="Arial" w:cs="Arial"/>
        </w:rPr>
      </w:pPr>
      <w:r w:rsidRPr="00C76457">
        <w:rPr>
          <w:rFonts w:ascii="Arial" w:hAnsi="Arial" w:cs="Arial"/>
        </w:rPr>
        <w:t>Sin embargo, cuenta con una limitación importante,</w:t>
      </w:r>
      <w:r w:rsidR="00CF4828" w:rsidRPr="00C76457">
        <w:rPr>
          <w:rFonts w:ascii="Arial" w:hAnsi="Arial" w:cs="Arial"/>
        </w:rPr>
        <w:t xml:space="preserve"> sin ejecutar un filtrado sobre ese </w:t>
      </w:r>
      <w:proofErr w:type="spellStart"/>
      <w:r w:rsidR="00CF4828" w:rsidRPr="00C76457">
        <w:rPr>
          <w:rFonts w:ascii="Arial" w:hAnsi="Arial" w:cs="Arial"/>
        </w:rPr>
        <w:t>dataset</w:t>
      </w:r>
      <w:proofErr w:type="spellEnd"/>
      <w:r w:rsidR="00CF4828" w:rsidRPr="00C76457">
        <w:rPr>
          <w:rFonts w:ascii="Arial" w:hAnsi="Arial" w:cs="Arial"/>
        </w:rPr>
        <w:t xml:space="preserve"> (por palabras clave y/o UNSPSC), no es posible afirmar cuántos proveedores ni el volumen exacto de contratos del nicho con rigor estadístico en este documento; el </w:t>
      </w:r>
      <w:proofErr w:type="spellStart"/>
      <w:r w:rsidR="00CF4828" w:rsidRPr="00C76457">
        <w:rPr>
          <w:rFonts w:ascii="Arial" w:hAnsi="Arial" w:cs="Arial"/>
        </w:rPr>
        <w:t>dataset</w:t>
      </w:r>
      <w:proofErr w:type="spellEnd"/>
      <w:r w:rsidR="00CF4828" w:rsidRPr="00C76457">
        <w:rPr>
          <w:rFonts w:ascii="Arial" w:hAnsi="Arial" w:cs="Arial"/>
        </w:rPr>
        <w:t xml:space="preserve"> sí permite producirlo en el estudio mediante extracción.</w:t>
      </w:r>
    </w:p>
    <w:p w14:paraId="6D55CFC5" w14:textId="77777777" w:rsidR="000E1EED" w:rsidRPr="00C76457" w:rsidRDefault="000E1EED" w:rsidP="00346D73">
      <w:pPr>
        <w:spacing w:after="0"/>
        <w:ind w:left="-76"/>
        <w:jc w:val="both"/>
        <w:rPr>
          <w:rFonts w:ascii="Arial" w:hAnsi="Arial" w:cs="Arial"/>
        </w:rPr>
      </w:pPr>
    </w:p>
    <w:p w14:paraId="6831E17D" w14:textId="468671E8" w:rsidR="000E1EED" w:rsidRPr="00C76457" w:rsidRDefault="002A6FD5" w:rsidP="00346D73">
      <w:pPr>
        <w:spacing w:after="0"/>
        <w:ind w:left="-76"/>
        <w:jc w:val="both"/>
        <w:rPr>
          <w:rFonts w:ascii="Arial" w:hAnsi="Arial" w:cs="Arial"/>
          <w:u w:val="single"/>
        </w:rPr>
      </w:pPr>
      <w:r w:rsidRPr="00C76457">
        <w:rPr>
          <w:rFonts w:ascii="Arial" w:hAnsi="Arial" w:cs="Arial"/>
          <w:u w:val="single"/>
        </w:rPr>
        <w:t>Análisis de la demanda</w:t>
      </w:r>
    </w:p>
    <w:p w14:paraId="5688D909" w14:textId="77777777" w:rsidR="00157B5B" w:rsidRPr="00C76457" w:rsidRDefault="00157B5B" w:rsidP="00157B5B">
      <w:pPr>
        <w:spacing w:after="0"/>
        <w:ind w:left="-76"/>
        <w:jc w:val="both"/>
        <w:rPr>
          <w:rFonts w:ascii="Arial" w:hAnsi="Arial" w:cs="Arial"/>
        </w:rPr>
      </w:pPr>
    </w:p>
    <w:p w14:paraId="678DEBD8" w14:textId="77777777" w:rsidR="008C1542" w:rsidRPr="00C76457" w:rsidRDefault="00157B5B" w:rsidP="00157B5B">
      <w:pPr>
        <w:spacing w:after="0"/>
        <w:ind w:left="-76"/>
        <w:jc w:val="both"/>
        <w:rPr>
          <w:rFonts w:ascii="Arial" w:hAnsi="Arial" w:cs="Arial"/>
        </w:rPr>
      </w:pPr>
      <w:r w:rsidRPr="00C76457">
        <w:rPr>
          <w:rFonts w:ascii="Arial" w:hAnsi="Arial" w:cs="Arial"/>
        </w:rPr>
        <w:t>La demanda del servicio está fuertemente impulsada por</w:t>
      </w:r>
      <w:r w:rsidR="008C1542" w:rsidRPr="00C76457">
        <w:rPr>
          <w:rFonts w:ascii="Arial" w:hAnsi="Arial" w:cs="Arial"/>
        </w:rPr>
        <w:t>:</w:t>
      </w:r>
    </w:p>
    <w:p w14:paraId="65E27869" w14:textId="50A1BAF3" w:rsidR="00ED6AF4" w:rsidRPr="00C76457" w:rsidRDefault="00157B5B" w:rsidP="00157B5B">
      <w:pPr>
        <w:spacing w:after="0"/>
        <w:ind w:left="-76"/>
        <w:jc w:val="both"/>
        <w:rPr>
          <w:rFonts w:ascii="Arial" w:hAnsi="Arial" w:cs="Arial"/>
        </w:rPr>
      </w:pPr>
      <w:r w:rsidRPr="00C76457">
        <w:rPr>
          <w:rFonts w:ascii="Arial" w:hAnsi="Arial" w:cs="Arial"/>
        </w:rPr>
        <w:t xml:space="preserve"> </w:t>
      </w:r>
    </w:p>
    <w:p w14:paraId="0CFD0E7F" w14:textId="713DA5A0" w:rsidR="007D35B4" w:rsidRPr="00C76457" w:rsidRDefault="007D35B4" w:rsidP="00426B90">
      <w:pPr>
        <w:pStyle w:val="Prrafodelista"/>
        <w:numPr>
          <w:ilvl w:val="0"/>
          <w:numId w:val="21"/>
        </w:numPr>
        <w:spacing w:after="0"/>
        <w:jc w:val="both"/>
        <w:rPr>
          <w:rFonts w:ascii="Arial" w:hAnsi="Arial" w:cs="Arial"/>
        </w:rPr>
      </w:pPr>
      <w:r w:rsidRPr="00C76457">
        <w:rPr>
          <w:rFonts w:ascii="Arial" w:hAnsi="Arial" w:cs="Arial"/>
        </w:rPr>
        <w:t>N</w:t>
      </w:r>
      <w:r w:rsidR="00157B5B" w:rsidRPr="00C76457">
        <w:rPr>
          <w:rFonts w:ascii="Arial" w:hAnsi="Arial" w:cs="Arial"/>
        </w:rPr>
        <w:t xml:space="preserve">ecesidad de intervenir activos regulados </w:t>
      </w:r>
    </w:p>
    <w:p w14:paraId="1F5168ED" w14:textId="7A7FF6FC" w:rsidR="007D35B4" w:rsidRPr="00C76457" w:rsidRDefault="007D35B4" w:rsidP="00426B90">
      <w:pPr>
        <w:pStyle w:val="Prrafodelista"/>
        <w:numPr>
          <w:ilvl w:val="0"/>
          <w:numId w:val="21"/>
        </w:numPr>
        <w:spacing w:after="0"/>
        <w:jc w:val="both"/>
        <w:rPr>
          <w:rFonts w:ascii="Arial" w:hAnsi="Arial" w:cs="Arial"/>
        </w:rPr>
      </w:pPr>
      <w:r w:rsidRPr="00C76457">
        <w:rPr>
          <w:rFonts w:ascii="Arial" w:hAnsi="Arial" w:cs="Arial"/>
        </w:rPr>
        <w:t>G</w:t>
      </w:r>
      <w:r w:rsidR="00157B5B" w:rsidRPr="00C76457">
        <w:rPr>
          <w:rFonts w:ascii="Arial" w:hAnsi="Arial" w:cs="Arial"/>
        </w:rPr>
        <w:t xml:space="preserve">estión de riesgos (SST/ambiental) </w:t>
      </w:r>
    </w:p>
    <w:p w14:paraId="56C16DA4" w14:textId="78C4E472" w:rsidR="00157B5B" w:rsidRPr="00C76457" w:rsidRDefault="007D35B4" w:rsidP="00426B90">
      <w:pPr>
        <w:pStyle w:val="Prrafodelista"/>
        <w:numPr>
          <w:ilvl w:val="0"/>
          <w:numId w:val="21"/>
        </w:numPr>
        <w:spacing w:after="0"/>
        <w:jc w:val="both"/>
        <w:rPr>
          <w:rFonts w:ascii="Arial" w:hAnsi="Arial" w:cs="Arial"/>
        </w:rPr>
      </w:pPr>
      <w:r w:rsidRPr="00C76457">
        <w:rPr>
          <w:rFonts w:ascii="Arial" w:hAnsi="Arial" w:cs="Arial"/>
        </w:rPr>
        <w:t>R</w:t>
      </w:r>
      <w:r w:rsidR="00157B5B" w:rsidRPr="00C76457">
        <w:rPr>
          <w:rFonts w:ascii="Arial" w:hAnsi="Arial" w:cs="Arial"/>
        </w:rPr>
        <w:t>econversión</w:t>
      </w:r>
      <w:r w:rsidRPr="00C76457">
        <w:rPr>
          <w:rFonts w:ascii="Arial" w:hAnsi="Arial" w:cs="Arial"/>
        </w:rPr>
        <w:t xml:space="preserve"> y </w:t>
      </w:r>
      <w:r w:rsidR="00157B5B" w:rsidRPr="00C76457">
        <w:rPr>
          <w:rFonts w:ascii="Arial" w:hAnsi="Arial" w:cs="Arial"/>
        </w:rPr>
        <w:t xml:space="preserve">adecuación de predios. El marco sectorial clave es el reglamento técnico de estaciones de servicio y tanques del Ministerio de Minas y Energía (Resolución 40405 de 2020), que regula las instalaciones que almacenan combustibles líquidos derivados del petróleo y sus mezclas (excepto GLP). Este marco define el universo de infraestructura y eleva exigencias técnicas, lo cual convierte cierres/intervenciones en una necesidad con alto componente de cumplimiento. </w:t>
      </w:r>
    </w:p>
    <w:p w14:paraId="348EA16E" w14:textId="77777777" w:rsidR="007D35B4" w:rsidRPr="00C76457" w:rsidRDefault="007D35B4" w:rsidP="007D35B4">
      <w:pPr>
        <w:pStyle w:val="Prrafodelista"/>
        <w:spacing w:after="0"/>
        <w:ind w:left="644"/>
        <w:jc w:val="both"/>
        <w:rPr>
          <w:rFonts w:ascii="Arial" w:hAnsi="Arial" w:cs="Arial"/>
        </w:rPr>
      </w:pPr>
    </w:p>
    <w:p w14:paraId="55981A6C" w14:textId="492E9423" w:rsidR="00157B5B" w:rsidRPr="00C76457" w:rsidRDefault="00157B5B" w:rsidP="00157B5B">
      <w:pPr>
        <w:spacing w:after="0"/>
        <w:ind w:left="-76"/>
        <w:jc w:val="both"/>
        <w:rPr>
          <w:rFonts w:ascii="Arial" w:hAnsi="Arial" w:cs="Arial"/>
        </w:rPr>
      </w:pPr>
      <w:r w:rsidRPr="00C76457">
        <w:rPr>
          <w:rFonts w:ascii="Arial" w:hAnsi="Arial" w:cs="Arial"/>
        </w:rPr>
        <w:t xml:space="preserve">Para el </w:t>
      </w:r>
      <w:r w:rsidR="007D35B4" w:rsidRPr="00C76457">
        <w:rPr>
          <w:rFonts w:ascii="Arial" w:hAnsi="Arial" w:cs="Arial"/>
        </w:rPr>
        <w:t>sector</w:t>
      </w:r>
      <w:r w:rsidRPr="00C76457">
        <w:rPr>
          <w:rFonts w:ascii="Arial" w:hAnsi="Arial" w:cs="Arial"/>
        </w:rPr>
        <w:t xml:space="preserve"> público, la demanda es rastreadora en SECOP II. El </w:t>
      </w:r>
      <w:proofErr w:type="spellStart"/>
      <w:r w:rsidRPr="00C76457">
        <w:rPr>
          <w:rFonts w:ascii="Arial" w:hAnsi="Arial" w:cs="Arial"/>
        </w:rPr>
        <w:t>dataset</w:t>
      </w:r>
      <w:proofErr w:type="spellEnd"/>
      <w:r w:rsidRPr="00C76457">
        <w:rPr>
          <w:rFonts w:ascii="Arial" w:hAnsi="Arial" w:cs="Arial"/>
        </w:rPr>
        <w:t xml:space="preserve"> oficial permite identificar entidades contratantes y objetos contractuales relacionados.  </w:t>
      </w:r>
    </w:p>
    <w:p w14:paraId="1D6BC4B9" w14:textId="77777777" w:rsidR="008C1542" w:rsidRPr="00C76457" w:rsidRDefault="008C1542" w:rsidP="00157B5B">
      <w:pPr>
        <w:spacing w:after="0"/>
        <w:ind w:left="-76"/>
        <w:jc w:val="both"/>
        <w:rPr>
          <w:rFonts w:ascii="Arial" w:hAnsi="Arial" w:cs="Arial"/>
        </w:rPr>
      </w:pPr>
    </w:p>
    <w:p w14:paraId="2BD69AAB" w14:textId="31062B47" w:rsidR="000E1EED" w:rsidRPr="00C76457" w:rsidRDefault="00157B5B" w:rsidP="00157B5B">
      <w:pPr>
        <w:spacing w:after="0"/>
        <w:ind w:left="-76"/>
        <w:jc w:val="both"/>
        <w:rPr>
          <w:rFonts w:ascii="Arial" w:hAnsi="Arial" w:cs="Arial"/>
        </w:rPr>
      </w:pPr>
      <w:r w:rsidRPr="00C76457">
        <w:rPr>
          <w:rFonts w:ascii="Arial" w:hAnsi="Arial" w:cs="Arial"/>
        </w:rPr>
        <w:t xml:space="preserve">Lo que no existe </w:t>
      </w:r>
      <w:r w:rsidR="007D35B4" w:rsidRPr="00C76457">
        <w:rPr>
          <w:rFonts w:ascii="Arial" w:hAnsi="Arial" w:cs="Arial"/>
        </w:rPr>
        <w:t xml:space="preserve">es </w:t>
      </w:r>
      <w:r w:rsidRPr="00C76457">
        <w:rPr>
          <w:rFonts w:ascii="Arial" w:hAnsi="Arial" w:cs="Arial"/>
        </w:rPr>
        <w:t>estadística directa</w:t>
      </w:r>
      <w:r w:rsidR="007D35B4" w:rsidRPr="00C76457">
        <w:rPr>
          <w:rFonts w:ascii="Arial" w:hAnsi="Arial" w:cs="Arial"/>
        </w:rPr>
        <w:t>,</w:t>
      </w:r>
      <w:r w:rsidRPr="00C76457">
        <w:rPr>
          <w:rFonts w:ascii="Arial" w:hAnsi="Arial" w:cs="Arial"/>
        </w:rPr>
        <w:t xml:space="preserve"> no hay una serie pública única “número de desmantelamientos de EDS” producida por </w:t>
      </w:r>
      <w:r w:rsidR="007D35B4" w:rsidRPr="00C76457">
        <w:rPr>
          <w:rFonts w:ascii="Arial" w:hAnsi="Arial" w:cs="Arial"/>
        </w:rPr>
        <w:t>ninguna autoridad ambiental o estadística</w:t>
      </w:r>
      <w:r w:rsidRPr="00C76457">
        <w:rPr>
          <w:rFonts w:ascii="Arial" w:hAnsi="Arial" w:cs="Arial"/>
        </w:rPr>
        <w:t>. Por tanto, el dimensionamiento cuantitativo debe derivarse de SECOP (para público) y de evidencia administrativa</w:t>
      </w:r>
      <w:r w:rsidR="00B12685" w:rsidRPr="00C76457">
        <w:rPr>
          <w:rFonts w:ascii="Arial" w:hAnsi="Arial" w:cs="Arial"/>
        </w:rPr>
        <w:t xml:space="preserve"> y </w:t>
      </w:r>
      <w:r w:rsidRPr="00C76457">
        <w:rPr>
          <w:rFonts w:ascii="Arial" w:hAnsi="Arial" w:cs="Arial"/>
        </w:rPr>
        <w:t>operativa del sector privado</w:t>
      </w:r>
      <w:r w:rsidR="00B12685" w:rsidRPr="00C76457">
        <w:rPr>
          <w:rFonts w:ascii="Arial" w:hAnsi="Arial" w:cs="Arial"/>
        </w:rPr>
        <w:t xml:space="preserve">. </w:t>
      </w:r>
    </w:p>
    <w:p w14:paraId="00CCFD39" w14:textId="77777777" w:rsidR="00790199" w:rsidRPr="00C76457" w:rsidRDefault="00790199" w:rsidP="00157B5B">
      <w:pPr>
        <w:spacing w:after="0"/>
        <w:ind w:left="-76"/>
        <w:jc w:val="both"/>
        <w:rPr>
          <w:rFonts w:ascii="Arial" w:hAnsi="Arial" w:cs="Arial"/>
        </w:rPr>
      </w:pPr>
    </w:p>
    <w:p w14:paraId="513CE475" w14:textId="0639B423" w:rsidR="00790199" w:rsidRPr="00C76457" w:rsidRDefault="00790199" w:rsidP="00157B5B">
      <w:pPr>
        <w:spacing w:after="0"/>
        <w:ind w:left="-76"/>
        <w:jc w:val="both"/>
        <w:rPr>
          <w:rFonts w:ascii="Arial" w:hAnsi="Arial" w:cs="Arial"/>
        </w:rPr>
      </w:pPr>
      <w:r w:rsidRPr="00C76457">
        <w:rPr>
          <w:rFonts w:ascii="Arial" w:hAnsi="Arial" w:cs="Arial"/>
        </w:rPr>
        <w:t>Para el sector privado, la demanda se expresa en contratos directos a operadores y propietarios de redes y se activa típicamente por cierres, remodelaciones, cambio de uso, mitigación de riesgos o cumplimiento. No existe un boletín oficial nacional que publique estadísticas del nicho en el sector privado, como categoría especifica en estadística separada, por lo que la demostración de demanda privada suele basarse en estudios de mercado propios, muestreos de proveedores y registros locales siempre que estos sean públicos.</w:t>
      </w:r>
    </w:p>
    <w:p w14:paraId="36B6CC7A" w14:textId="77777777" w:rsidR="00BF6360" w:rsidRPr="00C76457" w:rsidRDefault="00BF6360" w:rsidP="00157B5B">
      <w:pPr>
        <w:spacing w:after="0"/>
        <w:ind w:left="-76"/>
        <w:jc w:val="both"/>
        <w:rPr>
          <w:rFonts w:ascii="Arial" w:hAnsi="Arial" w:cs="Arial"/>
        </w:rPr>
      </w:pPr>
    </w:p>
    <w:p w14:paraId="0C888526" w14:textId="6C68C3FD" w:rsidR="004D5647" w:rsidRPr="00C76457" w:rsidRDefault="004D5647" w:rsidP="002F1D05">
      <w:pPr>
        <w:spacing w:after="0"/>
        <w:rPr>
          <w:rFonts w:ascii="Arial" w:hAnsi="Arial" w:cs="Arial"/>
          <w:u w:val="single"/>
          <w:lang w:val="es-419"/>
        </w:rPr>
      </w:pPr>
      <w:r w:rsidRPr="00C76457">
        <w:rPr>
          <w:rFonts w:ascii="Arial" w:hAnsi="Arial" w:cs="Arial"/>
          <w:u w:val="single"/>
          <w:lang w:val="es-419"/>
        </w:rPr>
        <w:t>Clasificación CIIU</w:t>
      </w:r>
    </w:p>
    <w:p w14:paraId="54EC89D0" w14:textId="77777777" w:rsidR="004D5647" w:rsidRPr="00C76457" w:rsidRDefault="004D5647" w:rsidP="002F1D05">
      <w:pPr>
        <w:spacing w:after="0"/>
        <w:rPr>
          <w:rFonts w:ascii="Arial" w:hAnsi="Arial" w:cs="Arial"/>
          <w:color w:val="808080" w:themeColor="background1" w:themeShade="80"/>
          <w:lang w:eastAsia="es-CO"/>
        </w:rPr>
      </w:pPr>
    </w:p>
    <w:p w14:paraId="34B037BF" w14:textId="024F0D6F" w:rsidR="00824328" w:rsidRPr="00C76457" w:rsidRDefault="00824328" w:rsidP="00915023">
      <w:pPr>
        <w:spacing w:after="0"/>
        <w:jc w:val="both"/>
        <w:rPr>
          <w:rFonts w:ascii="Arial" w:hAnsi="Arial" w:cs="Arial"/>
          <w:lang w:eastAsia="es-CO"/>
        </w:rPr>
      </w:pPr>
      <w:r w:rsidRPr="00C76457">
        <w:rPr>
          <w:rFonts w:ascii="Arial" w:hAnsi="Arial" w:cs="Arial"/>
          <w:lang w:eastAsia="es-CO"/>
        </w:rPr>
        <w:t>De acuerdo con la Clasificación Industrial Internacional Uniforme de todas las actividades económicas – CIIU Rev. 4 A.C. (adaptada para Colombia por el DANE), las empresas que pueden ofertar el servicio objeto del estudio se ubican principalmente en actividades de construcción especializada, ingeniería y consultoría técnica, gestión de residuos peligrosos y comercio mayorista de maquinaria y equipos</w:t>
      </w:r>
      <w:r w:rsidR="00464D5B" w:rsidRPr="00C76457">
        <w:rPr>
          <w:rStyle w:val="Refdenotaalpie"/>
          <w:rFonts w:ascii="Arial" w:hAnsi="Arial" w:cs="Arial"/>
          <w:lang w:eastAsia="es-CO"/>
        </w:rPr>
        <w:footnoteReference w:id="58"/>
      </w:r>
      <w:r w:rsidRPr="00C76457">
        <w:rPr>
          <w:rFonts w:ascii="Arial" w:hAnsi="Arial" w:cs="Arial"/>
          <w:lang w:eastAsia="es-CO"/>
        </w:rPr>
        <w:t>.</w:t>
      </w:r>
    </w:p>
    <w:p w14:paraId="38AEC3AB" w14:textId="77777777" w:rsidR="00A710FD" w:rsidRPr="00C76457" w:rsidRDefault="00A710FD" w:rsidP="002F1D05">
      <w:pPr>
        <w:spacing w:after="0"/>
        <w:rPr>
          <w:rFonts w:ascii="Arial" w:hAnsi="Arial" w:cs="Arial"/>
          <w:lang w:eastAsia="es-CO"/>
        </w:rPr>
      </w:pPr>
    </w:p>
    <w:tbl>
      <w:tblPr>
        <w:tblStyle w:val="Tablaconcuadrcula1"/>
        <w:tblW w:w="0" w:type="auto"/>
        <w:tblLook w:val="04A0" w:firstRow="1" w:lastRow="0" w:firstColumn="1" w:lastColumn="0" w:noHBand="0" w:noVBand="1"/>
      </w:tblPr>
      <w:tblGrid>
        <w:gridCol w:w="905"/>
        <w:gridCol w:w="2957"/>
        <w:gridCol w:w="4966"/>
      </w:tblGrid>
      <w:tr w:rsidR="00A710FD" w:rsidRPr="00D750F2" w14:paraId="72204592" w14:textId="77777777" w:rsidTr="00D822CD">
        <w:tc>
          <w:tcPr>
            <w:tcW w:w="0" w:type="auto"/>
            <w:vAlign w:val="center"/>
            <w:hideMark/>
          </w:tcPr>
          <w:p w14:paraId="3B627AED"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Código</w:t>
            </w:r>
          </w:p>
        </w:tc>
        <w:tc>
          <w:tcPr>
            <w:tcW w:w="0" w:type="auto"/>
            <w:vAlign w:val="center"/>
            <w:hideMark/>
          </w:tcPr>
          <w:p w14:paraId="4C12A838"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Descripción (CIIU Rev. 4 A.C.)</w:t>
            </w:r>
          </w:p>
        </w:tc>
        <w:tc>
          <w:tcPr>
            <w:tcW w:w="0" w:type="auto"/>
            <w:vAlign w:val="center"/>
            <w:hideMark/>
          </w:tcPr>
          <w:p w14:paraId="02CC492F"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Relación con el servicio</w:t>
            </w:r>
          </w:p>
        </w:tc>
      </w:tr>
      <w:tr w:rsidR="00A710FD" w:rsidRPr="00D750F2" w14:paraId="2960E336" w14:textId="77777777" w:rsidTr="00D822CD">
        <w:tc>
          <w:tcPr>
            <w:tcW w:w="0" w:type="auto"/>
            <w:vAlign w:val="center"/>
            <w:hideMark/>
          </w:tcPr>
          <w:p w14:paraId="5B19E667"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4311</w:t>
            </w:r>
          </w:p>
        </w:tc>
        <w:tc>
          <w:tcPr>
            <w:tcW w:w="0" w:type="auto"/>
            <w:vAlign w:val="center"/>
            <w:hideMark/>
          </w:tcPr>
          <w:p w14:paraId="0BA8F1A3"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Demolición</w:t>
            </w:r>
          </w:p>
        </w:tc>
        <w:tc>
          <w:tcPr>
            <w:tcW w:w="0" w:type="auto"/>
            <w:vAlign w:val="center"/>
            <w:hideMark/>
          </w:tcPr>
          <w:p w14:paraId="6B4AA320" w14:textId="5699A3A8"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Demoliciones parciales, retiro de estructuras, derribos controlados en EDS</w:t>
            </w:r>
            <w:r w:rsidR="00D822CD" w:rsidRPr="00D750F2">
              <w:rPr>
                <w:rFonts w:ascii="Arial" w:hAnsi="Arial" w:cs="Arial"/>
                <w:sz w:val="20"/>
                <w:szCs w:val="20"/>
                <w:lang w:eastAsia="es-CO"/>
              </w:rPr>
              <w:t>.</w:t>
            </w:r>
          </w:p>
        </w:tc>
      </w:tr>
      <w:tr w:rsidR="00A710FD" w:rsidRPr="00D750F2" w14:paraId="2B543444" w14:textId="77777777" w:rsidTr="00D822CD">
        <w:tc>
          <w:tcPr>
            <w:tcW w:w="0" w:type="auto"/>
            <w:vAlign w:val="center"/>
            <w:hideMark/>
          </w:tcPr>
          <w:p w14:paraId="04F94758"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4312</w:t>
            </w:r>
          </w:p>
        </w:tc>
        <w:tc>
          <w:tcPr>
            <w:tcW w:w="0" w:type="auto"/>
            <w:vAlign w:val="center"/>
            <w:hideMark/>
          </w:tcPr>
          <w:p w14:paraId="6A329B56"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Preparación del terreno</w:t>
            </w:r>
          </w:p>
        </w:tc>
        <w:tc>
          <w:tcPr>
            <w:tcW w:w="0" w:type="auto"/>
            <w:vAlign w:val="center"/>
            <w:hideMark/>
          </w:tcPr>
          <w:p w14:paraId="327E1E11" w14:textId="605E7C2B"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Excavación, zanjas, nivelación, drenaje y movimientos de tierra asociados al retiro de tanques y redes enterradas.</w:t>
            </w:r>
          </w:p>
        </w:tc>
      </w:tr>
      <w:tr w:rsidR="00A710FD" w:rsidRPr="00D750F2" w14:paraId="181149FF" w14:textId="77777777" w:rsidTr="00D822CD">
        <w:tc>
          <w:tcPr>
            <w:tcW w:w="0" w:type="auto"/>
            <w:vAlign w:val="center"/>
            <w:hideMark/>
          </w:tcPr>
          <w:p w14:paraId="5865D01F"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4321</w:t>
            </w:r>
          </w:p>
        </w:tc>
        <w:tc>
          <w:tcPr>
            <w:tcW w:w="0" w:type="auto"/>
            <w:vAlign w:val="center"/>
            <w:hideMark/>
          </w:tcPr>
          <w:p w14:paraId="54EE10AC"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Instalaciones eléctricas</w:t>
            </w:r>
          </w:p>
        </w:tc>
        <w:tc>
          <w:tcPr>
            <w:tcW w:w="0" w:type="auto"/>
            <w:vAlign w:val="center"/>
            <w:hideMark/>
          </w:tcPr>
          <w:p w14:paraId="4C028767" w14:textId="23CE5DC2" w:rsidR="00A710FD" w:rsidRPr="00D750F2" w:rsidRDefault="00A710FD" w:rsidP="00D822CD">
            <w:pPr>
              <w:spacing w:line="276" w:lineRule="auto"/>
              <w:jc w:val="center"/>
              <w:rPr>
                <w:rFonts w:ascii="Arial" w:hAnsi="Arial" w:cs="Arial"/>
                <w:sz w:val="20"/>
                <w:szCs w:val="20"/>
                <w:lang w:eastAsia="es-CO"/>
              </w:rPr>
            </w:pPr>
            <w:proofErr w:type="spellStart"/>
            <w:r w:rsidRPr="00D750F2">
              <w:rPr>
                <w:rFonts w:ascii="Arial" w:hAnsi="Arial" w:cs="Arial"/>
                <w:sz w:val="20"/>
                <w:szCs w:val="20"/>
                <w:lang w:eastAsia="es-CO"/>
              </w:rPr>
              <w:t>Desenergización</w:t>
            </w:r>
            <w:proofErr w:type="spellEnd"/>
            <w:r w:rsidRPr="00D750F2">
              <w:rPr>
                <w:rFonts w:ascii="Arial" w:hAnsi="Arial" w:cs="Arial"/>
                <w:sz w:val="20"/>
                <w:szCs w:val="20"/>
                <w:lang w:eastAsia="es-CO"/>
              </w:rPr>
              <w:t>, retiro o adecuación de redes y equipos eléctricos asociados a la infraestructura intervenida.</w:t>
            </w:r>
          </w:p>
        </w:tc>
      </w:tr>
      <w:tr w:rsidR="00A710FD" w:rsidRPr="00D750F2" w14:paraId="0C8D6508" w14:textId="77777777" w:rsidTr="00D822CD">
        <w:tc>
          <w:tcPr>
            <w:tcW w:w="0" w:type="auto"/>
            <w:vAlign w:val="center"/>
            <w:hideMark/>
          </w:tcPr>
          <w:p w14:paraId="6A506B5D"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4329</w:t>
            </w:r>
          </w:p>
        </w:tc>
        <w:tc>
          <w:tcPr>
            <w:tcW w:w="0" w:type="auto"/>
            <w:vAlign w:val="center"/>
            <w:hideMark/>
          </w:tcPr>
          <w:p w14:paraId="2A33C3AD"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Otras instalaciones especializadas</w:t>
            </w:r>
          </w:p>
        </w:tc>
        <w:tc>
          <w:tcPr>
            <w:tcW w:w="0" w:type="auto"/>
            <w:vAlign w:val="center"/>
            <w:hideMark/>
          </w:tcPr>
          <w:p w14:paraId="1EE6851D" w14:textId="5C3CE4F0"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Instalación/retiro de equipos especiales en obra (p. ej., pararrayos, aislamiento térmico</w:t>
            </w:r>
            <w:r w:rsidR="00D822CD" w:rsidRPr="00D750F2">
              <w:rPr>
                <w:rFonts w:ascii="Arial" w:hAnsi="Arial" w:cs="Arial"/>
                <w:sz w:val="20"/>
                <w:szCs w:val="20"/>
                <w:lang w:eastAsia="es-CO"/>
              </w:rPr>
              <w:t xml:space="preserve"> y </w:t>
            </w:r>
            <w:r w:rsidRPr="00D750F2">
              <w:rPr>
                <w:rFonts w:ascii="Arial" w:hAnsi="Arial" w:cs="Arial"/>
                <w:sz w:val="20"/>
                <w:szCs w:val="20"/>
                <w:lang w:eastAsia="es-CO"/>
              </w:rPr>
              <w:t>acústico, puertas automáticas, etc.) que pueden aparecer en intervención y restitución.</w:t>
            </w:r>
          </w:p>
        </w:tc>
      </w:tr>
      <w:tr w:rsidR="00A710FD" w:rsidRPr="00D750F2" w14:paraId="6F4377A1" w14:textId="77777777" w:rsidTr="00D822CD">
        <w:tc>
          <w:tcPr>
            <w:tcW w:w="0" w:type="auto"/>
            <w:vAlign w:val="center"/>
            <w:hideMark/>
          </w:tcPr>
          <w:p w14:paraId="27699FED"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4390</w:t>
            </w:r>
          </w:p>
        </w:tc>
        <w:tc>
          <w:tcPr>
            <w:tcW w:w="0" w:type="auto"/>
            <w:vAlign w:val="center"/>
            <w:hideMark/>
          </w:tcPr>
          <w:p w14:paraId="1A290D88"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Otras actividades especializadas para la construcción de edificios y obras de ingeniería civil</w:t>
            </w:r>
          </w:p>
        </w:tc>
        <w:tc>
          <w:tcPr>
            <w:tcW w:w="0" w:type="auto"/>
            <w:vAlign w:val="center"/>
            <w:hideMark/>
          </w:tcPr>
          <w:p w14:paraId="33F8EA5B" w14:textId="112AC9BC"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Actividades especializadas que requieren técnicas o equipos específicos (andamios, trabajos especiales, alquiler de maquinaria con operador, etc.) típicas en intervenciones complejas</w:t>
            </w:r>
          </w:p>
        </w:tc>
      </w:tr>
      <w:tr w:rsidR="00A710FD" w:rsidRPr="00D750F2" w14:paraId="69924191" w14:textId="77777777" w:rsidTr="00D822CD">
        <w:tc>
          <w:tcPr>
            <w:tcW w:w="0" w:type="auto"/>
            <w:vAlign w:val="center"/>
            <w:hideMark/>
          </w:tcPr>
          <w:p w14:paraId="0A513BC6"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lastRenderedPageBreak/>
              <w:t>7112</w:t>
            </w:r>
          </w:p>
        </w:tc>
        <w:tc>
          <w:tcPr>
            <w:tcW w:w="0" w:type="auto"/>
            <w:vAlign w:val="center"/>
            <w:hideMark/>
          </w:tcPr>
          <w:p w14:paraId="696EDE23"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Actividades de ingeniería y otras actividades conexas de consultoría técnica</w:t>
            </w:r>
          </w:p>
        </w:tc>
        <w:tc>
          <w:tcPr>
            <w:tcW w:w="0" w:type="auto"/>
            <w:vAlign w:val="center"/>
            <w:hideMark/>
          </w:tcPr>
          <w:p w14:paraId="5D4CE24B" w14:textId="3048491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Ingeniería de detalle, gestión de proyectos, inspecciones, estudios técnicos, y consultoría asociada a la intervención</w:t>
            </w:r>
            <w:r w:rsidR="00D822CD" w:rsidRPr="00D750F2">
              <w:rPr>
                <w:rFonts w:ascii="Arial" w:hAnsi="Arial" w:cs="Arial"/>
                <w:sz w:val="20"/>
                <w:szCs w:val="20"/>
                <w:lang w:eastAsia="es-CO"/>
              </w:rPr>
              <w:t xml:space="preserve"> y </w:t>
            </w:r>
            <w:r w:rsidRPr="00D750F2">
              <w:rPr>
                <w:rFonts w:ascii="Arial" w:hAnsi="Arial" w:cs="Arial"/>
                <w:sz w:val="20"/>
                <w:szCs w:val="20"/>
                <w:lang w:eastAsia="es-CO"/>
              </w:rPr>
              <w:t>cierre.</w:t>
            </w:r>
          </w:p>
        </w:tc>
      </w:tr>
      <w:tr w:rsidR="00A710FD" w:rsidRPr="00D750F2" w14:paraId="126750D7" w14:textId="77777777" w:rsidTr="00D822CD">
        <w:tc>
          <w:tcPr>
            <w:tcW w:w="0" w:type="auto"/>
            <w:vAlign w:val="center"/>
            <w:hideMark/>
          </w:tcPr>
          <w:p w14:paraId="2AEA4E37"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3812</w:t>
            </w:r>
          </w:p>
        </w:tc>
        <w:tc>
          <w:tcPr>
            <w:tcW w:w="0" w:type="auto"/>
            <w:vAlign w:val="center"/>
            <w:hideMark/>
          </w:tcPr>
          <w:p w14:paraId="79C75517"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Recolección de desechos peligrosos</w:t>
            </w:r>
          </w:p>
        </w:tc>
        <w:tc>
          <w:tcPr>
            <w:tcW w:w="0" w:type="auto"/>
            <w:vAlign w:val="center"/>
            <w:hideMark/>
          </w:tcPr>
          <w:p w14:paraId="6F184DA3" w14:textId="49175D99"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Recolección</w:t>
            </w:r>
            <w:r w:rsidR="00D822CD" w:rsidRPr="00D750F2">
              <w:rPr>
                <w:rFonts w:ascii="Arial" w:hAnsi="Arial" w:cs="Arial"/>
                <w:sz w:val="20"/>
                <w:szCs w:val="20"/>
                <w:lang w:eastAsia="es-CO"/>
              </w:rPr>
              <w:t xml:space="preserve">, </w:t>
            </w:r>
            <w:r w:rsidRPr="00D750F2">
              <w:rPr>
                <w:rFonts w:ascii="Arial" w:hAnsi="Arial" w:cs="Arial"/>
                <w:sz w:val="20"/>
                <w:szCs w:val="20"/>
                <w:lang w:eastAsia="es-CO"/>
              </w:rPr>
              <w:t>embalaje</w:t>
            </w:r>
            <w:r w:rsidR="00D822CD" w:rsidRPr="00D750F2">
              <w:rPr>
                <w:rFonts w:ascii="Arial" w:hAnsi="Arial" w:cs="Arial"/>
                <w:sz w:val="20"/>
                <w:szCs w:val="20"/>
                <w:lang w:eastAsia="es-CO"/>
              </w:rPr>
              <w:t xml:space="preserve"> y </w:t>
            </w:r>
            <w:r w:rsidRPr="00D750F2">
              <w:rPr>
                <w:rFonts w:ascii="Arial" w:hAnsi="Arial" w:cs="Arial"/>
                <w:sz w:val="20"/>
                <w:szCs w:val="20"/>
                <w:lang w:eastAsia="es-CO"/>
              </w:rPr>
              <w:t>etiquetado para transporte de residuos peligrosos (p. ej., lodos, aceites, absorbentes contaminados) típicos del desmantelamiento.</w:t>
            </w:r>
          </w:p>
        </w:tc>
      </w:tr>
      <w:tr w:rsidR="00A710FD" w:rsidRPr="00D750F2" w14:paraId="5A2DFEFC" w14:textId="77777777" w:rsidTr="00D822CD">
        <w:tc>
          <w:tcPr>
            <w:tcW w:w="0" w:type="auto"/>
            <w:vAlign w:val="center"/>
            <w:hideMark/>
          </w:tcPr>
          <w:p w14:paraId="20950DDE"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3822</w:t>
            </w:r>
          </w:p>
        </w:tc>
        <w:tc>
          <w:tcPr>
            <w:tcW w:w="0" w:type="auto"/>
            <w:vAlign w:val="center"/>
            <w:hideMark/>
          </w:tcPr>
          <w:p w14:paraId="1141B540"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Tratamiento y disposición de desechos peligrosos</w:t>
            </w:r>
          </w:p>
        </w:tc>
        <w:tc>
          <w:tcPr>
            <w:tcW w:w="0" w:type="auto"/>
            <w:vAlign w:val="center"/>
            <w:hideMark/>
          </w:tcPr>
          <w:p w14:paraId="20D30330" w14:textId="68BE7C58"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Operación de instalaciones de tratamiento, incineración</w:t>
            </w:r>
            <w:r w:rsidR="00D822CD" w:rsidRPr="00D750F2">
              <w:rPr>
                <w:rFonts w:ascii="Arial" w:hAnsi="Arial" w:cs="Arial"/>
                <w:sz w:val="20"/>
                <w:szCs w:val="20"/>
                <w:lang w:eastAsia="es-CO"/>
              </w:rPr>
              <w:t xml:space="preserve"> y </w:t>
            </w:r>
            <w:r w:rsidRPr="00D750F2">
              <w:rPr>
                <w:rFonts w:ascii="Arial" w:hAnsi="Arial" w:cs="Arial"/>
                <w:sz w:val="20"/>
                <w:szCs w:val="20"/>
                <w:lang w:eastAsia="es-CO"/>
              </w:rPr>
              <w:t>combustión, disposición y manejo final de residuos peligrosos generados en la intervención.</w:t>
            </w:r>
          </w:p>
        </w:tc>
      </w:tr>
      <w:tr w:rsidR="00A710FD" w:rsidRPr="00D750F2" w14:paraId="323C9CDE" w14:textId="77777777" w:rsidTr="00D822CD">
        <w:tc>
          <w:tcPr>
            <w:tcW w:w="0" w:type="auto"/>
            <w:vAlign w:val="center"/>
            <w:hideMark/>
          </w:tcPr>
          <w:p w14:paraId="319BEC61"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3900</w:t>
            </w:r>
          </w:p>
        </w:tc>
        <w:tc>
          <w:tcPr>
            <w:tcW w:w="0" w:type="auto"/>
            <w:vAlign w:val="center"/>
            <w:hideMark/>
          </w:tcPr>
          <w:p w14:paraId="45C80F1E"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Actividades de saneamiento ambiental y otros servicios de gestión de desechos</w:t>
            </w:r>
          </w:p>
        </w:tc>
        <w:tc>
          <w:tcPr>
            <w:tcW w:w="0" w:type="auto"/>
            <w:vAlign w:val="center"/>
            <w:hideMark/>
          </w:tcPr>
          <w:p w14:paraId="26F8CF7C" w14:textId="72F8AEC0"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Descontaminación de suelos</w:t>
            </w:r>
            <w:r w:rsidR="00D822CD" w:rsidRPr="00D750F2">
              <w:rPr>
                <w:rFonts w:ascii="Arial" w:hAnsi="Arial" w:cs="Arial"/>
                <w:sz w:val="20"/>
                <w:szCs w:val="20"/>
                <w:lang w:eastAsia="es-CO"/>
              </w:rPr>
              <w:t xml:space="preserve"> y </w:t>
            </w:r>
            <w:r w:rsidRPr="00D750F2">
              <w:rPr>
                <w:rFonts w:ascii="Arial" w:hAnsi="Arial" w:cs="Arial"/>
                <w:sz w:val="20"/>
                <w:szCs w:val="20"/>
                <w:lang w:eastAsia="es-CO"/>
              </w:rPr>
              <w:t>aguas, limpieza de derrames y control de contaminación cuando el sitio lo requiera</w:t>
            </w:r>
            <w:r w:rsidR="00D822CD" w:rsidRPr="00D750F2">
              <w:rPr>
                <w:rFonts w:ascii="Arial" w:hAnsi="Arial" w:cs="Arial"/>
                <w:sz w:val="20"/>
                <w:szCs w:val="20"/>
                <w:lang w:eastAsia="es-CO"/>
              </w:rPr>
              <w:t>.</w:t>
            </w:r>
          </w:p>
        </w:tc>
      </w:tr>
      <w:tr w:rsidR="00A710FD" w:rsidRPr="00D750F2" w14:paraId="42BE704D" w14:textId="77777777" w:rsidTr="00D822CD">
        <w:tc>
          <w:tcPr>
            <w:tcW w:w="0" w:type="auto"/>
            <w:vAlign w:val="center"/>
            <w:hideMark/>
          </w:tcPr>
          <w:p w14:paraId="5A5ABBCD"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4659</w:t>
            </w:r>
          </w:p>
        </w:tc>
        <w:tc>
          <w:tcPr>
            <w:tcW w:w="0" w:type="auto"/>
            <w:vAlign w:val="center"/>
            <w:hideMark/>
          </w:tcPr>
          <w:p w14:paraId="65E3886E"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 xml:space="preserve">Comercio al por mayor de otros tipos de maquinaria y equipo </w:t>
            </w:r>
            <w:proofErr w:type="spellStart"/>
            <w:r w:rsidRPr="00D750F2">
              <w:rPr>
                <w:rFonts w:ascii="Arial" w:hAnsi="Arial" w:cs="Arial"/>
                <w:sz w:val="20"/>
                <w:szCs w:val="20"/>
                <w:lang w:eastAsia="es-CO"/>
              </w:rPr>
              <w:t>n.c.p</w:t>
            </w:r>
            <w:proofErr w:type="spellEnd"/>
            <w:r w:rsidRPr="00D750F2">
              <w:rPr>
                <w:rFonts w:ascii="Arial" w:hAnsi="Arial" w:cs="Arial"/>
                <w:sz w:val="20"/>
                <w:szCs w:val="20"/>
                <w:lang w:eastAsia="es-CO"/>
              </w:rPr>
              <w:t>.</w:t>
            </w:r>
          </w:p>
        </w:tc>
        <w:tc>
          <w:tcPr>
            <w:tcW w:w="0" w:type="auto"/>
            <w:vAlign w:val="center"/>
            <w:hideMark/>
          </w:tcPr>
          <w:p w14:paraId="64F5BF72" w14:textId="5D4F8601"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Suministro</w:t>
            </w:r>
            <w:r w:rsidR="00D822CD" w:rsidRPr="00D750F2">
              <w:rPr>
                <w:rFonts w:ascii="Arial" w:hAnsi="Arial" w:cs="Arial"/>
                <w:sz w:val="20"/>
                <w:szCs w:val="20"/>
                <w:lang w:eastAsia="es-CO"/>
              </w:rPr>
              <w:t xml:space="preserve"> </w:t>
            </w:r>
            <w:r w:rsidRPr="00D750F2">
              <w:rPr>
                <w:rFonts w:ascii="Arial" w:hAnsi="Arial" w:cs="Arial"/>
                <w:sz w:val="20"/>
                <w:szCs w:val="20"/>
                <w:lang w:eastAsia="es-CO"/>
              </w:rPr>
              <w:t>abastecimiento de maquinaria, equipos industriales, equipos de medición o eléctricos usados en la ejecución del servicio.</w:t>
            </w:r>
          </w:p>
        </w:tc>
      </w:tr>
      <w:tr w:rsidR="00A710FD" w:rsidRPr="00D750F2" w14:paraId="135EF7BC" w14:textId="77777777" w:rsidTr="00D822CD">
        <w:tc>
          <w:tcPr>
            <w:tcW w:w="0" w:type="auto"/>
            <w:vAlign w:val="center"/>
            <w:hideMark/>
          </w:tcPr>
          <w:p w14:paraId="1EE7056E" w14:textId="77777777" w:rsidR="00A710FD" w:rsidRPr="00D750F2" w:rsidRDefault="00A710FD" w:rsidP="00D822CD">
            <w:pPr>
              <w:spacing w:line="276" w:lineRule="auto"/>
              <w:jc w:val="center"/>
              <w:rPr>
                <w:rFonts w:ascii="Arial" w:hAnsi="Arial" w:cs="Arial"/>
                <w:b/>
                <w:bCs/>
                <w:sz w:val="20"/>
                <w:szCs w:val="20"/>
                <w:lang w:eastAsia="es-CO"/>
              </w:rPr>
            </w:pPr>
            <w:r w:rsidRPr="00D750F2">
              <w:rPr>
                <w:rFonts w:ascii="Arial" w:hAnsi="Arial" w:cs="Arial"/>
                <w:b/>
                <w:bCs/>
                <w:sz w:val="20"/>
                <w:szCs w:val="20"/>
                <w:lang w:eastAsia="es-CO"/>
              </w:rPr>
              <w:t>4663</w:t>
            </w:r>
          </w:p>
        </w:tc>
        <w:tc>
          <w:tcPr>
            <w:tcW w:w="0" w:type="auto"/>
            <w:vAlign w:val="center"/>
            <w:hideMark/>
          </w:tcPr>
          <w:p w14:paraId="1FC7FD11" w14:textId="77777777"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Comercio al por mayor de materiales de construcción y ferretería, etc.</w:t>
            </w:r>
          </w:p>
        </w:tc>
        <w:tc>
          <w:tcPr>
            <w:tcW w:w="0" w:type="auto"/>
            <w:vAlign w:val="center"/>
            <w:hideMark/>
          </w:tcPr>
          <w:p w14:paraId="5644402E" w14:textId="2745EB85" w:rsidR="00A710FD" w:rsidRPr="00D750F2" w:rsidRDefault="00A710FD" w:rsidP="00D822CD">
            <w:pPr>
              <w:spacing w:line="276" w:lineRule="auto"/>
              <w:jc w:val="center"/>
              <w:rPr>
                <w:rFonts w:ascii="Arial" w:hAnsi="Arial" w:cs="Arial"/>
                <w:sz w:val="20"/>
                <w:szCs w:val="20"/>
                <w:lang w:eastAsia="es-CO"/>
              </w:rPr>
            </w:pPr>
            <w:r w:rsidRPr="00D750F2">
              <w:rPr>
                <w:rFonts w:ascii="Arial" w:hAnsi="Arial" w:cs="Arial"/>
                <w:sz w:val="20"/>
                <w:szCs w:val="20"/>
                <w:lang w:eastAsia="es-CO"/>
              </w:rPr>
              <w:t>Abastecimiento de materiales y herramientas para restitución civil, cerramientos, obra menor y consumibles.</w:t>
            </w:r>
          </w:p>
        </w:tc>
      </w:tr>
    </w:tbl>
    <w:p w14:paraId="0CEC2302" w14:textId="77777777" w:rsidR="004D5647" w:rsidRPr="00C76457" w:rsidRDefault="004D5647" w:rsidP="002F1D05">
      <w:pPr>
        <w:spacing w:after="0"/>
        <w:rPr>
          <w:rFonts w:ascii="Arial" w:hAnsi="Arial" w:cs="Arial"/>
          <w:color w:val="808080" w:themeColor="background1" w:themeShade="80"/>
          <w:lang w:eastAsia="es-CO"/>
        </w:rPr>
      </w:pPr>
    </w:p>
    <w:p w14:paraId="6EA49432" w14:textId="77777777" w:rsidR="00CD3BFC" w:rsidRPr="00C76457" w:rsidRDefault="00CD3BFC" w:rsidP="00616FE1">
      <w:pPr>
        <w:numPr>
          <w:ilvl w:val="0"/>
          <w:numId w:val="10"/>
        </w:numPr>
        <w:spacing w:after="0"/>
        <w:ind w:left="284"/>
        <w:rPr>
          <w:rFonts w:ascii="Arial" w:hAnsi="Arial" w:cs="Arial"/>
          <w:b/>
          <w:u w:val="single"/>
        </w:rPr>
      </w:pPr>
      <w:r w:rsidRPr="00C76457">
        <w:rPr>
          <w:rFonts w:ascii="Arial" w:hAnsi="Arial" w:cs="Arial"/>
          <w:b/>
          <w:u w:val="single"/>
        </w:rPr>
        <w:t>Experiencia de los proveedores</w:t>
      </w:r>
    </w:p>
    <w:p w14:paraId="463B8639" w14:textId="77777777" w:rsidR="00A34204" w:rsidRPr="00C76457" w:rsidRDefault="00A34204" w:rsidP="002F1D05">
      <w:pPr>
        <w:spacing w:after="0"/>
        <w:rPr>
          <w:rFonts w:ascii="Arial" w:hAnsi="Arial" w:cs="Arial"/>
          <w:color w:val="808080" w:themeColor="background1" w:themeShade="80"/>
          <w:lang w:eastAsia="es-CO"/>
        </w:rPr>
      </w:pPr>
    </w:p>
    <w:p w14:paraId="6C17BAFE" w14:textId="77777777" w:rsidR="009C31BF" w:rsidRPr="00C76457" w:rsidRDefault="009C31BF" w:rsidP="00616FE1">
      <w:pPr>
        <w:pStyle w:val="Sinespaciado"/>
        <w:spacing w:line="276" w:lineRule="auto"/>
        <w:rPr>
          <w:rFonts w:cs="Arial"/>
          <w:b w:val="0"/>
          <w:bCs/>
          <w:color w:val="auto"/>
          <w:sz w:val="22"/>
          <w:szCs w:val="24"/>
          <w:lang w:eastAsia="es-CO"/>
        </w:rPr>
      </w:pPr>
      <w:r w:rsidRPr="00C76457">
        <w:rPr>
          <w:rFonts w:cs="Arial"/>
          <w:b w:val="0"/>
          <w:bCs/>
          <w:color w:val="auto"/>
          <w:sz w:val="22"/>
          <w:szCs w:val="24"/>
          <w:lang w:eastAsia="es-CO"/>
        </w:rPr>
        <w:t>Teniendo en cuenta que en el proceso de selección se deben incluir REQUISITOS TÉCNICOS HABILITANTES, y con el fin de que estos se ajusten al sector específico del servicio y bienes a adquirir, a continuación, se analiza la experiencia específica de las empresas del sector que manifiestan poder proveer los servicios requeridos por la Entidad.</w:t>
      </w:r>
    </w:p>
    <w:p w14:paraId="656D8F5E" w14:textId="77777777" w:rsidR="009C31BF" w:rsidRPr="00C76457" w:rsidRDefault="009C31BF" w:rsidP="00616FE1">
      <w:pPr>
        <w:pStyle w:val="Sinespaciado"/>
        <w:spacing w:line="276" w:lineRule="auto"/>
        <w:rPr>
          <w:rFonts w:cs="Arial"/>
          <w:b w:val="0"/>
          <w:bCs/>
          <w:color w:val="auto"/>
          <w:sz w:val="22"/>
          <w:szCs w:val="24"/>
          <w:lang w:eastAsia="es-CO"/>
        </w:rPr>
      </w:pPr>
    </w:p>
    <w:p w14:paraId="3721F4F9" w14:textId="77777777" w:rsidR="009C31BF" w:rsidRPr="00C76457" w:rsidRDefault="009C31BF" w:rsidP="00616FE1">
      <w:pPr>
        <w:pStyle w:val="Sinespaciado"/>
        <w:spacing w:line="276" w:lineRule="auto"/>
        <w:rPr>
          <w:rFonts w:cs="Arial"/>
          <w:b w:val="0"/>
          <w:bCs/>
          <w:color w:val="auto"/>
          <w:sz w:val="22"/>
          <w:szCs w:val="24"/>
        </w:rPr>
      </w:pPr>
      <w:r w:rsidRPr="00C76457">
        <w:rPr>
          <w:rFonts w:cs="Arial"/>
          <w:b w:val="0"/>
          <w:bCs/>
          <w:color w:val="auto"/>
          <w:sz w:val="22"/>
          <w:szCs w:val="24"/>
          <w:lang w:eastAsia="es-CO"/>
        </w:rPr>
        <w:t>Se</w:t>
      </w:r>
      <w:r w:rsidRPr="00C76457">
        <w:rPr>
          <w:rFonts w:cs="Arial"/>
          <w:b w:val="0"/>
          <w:bCs/>
          <w:color w:val="auto"/>
          <w:sz w:val="22"/>
          <w:szCs w:val="24"/>
        </w:rPr>
        <w:t xml:space="preserve"> solicitó a la totalidad de empresas contactadas en desarrollo del estudio del mercado que remitieran la experiencia relacionada con la venta de los bienes objeto de estudio, con la finalidad de dar cumplimiento al ordinal d) del Artículo 2.2.1.1.1.6.2. del Decreto 1082 de 2015 y se obtuvo respuesta por parte de ocho (8) empresas. La información obtenida se consolida en el Anexo 1. “Experiencia Relacionada Proveedores” (en los últimos 5 años).</w:t>
      </w:r>
    </w:p>
    <w:p w14:paraId="2CBFB68C" w14:textId="77777777" w:rsidR="009C31BF" w:rsidRPr="00C76457" w:rsidRDefault="009C31BF" w:rsidP="00616FE1">
      <w:pPr>
        <w:spacing w:after="0"/>
        <w:rPr>
          <w:rFonts w:ascii="Arial" w:hAnsi="Arial" w:cs="Arial"/>
          <w:bCs/>
          <w:sz w:val="24"/>
          <w:szCs w:val="24"/>
        </w:rPr>
      </w:pPr>
    </w:p>
    <w:p w14:paraId="51CAD447" w14:textId="77777777" w:rsidR="009C31BF" w:rsidRPr="00C76457" w:rsidRDefault="009C31BF" w:rsidP="00616FE1">
      <w:pPr>
        <w:pStyle w:val="Sinespaciado"/>
        <w:spacing w:line="276" w:lineRule="auto"/>
        <w:rPr>
          <w:rFonts w:cs="Arial"/>
          <w:b w:val="0"/>
          <w:bCs/>
          <w:color w:val="auto"/>
          <w:sz w:val="22"/>
          <w:szCs w:val="24"/>
        </w:rPr>
      </w:pPr>
      <w:r w:rsidRPr="00C76457">
        <w:rPr>
          <w:rFonts w:cs="Arial"/>
          <w:b w:val="0"/>
          <w:bCs/>
          <w:color w:val="auto"/>
          <w:sz w:val="22"/>
          <w:szCs w:val="24"/>
        </w:rPr>
        <w:t>Al analizar la experiencia en contratación reportada por los proveedores, se evidencia lo siguiente:</w:t>
      </w:r>
    </w:p>
    <w:p w14:paraId="7543EE2B" w14:textId="77777777" w:rsidR="00960C7C" w:rsidRPr="00C76457" w:rsidRDefault="00960C7C" w:rsidP="002F1D05">
      <w:pPr>
        <w:spacing w:after="0"/>
        <w:rPr>
          <w:rFonts w:ascii="Arial" w:hAnsi="Arial" w:cs="Arial"/>
          <w:color w:val="808080" w:themeColor="background1" w:themeShade="80"/>
          <w:lang w:eastAsia="es-CO"/>
        </w:rPr>
      </w:pPr>
    </w:p>
    <w:p w14:paraId="6028B421" w14:textId="0B0BFB44" w:rsidR="008B779D" w:rsidRPr="00C76457" w:rsidRDefault="008B779D" w:rsidP="00F35272">
      <w:pPr>
        <w:spacing w:after="0"/>
        <w:jc w:val="both"/>
        <w:rPr>
          <w:rFonts w:ascii="Arial" w:hAnsi="Arial" w:cs="Arial"/>
          <w:lang w:eastAsia="es-CO"/>
        </w:rPr>
      </w:pPr>
      <w:r w:rsidRPr="00C76457">
        <w:rPr>
          <w:rFonts w:ascii="Arial" w:hAnsi="Arial" w:cs="Arial"/>
          <w:lang w:eastAsia="es-CO"/>
        </w:rPr>
        <w:t>Se analizaron un total de 40 referencias contractuales, de las cuales 37 están</w:t>
      </w:r>
      <w:r w:rsidR="00F35272" w:rsidRPr="00C76457">
        <w:rPr>
          <w:rFonts w:ascii="Arial" w:hAnsi="Arial" w:cs="Arial"/>
          <w:lang w:eastAsia="es-CO"/>
        </w:rPr>
        <w:t xml:space="preserve"> </w:t>
      </w:r>
      <w:r w:rsidRPr="00C76457">
        <w:rPr>
          <w:rFonts w:ascii="Arial" w:hAnsi="Arial" w:cs="Arial"/>
          <w:lang w:eastAsia="es-CO"/>
        </w:rPr>
        <w:t xml:space="preserve">denominadas en pesos colombianos y 3 en euros (reportadas por </w:t>
      </w:r>
      <w:proofErr w:type="spellStart"/>
      <w:r w:rsidRPr="00C76457">
        <w:rPr>
          <w:rFonts w:ascii="Arial" w:hAnsi="Arial" w:cs="Arial"/>
          <w:lang w:eastAsia="es-CO"/>
        </w:rPr>
        <w:t>Inerco</w:t>
      </w:r>
      <w:proofErr w:type="spellEnd"/>
      <w:r w:rsidRPr="00C76457">
        <w:rPr>
          <w:rFonts w:ascii="Arial" w:hAnsi="Arial" w:cs="Arial"/>
          <w:lang w:eastAsia="es-CO"/>
        </w:rPr>
        <w:t xml:space="preserve"> España). La distribución por proveedor muestra que Novambientti posee el mayor volumen de referencias con 16 contratos, seguido por 2M Estudio e </w:t>
      </w:r>
      <w:proofErr w:type="spellStart"/>
      <w:r w:rsidRPr="00C76457">
        <w:rPr>
          <w:rFonts w:ascii="Arial" w:hAnsi="Arial" w:cs="Arial"/>
          <w:lang w:eastAsia="es-CO"/>
        </w:rPr>
        <w:t>Inerco</w:t>
      </w:r>
      <w:proofErr w:type="spellEnd"/>
      <w:r w:rsidRPr="00C76457">
        <w:rPr>
          <w:rFonts w:ascii="Arial" w:hAnsi="Arial" w:cs="Arial"/>
          <w:lang w:eastAsia="es-CO"/>
        </w:rPr>
        <w:t xml:space="preserve"> con 8 contratos cada uno, y finalmente </w:t>
      </w:r>
      <w:proofErr w:type="spellStart"/>
      <w:r w:rsidRPr="00C76457">
        <w:rPr>
          <w:rFonts w:ascii="Arial" w:hAnsi="Arial" w:cs="Arial"/>
          <w:lang w:eastAsia="es-CO"/>
        </w:rPr>
        <w:t>Ambipar</w:t>
      </w:r>
      <w:proofErr w:type="spellEnd"/>
      <w:r w:rsidRPr="00C76457">
        <w:rPr>
          <w:rFonts w:ascii="Arial" w:hAnsi="Arial" w:cs="Arial"/>
          <w:lang w:eastAsia="es-CO"/>
        </w:rPr>
        <w:t xml:space="preserve"> e </w:t>
      </w:r>
      <w:proofErr w:type="spellStart"/>
      <w:r w:rsidRPr="00C76457">
        <w:rPr>
          <w:rFonts w:ascii="Arial" w:hAnsi="Arial" w:cs="Arial"/>
          <w:lang w:eastAsia="es-CO"/>
        </w:rPr>
        <w:t>Hidrogeocol</w:t>
      </w:r>
      <w:proofErr w:type="spellEnd"/>
      <w:r w:rsidRPr="00C76457">
        <w:rPr>
          <w:rFonts w:ascii="Arial" w:hAnsi="Arial" w:cs="Arial"/>
          <w:lang w:eastAsia="es-CO"/>
        </w:rPr>
        <w:t xml:space="preserve"> con 4 contratos cada uno. Esta base de datos permite identificar un mercado con actores de nicho técnico y empresas de gran infraestructura civil.</w:t>
      </w:r>
    </w:p>
    <w:p w14:paraId="1FEE34AA" w14:textId="77777777" w:rsidR="00F35272" w:rsidRPr="00C76457" w:rsidRDefault="00F35272" w:rsidP="00F35272">
      <w:pPr>
        <w:spacing w:after="0"/>
        <w:jc w:val="both"/>
        <w:rPr>
          <w:rFonts w:ascii="Arial" w:hAnsi="Arial" w:cs="Arial"/>
          <w:lang w:eastAsia="es-CO"/>
        </w:rPr>
      </w:pPr>
    </w:p>
    <w:p w14:paraId="6FAF91E4" w14:textId="77777777" w:rsidR="008B779D" w:rsidRPr="00C76457" w:rsidRDefault="008B779D" w:rsidP="00F35272">
      <w:pPr>
        <w:spacing w:after="0"/>
        <w:jc w:val="both"/>
        <w:rPr>
          <w:rFonts w:ascii="Arial" w:hAnsi="Arial" w:cs="Arial"/>
          <w:lang w:eastAsia="es-CO"/>
        </w:rPr>
      </w:pPr>
      <w:r w:rsidRPr="00C76457">
        <w:rPr>
          <w:rFonts w:ascii="Arial" w:hAnsi="Arial" w:cs="Arial"/>
          <w:lang w:eastAsia="es-CO"/>
        </w:rPr>
        <w:lastRenderedPageBreak/>
        <w:t>El valor promedio de los contratos, excluyendo el dato atípico principal, se sitúa en el rango de los $450 a $650 millones de pesos. No obstante, se identifican tres valores extremos que superan significativamente el rango intercuartílico del sector:</w:t>
      </w:r>
    </w:p>
    <w:p w14:paraId="5597736E" w14:textId="77777777" w:rsidR="00F35272" w:rsidRPr="00C76457" w:rsidRDefault="00F35272" w:rsidP="00F35272">
      <w:pPr>
        <w:spacing w:after="0"/>
        <w:jc w:val="both"/>
        <w:rPr>
          <w:rFonts w:ascii="Arial" w:hAnsi="Arial" w:cs="Arial"/>
          <w:lang w:eastAsia="es-CO"/>
        </w:rPr>
      </w:pPr>
    </w:p>
    <w:p w14:paraId="3D7CBA36" w14:textId="77777777" w:rsidR="008B779D" w:rsidRPr="00C76457" w:rsidRDefault="008B779D" w:rsidP="00616FE1">
      <w:pPr>
        <w:numPr>
          <w:ilvl w:val="0"/>
          <w:numId w:val="45"/>
        </w:numPr>
        <w:spacing w:after="0"/>
        <w:jc w:val="both"/>
        <w:rPr>
          <w:rFonts w:ascii="Arial" w:hAnsi="Arial" w:cs="Arial"/>
          <w:lang w:eastAsia="es-CO"/>
        </w:rPr>
      </w:pPr>
      <w:r w:rsidRPr="00C76457">
        <w:rPr>
          <w:rFonts w:ascii="Arial" w:hAnsi="Arial" w:cs="Arial"/>
          <w:lang w:eastAsia="es-CO"/>
        </w:rPr>
        <w:t>Contrato Ocensa (</w:t>
      </w:r>
      <w:proofErr w:type="spellStart"/>
      <w:r w:rsidRPr="00C76457">
        <w:rPr>
          <w:rFonts w:ascii="Arial" w:hAnsi="Arial" w:cs="Arial"/>
          <w:lang w:eastAsia="es-CO"/>
        </w:rPr>
        <w:t>Ambipar</w:t>
      </w:r>
      <w:proofErr w:type="spellEnd"/>
      <w:r w:rsidRPr="00C76457">
        <w:rPr>
          <w:rFonts w:ascii="Arial" w:hAnsi="Arial" w:cs="Arial"/>
          <w:lang w:eastAsia="es-CO"/>
        </w:rPr>
        <w:t>): Por un valor de $26.945.140.985. La causal de este monto es el objeto del contrato: la gestión integral de emergencias y contingencias en terminales petroleras mayores (Coveñas y Vasconia), lo cual implica una disponibilidad operativa y técnica muy superior a un desmantelamiento de EDS urbana.</w:t>
      </w:r>
    </w:p>
    <w:p w14:paraId="7500701F" w14:textId="77777777" w:rsidR="008B779D" w:rsidRPr="00C76457" w:rsidRDefault="008B779D" w:rsidP="00616FE1">
      <w:pPr>
        <w:numPr>
          <w:ilvl w:val="0"/>
          <w:numId w:val="45"/>
        </w:numPr>
        <w:spacing w:after="0"/>
        <w:jc w:val="both"/>
        <w:rPr>
          <w:rFonts w:ascii="Arial" w:hAnsi="Arial" w:cs="Arial"/>
          <w:lang w:eastAsia="es-CO"/>
        </w:rPr>
      </w:pPr>
      <w:r w:rsidRPr="00C76457">
        <w:rPr>
          <w:rFonts w:ascii="Arial" w:hAnsi="Arial" w:cs="Arial"/>
          <w:lang w:eastAsia="es-CO"/>
        </w:rPr>
        <w:t>Contrato San Bernardo (Novambientti): Por un valor de $4.140.144.535. La causal de este valor extremo es la magnitud de la intervención civil, que incluye la demolición masiva y cerramiento de múltiples predios para un proyecto de renovación urbana a gran escala.</w:t>
      </w:r>
    </w:p>
    <w:p w14:paraId="2CDA528B" w14:textId="77777777" w:rsidR="008B779D" w:rsidRPr="00C76457" w:rsidRDefault="008B779D" w:rsidP="00616FE1">
      <w:pPr>
        <w:numPr>
          <w:ilvl w:val="0"/>
          <w:numId w:val="45"/>
        </w:numPr>
        <w:spacing w:after="0"/>
        <w:jc w:val="both"/>
        <w:rPr>
          <w:rFonts w:ascii="Arial" w:hAnsi="Arial" w:cs="Arial"/>
          <w:lang w:eastAsia="es-CO"/>
        </w:rPr>
      </w:pPr>
      <w:r w:rsidRPr="00C76457">
        <w:rPr>
          <w:rFonts w:ascii="Arial" w:hAnsi="Arial" w:cs="Arial"/>
          <w:lang w:eastAsia="es-CO"/>
        </w:rPr>
        <w:t>Contrato Uso Residencial (</w:t>
      </w:r>
      <w:proofErr w:type="spellStart"/>
      <w:r w:rsidRPr="00C76457">
        <w:rPr>
          <w:rFonts w:ascii="Arial" w:hAnsi="Arial" w:cs="Arial"/>
          <w:lang w:eastAsia="es-CO"/>
        </w:rPr>
        <w:t>Novambientti</w:t>
      </w:r>
      <w:proofErr w:type="spellEnd"/>
      <w:r w:rsidRPr="00C76457">
        <w:rPr>
          <w:rFonts w:ascii="Arial" w:hAnsi="Arial" w:cs="Arial"/>
          <w:lang w:eastAsia="es-CO"/>
        </w:rPr>
        <w:t>): Por $1.260.388.062. Se clasifica como alto debido a la complejidad de la "estrategia ambiental" requerida para habilitar un suelo previamente industrial para uso residencial, lo que demanda remediación intensiva de hidrocarburos.</w:t>
      </w:r>
    </w:p>
    <w:p w14:paraId="1AC80E07" w14:textId="77777777" w:rsidR="00F35272" w:rsidRPr="00C76457" w:rsidRDefault="00F35272" w:rsidP="00F35272">
      <w:pPr>
        <w:spacing w:after="0"/>
        <w:ind w:left="720"/>
        <w:jc w:val="both"/>
        <w:rPr>
          <w:rFonts w:ascii="Arial" w:hAnsi="Arial" w:cs="Arial"/>
          <w:lang w:eastAsia="es-CO"/>
        </w:rPr>
      </w:pPr>
    </w:p>
    <w:p w14:paraId="08696093" w14:textId="77777777" w:rsidR="008B779D" w:rsidRPr="00C76457" w:rsidRDefault="008B779D" w:rsidP="00F35272">
      <w:pPr>
        <w:spacing w:after="0"/>
        <w:jc w:val="both"/>
        <w:rPr>
          <w:rFonts w:ascii="Arial" w:hAnsi="Arial" w:cs="Arial"/>
          <w:lang w:eastAsia="es-CO"/>
        </w:rPr>
      </w:pPr>
      <w:r w:rsidRPr="00C76457">
        <w:rPr>
          <w:rFonts w:ascii="Arial" w:hAnsi="Arial" w:cs="Arial"/>
          <w:lang w:eastAsia="es-CO"/>
        </w:rPr>
        <w:t>El plazo promedio de ejecución reportado para actividades específicas de desmantelamiento de EDS y remediación técnica es de aproximadamente 75 días calendario. Sin embargo, existe una variabilidad extrema: contratos técnicos de evaluación ambiental (Fase I y II) se ejecutan en periodos cortos de 30 a 50 días, mientras que proyectos de remediación profunda o demolición urbana masiva pueden extenderse desde los 300 hasta los 1.579 días. Esta diferencia subraya que el tiempo de permanencia en sitio está directamente ligado al nivel de contaminación del subsuelo descubierto durante la etapa de excavación.</w:t>
      </w:r>
    </w:p>
    <w:p w14:paraId="502162C0" w14:textId="77777777" w:rsidR="00F35272" w:rsidRPr="00C76457" w:rsidRDefault="00F35272" w:rsidP="00F35272">
      <w:pPr>
        <w:spacing w:after="0"/>
        <w:jc w:val="both"/>
        <w:rPr>
          <w:rFonts w:ascii="Arial" w:hAnsi="Arial" w:cs="Arial"/>
          <w:lang w:eastAsia="es-CO"/>
        </w:rPr>
      </w:pPr>
    </w:p>
    <w:p w14:paraId="26D62676" w14:textId="77777777" w:rsidR="008B779D" w:rsidRPr="00C76457" w:rsidRDefault="008B779D" w:rsidP="00F35272">
      <w:pPr>
        <w:spacing w:after="0"/>
        <w:jc w:val="both"/>
        <w:rPr>
          <w:rFonts w:ascii="Arial" w:hAnsi="Arial" w:cs="Arial"/>
          <w:lang w:eastAsia="es-CO"/>
        </w:rPr>
      </w:pPr>
      <w:r w:rsidRPr="00C76457">
        <w:rPr>
          <w:rFonts w:ascii="Arial" w:hAnsi="Arial" w:cs="Arial"/>
          <w:lang w:eastAsia="es-CO"/>
        </w:rPr>
        <w:t>Un análisis de los términos más recurrentes en los objetos de los contratos permite identificar las cuatro actividades núcleo del proceso de desmantelamiento:</w:t>
      </w:r>
    </w:p>
    <w:p w14:paraId="6C6E6148" w14:textId="77777777" w:rsidR="00F35272" w:rsidRPr="00C76457" w:rsidRDefault="00F35272" w:rsidP="00F35272">
      <w:pPr>
        <w:spacing w:after="0"/>
        <w:jc w:val="both"/>
        <w:rPr>
          <w:rFonts w:ascii="Arial" w:hAnsi="Arial" w:cs="Arial"/>
          <w:lang w:eastAsia="es-CO"/>
        </w:rPr>
      </w:pPr>
    </w:p>
    <w:p w14:paraId="008E46D3" w14:textId="77777777" w:rsidR="008B779D" w:rsidRPr="00C76457" w:rsidRDefault="008B779D" w:rsidP="00616FE1">
      <w:pPr>
        <w:numPr>
          <w:ilvl w:val="0"/>
          <w:numId w:val="46"/>
        </w:numPr>
        <w:spacing w:after="0"/>
        <w:jc w:val="both"/>
        <w:rPr>
          <w:rFonts w:ascii="Arial" w:hAnsi="Arial" w:cs="Arial"/>
          <w:lang w:eastAsia="es-CO"/>
        </w:rPr>
      </w:pPr>
      <w:r w:rsidRPr="00C76457">
        <w:rPr>
          <w:rFonts w:ascii="Arial" w:hAnsi="Arial" w:cs="Arial"/>
          <w:lang w:eastAsia="es-CO"/>
        </w:rPr>
        <w:t xml:space="preserve">Componente Técnico-Ambiental: Términos como </w:t>
      </w:r>
      <w:r w:rsidRPr="00C76457">
        <w:rPr>
          <w:rFonts w:ascii="Arial" w:hAnsi="Arial" w:cs="Arial"/>
          <w:i/>
          <w:iCs/>
          <w:lang w:eastAsia="es-CO"/>
        </w:rPr>
        <w:t>"Evaluación Fase I y II"</w:t>
      </w:r>
      <w:r w:rsidRPr="00C76457">
        <w:rPr>
          <w:rFonts w:ascii="Arial" w:hAnsi="Arial" w:cs="Arial"/>
          <w:lang w:eastAsia="es-CO"/>
        </w:rPr>
        <w:t xml:space="preserve">, </w:t>
      </w:r>
      <w:r w:rsidRPr="00C76457">
        <w:rPr>
          <w:rFonts w:ascii="Arial" w:hAnsi="Arial" w:cs="Arial"/>
          <w:i/>
          <w:iCs/>
          <w:lang w:eastAsia="es-CO"/>
        </w:rPr>
        <w:t>"Análisis de Riesgo RBCA"</w:t>
      </w:r>
      <w:r w:rsidRPr="00C76457">
        <w:rPr>
          <w:rFonts w:ascii="Arial" w:hAnsi="Arial" w:cs="Arial"/>
          <w:lang w:eastAsia="es-CO"/>
        </w:rPr>
        <w:t xml:space="preserve">, </w:t>
      </w:r>
      <w:r w:rsidRPr="00C76457">
        <w:rPr>
          <w:rFonts w:ascii="Arial" w:hAnsi="Arial" w:cs="Arial"/>
          <w:i/>
          <w:iCs/>
          <w:lang w:eastAsia="es-CO"/>
        </w:rPr>
        <w:t>"Pozos de monitoreo"</w:t>
      </w:r>
      <w:r w:rsidRPr="00C76457">
        <w:rPr>
          <w:rFonts w:ascii="Arial" w:hAnsi="Arial" w:cs="Arial"/>
          <w:lang w:eastAsia="es-CO"/>
        </w:rPr>
        <w:t xml:space="preserve"> y </w:t>
      </w:r>
      <w:r w:rsidRPr="00C76457">
        <w:rPr>
          <w:rFonts w:ascii="Arial" w:hAnsi="Arial" w:cs="Arial"/>
          <w:i/>
          <w:iCs/>
          <w:lang w:eastAsia="es-CO"/>
        </w:rPr>
        <w:t>"Muestreo de suelos"</w:t>
      </w:r>
      <w:r w:rsidRPr="00C76457">
        <w:rPr>
          <w:rFonts w:ascii="Arial" w:hAnsi="Arial" w:cs="Arial"/>
          <w:lang w:eastAsia="es-CO"/>
        </w:rPr>
        <w:t xml:space="preserve"> aparecen en el 70% de los contratos, indicando que el desmantelamiento es, ante todo, un proceso de validación científica.</w:t>
      </w:r>
    </w:p>
    <w:p w14:paraId="6D3FCAD7" w14:textId="77777777" w:rsidR="008B779D" w:rsidRPr="00C76457" w:rsidRDefault="008B779D" w:rsidP="00616FE1">
      <w:pPr>
        <w:numPr>
          <w:ilvl w:val="0"/>
          <w:numId w:val="46"/>
        </w:numPr>
        <w:spacing w:after="0"/>
        <w:jc w:val="both"/>
        <w:rPr>
          <w:rFonts w:ascii="Arial" w:hAnsi="Arial" w:cs="Arial"/>
          <w:lang w:eastAsia="es-CO"/>
        </w:rPr>
      </w:pPr>
      <w:r w:rsidRPr="00C76457">
        <w:rPr>
          <w:rFonts w:ascii="Arial" w:hAnsi="Arial" w:cs="Arial"/>
          <w:lang w:eastAsia="es-CO"/>
        </w:rPr>
        <w:t xml:space="preserve">Componente Operativo de Riesgo: Palabras clave como </w:t>
      </w:r>
      <w:r w:rsidRPr="00C76457">
        <w:rPr>
          <w:rFonts w:ascii="Arial" w:hAnsi="Arial" w:cs="Arial"/>
          <w:i/>
          <w:iCs/>
          <w:lang w:eastAsia="es-CO"/>
        </w:rPr>
        <w:t>"Desgasificación"</w:t>
      </w:r>
      <w:r w:rsidRPr="00C76457">
        <w:rPr>
          <w:rFonts w:ascii="Arial" w:hAnsi="Arial" w:cs="Arial"/>
          <w:lang w:eastAsia="es-CO"/>
        </w:rPr>
        <w:t xml:space="preserve">, </w:t>
      </w:r>
      <w:r w:rsidRPr="00C76457">
        <w:rPr>
          <w:rFonts w:ascii="Arial" w:hAnsi="Arial" w:cs="Arial"/>
          <w:i/>
          <w:iCs/>
          <w:lang w:eastAsia="es-CO"/>
        </w:rPr>
        <w:t>"Extracción de tanques"</w:t>
      </w:r>
      <w:r w:rsidRPr="00C76457">
        <w:rPr>
          <w:rFonts w:ascii="Arial" w:hAnsi="Arial" w:cs="Arial"/>
          <w:lang w:eastAsia="es-CO"/>
        </w:rPr>
        <w:t xml:space="preserve"> y </w:t>
      </w:r>
      <w:r w:rsidRPr="00C76457">
        <w:rPr>
          <w:rFonts w:ascii="Arial" w:hAnsi="Arial" w:cs="Arial"/>
          <w:i/>
          <w:iCs/>
          <w:lang w:eastAsia="es-CO"/>
        </w:rPr>
        <w:t>"Trasiego"</w:t>
      </w:r>
      <w:r w:rsidRPr="00C76457">
        <w:rPr>
          <w:rFonts w:ascii="Arial" w:hAnsi="Arial" w:cs="Arial"/>
          <w:lang w:eastAsia="es-CO"/>
        </w:rPr>
        <w:t xml:space="preserve"> definen la etapa de mayor peligro crítico.</w:t>
      </w:r>
    </w:p>
    <w:p w14:paraId="4355912B" w14:textId="77777777" w:rsidR="008B779D" w:rsidRPr="00C76457" w:rsidRDefault="008B779D" w:rsidP="00616FE1">
      <w:pPr>
        <w:numPr>
          <w:ilvl w:val="0"/>
          <w:numId w:val="46"/>
        </w:numPr>
        <w:spacing w:after="0"/>
        <w:jc w:val="both"/>
        <w:rPr>
          <w:rFonts w:ascii="Arial" w:hAnsi="Arial" w:cs="Arial"/>
          <w:lang w:eastAsia="es-CO"/>
        </w:rPr>
      </w:pPr>
      <w:r w:rsidRPr="00C76457">
        <w:rPr>
          <w:rFonts w:ascii="Arial" w:hAnsi="Arial" w:cs="Arial"/>
          <w:lang w:eastAsia="es-CO"/>
        </w:rPr>
        <w:t xml:space="preserve">Componente de Obra Civil: Predominan conceptos como </w:t>
      </w:r>
      <w:r w:rsidRPr="00C76457">
        <w:rPr>
          <w:rFonts w:ascii="Arial" w:hAnsi="Arial" w:cs="Arial"/>
          <w:i/>
          <w:iCs/>
          <w:lang w:eastAsia="es-CO"/>
        </w:rPr>
        <w:t>"Demolición mecánica"</w:t>
      </w:r>
      <w:r w:rsidRPr="00C76457">
        <w:rPr>
          <w:rFonts w:ascii="Arial" w:hAnsi="Arial" w:cs="Arial"/>
          <w:lang w:eastAsia="es-CO"/>
        </w:rPr>
        <w:t xml:space="preserve">, </w:t>
      </w:r>
      <w:r w:rsidRPr="00C76457">
        <w:rPr>
          <w:rFonts w:ascii="Arial" w:hAnsi="Arial" w:cs="Arial"/>
          <w:i/>
          <w:iCs/>
          <w:lang w:eastAsia="es-CO"/>
        </w:rPr>
        <w:t>"Retiro de escombros (RCD)"</w:t>
      </w:r>
      <w:r w:rsidRPr="00C76457">
        <w:rPr>
          <w:rFonts w:ascii="Arial" w:hAnsi="Arial" w:cs="Arial"/>
          <w:lang w:eastAsia="es-CO"/>
        </w:rPr>
        <w:t xml:space="preserve">, </w:t>
      </w:r>
      <w:r w:rsidRPr="00C76457">
        <w:rPr>
          <w:rFonts w:ascii="Arial" w:hAnsi="Arial" w:cs="Arial"/>
          <w:i/>
          <w:iCs/>
          <w:lang w:eastAsia="es-CO"/>
        </w:rPr>
        <w:t>"Excavación selectiva"</w:t>
      </w:r>
      <w:r w:rsidRPr="00C76457">
        <w:rPr>
          <w:rFonts w:ascii="Arial" w:hAnsi="Arial" w:cs="Arial"/>
          <w:lang w:eastAsia="es-CO"/>
        </w:rPr>
        <w:t xml:space="preserve"> y </w:t>
      </w:r>
      <w:r w:rsidRPr="00C76457">
        <w:rPr>
          <w:rFonts w:ascii="Arial" w:hAnsi="Arial" w:cs="Arial"/>
          <w:i/>
          <w:iCs/>
          <w:lang w:eastAsia="es-CO"/>
        </w:rPr>
        <w:t>"Relleno con material de cantera"</w:t>
      </w:r>
      <w:r w:rsidRPr="00C76457">
        <w:rPr>
          <w:rFonts w:ascii="Arial" w:hAnsi="Arial" w:cs="Arial"/>
          <w:lang w:eastAsia="es-CO"/>
        </w:rPr>
        <w:t>.</w:t>
      </w:r>
    </w:p>
    <w:p w14:paraId="44AEF5C3" w14:textId="77777777" w:rsidR="008B779D" w:rsidRPr="00C76457" w:rsidRDefault="008B779D" w:rsidP="00616FE1">
      <w:pPr>
        <w:numPr>
          <w:ilvl w:val="0"/>
          <w:numId w:val="46"/>
        </w:numPr>
        <w:spacing w:after="0"/>
        <w:jc w:val="both"/>
        <w:rPr>
          <w:rFonts w:ascii="Arial" w:hAnsi="Arial" w:cs="Arial"/>
          <w:lang w:eastAsia="es-CO"/>
        </w:rPr>
      </w:pPr>
      <w:r w:rsidRPr="00C76457">
        <w:rPr>
          <w:rFonts w:ascii="Arial" w:hAnsi="Arial" w:cs="Arial"/>
          <w:lang w:eastAsia="es-CO"/>
        </w:rPr>
        <w:t xml:space="preserve">Componente de Remediación: El uso frecuente de </w:t>
      </w:r>
      <w:r w:rsidRPr="00C76457">
        <w:rPr>
          <w:rFonts w:ascii="Arial" w:hAnsi="Arial" w:cs="Arial"/>
          <w:i/>
          <w:iCs/>
          <w:lang w:eastAsia="es-CO"/>
        </w:rPr>
        <w:t>"Intervención de puntos calientes"</w:t>
      </w:r>
      <w:r w:rsidRPr="00C76457">
        <w:rPr>
          <w:rFonts w:ascii="Arial" w:hAnsi="Arial" w:cs="Arial"/>
          <w:lang w:eastAsia="es-CO"/>
        </w:rPr>
        <w:t xml:space="preserve"> y </w:t>
      </w:r>
      <w:r w:rsidRPr="00C76457">
        <w:rPr>
          <w:rFonts w:ascii="Arial" w:hAnsi="Arial" w:cs="Arial"/>
          <w:i/>
          <w:iCs/>
          <w:lang w:eastAsia="es-CO"/>
        </w:rPr>
        <w:t>"Gestión de suelo afectado"</w:t>
      </w:r>
      <w:r w:rsidRPr="00C76457">
        <w:rPr>
          <w:rFonts w:ascii="Arial" w:hAnsi="Arial" w:cs="Arial"/>
          <w:lang w:eastAsia="es-CO"/>
        </w:rPr>
        <w:t xml:space="preserve"> resalta la responsabilidad final del contratista sobre la descontaminación.</w:t>
      </w:r>
    </w:p>
    <w:p w14:paraId="7519FEC2" w14:textId="77777777" w:rsidR="00F35272" w:rsidRPr="00C76457" w:rsidRDefault="00F35272" w:rsidP="00F35272">
      <w:pPr>
        <w:spacing w:after="0"/>
        <w:ind w:left="720"/>
        <w:jc w:val="both"/>
        <w:rPr>
          <w:rFonts w:ascii="Arial" w:hAnsi="Arial" w:cs="Arial"/>
          <w:lang w:eastAsia="es-CO"/>
        </w:rPr>
      </w:pPr>
    </w:p>
    <w:p w14:paraId="1CC7DB76" w14:textId="7DD397A4" w:rsidR="008B779D" w:rsidRPr="00C76457" w:rsidRDefault="008B779D" w:rsidP="00F35272">
      <w:pPr>
        <w:spacing w:after="0"/>
        <w:jc w:val="both"/>
        <w:rPr>
          <w:rFonts w:ascii="Arial" w:hAnsi="Arial" w:cs="Arial"/>
          <w:lang w:eastAsia="es-CO"/>
        </w:rPr>
      </w:pPr>
      <w:r w:rsidRPr="00C76457">
        <w:rPr>
          <w:rFonts w:ascii="Arial" w:hAnsi="Arial" w:cs="Arial"/>
          <w:lang w:eastAsia="es-CO"/>
        </w:rPr>
        <w:t>Lo evidenciado en el análisis permite concluir que los proveedores se dividen en dos perfiles claros: expertos en remediación técnica (</w:t>
      </w:r>
      <w:proofErr w:type="spellStart"/>
      <w:r w:rsidRPr="00C76457">
        <w:rPr>
          <w:rFonts w:ascii="Arial" w:hAnsi="Arial" w:cs="Arial"/>
          <w:lang w:eastAsia="es-CO"/>
        </w:rPr>
        <w:t>Hidrogeocol</w:t>
      </w:r>
      <w:proofErr w:type="spellEnd"/>
      <w:r w:rsidRPr="00C76457">
        <w:rPr>
          <w:rFonts w:ascii="Arial" w:hAnsi="Arial" w:cs="Arial"/>
          <w:lang w:eastAsia="es-CO"/>
        </w:rPr>
        <w:t xml:space="preserve"> e </w:t>
      </w:r>
      <w:proofErr w:type="spellStart"/>
      <w:r w:rsidRPr="00C76457">
        <w:rPr>
          <w:rFonts w:ascii="Arial" w:hAnsi="Arial" w:cs="Arial"/>
          <w:lang w:eastAsia="es-CO"/>
        </w:rPr>
        <w:t>Inerco</w:t>
      </w:r>
      <w:proofErr w:type="spellEnd"/>
      <w:r w:rsidRPr="00C76457">
        <w:rPr>
          <w:rFonts w:ascii="Arial" w:hAnsi="Arial" w:cs="Arial"/>
          <w:lang w:eastAsia="es-CO"/>
        </w:rPr>
        <w:t>), cuyos contratos son de menor valor</w:t>
      </w:r>
      <w:r w:rsidR="00481B48">
        <w:rPr>
          <w:rFonts w:ascii="Arial" w:hAnsi="Arial" w:cs="Arial"/>
          <w:lang w:eastAsia="es-CO"/>
        </w:rPr>
        <w:t>,</w:t>
      </w:r>
      <w:r w:rsidRPr="00C76457">
        <w:rPr>
          <w:rFonts w:ascii="Arial" w:hAnsi="Arial" w:cs="Arial"/>
          <w:lang w:eastAsia="es-CO"/>
        </w:rPr>
        <w:t xml:space="preserve"> pero de alta precisión en tanques y suelos, y ejecutores de infraestructura ambiental (2M Estudio, </w:t>
      </w:r>
      <w:proofErr w:type="spellStart"/>
      <w:r w:rsidRPr="00C76457">
        <w:rPr>
          <w:rFonts w:ascii="Arial" w:hAnsi="Arial" w:cs="Arial"/>
          <w:lang w:eastAsia="es-CO"/>
        </w:rPr>
        <w:t>Novambientti</w:t>
      </w:r>
      <w:proofErr w:type="spellEnd"/>
      <w:r w:rsidRPr="00C76457">
        <w:rPr>
          <w:rFonts w:ascii="Arial" w:hAnsi="Arial" w:cs="Arial"/>
          <w:lang w:eastAsia="es-CO"/>
        </w:rPr>
        <w:t xml:space="preserve"> y </w:t>
      </w:r>
      <w:proofErr w:type="spellStart"/>
      <w:r w:rsidRPr="00C76457">
        <w:rPr>
          <w:rFonts w:ascii="Arial" w:hAnsi="Arial" w:cs="Arial"/>
          <w:lang w:eastAsia="es-CO"/>
        </w:rPr>
        <w:t>Ambipar</w:t>
      </w:r>
      <w:proofErr w:type="spellEnd"/>
      <w:r w:rsidRPr="00C76457">
        <w:rPr>
          <w:rFonts w:ascii="Arial" w:hAnsi="Arial" w:cs="Arial"/>
          <w:lang w:eastAsia="es-CO"/>
        </w:rPr>
        <w:t xml:space="preserve">), con capacidad para manejar grandes volúmenes de obra civil y demolición. Para </w:t>
      </w:r>
      <w:r w:rsidR="00424315" w:rsidRPr="00C76457">
        <w:rPr>
          <w:rFonts w:ascii="Arial" w:hAnsi="Arial" w:cs="Arial"/>
          <w:lang w:eastAsia="es-CO"/>
        </w:rPr>
        <w:t>la Entidad</w:t>
      </w:r>
      <w:r w:rsidRPr="00C76457">
        <w:rPr>
          <w:rFonts w:ascii="Arial" w:hAnsi="Arial" w:cs="Arial"/>
          <w:lang w:eastAsia="es-CO"/>
        </w:rPr>
        <w:t>, la experiencia acumulada en los patios Norte y Tibabuyes es el indicador de idoneidad más sólido, ya que combina el rigor ambiental con la logística operativa específica de los patios del sistema.</w:t>
      </w:r>
    </w:p>
    <w:p w14:paraId="297D3A37" w14:textId="77777777" w:rsidR="00A34204" w:rsidRPr="00C76457" w:rsidRDefault="00A34204" w:rsidP="002F1D05">
      <w:pPr>
        <w:spacing w:after="0"/>
        <w:rPr>
          <w:rFonts w:ascii="Arial" w:hAnsi="Arial" w:cs="Arial"/>
          <w:color w:val="808080" w:themeColor="background1" w:themeShade="80"/>
          <w:lang w:eastAsia="es-CO"/>
        </w:rPr>
      </w:pPr>
    </w:p>
    <w:p w14:paraId="7A9CA4A0" w14:textId="77777777" w:rsidR="00A34204" w:rsidRPr="00C76457" w:rsidRDefault="00A34204" w:rsidP="00616FE1">
      <w:pPr>
        <w:pStyle w:val="Ttulo2"/>
        <w:numPr>
          <w:ilvl w:val="1"/>
          <w:numId w:val="8"/>
        </w:numPr>
        <w:spacing w:before="0"/>
        <w:jc w:val="both"/>
        <w:rPr>
          <w:rFonts w:cs="Arial"/>
          <w:color w:val="EE0000"/>
          <w:sz w:val="22"/>
          <w:szCs w:val="22"/>
          <w:lang w:eastAsia="es-CO"/>
        </w:rPr>
      </w:pPr>
      <w:bookmarkStart w:id="8" w:name="_Toc209707496"/>
      <w:bookmarkStart w:id="9" w:name="_Toc242091252"/>
      <w:r w:rsidRPr="00C76457">
        <w:rPr>
          <w:rFonts w:cs="Arial"/>
          <w:color w:val="auto"/>
          <w:sz w:val="22"/>
          <w:szCs w:val="22"/>
          <w:lang w:eastAsia="es-CO"/>
        </w:rPr>
        <w:t>Análisis financiero/económico del nicho de sector</w:t>
      </w:r>
      <w:bookmarkEnd w:id="8"/>
      <w:bookmarkEnd w:id="9"/>
    </w:p>
    <w:p w14:paraId="66648E1A" w14:textId="77777777" w:rsidR="00A34204" w:rsidRPr="00C76457" w:rsidRDefault="00A34204" w:rsidP="00616FE1">
      <w:pPr>
        <w:spacing w:after="0"/>
        <w:rPr>
          <w:rFonts w:ascii="Arial" w:hAnsi="Arial" w:cs="Arial"/>
          <w:color w:val="EE0000"/>
          <w:lang w:eastAsia="es-CO"/>
        </w:rPr>
      </w:pPr>
    </w:p>
    <w:p w14:paraId="3AAC5E93" w14:textId="1110E21E" w:rsidR="00A34204" w:rsidRPr="00C76457" w:rsidRDefault="00A34204" w:rsidP="00616FE1">
      <w:pPr>
        <w:pStyle w:val="Sinespaciado"/>
        <w:spacing w:line="276" w:lineRule="auto"/>
        <w:rPr>
          <w:rFonts w:cs="Arial"/>
          <w:b w:val="0"/>
          <w:bCs/>
          <w:color w:val="auto"/>
          <w:sz w:val="22"/>
          <w:szCs w:val="24"/>
          <w:lang w:eastAsia="es-CO"/>
        </w:rPr>
      </w:pPr>
      <w:r w:rsidRPr="00C76457">
        <w:rPr>
          <w:rFonts w:cs="Arial"/>
          <w:b w:val="0"/>
          <w:bCs/>
          <w:color w:val="auto"/>
          <w:sz w:val="22"/>
          <w:szCs w:val="24"/>
          <w:lang w:eastAsia="es-CO"/>
        </w:rPr>
        <w:t>Teniendo en cuenta que en el proceso de selección se deben incluir criterios de verificación financiera según lo establecido en los numerales 3. “Capacidad Financiera” y 4. “Capacidad Organizacional” del Art</w:t>
      </w:r>
      <w:r w:rsidR="0041080F">
        <w:rPr>
          <w:rFonts w:cs="Arial"/>
          <w:b w:val="0"/>
          <w:bCs/>
          <w:color w:val="auto"/>
          <w:sz w:val="22"/>
          <w:szCs w:val="24"/>
          <w:lang w:eastAsia="es-CO"/>
        </w:rPr>
        <w:t>í</w:t>
      </w:r>
      <w:r w:rsidRPr="00C76457">
        <w:rPr>
          <w:rFonts w:cs="Arial"/>
          <w:b w:val="0"/>
          <w:bCs/>
          <w:color w:val="auto"/>
          <w:sz w:val="22"/>
          <w:szCs w:val="24"/>
          <w:lang w:eastAsia="es-CO"/>
        </w:rPr>
        <w:t>culo 2.2.1.1.1.5.3 del Decreto 1082 de 2015, y con el fin de que estos se ajusten al sector específico del servicio a adquirir, a continuación, se analiza los índices financieros de empresas del sector relativo al objeto de la contratación.</w:t>
      </w:r>
    </w:p>
    <w:p w14:paraId="01B51329" w14:textId="77777777" w:rsidR="00A34204" w:rsidRPr="00C76457" w:rsidRDefault="00A34204" w:rsidP="00616FE1">
      <w:pPr>
        <w:pStyle w:val="Sinespaciado"/>
        <w:spacing w:line="276" w:lineRule="auto"/>
        <w:rPr>
          <w:rFonts w:cs="Arial"/>
          <w:b w:val="0"/>
          <w:bCs/>
          <w:color w:val="auto"/>
          <w:sz w:val="22"/>
          <w:szCs w:val="24"/>
          <w:lang w:eastAsia="es-CO"/>
        </w:rPr>
      </w:pPr>
    </w:p>
    <w:p w14:paraId="1AACB2A3" w14:textId="77777777" w:rsidR="00A34204" w:rsidRPr="00C76457" w:rsidRDefault="00A34204" w:rsidP="00616FE1">
      <w:pPr>
        <w:pStyle w:val="Sinespaciado"/>
        <w:spacing w:line="276" w:lineRule="auto"/>
        <w:rPr>
          <w:rFonts w:cs="Arial"/>
          <w:b w:val="0"/>
          <w:bCs/>
          <w:color w:val="auto"/>
          <w:sz w:val="22"/>
          <w:szCs w:val="24"/>
          <w:lang w:eastAsia="es-CO"/>
        </w:rPr>
      </w:pPr>
      <w:r w:rsidRPr="00C76457">
        <w:rPr>
          <w:rFonts w:cs="Arial"/>
          <w:b w:val="0"/>
          <w:bCs/>
          <w:color w:val="auto"/>
          <w:sz w:val="22"/>
          <w:szCs w:val="24"/>
          <w:lang w:eastAsia="es-CO"/>
        </w:rPr>
        <w:t>Para obtener información de referencia y así establecer los indicadores financieros, se realizaron búsquedas de las empresas del sector en bases de datos públicas que contienen la información de los estados financieros de las empresas.</w:t>
      </w:r>
    </w:p>
    <w:p w14:paraId="6E4DC72B" w14:textId="77777777" w:rsidR="00A34204" w:rsidRPr="00C76457" w:rsidRDefault="00A34204" w:rsidP="00616FE1">
      <w:pPr>
        <w:pStyle w:val="Sinespaciado"/>
        <w:spacing w:line="276" w:lineRule="auto"/>
        <w:rPr>
          <w:rFonts w:cs="Arial"/>
          <w:b w:val="0"/>
          <w:bCs/>
          <w:color w:val="auto"/>
          <w:sz w:val="22"/>
          <w:szCs w:val="24"/>
          <w:lang w:eastAsia="es-CO"/>
        </w:rPr>
      </w:pPr>
    </w:p>
    <w:p w14:paraId="38DEB70E" w14:textId="1E3BF73E" w:rsidR="00A34204" w:rsidRPr="00C76457" w:rsidRDefault="00A34204" w:rsidP="00616FE1">
      <w:pPr>
        <w:pStyle w:val="Sinespaciado"/>
        <w:spacing w:line="276" w:lineRule="auto"/>
        <w:rPr>
          <w:rFonts w:cs="Arial"/>
        </w:rPr>
      </w:pPr>
      <w:r w:rsidRPr="00C76457">
        <w:rPr>
          <w:rFonts w:cs="Arial"/>
          <w:b w:val="0"/>
          <w:bCs/>
          <w:color w:val="auto"/>
          <w:sz w:val="22"/>
          <w:szCs w:val="24"/>
          <w:lang w:eastAsia="es-CO"/>
        </w:rPr>
        <w:t xml:space="preserve">De acuerdo con lo señalado en el numeral 3 de este documento, las empresas que pueden suministrar el servicio requerido por la Entidad se encuentran clasificadas en </w:t>
      </w:r>
      <w:r w:rsidR="00A1247C" w:rsidRPr="00A1247C">
        <w:rPr>
          <w:rFonts w:cs="Arial"/>
          <w:b w:val="0"/>
          <w:bCs/>
          <w:color w:val="auto"/>
          <w:sz w:val="22"/>
          <w:szCs w:val="24"/>
          <w:lang w:eastAsia="es-CO"/>
        </w:rPr>
        <w:t>los códigos</w:t>
      </w:r>
      <w:r w:rsidRPr="00C76457">
        <w:rPr>
          <w:rFonts w:cs="Arial"/>
          <w:b w:val="0"/>
          <w:bCs/>
          <w:color w:val="auto"/>
          <w:sz w:val="22"/>
          <w:szCs w:val="24"/>
          <w:lang w:eastAsia="es-CO"/>
        </w:rPr>
        <w:t xml:space="preserve"> CIIU </w:t>
      </w:r>
      <w:r w:rsidR="00A1247C" w:rsidRPr="00A1247C">
        <w:rPr>
          <w:rFonts w:cs="Arial"/>
          <w:b w:val="0"/>
          <w:bCs/>
          <w:color w:val="auto"/>
          <w:sz w:val="22"/>
          <w:szCs w:val="24"/>
          <w:lang w:eastAsia="es-CO"/>
        </w:rPr>
        <w:t>4311, 4312, 4321, 4329 y 4390</w:t>
      </w:r>
      <w:r w:rsidRPr="00C76457">
        <w:rPr>
          <w:rFonts w:cs="Arial"/>
          <w:b w:val="0"/>
          <w:bCs/>
          <w:color w:val="auto"/>
          <w:sz w:val="22"/>
          <w:szCs w:val="24"/>
          <w:lang w:eastAsia="es-CO"/>
        </w:rPr>
        <w:t>.</w:t>
      </w:r>
      <w:r w:rsidRPr="00C76457">
        <w:rPr>
          <w:rFonts w:cs="Arial"/>
        </w:rPr>
        <w:t xml:space="preserve"> </w:t>
      </w:r>
    </w:p>
    <w:p w14:paraId="5321666E" w14:textId="77777777" w:rsidR="00A34204" w:rsidRPr="00C76457" w:rsidRDefault="00A34204" w:rsidP="00616FE1">
      <w:pPr>
        <w:pStyle w:val="Sinespaciado"/>
        <w:spacing w:line="276" w:lineRule="auto"/>
        <w:rPr>
          <w:rFonts w:cs="Arial"/>
        </w:rPr>
      </w:pPr>
    </w:p>
    <w:p w14:paraId="43637BB4" w14:textId="77777777" w:rsidR="00A34204" w:rsidRPr="00C76457" w:rsidRDefault="00A34204" w:rsidP="00616FE1">
      <w:pPr>
        <w:pStyle w:val="Sinespaciado"/>
        <w:spacing w:line="276" w:lineRule="auto"/>
        <w:rPr>
          <w:rFonts w:cs="Arial"/>
          <w:b w:val="0"/>
          <w:bCs/>
          <w:color w:val="auto"/>
          <w:sz w:val="22"/>
          <w:szCs w:val="24"/>
          <w:lang w:eastAsia="es-CO"/>
        </w:rPr>
      </w:pPr>
      <w:r w:rsidRPr="00C76457">
        <w:rPr>
          <w:rFonts w:cs="Arial"/>
          <w:b w:val="0"/>
          <w:bCs/>
          <w:color w:val="auto"/>
          <w:sz w:val="22"/>
          <w:szCs w:val="24"/>
          <w:lang w:eastAsia="es-CO"/>
        </w:rPr>
        <w:t>A continuación, se presentan las definiciones de los indicadores financieros</w:t>
      </w:r>
      <w:r w:rsidRPr="00C76457">
        <w:rPr>
          <w:rStyle w:val="Refdenotaalpie"/>
          <w:rFonts w:cs="Arial"/>
          <w:b w:val="0"/>
          <w:bCs/>
          <w:color w:val="auto"/>
          <w:sz w:val="22"/>
          <w:szCs w:val="24"/>
          <w:lang w:eastAsia="es-CO"/>
        </w:rPr>
        <w:footnoteReference w:id="59"/>
      </w:r>
      <w:r w:rsidRPr="00C76457">
        <w:rPr>
          <w:rFonts w:cs="Arial"/>
          <w:b w:val="0"/>
          <w:bCs/>
          <w:color w:val="auto"/>
          <w:sz w:val="22"/>
          <w:szCs w:val="24"/>
          <w:lang w:eastAsia="es-CO"/>
        </w:rPr>
        <w:t xml:space="preserve"> requeridos por el Decreto 1082 de 2015 y aquellos adicionales, como el Capital de Trabajo, que es necesario por las características del objeto a contratar, la naturaleza y complejidad del Proceso de Contratación:</w:t>
      </w:r>
    </w:p>
    <w:p w14:paraId="5A8D77E3" w14:textId="77777777" w:rsidR="00A34204" w:rsidRPr="00C76457" w:rsidRDefault="00A34204" w:rsidP="00A34204">
      <w:pPr>
        <w:pStyle w:val="Prrafodelista"/>
        <w:spacing w:after="0"/>
        <w:ind w:left="567"/>
        <w:contextualSpacing w:val="0"/>
        <w:jc w:val="both"/>
        <w:rPr>
          <w:rFonts w:ascii="Arial" w:hAnsi="Arial" w:cs="Arial"/>
          <w:bCs/>
          <w:color w:val="808080" w:themeColor="background1" w:themeShade="80"/>
          <w:lang w:val="x-none"/>
        </w:rPr>
      </w:pPr>
    </w:p>
    <w:p w14:paraId="003D34F5" w14:textId="77777777" w:rsidR="00A34204" w:rsidRPr="00C76457" w:rsidRDefault="00A34204" w:rsidP="00616FE1">
      <w:pPr>
        <w:pStyle w:val="Prrafodelista"/>
        <w:numPr>
          <w:ilvl w:val="0"/>
          <w:numId w:val="28"/>
        </w:numPr>
        <w:spacing w:after="0"/>
        <w:ind w:left="426"/>
        <w:jc w:val="both"/>
        <w:rPr>
          <w:rFonts w:ascii="Arial" w:hAnsi="Arial" w:cs="Arial"/>
          <w:lang w:val="es-MX"/>
        </w:rPr>
      </w:pPr>
      <w:r w:rsidRPr="00C76457">
        <w:rPr>
          <w:rFonts w:ascii="Arial" w:hAnsi="Arial" w:cs="Arial"/>
          <w:b/>
          <w:bCs/>
        </w:rPr>
        <w:t>Capacidad Financiera:</w:t>
      </w:r>
      <w:r w:rsidRPr="00C76457">
        <w:rPr>
          <w:rFonts w:ascii="Arial" w:hAnsi="Arial" w:cs="Arial"/>
        </w:rPr>
        <w:t xml:space="preserve"> Buscan establecer unas condiciones mínimas en relación con la salud financiera de los proponentes para demostrar su aptitud para cumplir oportuna y cabalmente el objeto del contrato.</w:t>
      </w:r>
    </w:p>
    <w:p w14:paraId="47254749" w14:textId="77777777" w:rsidR="00A34204" w:rsidRPr="00C76457" w:rsidRDefault="00A34204" w:rsidP="00A34204">
      <w:pPr>
        <w:spacing w:after="0"/>
        <w:jc w:val="both"/>
        <w:rPr>
          <w:rFonts w:ascii="Arial" w:hAnsi="Arial" w:cs="Arial"/>
          <w:lang w:val="es-MX"/>
        </w:rPr>
      </w:pPr>
    </w:p>
    <w:p w14:paraId="7C2CA2C5" w14:textId="77777777" w:rsidR="00A34204" w:rsidRPr="00C76457" w:rsidRDefault="00A34204" w:rsidP="00426B90">
      <w:pPr>
        <w:pStyle w:val="Prrafodelista"/>
        <w:numPr>
          <w:ilvl w:val="0"/>
          <w:numId w:val="29"/>
        </w:numPr>
        <w:spacing w:after="0"/>
        <w:jc w:val="both"/>
        <w:rPr>
          <w:rFonts w:ascii="Arial" w:hAnsi="Arial" w:cs="Arial"/>
          <w:lang w:val="es-MX"/>
        </w:rPr>
      </w:pPr>
      <w:r w:rsidRPr="00C76457">
        <w:rPr>
          <w:rFonts w:ascii="Arial" w:hAnsi="Arial" w:cs="Arial"/>
          <w:b/>
          <w:bCs/>
          <w:lang w:val="es-MX"/>
        </w:rPr>
        <w:t>Índice de Liquidez (IDL) - Activo Corriente / Pasivo Corriente:</w:t>
      </w:r>
      <w:r w:rsidRPr="00C76457">
        <w:rPr>
          <w:rFonts w:ascii="Arial" w:hAnsi="Arial" w:cs="Arial"/>
          <w:lang w:val="es-MX"/>
        </w:rPr>
        <w:t xml:space="preserve"> Representa la capacidad que tiene un proponente para cumplir con sus obligaciones de corto plazo. A mayor Índice de Liquidez, menor es la probabilidad de que el proponente incumpla sus obligaciones de corto plazo.</w:t>
      </w:r>
    </w:p>
    <w:p w14:paraId="37022965" w14:textId="77777777" w:rsidR="002F6AB3" w:rsidRPr="00C76457" w:rsidRDefault="002F6AB3" w:rsidP="00616FE1">
      <w:pPr>
        <w:pStyle w:val="Prrafodelista"/>
        <w:spacing w:after="0"/>
        <w:ind w:left="1068"/>
        <w:jc w:val="both"/>
        <w:rPr>
          <w:rFonts w:ascii="Arial" w:hAnsi="Arial" w:cs="Arial"/>
          <w:lang w:val="es-MX"/>
        </w:rPr>
      </w:pPr>
    </w:p>
    <w:p w14:paraId="576D5354" w14:textId="77777777" w:rsidR="00A34204" w:rsidRPr="00C76457" w:rsidRDefault="00A34204" w:rsidP="00426B90">
      <w:pPr>
        <w:pStyle w:val="Prrafodelista"/>
        <w:numPr>
          <w:ilvl w:val="0"/>
          <w:numId w:val="29"/>
        </w:numPr>
        <w:spacing w:after="0"/>
        <w:jc w:val="both"/>
        <w:rPr>
          <w:rFonts w:ascii="Arial" w:hAnsi="Arial" w:cs="Arial"/>
          <w:lang w:val="es-MX"/>
        </w:rPr>
      </w:pPr>
      <w:r w:rsidRPr="00C76457">
        <w:rPr>
          <w:rFonts w:ascii="Arial" w:hAnsi="Arial" w:cs="Arial"/>
          <w:b/>
          <w:bCs/>
          <w:lang w:val="es-MX"/>
        </w:rPr>
        <w:lastRenderedPageBreak/>
        <w:t>Índice de Endeudamiento (IDE) - Pasivo Total / Activo Total:</w:t>
      </w:r>
      <w:r w:rsidRPr="00C76457">
        <w:rPr>
          <w:rFonts w:ascii="Arial" w:hAnsi="Arial" w:cs="Arial"/>
          <w:lang w:val="es-MX"/>
        </w:rPr>
        <w:t xml:space="preserve"> Determina el grado de endeudamiento en la estructura de financiación (Pasivos y Patrimonio) del proponente. A mayor Índice de Endeudamiento, mayor es la probabilidad del proponente de no poder cumplir con sus pasivos.</w:t>
      </w:r>
    </w:p>
    <w:p w14:paraId="36224E2F" w14:textId="77777777" w:rsidR="002F6AB3" w:rsidRPr="00616FE1" w:rsidRDefault="002F6AB3" w:rsidP="00616FE1">
      <w:pPr>
        <w:pStyle w:val="Prrafodelista"/>
        <w:rPr>
          <w:rFonts w:ascii="Arial" w:hAnsi="Arial" w:cs="Arial"/>
          <w:lang w:val="es-MX"/>
        </w:rPr>
      </w:pPr>
    </w:p>
    <w:p w14:paraId="1822AFC9" w14:textId="77777777" w:rsidR="00A34204" w:rsidRPr="00C76457" w:rsidRDefault="00A34204" w:rsidP="00426B90">
      <w:pPr>
        <w:pStyle w:val="Prrafodelista"/>
        <w:numPr>
          <w:ilvl w:val="0"/>
          <w:numId w:val="29"/>
        </w:numPr>
        <w:spacing w:after="0"/>
        <w:jc w:val="both"/>
        <w:rPr>
          <w:rFonts w:ascii="Arial" w:hAnsi="Arial" w:cs="Arial"/>
          <w:lang w:val="es-MX"/>
        </w:rPr>
      </w:pPr>
      <w:r w:rsidRPr="00C76457">
        <w:rPr>
          <w:rFonts w:ascii="Arial" w:hAnsi="Arial" w:cs="Arial"/>
          <w:b/>
          <w:bCs/>
          <w:lang w:val="es-MX"/>
        </w:rPr>
        <w:t>Razón de Cobertura de Intereses - Utilidad Operacional / Gastos de Intereses:</w:t>
      </w:r>
      <w:r w:rsidRPr="00C76457">
        <w:rPr>
          <w:rFonts w:ascii="Arial" w:hAnsi="Arial" w:cs="Arial"/>
          <w:lang w:val="es-MX"/>
        </w:rPr>
        <w:t xml:space="preserve"> Refleja la capacidad del proponente de cumplir con sus obligaciones financieras. A mayor Cobertura de Intereses, menor es la probabilidad de que el proponente incumpla sus obligaciones financieras.</w:t>
      </w:r>
    </w:p>
    <w:p w14:paraId="05BE6593" w14:textId="77777777" w:rsidR="00A34204" w:rsidRPr="00C76457" w:rsidRDefault="00A34204" w:rsidP="00A34204">
      <w:pPr>
        <w:pStyle w:val="Prrafodelista"/>
        <w:spacing w:after="0"/>
        <w:ind w:left="1068"/>
        <w:jc w:val="both"/>
        <w:rPr>
          <w:rFonts w:ascii="Arial" w:hAnsi="Arial" w:cs="Arial"/>
          <w:lang w:val="es-MX"/>
        </w:rPr>
      </w:pPr>
      <w:r w:rsidRPr="00C76457">
        <w:rPr>
          <w:rFonts w:ascii="Arial" w:hAnsi="Arial" w:cs="Arial"/>
          <w:lang w:val="es-MX"/>
        </w:rPr>
        <w:t>Este indicador establece una relación entre las Utilidades Operacionales de la empresa y los gastos por intereses, los cuales están, a su vez, directamente relacionados con el IDE.</w:t>
      </w:r>
    </w:p>
    <w:p w14:paraId="0E0EAB3E" w14:textId="77777777" w:rsidR="00A34204" w:rsidRPr="00C76457" w:rsidRDefault="00A34204" w:rsidP="00A34204">
      <w:pPr>
        <w:pStyle w:val="Prrafodelista"/>
        <w:spacing w:after="0"/>
        <w:ind w:left="1068"/>
        <w:jc w:val="both"/>
        <w:rPr>
          <w:rFonts w:ascii="Arial" w:hAnsi="Arial" w:cs="Arial"/>
          <w:lang w:val="es-MX"/>
        </w:rPr>
      </w:pPr>
    </w:p>
    <w:p w14:paraId="0C486A7C" w14:textId="4FBF4960" w:rsidR="00A34204" w:rsidRPr="00C76457" w:rsidRDefault="00A34204" w:rsidP="00426B90">
      <w:pPr>
        <w:pStyle w:val="Prrafodelista"/>
        <w:numPr>
          <w:ilvl w:val="0"/>
          <w:numId w:val="29"/>
        </w:numPr>
        <w:spacing w:after="0"/>
        <w:jc w:val="both"/>
        <w:rPr>
          <w:rFonts w:ascii="Arial" w:hAnsi="Arial" w:cs="Arial"/>
          <w:lang w:val="es-MX"/>
        </w:rPr>
      </w:pPr>
      <w:r w:rsidRPr="00C76457">
        <w:rPr>
          <w:rFonts w:ascii="Arial" w:hAnsi="Arial" w:cs="Arial"/>
          <w:b/>
          <w:bCs/>
          <w:lang w:val="es-MX"/>
        </w:rPr>
        <w:t xml:space="preserve">Capital de Trabajo - Resulta de </w:t>
      </w:r>
      <w:r w:rsidR="00603260" w:rsidRPr="00603260">
        <w:rPr>
          <w:rFonts w:ascii="Arial" w:hAnsi="Arial" w:cs="Arial"/>
          <w:b/>
          <w:bCs/>
          <w:lang w:val="es-MX"/>
        </w:rPr>
        <w:t>restarle al Activo Corriente el Pasivo Corriente</w:t>
      </w:r>
      <w:r w:rsidRPr="00C76457">
        <w:rPr>
          <w:rFonts w:ascii="Arial" w:hAnsi="Arial" w:cs="Arial"/>
          <w:b/>
          <w:bCs/>
          <w:lang w:val="es-MX"/>
        </w:rPr>
        <w:t>:</w:t>
      </w:r>
      <w:r w:rsidRPr="00C76457">
        <w:rPr>
          <w:rFonts w:ascii="Arial" w:hAnsi="Arial" w:cs="Arial"/>
          <w:lang w:val="es-MX"/>
        </w:rPr>
        <w:t xml:space="preserve"> Este indicador representa, en términos absolutos, la Liquidez Operativa del proponente, es decir, el remanente del oferente luego de liquidar sus activos corrientes (convertirlos en efectivo) y pagar el pasivo de corto plazo (la capacidad de una compañía para llevar a cabo sus actividades con normalidad en el corto plazo, menor a un año). Contar con Capital de Trabajo positivo favorece el desarrollo eficiente del objeto social de una compañía.</w:t>
      </w:r>
    </w:p>
    <w:p w14:paraId="5129BF6F" w14:textId="77777777" w:rsidR="00A34204" w:rsidRPr="00C76457" w:rsidRDefault="00A34204" w:rsidP="00A34204">
      <w:pPr>
        <w:spacing w:after="0"/>
        <w:jc w:val="both"/>
        <w:rPr>
          <w:rFonts w:ascii="Arial" w:hAnsi="Arial" w:cs="Arial"/>
          <w:lang w:val="es-MX"/>
        </w:rPr>
      </w:pPr>
    </w:p>
    <w:p w14:paraId="49A1DB7E" w14:textId="77777777" w:rsidR="00A34204" w:rsidRPr="00C76457" w:rsidRDefault="00A34204" w:rsidP="00616FE1">
      <w:pPr>
        <w:pStyle w:val="Prrafodelista"/>
        <w:numPr>
          <w:ilvl w:val="0"/>
          <w:numId w:val="28"/>
        </w:numPr>
        <w:spacing w:after="0"/>
        <w:ind w:left="426"/>
        <w:jc w:val="both"/>
        <w:rPr>
          <w:rFonts w:ascii="Arial" w:hAnsi="Arial" w:cs="Arial"/>
          <w:lang w:val="es-MX"/>
        </w:rPr>
      </w:pPr>
      <w:r w:rsidRPr="00C76457">
        <w:rPr>
          <w:rFonts w:ascii="Arial" w:hAnsi="Arial" w:cs="Arial"/>
          <w:b/>
          <w:bCs/>
        </w:rPr>
        <w:t>Capacidad Organizacional:</w:t>
      </w:r>
      <w:r w:rsidRPr="00C76457">
        <w:rPr>
          <w:rFonts w:ascii="Arial" w:hAnsi="Arial" w:cs="Arial"/>
        </w:rPr>
        <w:t xml:space="preserve"> La Capacidad Organizacional es la aptitud de un proponente para cumplir oportuna y cabalmente el objeto del contrato en función de su organización interna.</w:t>
      </w:r>
    </w:p>
    <w:p w14:paraId="616E4644" w14:textId="77777777" w:rsidR="00A34204" w:rsidRPr="00C76457" w:rsidRDefault="00A34204" w:rsidP="00A34204">
      <w:pPr>
        <w:spacing w:after="0"/>
        <w:jc w:val="both"/>
        <w:rPr>
          <w:rFonts w:ascii="Arial" w:hAnsi="Arial" w:cs="Arial"/>
          <w:lang w:val="es-MX"/>
        </w:rPr>
      </w:pPr>
    </w:p>
    <w:p w14:paraId="5E8A8235" w14:textId="77777777" w:rsidR="00A34204" w:rsidRPr="00C76457" w:rsidRDefault="00A34204" w:rsidP="00426B90">
      <w:pPr>
        <w:pStyle w:val="Prrafodelista"/>
        <w:numPr>
          <w:ilvl w:val="0"/>
          <w:numId w:val="30"/>
        </w:numPr>
        <w:spacing w:after="0"/>
        <w:jc w:val="both"/>
        <w:rPr>
          <w:rFonts w:ascii="Arial" w:hAnsi="Arial" w:cs="Arial"/>
          <w:lang w:val="es-MX"/>
        </w:rPr>
      </w:pPr>
      <w:r w:rsidRPr="00C76457">
        <w:rPr>
          <w:rFonts w:ascii="Arial" w:hAnsi="Arial" w:cs="Arial"/>
          <w:b/>
          <w:bCs/>
          <w:lang w:val="es-MX"/>
        </w:rPr>
        <w:t>Rentabilidad sobre el Patrimonio - Utilidad Operacional / Patrimonio:</w:t>
      </w:r>
      <w:r w:rsidRPr="00C76457">
        <w:rPr>
          <w:rFonts w:ascii="Arial" w:hAnsi="Arial" w:cs="Arial"/>
          <w:lang w:val="es-MX"/>
        </w:rPr>
        <w:t xml:space="preserve">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02B20D7D" w14:textId="77777777" w:rsidR="00A34204" w:rsidRPr="00C76457" w:rsidRDefault="00A34204" w:rsidP="00A34204">
      <w:pPr>
        <w:pStyle w:val="Prrafodelista"/>
        <w:spacing w:after="0"/>
        <w:ind w:left="1068"/>
        <w:jc w:val="both"/>
        <w:rPr>
          <w:rFonts w:ascii="Arial" w:hAnsi="Arial" w:cs="Arial"/>
          <w:b/>
          <w:bCs/>
          <w:lang w:val="es-MX"/>
        </w:rPr>
      </w:pPr>
    </w:p>
    <w:p w14:paraId="03BC2CE9" w14:textId="77777777" w:rsidR="00A34204" w:rsidRPr="00C76457" w:rsidRDefault="00A34204" w:rsidP="00426B90">
      <w:pPr>
        <w:pStyle w:val="Prrafodelista"/>
        <w:numPr>
          <w:ilvl w:val="0"/>
          <w:numId w:val="30"/>
        </w:numPr>
        <w:spacing w:after="0"/>
        <w:jc w:val="both"/>
        <w:rPr>
          <w:rFonts w:ascii="Arial" w:hAnsi="Arial" w:cs="Arial"/>
          <w:lang w:val="es-MX"/>
        </w:rPr>
      </w:pPr>
      <w:r w:rsidRPr="00C76457">
        <w:rPr>
          <w:rFonts w:ascii="Arial" w:hAnsi="Arial" w:cs="Arial"/>
          <w:b/>
          <w:bCs/>
          <w:lang w:val="es-MX"/>
        </w:rPr>
        <w:t xml:space="preserve">Rentabilidad sobre los Activos - Utilidad Operacional / Activo Total: </w:t>
      </w:r>
      <w:r w:rsidRPr="00C76457">
        <w:rPr>
          <w:rFonts w:ascii="Arial" w:hAnsi="Arial" w:cs="Arial"/>
          <w:lang w:val="es-MX"/>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5F953845" w14:textId="77777777" w:rsidR="00A34204" w:rsidRDefault="00A34204" w:rsidP="002F1D05">
      <w:pPr>
        <w:spacing w:after="0"/>
        <w:rPr>
          <w:rFonts w:ascii="Arial" w:hAnsi="Arial" w:cs="Arial"/>
          <w:color w:val="808080" w:themeColor="background1" w:themeShade="80"/>
          <w:lang w:val="es-MX" w:eastAsia="es-CO"/>
        </w:rPr>
      </w:pPr>
    </w:p>
    <w:p w14:paraId="1DB0864A" w14:textId="77777777" w:rsidR="00C6191C" w:rsidRDefault="00C6191C" w:rsidP="002F1D05">
      <w:pPr>
        <w:spacing w:after="0"/>
        <w:rPr>
          <w:rFonts w:ascii="Arial" w:hAnsi="Arial" w:cs="Arial"/>
          <w:color w:val="808080" w:themeColor="background1" w:themeShade="80"/>
          <w:lang w:val="es-MX" w:eastAsia="es-CO"/>
        </w:rPr>
      </w:pPr>
    </w:p>
    <w:p w14:paraId="19D1959C" w14:textId="77777777" w:rsidR="00C6191C" w:rsidRDefault="00C6191C" w:rsidP="002F1D05">
      <w:pPr>
        <w:spacing w:after="0"/>
        <w:rPr>
          <w:rFonts w:ascii="Arial" w:hAnsi="Arial" w:cs="Arial"/>
          <w:color w:val="808080" w:themeColor="background1" w:themeShade="80"/>
          <w:lang w:val="es-MX" w:eastAsia="es-CO"/>
        </w:rPr>
      </w:pPr>
    </w:p>
    <w:p w14:paraId="008EE3A2" w14:textId="77777777" w:rsidR="00C6191C" w:rsidRDefault="00C6191C" w:rsidP="002F1D05">
      <w:pPr>
        <w:spacing w:after="0"/>
        <w:rPr>
          <w:rFonts w:ascii="Arial" w:hAnsi="Arial" w:cs="Arial"/>
          <w:color w:val="808080" w:themeColor="background1" w:themeShade="80"/>
          <w:lang w:val="es-MX" w:eastAsia="es-CO"/>
        </w:rPr>
      </w:pPr>
    </w:p>
    <w:p w14:paraId="7C008A65" w14:textId="77777777" w:rsidR="00094C36" w:rsidRDefault="00094C36" w:rsidP="002F1D05">
      <w:pPr>
        <w:spacing w:after="0"/>
        <w:rPr>
          <w:rFonts w:ascii="Arial" w:hAnsi="Arial" w:cs="Arial"/>
          <w:color w:val="808080" w:themeColor="background1" w:themeShade="80"/>
          <w:lang w:val="es-MX" w:eastAsia="es-CO"/>
        </w:rPr>
      </w:pPr>
    </w:p>
    <w:p w14:paraId="3DB688D9" w14:textId="77777777" w:rsidR="00C6191C" w:rsidRDefault="00C6191C" w:rsidP="002F1D05">
      <w:pPr>
        <w:spacing w:after="0"/>
        <w:rPr>
          <w:rFonts w:ascii="Arial" w:hAnsi="Arial" w:cs="Arial"/>
          <w:color w:val="808080" w:themeColor="background1" w:themeShade="80"/>
          <w:lang w:val="es-MX" w:eastAsia="es-CO"/>
        </w:rPr>
      </w:pPr>
    </w:p>
    <w:p w14:paraId="3F64931E" w14:textId="752342B0" w:rsidR="00314C9F" w:rsidRDefault="00314C9F" w:rsidP="00616FE1">
      <w:pPr>
        <w:spacing w:after="0"/>
        <w:jc w:val="center"/>
        <w:rPr>
          <w:rFonts w:ascii="Arial" w:hAnsi="Arial" w:cs="Arial"/>
          <w:b/>
          <w:szCs w:val="24"/>
          <w:lang w:eastAsia="es-CO"/>
        </w:rPr>
      </w:pPr>
      <w:r w:rsidRPr="00616FE1">
        <w:rPr>
          <w:rFonts w:ascii="Arial" w:hAnsi="Arial" w:cs="Arial"/>
          <w:b/>
          <w:szCs w:val="24"/>
          <w:lang w:eastAsia="es-CO"/>
        </w:rPr>
        <w:lastRenderedPageBreak/>
        <w:t>Indicadores financieros SuperSociedades</w:t>
      </w:r>
      <w:r w:rsidR="008468B3">
        <w:rPr>
          <w:rFonts w:ascii="Arial" w:hAnsi="Arial" w:cs="Arial"/>
          <w:b/>
          <w:szCs w:val="24"/>
          <w:lang w:eastAsia="es-CO"/>
        </w:rPr>
        <w:t xml:space="preserve"> corte de 31 de diciembre de 2025</w:t>
      </w:r>
    </w:p>
    <w:tbl>
      <w:tblPr>
        <w:tblW w:w="0" w:type="auto"/>
        <w:tblInd w:w="-152" w:type="dxa"/>
        <w:tblLayout w:type="fixed"/>
        <w:tblCellMar>
          <w:left w:w="70" w:type="dxa"/>
          <w:right w:w="70" w:type="dxa"/>
        </w:tblCellMar>
        <w:tblLook w:val="04A0" w:firstRow="1" w:lastRow="0" w:firstColumn="1" w:lastColumn="0" w:noHBand="0" w:noVBand="1"/>
      </w:tblPr>
      <w:tblGrid>
        <w:gridCol w:w="474"/>
        <w:gridCol w:w="1919"/>
        <w:gridCol w:w="817"/>
        <w:gridCol w:w="1271"/>
        <w:gridCol w:w="1190"/>
        <w:gridCol w:w="1099"/>
        <w:gridCol w:w="1100"/>
        <w:gridCol w:w="1100"/>
      </w:tblGrid>
      <w:tr w:rsidR="008468B3" w:rsidRPr="008468B3" w14:paraId="010C5C74" w14:textId="77777777" w:rsidTr="008468B3">
        <w:trPr>
          <w:trHeight w:val="972"/>
          <w:tblHeader/>
        </w:trPr>
        <w:tc>
          <w:tcPr>
            <w:tcW w:w="474"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3F771859"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No.</w:t>
            </w:r>
          </w:p>
        </w:tc>
        <w:tc>
          <w:tcPr>
            <w:tcW w:w="1919" w:type="dxa"/>
            <w:tcBorders>
              <w:top w:val="single" w:sz="8" w:space="0" w:color="auto"/>
              <w:left w:val="nil"/>
              <w:bottom w:val="single" w:sz="8" w:space="0" w:color="auto"/>
              <w:right w:val="single" w:sz="8" w:space="0" w:color="auto"/>
            </w:tcBorders>
            <w:shd w:val="clear" w:color="000000" w:fill="F2F2F2"/>
            <w:vAlign w:val="center"/>
            <w:hideMark/>
          </w:tcPr>
          <w:p w14:paraId="56EDD4C3"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RAZÓN SOCIAL</w:t>
            </w:r>
          </w:p>
        </w:tc>
        <w:tc>
          <w:tcPr>
            <w:tcW w:w="817" w:type="dxa"/>
            <w:tcBorders>
              <w:top w:val="single" w:sz="8" w:space="0" w:color="auto"/>
              <w:left w:val="nil"/>
              <w:bottom w:val="single" w:sz="8" w:space="0" w:color="auto"/>
              <w:right w:val="single" w:sz="8" w:space="0" w:color="auto"/>
            </w:tcBorders>
            <w:shd w:val="clear" w:color="000000" w:fill="F2F2F2"/>
            <w:vAlign w:val="center"/>
            <w:hideMark/>
          </w:tcPr>
          <w:p w14:paraId="7D083326"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 xml:space="preserve">  ÍNDICE DE LIQUIDEZ (veces)  </w:t>
            </w:r>
          </w:p>
        </w:tc>
        <w:tc>
          <w:tcPr>
            <w:tcW w:w="1271" w:type="dxa"/>
            <w:tcBorders>
              <w:top w:val="single" w:sz="8" w:space="0" w:color="auto"/>
              <w:left w:val="nil"/>
              <w:bottom w:val="single" w:sz="8" w:space="0" w:color="auto"/>
              <w:right w:val="single" w:sz="8" w:space="0" w:color="auto"/>
            </w:tcBorders>
            <w:shd w:val="clear" w:color="000000" w:fill="F2F2F2"/>
            <w:vAlign w:val="center"/>
            <w:hideMark/>
          </w:tcPr>
          <w:p w14:paraId="3E9F31BD"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ÍNDICE DE ENDEUDAMIENTO</w:t>
            </w:r>
          </w:p>
        </w:tc>
        <w:tc>
          <w:tcPr>
            <w:tcW w:w="1190" w:type="dxa"/>
            <w:tcBorders>
              <w:top w:val="single" w:sz="8" w:space="0" w:color="auto"/>
              <w:left w:val="nil"/>
              <w:bottom w:val="single" w:sz="8" w:space="0" w:color="auto"/>
              <w:right w:val="single" w:sz="8" w:space="0" w:color="auto"/>
            </w:tcBorders>
            <w:shd w:val="clear" w:color="000000" w:fill="F2F2F2"/>
            <w:vAlign w:val="center"/>
            <w:hideMark/>
          </w:tcPr>
          <w:p w14:paraId="7C440017"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 xml:space="preserve"> RAZÓN DE COBERTURA INTERESES (veces) </w:t>
            </w:r>
          </w:p>
        </w:tc>
        <w:tc>
          <w:tcPr>
            <w:tcW w:w="1099" w:type="dxa"/>
            <w:tcBorders>
              <w:top w:val="single" w:sz="8" w:space="0" w:color="auto"/>
              <w:left w:val="nil"/>
              <w:bottom w:val="single" w:sz="8" w:space="0" w:color="auto"/>
              <w:right w:val="single" w:sz="8" w:space="0" w:color="auto"/>
            </w:tcBorders>
            <w:shd w:val="clear" w:color="000000" w:fill="F2F2F2"/>
            <w:vAlign w:val="center"/>
            <w:hideMark/>
          </w:tcPr>
          <w:p w14:paraId="57C469CA"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CAPITAL DE TRABAJO</w:t>
            </w:r>
          </w:p>
        </w:tc>
        <w:tc>
          <w:tcPr>
            <w:tcW w:w="1100" w:type="dxa"/>
            <w:tcBorders>
              <w:top w:val="single" w:sz="8" w:space="0" w:color="auto"/>
              <w:left w:val="nil"/>
              <w:bottom w:val="single" w:sz="8" w:space="0" w:color="auto"/>
              <w:right w:val="single" w:sz="8" w:space="0" w:color="auto"/>
            </w:tcBorders>
            <w:shd w:val="clear" w:color="000000" w:fill="F2F2F2"/>
            <w:vAlign w:val="center"/>
            <w:hideMark/>
          </w:tcPr>
          <w:p w14:paraId="251B58E7"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RENTABILIDAD DEL PATRIMONIO</w:t>
            </w:r>
          </w:p>
        </w:tc>
        <w:tc>
          <w:tcPr>
            <w:tcW w:w="1100" w:type="dxa"/>
            <w:tcBorders>
              <w:top w:val="single" w:sz="8" w:space="0" w:color="auto"/>
              <w:left w:val="nil"/>
              <w:bottom w:val="single" w:sz="8" w:space="0" w:color="auto"/>
              <w:right w:val="single" w:sz="8" w:space="0" w:color="auto"/>
            </w:tcBorders>
            <w:shd w:val="clear" w:color="000000" w:fill="F2F2F2"/>
            <w:vAlign w:val="center"/>
            <w:hideMark/>
          </w:tcPr>
          <w:p w14:paraId="252E6CB0" w14:textId="77777777" w:rsidR="008468B3" w:rsidRPr="008468B3" w:rsidRDefault="008468B3" w:rsidP="008468B3">
            <w:pPr>
              <w:spacing w:after="0" w:line="240" w:lineRule="auto"/>
              <w:jc w:val="center"/>
              <w:rPr>
                <w:rFonts w:ascii="Arial" w:eastAsia="Times New Roman" w:hAnsi="Arial" w:cs="Arial"/>
                <w:b/>
                <w:bCs/>
                <w:color w:val="000000"/>
                <w:sz w:val="14"/>
                <w:szCs w:val="14"/>
                <w:lang w:eastAsia="es-CO"/>
              </w:rPr>
            </w:pPr>
            <w:r w:rsidRPr="008468B3">
              <w:rPr>
                <w:rFonts w:ascii="Arial" w:eastAsia="Times New Roman" w:hAnsi="Arial" w:cs="Arial"/>
                <w:b/>
                <w:bCs/>
                <w:color w:val="000000"/>
                <w:sz w:val="14"/>
                <w:szCs w:val="14"/>
                <w:lang w:eastAsia="es-CO"/>
              </w:rPr>
              <w:t>RENTABILIDAD DEL ACTIVO</w:t>
            </w:r>
          </w:p>
        </w:tc>
      </w:tr>
      <w:tr w:rsidR="008468B3" w:rsidRPr="008468B3" w14:paraId="0221DDCB"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24390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919" w:type="dxa"/>
            <w:tcBorders>
              <w:top w:val="nil"/>
              <w:left w:val="nil"/>
              <w:bottom w:val="single" w:sz="8" w:space="0" w:color="auto"/>
              <w:right w:val="single" w:sz="8" w:space="0" w:color="auto"/>
            </w:tcBorders>
            <w:vAlign w:val="center"/>
            <w:hideMark/>
          </w:tcPr>
          <w:p w14:paraId="0512221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PEREA Y CIA SAS</w:t>
            </w:r>
          </w:p>
        </w:tc>
        <w:tc>
          <w:tcPr>
            <w:tcW w:w="817" w:type="dxa"/>
            <w:tcBorders>
              <w:top w:val="nil"/>
              <w:left w:val="nil"/>
              <w:bottom w:val="single" w:sz="8" w:space="0" w:color="auto"/>
              <w:right w:val="single" w:sz="8" w:space="0" w:color="auto"/>
            </w:tcBorders>
            <w:vAlign w:val="center"/>
            <w:hideMark/>
          </w:tcPr>
          <w:p w14:paraId="23B227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15,50</w:t>
            </w:r>
          </w:p>
        </w:tc>
        <w:tc>
          <w:tcPr>
            <w:tcW w:w="1271" w:type="dxa"/>
            <w:tcBorders>
              <w:top w:val="nil"/>
              <w:left w:val="nil"/>
              <w:bottom w:val="single" w:sz="8" w:space="0" w:color="auto"/>
              <w:right w:val="single" w:sz="8" w:space="0" w:color="auto"/>
            </w:tcBorders>
            <w:vAlign w:val="center"/>
            <w:hideMark/>
          </w:tcPr>
          <w:p w14:paraId="049EF8A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90" w:type="dxa"/>
            <w:tcBorders>
              <w:top w:val="nil"/>
              <w:left w:val="nil"/>
              <w:bottom w:val="single" w:sz="8" w:space="0" w:color="auto"/>
              <w:right w:val="single" w:sz="8" w:space="0" w:color="auto"/>
            </w:tcBorders>
            <w:vAlign w:val="center"/>
            <w:hideMark/>
          </w:tcPr>
          <w:p w14:paraId="61B615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155738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20.274.535</w:t>
            </w:r>
          </w:p>
        </w:tc>
        <w:tc>
          <w:tcPr>
            <w:tcW w:w="1100" w:type="dxa"/>
            <w:tcBorders>
              <w:top w:val="nil"/>
              <w:left w:val="nil"/>
              <w:bottom w:val="single" w:sz="8" w:space="0" w:color="auto"/>
              <w:right w:val="single" w:sz="8" w:space="0" w:color="auto"/>
            </w:tcBorders>
            <w:vAlign w:val="center"/>
            <w:hideMark/>
          </w:tcPr>
          <w:p w14:paraId="663CA72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3FE6539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43914032"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84653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919" w:type="dxa"/>
            <w:tcBorders>
              <w:top w:val="nil"/>
              <w:left w:val="nil"/>
              <w:bottom w:val="single" w:sz="8" w:space="0" w:color="auto"/>
              <w:right w:val="single" w:sz="8" w:space="0" w:color="auto"/>
            </w:tcBorders>
            <w:vAlign w:val="center"/>
            <w:hideMark/>
          </w:tcPr>
          <w:p w14:paraId="6D02A7F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COMERCIALIZADORA  SOTINCOL SAS</w:t>
            </w:r>
          </w:p>
        </w:tc>
        <w:tc>
          <w:tcPr>
            <w:tcW w:w="817" w:type="dxa"/>
            <w:tcBorders>
              <w:top w:val="nil"/>
              <w:left w:val="nil"/>
              <w:bottom w:val="single" w:sz="8" w:space="0" w:color="auto"/>
              <w:right w:val="single" w:sz="8" w:space="0" w:color="auto"/>
            </w:tcBorders>
            <w:vAlign w:val="center"/>
            <w:hideMark/>
          </w:tcPr>
          <w:p w14:paraId="19F1CD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419,62</w:t>
            </w:r>
          </w:p>
        </w:tc>
        <w:tc>
          <w:tcPr>
            <w:tcW w:w="1271" w:type="dxa"/>
            <w:tcBorders>
              <w:top w:val="nil"/>
              <w:left w:val="nil"/>
              <w:bottom w:val="single" w:sz="8" w:space="0" w:color="auto"/>
              <w:right w:val="single" w:sz="8" w:space="0" w:color="auto"/>
            </w:tcBorders>
            <w:vAlign w:val="center"/>
            <w:hideMark/>
          </w:tcPr>
          <w:p w14:paraId="6C6D1D5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90" w:type="dxa"/>
            <w:tcBorders>
              <w:top w:val="nil"/>
              <w:left w:val="nil"/>
              <w:bottom w:val="single" w:sz="8" w:space="0" w:color="auto"/>
              <w:right w:val="single" w:sz="8" w:space="0" w:color="auto"/>
            </w:tcBorders>
            <w:vAlign w:val="center"/>
            <w:hideMark/>
          </w:tcPr>
          <w:p w14:paraId="310AD6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159,00</w:t>
            </w:r>
          </w:p>
        </w:tc>
        <w:tc>
          <w:tcPr>
            <w:tcW w:w="1099" w:type="dxa"/>
            <w:tcBorders>
              <w:top w:val="nil"/>
              <w:left w:val="nil"/>
              <w:bottom w:val="single" w:sz="8" w:space="0" w:color="auto"/>
              <w:right w:val="single" w:sz="8" w:space="0" w:color="auto"/>
            </w:tcBorders>
            <w:vAlign w:val="center"/>
            <w:hideMark/>
          </w:tcPr>
          <w:p w14:paraId="07C306A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3.418.836</w:t>
            </w:r>
          </w:p>
        </w:tc>
        <w:tc>
          <w:tcPr>
            <w:tcW w:w="1100" w:type="dxa"/>
            <w:tcBorders>
              <w:top w:val="nil"/>
              <w:left w:val="nil"/>
              <w:bottom w:val="single" w:sz="8" w:space="0" w:color="auto"/>
              <w:right w:val="single" w:sz="8" w:space="0" w:color="auto"/>
            </w:tcBorders>
            <w:vAlign w:val="center"/>
            <w:hideMark/>
          </w:tcPr>
          <w:p w14:paraId="5FE2B1D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16CCA2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74A2879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65889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919" w:type="dxa"/>
            <w:tcBorders>
              <w:top w:val="nil"/>
              <w:left w:val="nil"/>
              <w:bottom w:val="single" w:sz="8" w:space="0" w:color="auto"/>
              <w:right w:val="single" w:sz="8" w:space="0" w:color="auto"/>
            </w:tcBorders>
            <w:vAlign w:val="center"/>
            <w:hideMark/>
          </w:tcPr>
          <w:p w14:paraId="7D98C96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HIDROYUNDA SAS</w:t>
            </w:r>
          </w:p>
        </w:tc>
        <w:tc>
          <w:tcPr>
            <w:tcW w:w="817" w:type="dxa"/>
            <w:tcBorders>
              <w:top w:val="nil"/>
              <w:left w:val="nil"/>
              <w:bottom w:val="single" w:sz="8" w:space="0" w:color="auto"/>
              <w:right w:val="single" w:sz="8" w:space="0" w:color="auto"/>
            </w:tcBorders>
            <w:vAlign w:val="center"/>
            <w:hideMark/>
          </w:tcPr>
          <w:p w14:paraId="697290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3,28</w:t>
            </w:r>
          </w:p>
        </w:tc>
        <w:tc>
          <w:tcPr>
            <w:tcW w:w="1271" w:type="dxa"/>
            <w:tcBorders>
              <w:top w:val="nil"/>
              <w:left w:val="nil"/>
              <w:bottom w:val="single" w:sz="8" w:space="0" w:color="auto"/>
              <w:right w:val="single" w:sz="8" w:space="0" w:color="auto"/>
            </w:tcBorders>
            <w:vAlign w:val="center"/>
            <w:hideMark/>
          </w:tcPr>
          <w:p w14:paraId="6B0E93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294ECA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14,10</w:t>
            </w:r>
          </w:p>
        </w:tc>
        <w:tc>
          <w:tcPr>
            <w:tcW w:w="1099" w:type="dxa"/>
            <w:tcBorders>
              <w:top w:val="nil"/>
              <w:left w:val="nil"/>
              <w:bottom w:val="single" w:sz="8" w:space="0" w:color="auto"/>
              <w:right w:val="single" w:sz="8" w:space="0" w:color="auto"/>
            </w:tcBorders>
            <w:vAlign w:val="center"/>
            <w:hideMark/>
          </w:tcPr>
          <w:p w14:paraId="4EAA9A2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6.948.285</w:t>
            </w:r>
          </w:p>
        </w:tc>
        <w:tc>
          <w:tcPr>
            <w:tcW w:w="1100" w:type="dxa"/>
            <w:tcBorders>
              <w:top w:val="nil"/>
              <w:left w:val="nil"/>
              <w:bottom w:val="single" w:sz="8" w:space="0" w:color="auto"/>
              <w:right w:val="single" w:sz="8" w:space="0" w:color="auto"/>
            </w:tcBorders>
            <w:vAlign w:val="center"/>
            <w:hideMark/>
          </w:tcPr>
          <w:p w14:paraId="01E8E24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00" w:type="dxa"/>
            <w:tcBorders>
              <w:top w:val="nil"/>
              <w:left w:val="nil"/>
              <w:bottom w:val="single" w:sz="8" w:space="0" w:color="auto"/>
              <w:right w:val="single" w:sz="8" w:space="0" w:color="auto"/>
            </w:tcBorders>
            <w:vAlign w:val="center"/>
            <w:hideMark/>
          </w:tcPr>
          <w:p w14:paraId="5E3D66E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090E785B" w14:textId="77777777" w:rsidTr="008468B3">
        <w:trPr>
          <w:trHeight w:val="972"/>
        </w:trPr>
        <w:tc>
          <w:tcPr>
            <w:tcW w:w="474" w:type="dxa"/>
            <w:tcBorders>
              <w:top w:val="nil"/>
              <w:left w:val="single" w:sz="8" w:space="0" w:color="auto"/>
              <w:bottom w:val="single" w:sz="8" w:space="0" w:color="auto"/>
              <w:right w:val="single" w:sz="8" w:space="0" w:color="auto"/>
            </w:tcBorders>
            <w:noWrap/>
            <w:vAlign w:val="center"/>
            <w:hideMark/>
          </w:tcPr>
          <w:p w14:paraId="1A386F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919" w:type="dxa"/>
            <w:tcBorders>
              <w:top w:val="nil"/>
              <w:left w:val="nil"/>
              <w:bottom w:val="single" w:sz="8" w:space="0" w:color="auto"/>
              <w:right w:val="single" w:sz="8" w:space="0" w:color="auto"/>
            </w:tcBorders>
            <w:vAlign w:val="center"/>
            <w:hideMark/>
          </w:tcPr>
          <w:p w14:paraId="020C966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SYPELC SAS SUMINISTROS Y PROYECTOS ELECTRICOS SAS</w:t>
            </w:r>
          </w:p>
        </w:tc>
        <w:tc>
          <w:tcPr>
            <w:tcW w:w="817" w:type="dxa"/>
            <w:tcBorders>
              <w:top w:val="nil"/>
              <w:left w:val="nil"/>
              <w:bottom w:val="single" w:sz="8" w:space="0" w:color="auto"/>
              <w:right w:val="single" w:sz="8" w:space="0" w:color="auto"/>
            </w:tcBorders>
            <w:vAlign w:val="center"/>
            <w:hideMark/>
          </w:tcPr>
          <w:p w14:paraId="37F32E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18,19</w:t>
            </w:r>
          </w:p>
        </w:tc>
        <w:tc>
          <w:tcPr>
            <w:tcW w:w="1271" w:type="dxa"/>
            <w:tcBorders>
              <w:top w:val="nil"/>
              <w:left w:val="nil"/>
              <w:bottom w:val="single" w:sz="8" w:space="0" w:color="auto"/>
              <w:right w:val="single" w:sz="8" w:space="0" w:color="auto"/>
            </w:tcBorders>
            <w:vAlign w:val="center"/>
            <w:hideMark/>
          </w:tcPr>
          <w:p w14:paraId="07436E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90" w:type="dxa"/>
            <w:tcBorders>
              <w:top w:val="nil"/>
              <w:left w:val="nil"/>
              <w:bottom w:val="single" w:sz="8" w:space="0" w:color="auto"/>
              <w:right w:val="single" w:sz="8" w:space="0" w:color="auto"/>
            </w:tcBorders>
            <w:vAlign w:val="center"/>
            <w:hideMark/>
          </w:tcPr>
          <w:p w14:paraId="40FF90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751EEF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20.027.595</w:t>
            </w:r>
          </w:p>
        </w:tc>
        <w:tc>
          <w:tcPr>
            <w:tcW w:w="1100" w:type="dxa"/>
            <w:tcBorders>
              <w:top w:val="nil"/>
              <w:left w:val="nil"/>
              <w:bottom w:val="single" w:sz="8" w:space="0" w:color="auto"/>
              <w:right w:val="single" w:sz="8" w:space="0" w:color="auto"/>
            </w:tcBorders>
            <w:vAlign w:val="center"/>
            <w:hideMark/>
          </w:tcPr>
          <w:p w14:paraId="0D4A4A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00" w:type="dxa"/>
            <w:tcBorders>
              <w:top w:val="nil"/>
              <w:left w:val="nil"/>
              <w:bottom w:val="single" w:sz="8" w:space="0" w:color="auto"/>
              <w:right w:val="single" w:sz="8" w:space="0" w:color="auto"/>
            </w:tcBorders>
            <w:vAlign w:val="center"/>
            <w:hideMark/>
          </w:tcPr>
          <w:p w14:paraId="76146F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r>
      <w:tr w:rsidR="008468B3" w:rsidRPr="008468B3" w14:paraId="11E3565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B2BE9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919" w:type="dxa"/>
            <w:tcBorders>
              <w:top w:val="nil"/>
              <w:left w:val="nil"/>
              <w:bottom w:val="single" w:sz="8" w:space="0" w:color="auto"/>
              <w:right w:val="single" w:sz="8" w:space="0" w:color="auto"/>
            </w:tcBorders>
            <w:vAlign w:val="center"/>
            <w:hideMark/>
          </w:tcPr>
          <w:p w14:paraId="2EA7583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INGELECTRICA SAS</w:t>
            </w:r>
          </w:p>
        </w:tc>
        <w:tc>
          <w:tcPr>
            <w:tcW w:w="817" w:type="dxa"/>
            <w:tcBorders>
              <w:top w:val="nil"/>
              <w:left w:val="nil"/>
              <w:bottom w:val="single" w:sz="8" w:space="0" w:color="auto"/>
              <w:right w:val="single" w:sz="8" w:space="0" w:color="auto"/>
            </w:tcBorders>
            <w:vAlign w:val="center"/>
            <w:hideMark/>
          </w:tcPr>
          <w:p w14:paraId="64F0DAE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1,54</w:t>
            </w:r>
          </w:p>
        </w:tc>
        <w:tc>
          <w:tcPr>
            <w:tcW w:w="1271" w:type="dxa"/>
            <w:tcBorders>
              <w:top w:val="nil"/>
              <w:left w:val="nil"/>
              <w:bottom w:val="single" w:sz="8" w:space="0" w:color="auto"/>
              <w:right w:val="single" w:sz="8" w:space="0" w:color="auto"/>
            </w:tcBorders>
            <w:vAlign w:val="center"/>
            <w:hideMark/>
          </w:tcPr>
          <w:p w14:paraId="07099E7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w:t>
            </w:r>
          </w:p>
        </w:tc>
        <w:tc>
          <w:tcPr>
            <w:tcW w:w="1190" w:type="dxa"/>
            <w:tcBorders>
              <w:top w:val="nil"/>
              <w:left w:val="nil"/>
              <w:bottom w:val="single" w:sz="8" w:space="0" w:color="auto"/>
              <w:right w:val="single" w:sz="8" w:space="0" w:color="auto"/>
            </w:tcBorders>
            <w:vAlign w:val="center"/>
            <w:hideMark/>
          </w:tcPr>
          <w:p w14:paraId="1711F67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3,67</w:t>
            </w:r>
          </w:p>
        </w:tc>
        <w:tc>
          <w:tcPr>
            <w:tcW w:w="1099" w:type="dxa"/>
            <w:tcBorders>
              <w:top w:val="nil"/>
              <w:left w:val="nil"/>
              <w:bottom w:val="single" w:sz="8" w:space="0" w:color="auto"/>
              <w:right w:val="single" w:sz="8" w:space="0" w:color="auto"/>
            </w:tcBorders>
            <w:vAlign w:val="center"/>
            <w:hideMark/>
          </w:tcPr>
          <w:p w14:paraId="2728A03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22.007.582</w:t>
            </w:r>
          </w:p>
        </w:tc>
        <w:tc>
          <w:tcPr>
            <w:tcW w:w="1100" w:type="dxa"/>
            <w:tcBorders>
              <w:top w:val="nil"/>
              <w:left w:val="nil"/>
              <w:bottom w:val="single" w:sz="8" w:space="0" w:color="auto"/>
              <w:right w:val="single" w:sz="8" w:space="0" w:color="auto"/>
            </w:tcBorders>
            <w:vAlign w:val="center"/>
            <w:hideMark/>
          </w:tcPr>
          <w:p w14:paraId="5C9699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00" w:type="dxa"/>
            <w:tcBorders>
              <w:top w:val="nil"/>
              <w:left w:val="nil"/>
              <w:bottom w:val="single" w:sz="8" w:space="0" w:color="auto"/>
              <w:right w:val="single" w:sz="8" w:space="0" w:color="auto"/>
            </w:tcBorders>
            <w:vAlign w:val="center"/>
            <w:hideMark/>
          </w:tcPr>
          <w:p w14:paraId="187D16E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51E114BA"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973D5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919" w:type="dxa"/>
            <w:tcBorders>
              <w:top w:val="nil"/>
              <w:left w:val="nil"/>
              <w:bottom w:val="single" w:sz="8" w:space="0" w:color="auto"/>
              <w:right w:val="single" w:sz="8" w:space="0" w:color="auto"/>
            </w:tcBorders>
            <w:vAlign w:val="center"/>
            <w:hideMark/>
          </w:tcPr>
          <w:p w14:paraId="4BC8879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ELECTRICAS JIMENEZ Y MEJIA SAS</w:t>
            </w:r>
          </w:p>
        </w:tc>
        <w:tc>
          <w:tcPr>
            <w:tcW w:w="817" w:type="dxa"/>
            <w:tcBorders>
              <w:top w:val="nil"/>
              <w:left w:val="nil"/>
              <w:bottom w:val="single" w:sz="8" w:space="0" w:color="auto"/>
              <w:right w:val="single" w:sz="8" w:space="0" w:color="auto"/>
            </w:tcBorders>
            <w:vAlign w:val="center"/>
            <w:hideMark/>
          </w:tcPr>
          <w:p w14:paraId="67074E9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2,08</w:t>
            </w:r>
          </w:p>
        </w:tc>
        <w:tc>
          <w:tcPr>
            <w:tcW w:w="1271" w:type="dxa"/>
            <w:tcBorders>
              <w:top w:val="nil"/>
              <w:left w:val="nil"/>
              <w:bottom w:val="single" w:sz="8" w:space="0" w:color="auto"/>
              <w:right w:val="single" w:sz="8" w:space="0" w:color="auto"/>
            </w:tcBorders>
            <w:vAlign w:val="center"/>
            <w:hideMark/>
          </w:tcPr>
          <w:p w14:paraId="1E5E54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w:t>
            </w:r>
          </w:p>
        </w:tc>
        <w:tc>
          <w:tcPr>
            <w:tcW w:w="1190" w:type="dxa"/>
            <w:tcBorders>
              <w:top w:val="nil"/>
              <w:left w:val="nil"/>
              <w:bottom w:val="single" w:sz="8" w:space="0" w:color="auto"/>
              <w:right w:val="single" w:sz="8" w:space="0" w:color="auto"/>
            </w:tcBorders>
            <w:vAlign w:val="center"/>
            <w:hideMark/>
          </w:tcPr>
          <w:p w14:paraId="23E0E4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5AAD7B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4.771.937</w:t>
            </w:r>
          </w:p>
        </w:tc>
        <w:tc>
          <w:tcPr>
            <w:tcW w:w="1100" w:type="dxa"/>
            <w:tcBorders>
              <w:top w:val="nil"/>
              <w:left w:val="nil"/>
              <w:bottom w:val="single" w:sz="8" w:space="0" w:color="auto"/>
              <w:right w:val="single" w:sz="8" w:space="0" w:color="auto"/>
            </w:tcBorders>
            <w:vAlign w:val="center"/>
            <w:hideMark/>
          </w:tcPr>
          <w:p w14:paraId="06218F4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00" w:type="dxa"/>
            <w:tcBorders>
              <w:top w:val="nil"/>
              <w:left w:val="nil"/>
              <w:bottom w:val="single" w:sz="8" w:space="0" w:color="auto"/>
              <w:right w:val="single" w:sz="8" w:space="0" w:color="auto"/>
            </w:tcBorders>
            <w:vAlign w:val="center"/>
            <w:hideMark/>
          </w:tcPr>
          <w:p w14:paraId="508322F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55E90E1A"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2E509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919" w:type="dxa"/>
            <w:tcBorders>
              <w:top w:val="nil"/>
              <w:left w:val="nil"/>
              <w:bottom w:val="single" w:sz="8" w:space="0" w:color="auto"/>
              <w:right w:val="single" w:sz="8" w:space="0" w:color="auto"/>
            </w:tcBorders>
            <w:vAlign w:val="center"/>
            <w:hideMark/>
          </w:tcPr>
          <w:p w14:paraId="67B7A15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INGEOMEGA S.A.S.</w:t>
            </w:r>
          </w:p>
        </w:tc>
        <w:tc>
          <w:tcPr>
            <w:tcW w:w="817" w:type="dxa"/>
            <w:tcBorders>
              <w:top w:val="nil"/>
              <w:left w:val="nil"/>
              <w:bottom w:val="single" w:sz="8" w:space="0" w:color="auto"/>
              <w:right w:val="single" w:sz="8" w:space="0" w:color="auto"/>
            </w:tcBorders>
            <w:vAlign w:val="center"/>
            <w:hideMark/>
          </w:tcPr>
          <w:p w14:paraId="0AB5B32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2,94</w:t>
            </w:r>
          </w:p>
        </w:tc>
        <w:tc>
          <w:tcPr>
            <w:tcW w:w="1271" w:type="dxa"/>
            <w:tcBorders>
              <w:top w:val="nil"/>
              <w:left w:val="nil"/>
              <w:bottom w:val="single" w:sz="8" w:space="0" w:color="auto"/>
              <w:right w:val="single" w:sz="8" w:space="0" w:color="auto"/>
            </w:tcBorders>
            <w:vAlign w:val="center"/>
            <w:hideMark/>
          </w:tcPr>
          <w:p w14:paraId="77A738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w:t>
            </w:r>
          </w:p>
        </w:tc>
        <w:tc>
          <w:tcPr>
            <w:tcW w:w="1190" w:type="dxa"/>
            <w:tcBorders>
              <w:top w:val="nil"/>
              <w:left w:val="nil"/>
              <w:bottom w:val="single" w:sz="8" w:space="0" w:color="auto"/>
              <w:right w:val="single" w:sz="8" w:space="0" w:color="auto"/>
            </w:tcBorders>
            <w:vAlign w:val="center"/>
            <w:hideMark/>
          </w:tcPr>
          <w:p w14:paraId="652817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7,65</w:t>
            </w:r>
          </w:p>
        </w:tc>
        <w:tc>
          <w:tcPr>
            <w:tcW w:w="1099" w:type="dxa"/>
            <w:tcBorders>
              <w:top w:val="nil"/>
              <w:left w:val="nil"/>
              <w:bottom w:val="single" w:sz="8" w:space="0" w:color="auto"/>
              <w:right w:val="single" w:sz="8" w:space="0" w:color="auto"/>
            </w:tcBorders>
            <w:vAlign w:val="center"/>
            <w:hideMark/>
          </w:tcPr>
          <w:p w14:paraId="4E210DC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109.491.496</w:t>
            </w:r>
          </w:p>
        </w:tc>
        <w:tc>
          <w:tcPr>
            <w:tcW w:w="1100" w:type="dxa"/>
            <w:tcBorders>
              <w:top w:val="nil"/>
              <w:left w:val="nil"/>
              <w:bottom w:val="single" w:sz="8" w:space="0" w:color="auto"/>
              <w:right w:val="single" w:sz="8" w:space="0" w:color="auto"/>
            </w:tcBorders>
            <w:vAlign w:val="center"/>
            <w:hideMark/>
          </w:tcPr>
          <w:p w14:paraId="651991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00" w:type="dxa"/>
            <w:tcBorders>
              <w:top w:val="nil"/>
              <w:left w:val="nil"/>
              <w:bottom w:val="single" w:sz="8" w:space="0" w:color="auto"/>
              <w:right w:val="single" w:sz="8" w:space="0" w:color="auto"/>
            </w:tcBorders>
            <w:vAlign w:val="center"/>
            <w:hideMark/>
          </w:tcPr>
          <w:p w14:paraId="20DCE92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r>
      <w:tr w:rsidR="008468B3" w:rsidRPr="008468B3" w14:paraId="52E4D63A"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68CED73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919" w:type="dxa"/>
            <w:tcBorders>
              <w:top w:val="nil"/>
              <w:left w:val="nil"/>
              <w:bottom w:val="single" w:sz="8" w:space="0" w:color="auto"/>
              <w:right w:val="single" w:sz="8" w:space="0" w:color="auto"/>
            </w:tcBorders>
            <w:vAlign w:val="center"/>
            <w:hideMark/>
          </w:tcPr>
          <w:p w14:paraId="6223DFD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INGEAL S A</w:t>
            </w:r>
          </w:p>
        </w:tc>
        <w:tc>
          <w:tcPr>
            <w:tcW w:w="817" w:type="dxa"/>
            <w:tcBorders>
              <w:top w:val="nil"/>
              <w:left w:val="nil"/>
              <w:bottom w:val="single" w:sz="8" w:space="0" w:color="auto"/>
              <w:right w:val="single" w:sz="8" w:space="0" w:color="auto"/>
            </w:tcBorders>
            <w:vAlign w:val="center"/>
            <w:hideMark/>
          </w:tcPr>
          <w:p w14:paraId="154EA95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w:t>
            </w:r>
          </w:p>
        </w:tc>
        <w:tc>
          <w:tcPr>
            <w:tcW w:w="1271" w:type="dxa"/>
            <w:tcBorders>
              <w:top w:val="nil"/>
              <w:left w:val="nil"/>
              <w:bottom w:val="single" w:sz="8" w:space="0" w:color="auto"/>
              <w:right w:val="single" w:sz="8" w:space="0" w:color="auto"/>
            </w:tcBorders>
            <w:vAlign w:val="center"/>
            <w:hideMark/>
          </w:tcPr>
          <w:p w14:paraId="05C3934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c>
          <w:tcPr>
            <w:tcW w:w="1190" w:type="dxa"/>
            <w:tcBorders>
              <w:top w:val="nil"/>
              <w:left w:val="nil"/>
              <w:bottom w:val="single" w:sz="8" w:space="0" w:color="auto"/>
              <w:right w:val="single" w:sz="8" w:space="0" w:color="auto"/>
            </w:tcBorders>
            <w:vAlign w:val="center"/>
            <w:hideMark/>
          </w:tcPr>
          <w:p w14:paraId="3AF6AD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24,19</w:t>
            </w:r>
          </w:p>
        </w:tc>
        <w:tc>
          <w:tcPr>
            <w:tcW w:w="1099" w:type="dxa"/>
            <w:tcBorders>
              <w:top w:val="nil"/>
              <w:left w:val="nil"/>
              <w:bottom w:val="single" w:sz="8" w:space="0" w:color="auto"/>
              <w:right w:val="single" w:sz="8" w:space="0" w:color="auto"/>
            </w:tcBorders>
            <w:vAlign w:val="center"/>
            <w:hideMark/>
          </w:tcPr>
          <w:p w14:paraId="2479D12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3.022.292</w:t>
            </w:r>
          </w:p>
        </w:tc>
        <w:tc>
          <w:tcPr>
            <w:tcW w:w="1100" w:type="dxa"/>
            <w:tcBorders>
              <w:top w:val="nil"/>
              <w:left w:val="nil"/>
              <w:bottom w:val="single" w:sz="8" w:space="0" w:color="auto"/>
              <w:right w:val="single" w:sz="8" w:space="0" w:color="auto"/>
            </w:tcBorders>
            <w:vAlign w:val="center"/>
            <w:hideMark/>
          </w:tcPr>
          <w:p w14:paraId="7059B0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3BD0C36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15331F33"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2FFB556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919" w:type="dxa"/>
            <w:tcBorders>
              <w:top w:val="nil"/>
              <w:left w:val="nil"/>
              <w:bottom w:val="single" w:sz="8" w:space="0" w:color="auto"/>
              <w:right w:val="single" w:sz="8" w:space="0" w:color="auto"/>
            </w:tcBorders>
            <w:vAlign w:val="center"/>
            <w:hideMark/>
          </w:tcPr>
          <w:p w14:paraId="5808EEB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ENECON SAS</w:t>
            </w:r>
          </w:p>
        </w:tc>
        <w:tc>
          <w:tcPr>
            <w:tcW w:w="817" w:type="dxa"/>
            <w:tcBorders>
              <w:top w:val="nil"/>
              <w:left w:val="nil"/>
              <w:bottom w:val="single" w:sz="8" w:space="0" w:color="auto"/>
              <w:right w:val="single" w:sz="8" w:space="0" w:color="auto"/>
            </w:tcBorders>
            <w:vAlign w:val="center"/>
            <w:hideMark/>
          </w:tcPr>
          <w:p w14:paraId="69BAE4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2,59</w:t>
            </w:r>
          </w:p>
        </w:tc>
        <w:tc>
          <w:tcPr>
            <w:tcW w:w="1271" w:type="dxa"/>
            <w:tcBorders>
              <w:top w:val="nil"/>
              <w:left w:val="nil"/>
              <w:bottom w:val="single" w:sz="8" w:space="0" w:color="auto"/>
              <w:right w:val="single" w:sz="8" w:space="0" w:color="auto"/>
            </w:tcBorders>
            <w:vAlign w:val="center"/>
            <w:hideMark/>
          </w:tcPr>
          <w:p w14:paraId="41DF020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90" w:type="dxa"/>
            <w:tcBorders>
              <w:top w:val="nil"/>
              <w:left w:val="nil"/>
              <w:bottom w:val="single" w:sz="8" w:space="0" w:color="auto"/>
              <w:right w:val="single" w:sz="8" w:space="0" w:color="auto"/>
            </w:tcBorders>
            <w:vAlign w:val="center"/>
            <w:hideMark/>
          </w:tcPr>
          <w:p w14:paraId="235D12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17,07</w:t>
            </w:r>
          </w:p>
        </w:tc>
        <w:tc>
          <w:tcPr>
            <w:tcW w:w="1099" w:type="dxa"/>
            <w:tcBorders>
              <w:top w:val="nil"/>
              <w:left w:val="nil"/>
              <w:bottom w:val="single" w:sz="8" w:space="0" w:color="auto"/>
              <w:right w:val="single" w:sz="8" w:space="0" w:color="auto"/>
            </w:tcBorders>
            <w:vAlign w:val="center"/>
            <w:hideMark/>
          </w:tcPr>
          <w:p w14:paraId="449D361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52.039.287</w:t>
            </w:r>
          </w:p>
        </w:tc>
        <w:tc>
          <w:tcPr>
            <w:tcW w:w="1100" w:type="dxa"/>
            <w:tcBorders>
              <w:top w:val="nil"/>
              <w:left w:val="nil"/>
              <w:bottom w:val="single" w:sz="8" w:space="0" w:color="auto"/>
              <w:right w:val="single" w:sz="8" w:space="0" w:color="auto"/>
            </w:tcBorders>
            <w:vAlign w:val="center"/>
            <w:hideMark/>
          </w:tcPr>
          <w:p w14:paraId="5E30D0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00" w:type="dxa"/>
            <w:tcBorders>
              <w:top w:val="nil"/>
              <w:left w:val="nil"/>
              <w:bottom w:val="single" w:sz="8" w:space="0" w:color="auto"/>
              <w:right w:val="single" w:sz="8" w:space="0" w:color="auto"/>
            </w:tcBorders>
            <w:vAlign w:val="center"/>
            <w:hideMark/>
          </w:tcPr>
          <w:p w14:paraId="11C6DD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47AEEE4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540A9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919" w:type="dxa"/>
            <w:tcBorders>
              <w:top w:val="nil"/>
              <w:left w:val="nil"/>
              <w:bottom w:val="single" w:sz="8" w:space="0" w:color="auto"/>
              <w:right w:val="single" w:sz="8" w:space="0" w:color="auto"/>
            </w:tcBorders>
            <w:vAlign w:val="center"/>
            <w:hideMark/>
          </w:tcPr>
          <w:p w14:paraId="7CC06D6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PROMONTAJES SAS</w:t>
            </w:r>
          </w:p>
        </w:tc>
        <w:tc>
          <w:tcPr>
            <w:tcW w:w="817" w:type="dxa"/>
            <w:tcBorders>
              <w:top w:val="nil"/>
              <w:left w:val="nil"/>
              <w:bottom w:val="single" w:sz="8" w:space="0" w:color="auto"/>
              <w:right w:val="single" w:sz="8" w:space="0" w:color="auto"/>
            </w:tcBorders>
            <w:vAlign w:val="center"/>
            <w:hideMark/>
          </w:tcPr>
          <w:p w14:paraId="7D32E4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1,51</w:t>
            </w:r>
          </w:p>
        </w:tc>
        <w:tc>
          <w:tcPr>
            <w:tcW w:w="1271" w:type="dxa"/>
            <w:tcBorders>
              <w:top w:val="nil"/>
              <w:left w:val="nil"/>
              <w:bottom w:val="single" w:sz="8" w:space="0" w:color="auto"/>
              <w:right w:val="single" w:sz="8" w:space="0" w:color="auto"/>
            </w:tcBorders>
            <w:vAlign w:val="center"/>
            <w:hideMark/>
          </w:tcPr>
          <w:p w14:paraId="246212D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102%</w:t>
            </w:r>
          </w:p>
        </w:tc>
        <w:tc>
          <w:tcPr>
            <w:tcW w:w="1190" w:type="dxa"/>
            <w:tcBorders>
              <w:top w:val="nil"/>
              <w:left w:val="nil"/>
              <w:bottom w:val="single" w:sz="8" w:space="0" w:color="auto"/>
              <w:right w:val="single" w:sz="8" w:space="0" w:color="auto"/>
            </w:tcBorders>
            <w:vAlign w:val="center"/>
            <w:hideMark/>
          </w:tcPr>
          <w:p w14:paraId="6179B48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50F3A2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985.307</w:t>
            </w:r>
          </w:p>
        </w:tc>
        <w:tc>
          <w:tcPr>
            <w:tcW w:w="1100" w:type="dxa"/>
            <w:tcBorders>
              <w:top w:val="nil"/>
              <w:left w:val="nil"/>
              <w:bottom w:val="single" w:sz="8" w:space="0" w:color="auto"/>
              <w:right w:val="single" w:sz="8" w:space="0" w:color="auto"/>
            </w:tcBorders>
            <w:vAlign w:val="center"/>
            <w:hideMark/>
          </w:tcPr>
          <w:p w14:paraId="0437540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1577%</w:t>
            </w:r>
          </w:p>
        </w:tc>
        <w:tc>
          <w:tcPr>
            <w:tcW w:w="1100" w:type="dxa"/>
            <w:tcBorders>
              <w:top w:val="nil"/>
              <w:left w:val="nil"/>
              <w:bottom w:val="single" w:sz="8" w:space="0" w:color="auto"/>
              <w:right w:val="single" w:sz="8" w:space="0" w:color="auto"/>
            </w:tcBorders>
            <w:vAlign w:val="center"/>
            <w:hideMark/>
          </w:tcPr>
          <w:p w14:paraId="599F19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r>
      <w:tr w:rsidR="008468B3" w:rsidRPr="008468B3" w14:paraId="7AD89B5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CF8C5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919" w:type="dxa"/>
            <w:tcBorders>
              <w:top w:val="nil"/>
              <w:left w:val="nil"/>
              <w:bottom w:val="single" w:sz="8" w:space="0" w:color="auto"/>
              <w:right w:val="single" w:sz="8" w:space="0" w:color="auto"/>
            </w:tcBorders>
            <w:vAlign w:val="center"/>
            <w:hideMark/>
          </w:tcPr>
          <w:p w14:paraId="0EB8158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CORRIENTE ALTERNA SAS</w:t>
            </w:r>
          </w:p>
        </w:tc>
        <w:tc>
          <w:tcPr>
            <w:tcW w:w="817" w:type="dxa"/>
            <w:tcBorders>
              <w:top w:val="nil"/>
              <w:left w:val="nil"/>
              <w:bottom w:val="single" w:sz="8" w:space="0" w:color="auto"/>
              <w:right w:val="single" w:sz="8" w:space="0" w:color="auto"/>
            </w:tcBorders>
            <w:vAlign w:val="center"/>
            <w:hideMark/>
          </w:tcPr>
          <w:p w14:paraId="471F35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4,75</w:t>
            </w:r>
          </w:p>
        </w:tc>
        <w:tc>
          <w:tcPr>
            <w:tcW w:w="1271" w:type="dxa"/>
            <w:tcBorders>
              <w:top w:val="nil"/>
              <w:left w:val="nil"/>
              <w:bottom w:val="single" w:sz="8" w:space="0" w:color="auto"/>
              <w:right w:val="single" w:sz="8" w:space="0" w:color="auto"/>
            </w:tcBorders>
            <w:vAlign w:val="center"/>
            <w:hideMark/>
          </w:tcPr>
          <w:p w14:paraId="134275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90" w:type="dxa"/>
            <w:tcBorders>
              <w:top w:val="nil"/>
              <w:left w:val="nil"/>
              <w:bottom w:val="single" w:sz="8" w:space="0" w:color="auto"/>
              <w:right w:val="single" w:sz="8" w:space="0" w:color="auto"/>
            </w:tcBorders>
            <w:vAlign w:val="center"/>
            <w:hideMark/>
          </w:tcPr>
          <w:p w14:paraId="779B25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26,24</w:t>
            </w:r>
          </w:p>
        </w:tc>
        <w:tc>
          <w:tcPr>
            <w:tcW w:w="1099" w:type="dxa"/>
            <w:tcBorders>
              <w:top w:val="nil"/>
              <w:left w:val="nil"/>
              <w:bottom w:val="single" w:sz="8" w:space="0" w:color="auto"/>
              <w:right w:val="single" w:sz="8" w:space="0" w:color="auto"/>
            </w:tcBorders>
            <w:vAlign w:val="center"/>
            <w:hideMark/>
          </w:tcPr>
          <w:p w14:paraId="1605011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11.714.503</w:t>
            </w:r>
          </w:p>
        </w:tc>
        <w:tc>
          <w:tcPr>
            <w:tcW w:w="1100" w:type="dxa"/>
            <w:tcBorders>
              <w:top w:val="nil"/>
              <w:left w:val="nil"/>
              <w:bottom w:val="single" w:sz="8" w:space="0" w:color="auto"/>
              <w:right w:val="single" w:sz="8" w:space="0" w:color="auto"/>
            </w:tcBorders>
            <w:vAlign w:val="center"/>
            <w:hideMark/>
          </w:tcPr>
          <w:p w14:paraId="5908637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00" w:type="dxa"/>
            <w:tcBorders>
              <w:top w:val="nil"/>
              <w:left w:val="nil"/>
              <w:bottom w:val="single" w:sz="8" w:space="0" w:color="auto"/>
              <w:right w:val="single" w:sz="8" w:space="0" w:color="auto"/>
            </w:tcBorders>
            <w:vAlign w:val="center"/>
            <w:hideMark/>
          </w:tcPr>
          <w:p w14:paraId="31DCB3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6B16622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2CB71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919" w:type="dxa"/>
            <w:tcBorders>
              <w:top w:val="nil"/>
              <w:left w:val="nil"/>
              <w:bottom w:val="single" w:sz="8" w:space="0" w:color="auto"/>
              <w:right w:val="single" w:sz="8" w:space="0" w:color="auto"/>
            </w:tcBorders>
            <w:vAlign w:val="center"/>
            <w:hideMark/>
          </w:tcPr>
          <w:p w14:paraId="31D3FDF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SERVIMERCADEO SAS</w:t>
            </w:r>
          </w:p>
        </w:tc>
        <w:tc>
          <w:tcPr>
            <w:tcW w:w="817" w:type="dxa"/>
            <w:tcBorders>
              <w:top w:val="nil"/>
              <w:left w:val="nil"/>
              <w:bottom w:val="single" w:sz="8" w:space="0" w:color="auto"/>
              <w:right w:val="single" w:sz="8" w:space="0" w:color="auto"/>
            </w:tcBorders>
            <w:vAlign w:val="center"/>
            <w:hideMark/>
          </w:tcPr>
          <w:p w14:paraId="2CC3C9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1,69</w:t>
            </w:r>
          </w:p>
        </w:tc>
        <w:tc>
          <w:tcPr>
            <w:tcW w:w="1271" w:type="dxa"/>
            <w:tcBorders>
              <w:top w:val="nil"/>
              <w:left w:val="nil"/>
              <w:bottom w:val="single" w:sz="8" w:space="0" w:color="auto"/>
              <w:right w:val="single" w:sz="8" w:space="0" w:color="auto"/>
            </w:tcBorders>
            <w:vAlign w:val="center"/>
            <w:hideMark/>
          </w:tcPr>
          <w:p w14:paraId="6E1401E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w:t>
            </w:r>
          </w:p>
        </w:tc>
        <w:tc>
          <w:tcPr>
            <w:tcW w:w="1190" w:type="dxa"/>
            <w:tcBorders>
              <w:top w:val="nil"/>
              <w:left w:val="nil"/>
              <w:bottom w:val="single" w:sz="8" w:space="0" w:color="auto"/>
              <w:right w:val="single" w:sz="8" w:space="0" w:color="auto"/>
            </w:tcBorders>
            <w:vAlign w:val="center"/>
            <w:hideMark/>
          </w:tcPr>
          <w:p w14:paraId="10995B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661990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1.242.781</w:t>
            </w:r>
          </w:p>
        </w:tc>
        <w:tc>
          <w:tcPr>
            <w:tcW w:w="1100" w:type="dxa"/>
            <w:tcBorders>
              <w:top w:val="nil"/>
              <w:left w:val="nil"/>
              <w:bottom w:val="single" w:sz="8" w:space="0" w:color="auto"/>
              <w:right w:val="single" w:sz="8" w:space="0" w:color="auto"/>
            </w:tcBorders>
            <w:vAlign w:val="center"/>
            <w:hideMark/>
          </w:tcPr>
          <w:p w14:paraId="4937CDC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00" w:type="dxa"/>
            <w:tcBorders>
              <w:top w:val="nil"/>
              <w:left w:val="nil"/>
              <w:bottom w:val="single" w:sz="8" w:space="0" w:color="auto"/>
              <w:right w:val="single" w:sz="8" w:space="0" w:color="auto"/>
            </w:tcBorders>
            <w:vAlign w:val="center"/>
            <w:hideMark/>
          </w:tcPr>
          <w:p w14:paraId="7CDDFB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6EBAC52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4C04E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919" w:type="dxa"/>
            <w:tcBorders>
              <w:top w:val="nil"/>
              <w:left w:val="nil"/>
              <w:bottom w:val="single" w:sz="8" w:space="0" w:color="auto"/>
              <w:right w:val="single" w:sz="8" w:space="0" w:color="auto"/>
            </w:tcBorders>
            <w:vAlign w:val="center"/>
            <w:hideMark/>
          </w:tcPr>
          <w:p w14:paraId="709835D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LA PAZ SAS</w:t>
            </w:r>
          </w:p>
        </w:tc>
        <w:tc>
          <w:tcPr>
            <w:tcW w:w="817" w:type="dxa"/>
            <w:tcBorders>
              <w:top w:val="nil"/>
              <w:left w:val="nil"/>
              <w:bottom w:val="single" w:sz="8" w:space="0" w:color="auto"/>
              <w:right w:val="single" w:sz="8" w:space="0" w:color="auto"/>
            </w:tcBorders>
            <w:vAlign w:val="center"/>
            <w:hideMark/>
          </w:tcPr>
          <w:p w14:paraId="1A5578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2,09</w:t>
            </w:r>
          </w:p>
        </w:tc>
        <w:tc>
          <w:tcPr>
            <w:tcW w:w="1271" w:type="dxa"/>
            <w:tcBorders>
              <w:top w:val="nil"/>
              <w:left w:val="nil"/>
              <w:bottom w:val="single" w:sz="8" w:space="0" w:color="auto"/>
              <w:right w:val="single" w:sz="8" w:space="0" w:color="auto"/>
            </w:tcBorders>
            <w:vAlign w:val="center"/>
            <w:hideMark/>
          </w:tcPr>
          <w:p w14:paraId="5BF7F8F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90" w:type="dxa"/>
            <w:tcBorders>
              <w:top w:val="nil"/>
              <w:left w:val="nil"/>
              <w:bottom w:val="single" w:sz="8" w:space="0" w:color="auto"/>
              <w:right w:val="single" w:sz="8" w:space="0" w:color="auto"/>
            </w:tcBorders>
            <w:vAlign w:val="center"/>
            <w:hideMark/>
          </w:tcPr>
          <w:p w14:paraId="531783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81EDEA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2.087.914</w:t>
            </w:r>
          </w:p>
        </w:tc>
        <w:tc>
          <w:tcPr>
            <w:tcW w:w="1100" w:type="dxa"/>
            <w:tcBorders>
              <w:top w:val="nil"/>
              <w:left w:val="nil"/>
              <w:bottom w:val="single" w:sz="8" w:space="0" w:color="auto"/>
              <w:right w:val="single" w:sz="8" w:space="0" w:color="auto"/>
            </w:tcBorders>
            <w:vAlign w:val="center"/>
            <w:hideMark/>
          </w:tcPr>
          <w:p w14:paraId="634FFD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0EB5C7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346B1B25"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E29C8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919" w:type="dxa"/>
            <w:tcBorders>
              <w:top w:val="nil"/>
              <w:left w:val="nil"/>
              <w:bottom w:val="single" w:sz="8" w:space="0" w:color="auto"/>
              <w:right w:val="single" w:sz="8" w:space="0" w:color="auto"/>
            </w:tcBorders>
            <w:vAlign w:val="center"/>
            <w:hideMark/>
          </w:tcPr>
          <w:p w14:paraId="740C084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ELECTROHERRAJES DEL SUR LTDA</w:t>
            </w:r>
          </w:p>
        </w:tc>
        <w:tc>
          <w:tcPr>
            <w:tcW w:w="817" w:type="dxa"/>
            <w:tcBorders>
              <w:top w:val="nil"/>
              <w:left w:val="nil"/>
              <w:bottom w:val="single" w:sz="8" w:space="0" w:color="auto"/>
              <w:right w:val="single" w:sz="8" w:space="0" w:color="auto"/>
            </w:tcBorders>
            <w:vAlign w:val="center"/>
            <w:hideMark/>
          </w:tcPr>
          <w:p w14:paraId="0CA649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6,49</w:t>
            </w:r>
          </w:p>
        </w:tc>
        <w:tc>
          <w:tcPr>
            <w:tcW w:w="1271" w:type="dxa"/>
            <w:tcBorders>
              <w:top w:val="nil"/>
              <w:left w:val="nil"/>
              <w:bottom w:val="single" w:sz="8" w:space="0" w:color="auto"/>
              <w:right w:val="single" w:sz="8" w:space="0" w:color="auto"/>
            </w:tcBorders>
            <w:vAlign w:val="center"/>
            <w:hideMark/>
          </w:tcPr>
          <w:p w14:paraId="625FDA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90" w:type="dxa"/>
            <w:tcBorders>
              <w:top w:val="nil"/>
              <w:left w:val="nil"/>
              <w:bottom w:val="single" w:sz="8" w:space="0" w:color="auto"/>
              <w:right w:val="single" w:sz="8" w:space="0" w:color="auto"/>
            </w:tcBorders>
            <w:vAlign w:val="center"/>
            <w:hideMark/>
          </w:tcPr>
          <w:p w14:paraId="123BD6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35,78</w:t>
            </w:r>
          </w:p>
        </w:tc>
        <w:tc>
          <w:tcPr>
            <w:tcW w:w="1099" w:type="dxa"/>
            <w:tcBorders>
              <w:top w:val="nil"/>
              <w:left w:val="nil"/>
              <w:bottom w:val="single" w:sz="8" w:space="0" w:color="auto"/>
              <w:right w:val="single" w:sz="8" w:space="0" w:color="auto"/>
            </w:tcBorders>
            <w:vAlign w:val="center"/>
            <w:hideMark/>
          </w:tcPr>
          <w:p w14:paraId="1C904BB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2.547.655</w:t>
            </w:r>
          </w:p>
        </w:tc>
        <w:tc>
          <w:tcPr>
            <w:tcW w:w="1100" w:type="dxa"/>
            <w:tcBorders>
              <w:top w:val="nil"/>
              <w:left w:val="nil"/>
              <w:bottom w:val="single" w:sz="8" w:space="0" w:color="auto"/>
              <w:right w:val="single" w:sz="8" w:space="0" w:color="auto"/>
            </w:tcBorders>
            <w:vAlign w:val="center"/>
            <w:hideMark/>
          </w:tcPr>
          <w:p w14:paraId="66B5FA9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00" w:type="dxa"/>
            <w:tcBorders>
              <w:top w:val="nil"/>
              <w:left w:val="nil"/>
              <w:bottom w:val="single" w:sz="8" w:space="0" w:color="auto"/>
              <w:right w:val="single" w:sz="8" w:space="0" w:color="auto"/>
            </w:tcBorders>
            <w:vAlign w:val="center"/>
            <w:hideMark/>
          </w:tcPr>
          <w:p w14:paraId="6E5B02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41F8AF9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BFD33A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919" w:type="dxa"/>
            <w:tcBorders>
              <w:top w:val="nil"/>
              <w:left w:val="nil"/>
              <w:bottom w:val="single" w:sz="8" w:space="0" w:color="auto"/>
              <w:right w:val="single" w:sz="8" w:space="0" w:color="auto"/>
            </w:tcBorders>
            <w:vAlign w:val="center"/>
            <w:hideMark/>
          </w:tcPr>
          <w:p w14:paraId="0BB480D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SOHINCO CONSTRUCTORA S.A.S</w:t>
            </w:r>
          </w:p>
        </w:tc>
        <w:tc>
          <w:tcPr>
            <w:tcW w:w="817" w:type="dxa"/>
            <w:tcBorders>
              <w:top w:val="nil"/>
              <w:left w:val="nil"/>
              <w:bottom w:val="single" w:sz="8" w:space="0" w:color="auto"/>
              <w:right w:val="single" w:sz="8" w:space="0" w:color="auto"/>
            </w:tcBorders>
            <w:vAlign w:val="center"/>
            <w:hideMark/>
          </w:tcPr>
          <w:p w14:paraId="26C072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1,45</w:t>
            </w:r>
          </w:p>
        </w:tc>
        <w:tc>
          <w:tcPr>
            <w:tcW w:w="1271" w:type="dxa"/>
            <w:tcBorders>
              <w:top w:val="nil"/>
              <w:left w:val="nil"/>
              <w:bottom w:val="single" w:sz="8" w:space="0" w:color="auto"/>
              <w:right w:val="single" w:sz="8" w:space="0" w:color="auto"/>
            </w:tcBorders>
            <w:vAlign w:val="center"/>
            <w:hideMark/>
          </w:tcPr>
          <w:p w14:paraId="3FECFF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61%</w:t>
            </w:r>
          </w:p>
        </w:tc>
        <w:tc>
          <w:tcPr>
            <w:tcW w:w="1190" w:type="dxa"/>
            <w:tcBorders>
              <w:top w:val="nil"/>
              <w:left w:val="nil"/>
              <w:bottom w:val="single" w:sz="8" w:space="0" w:color="auto"/>
              <w:right w:val="single" w:sz="8" w:space="0" w:color="auto"/>
            </w:tcBorders>
            <w:vAlign w:val="center"/>
            <w:hideMark/>
          </w:tcPr>
          <w:p w14:paraId="020E3A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6E8246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6.241.052</w:t>
            </w:r>
          </w:p>
        </w:tc>
        <w:tc>
          <w:tcPr>
            <w:tcW w:w="1100" w:type="dxa"/>
            <w:tcBorders>
              <w:top w:val="nil"/>
              <w:left w:val="nil"/>
              <w:bottom w:val="single" w:sz="8" w:space="0" w:color="auto"/>
              <w:right w:val="single" w:sz="8" w:space="0" w:color="auto"/>
            </w:tcBorders>
            <w:vAlign w:val="center"/>
            <w:hideMark/>
          </w:tcPr>
          <w:p w14:paraId="42C9A2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c>
          <w:tcPr>
            <w:tcW w:w="1100" w:type="dxa"/>
            <w:tcBorders>
              <w:top w:val="nil"/>
              <w:left w:val="nil"/>
              <w:bottom w:val="single" w:sz="8" w:space="0" w:color="auto"/>
              <w:right w:val="single" w:sz="8" w:space="0" w:color="auto"/>
            </w:tcBorders>
            <w:vAlign w:val="center"/>
            <w:hideMark/>
          </w:tcPr>
          <w:p w14:paraId="4C5A5E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r>
      <w:tr w:rsidR="008468B3" w:rsidRPr="008468B3" w14:paraId="2BABEA0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C76347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919" w:type="dxa"/>
            <w:tcBorders>
              <w:top w:val="nil"/>
              <w:left w:val="nil"/>
              <w:bottom w:val="single" w:sz="8" w:space="0" w:color="auto"/>
              <w:right w:val="single" w:sz="8" w:space="0" w:color="auto"/>
            </w:tcBorders>
            <w:vAlign w:val="center"/>
            <w:hideMark/>
          </w:tcPr>
          <w:p w14:paraId="5DC77A9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BOTERO INGENIERO SAS</w:t>
            </w:r>
          </w:p>
        </w:tc>
        <w:tc>
          <w:tcPr>
            <w:tcW w:w="817" w:type="dxa"/>
            <w:tcBorders>
              <w:top w:val="nil"/>
              <w:left w:val="nil"/>
              <w:bottom w:val="single" w:sz="8" w:space="0" w:color="auto"/>
              <w:right w:val="single" w:sz="8" w:space="0" w:color="auto"/>
            </w:tcBorders>
            <w:vAlign w:val="center"/>
            <w:hideMark/>
          </w:tcPr>
          <w:p w14:paraId="48B5F5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2,02</w:t>
            </w:r>
          </w:p>
        </w:tc>
        <w:tc>
          <w:tcPr>
            <w:tcW w:w="1271" w:type="dxa"/>
            <w:tcBorders>
              <w:top w:val="nil"/>
              <w:left w:val="nil"/>
              <w:bottom w:val="single" w:sz="8" w:space="0" w:color="auto"/>
              <w:right w:val="single" w:sz="8" w:space="0" w:color="auto"/>
            </w:tcBorders>
            <w:vAlign w:val="center"/>
            <w:hideMark/>
          </w:tcPr>
          <w:p w14:paraId="07980D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c>
          <w:tcPr>
            <w:tcW w:w="1190" w:type="dxa"/>
            <w:tcBorders>
              <w:top w:val="nil"/>
              <w:left w:val="nil"/>
              <w:bottom w:val="single" w:sz="8" w:space="0" w:color="auto"/>
              <w:right w:val="single" w:sz="8" w:space="0" w:color="auto"/>
            </w:tcBorders>
            <w:vAlign w:val="center"/>
            <w:hideMark/>
          </w:tcPr>
          <w:p w14:paraId="6F54B8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23,73</w:t>
            </w:r>
          </w:p>
        </w:tc>
        <w:tc>
          <w:tcPr>
            <w:tcW w:w="1099" w:type="dxa"/>
            <w:tcBorders>
              <w:top w:val="nil"/>
              <w:left w:val="nil"/>
              <w:bottom w:val="single" w:sz="8" w:space="0" w:color="auto"/>
              <w:right w:val="single" w:sz="8" w:space="0" w:color="auto"/>
            </w:tcBorders>
            <w:vAlign w:val="center"/>
            <w:hideMark/>
          </w:tcPr>
          <w:p w14:paraId="203C84B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12.461.525</w:t>
            </w:r>
          </w:p>
        </w:tc>
        <w:tc>
          <w:tcPr>
            <w:tcW w:w="1100" w:type="dxa"/>
            <w:tcBorders>
              <w:top w:val="nil"/>
              <w:left w:val="nil"/>
              <w:bottom w:val="single" w:sz="8" w:space="0" w:color="auto"/>
              <w:right w:val="single" w:sz="8" w:space="0" w:color="auto"/>
            </w:tcBorders>
            <w:vAlign w:val="center"/>
            <w:hideMark/>
          </w:tcPr>
          <w:p w14:paraId="4CBCDE4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c>
          <w:tcPr>
            <w:tcW w:w="1100" w:type="dxa"/>
            <w:tcBorders>
              <w:top w:val="nil"/>
              <w:left w:val="nil"/>
              <w:bottom w:val="single" w:sz="8" w:space="0" w:color="auto"/>
              <w:right w:val="single" w:sz="8" w:space="0" w:color="auto"/>
            </w:tcBorders>
            <w:vAlign w:val="center"/>
            <w:hideMark/>
          </w:tcPr>
          <w:p w14:paraId="04A792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r>
      <w:tr w:rsidR="008468B3" w:rsidRPr="008468B3" w14:paraId="352FD97D"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D3DEA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919" w:type="dxa"/>
            <w:tcBorders>
              <w:top w:val="nil"/>
              <w:left w:val="nil"/>
              <w:bottom w:val="single" w:sz="8" w:space="0" w:color="auto"/>
              <w:right w:val="single" w:sz="8" w:space="0" w:color="auto"/>
            </w:tcBorders>
            <w:vAlign w:val="center"/>
            <w:hideMark/>
          </w:tcPr>
          <w:p w14:paraId="4B67A50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CIELOTEK INDUSTRIAL S.A.S</w:t>
            </w:r>
          </w:p>
        </w:tc>
        <w:tc>
          <w:tcPr>
            <w:tcW w:w="817" w:type="dxa"/>
            <w:tcBorders>
              <w:top w:val="nil"/>
              <w:left w:val="nil"/>
              <w:bottom w:val="single" w:sz="8" w:space="0" w:color="auto"/>
              <w:right w:val="single" w:sz="8" w:space="0" w:color="auto"/>
            </w:tcBorders>
            <w:vAlign w:val="center"/>
            <w:hideMark/>
          </w:tcPr>
          <w:p w14:paraId="623202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1,60</w:t>
            </w:r>
          </w:p>
        </w:tc>
        <w:tc>
          <w:tcPr>
            <w:tcW w:w="1271" w:type="dxa"/>
            <w:tcBorders>
              <w:top w:val="nil"/>
              <w:left w:val="nil"/>
              <w:bottom w:val="single" w:sz="8" w:space="0" w:color="auto"/>
              <w:right w:val="single" w:sz="8" w:space="0" w:color="auto"/>
            </w:tcBorders>
            <w:vAlign w:val="center"/>
            <w:hideMark/>
          </w:tcPr>
          <w:p w14:paraId="338E8C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90" w:type="dxa"/>
            <w:tcBorders>
              <w:top w:val="nil"/>
              <w:left w:val="nil"/>
              <w:bottom w:val="single" w:sz="8" w:space="0" w:color="auto"/>
              <w:right w:val="single" w:sz="8" w:space="0" w:color="auto"/>
            </w:tcBorders>
            <w:vAlign w:val="center"/>
            <w:hideMark/>
          </w:tcPr>
          <w:p w14:paraId="7EA0A1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36AFFD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1.273.267</w:t>
            </w:r>
          </w:p>
        </w:tc>
        <w:tc>
          <w:tcPr>
            <w:tcW w:w="1100" w:type="dxa"/>
            <w:tcBorders>
              <w:top w:val="nil"/>
              <w:left w:val="nil"/>
              <w:bottom w:val="single" w:sz="8" w:space="0" w:color="auto"/>
              <w:right w:val="single" w:sz="8" w:space="0" w:color="auto"/>
            </w:tcBorders>
            <w:vAlign w:val="center"/>
            <w:hideMark/>
          </w:tcPr>
          <w:p w14:paraId="6AE5F6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00" w:type="dxa"/>
            <w:tcBorders>
              <w:top w:val="nil"/>
              <w:left w:val="nil"/>
              <w:bottom w:val="single" w:sz="8" w:space="0" w:color="auto"/>
              <w:right w:val="single" w:sz="8" w:space="0" w:color="auto"/>
            </w:tcBorders>
            <w:vAlign w:val="center"/>
            <w:hideMark/>
          </w:tcPr>
          <w:p w14:paraId="132608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7DD6F27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7B74E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919" w:type="dxa"/>
            <w:tcBorders>
              <w:top w:val="nil"/>
              <w:left w:val="nil"/>
              <w:bottom w:val="single" w:sz="8" w:space="0" w:color="auto"/>
              <w:right w:val="single" w:sz="8" w:space="0" w:color="auto"/>
            </w:tcBorders>
            <w:vAlign w:val="center"/>
            <w:hideMark/>
          </w:tcPr>
          <w:p w14:paraId="1E5ABA2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ITYT DE COLOMBIA SAS</w:t>
            </w:r>
          </w:p>
        </w:tc>
        <w:tc>
          <w:tcPr>
            <w:tcW w:w="817" w:type="dxa"/>
            <w:tcBorders>
              <w:top w:val="nil"/>
              <w:left w:val="nil"/>
              <w:bottom w:val="single" w:sz="8" w:space="0" w:color="auto"/>
              <w:right w:val="single" w:sz="8" w:space="0" w:color="auto"/>
            </w:tcBorders>
            <w:vAlign w:val="center"/>
            <w:hideMark/>
          </w:tcPr>
          <w:p w14:paraId="19A33F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38,16</w:t>
            </w:r>
          </w:p>
        </w:tc>
        <w:tc>
          <w:tcPr>
            <w:tcW w:w="1271" w:type="dxa"/>
            <w:tcBorders>
              <w:top w:val="nil"/>
              <w:left w:val="nil"/>
              <w:bottom w:val="single" w:sz="8" w:space="0" w:color="auto"/>
              <w:right w:val="single" w:sz="8" w:space="0" w:color="auto"/>
            </w:tcBorders>
            <w:vAlign w:val="center"/>
            <w:hideMark/>
          </w:tcPr>
          <w:p w14:paraId="26B5F4D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90" w:type="dxa"/>
            <w:tcBorders>
              <w:top w:val="nil"/>
              <w:left w:val="nil"/>
              <w:bottom w:val="single" w:sz="8" w:space="0" w:color="auto"/>
              <w:right w:val="single" w:sz="8" w:space="0" w:color="auto"/>
            </w:tcBorders>
            <w:vAlign w:val="center"/>
            <w:hideMark/>
          </w:tcPr>
          <w:p w14:paraId="2D7EBB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1E2ED6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9.194.492</w:t>
            </w:r>
          </w:p>
        </w:tc>
        <w:tc>
          <w:tcPr>
            <w:tcW w:w="1100" w:type="dxa"/>
            <w:tcBorders>
              <w:top w:val="nil"/>
              <w:left w:val="nil"/>
              <w:bottom w:val="single" w:sz="8" w:space="0" w:color="auto"/>
              <w:right w:val="single" w:sz="8" w:space="0" w:color="auto"/>
            </w:tcBorders>
            <w:vAlign w:val="center"/>
            <w:hideMark/>
          </w:tcPr>
          <w:p w14:paraId="29BA70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706C17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6C5D492D"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3A20AC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919" w:type="dxa"/>
            <w:tcBorders>
              <w:top w:val="nil"/>
              <w:left w:val="nil"/>
              <w:bottom w:val="single" w:sz="8" w:space="0" w:color="auto"/>
              <w:right w:val="single" w:sz="8" w:space="0" w:color="auto"/>
            </w:tcBorders>
            <w:vAlign w:val="center"/>
            <w:hideMark/>
          </w:tcPr>
          <w:p w14:paraId="128877A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CONSCOL SAS</w:t>
            </w:r>
          </w:p>
        </w:tc>
        <w:tc>
          <w:tcPr>
            <w:tcW w:w="817" w:type="dxa"/>
            <w:tcBorders>
              <w:top w:val="nil"/>
              <w:left w:val="nil"/>
              <w:bottom w:val="single" w:sz="8" w:space="0" w:color="auto"/>
              <w:right w:val="single" w:sz="8" w:space="0" w:color="auto"/>
            </w:tcBorders>
            <w:vAlign w:val="center"/>
            <w:hideMark/>
          </w:tcPr>
          <w:p w14:paraId="186371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3,60</w:t>
            </w:r>
          </w:p>
        </w:tc>
        <w:tc>
          <w:tcPr>
            <w:tcW w:w="1271" w:type="dxa"/>
            <w:tcBorders>
              <w:top w:val="nil"/>
              <w:left w:val="nil"/>
              <w:bottom w:val="single" w:sz="8" w:space="0" w:color="auto"/>
              <w:right w:val="single" w:sz="8" w:space="0" w:color="auto"/>
            </w:tcBorders>
            <w:vAlign w:val="center"/>
            <w:hideMark/>
          </w:tcPr>
          <w:p w14:paraId="3A04279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w:t>
            </w:r>
          </w:p>
        </w:tc>
        <w:tc>
          <w:tcPr>
            <w:tcW w:w="1190" w:type="dxa"/>
            <w:tcBorders>
              <w:top w:val="nil"/>
              <w:left w:val="nil"/>
              <w:bottom w:val="single" w:sz="8" w:space="0" w:color="auto"/>
              <w:right w:val="single" w:sz="8" w:space="0" w:color="auto"/>
            </w:tcBorders>
            <w:vAlign w:val="center"/>
            <w:hideMark/>
          </w:tcPr>
          <w:p w14:paraId="4C6E90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7,65</w:t>
            </w:r>
          </w:p>
        </w:tc>
        <w:tc>
          <w:tcPr>
            <w:tcW w:w="1099" w:type="dxa"/>
            <w:tcBorders>
              <w:top w:val="nil"/>
              <w:left w:val="nil"/>
              <w:bottom w:val="single" w:sz="8" w:space="0" w:color="auto"/>
              <w:right w:val="single" w:sz="8" w:space="0" w:color="auto"/>
            </w:tcBorders>
            <w:vAlign w:val="center"/>
            <w:hideMark/>
          </w:tcPr>
          <w:p w14:paraId="48ABADB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4.495.797</w:t>
            </w:r>
          </w:p>
        </w:tc>
        <w:tc>
          <w:tcPr>
            <w:tcW w:w="1100" w:type="dxa"/>
            <w:tcBorders>
              <w:top w:val="nil"/>
              <w:left w:val="nil"/>
              <w:bottom w:val="single" w:sz="8" w:space="0" w:color="auto"/>
              <w:right w:val="single" w:sz="8" w:space="0" w:color="auto"/>
            </w:tcBorders>
            <w:vAlign w:val="center"/>
            <w:hideMark/>
          </w:tcPr>
          <w:p w14:paraId="7D3406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00" w:type="dxa"/>
            <w:tcBorders>
              <w:top w:val="nil"/>
              <w:left w:val="nil"/>
              <w:bottom w:val="single" w:sz="8" w:space="0" w:color="auto"/>
              <w:right w:val="single" w:sz="8" w:space="0" w:color="auto"/>
            </w:tcBorders>
            <w:vAlign w:val="center"/>
            <w:hideMark/>
          </w:tcPr>
          <w:p w14:paraId="4FD9AA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79DB3AC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1CD33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919" w:type="dxa"/>
            <w:tcBorders>
              <w:top w:val="nil"/>
              <w:left w:val="nil"/>
              <w:bottom w:val="single" w:sz="8" w:space="0" w:color="auto"/>
              <w:right w:val="single" w:sz="8" w:space="0" w:color="auto"/>
            </w:tcBorders>
            <w:vAlign w:val="center"/>
            <w:hideMark/>
          </w:tcPr>
          <w:p w14:paraId="4846C52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CODEOBRAS SAS</w:t>
            </w:r>
          </w:p>
        </w:tc>
        <w:tc>
          <w:tcPr>
            <w:tcW w:w="817" w:type="dxa"/>
            <w:tcBorders>
              <w:top w:val="nil"/>
              <w:left w:val="nil"/>
              <w:bottom w:val="single" w:sz="8" w:space="0" w:color="auto"/>
              <w:right w:val="single" w:sz="8" w:space="0" w:color="auto"/>
            </w:tcBorders>
            <w:vAlign w:val="center"/>
            <w:hideMark/>
          </w:tcPr>
          <w:p w14:paraId="5E0768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3,88</w:t>
            </w:r>
          </w:p>
        </w:tc>
        <w:tc>
          <w:tcPr>
            <w:tcW w:w="1271" w:type="dxa"/>
            <w:tcBorders>
              <w:top w:val="nil"/>
              <w:left w:val="nil"/>
              <w:bottom w:val="single" w:sz="8" w:space="0" w:color="auto"/>
              <w:right w:val="single" w:sz="8" w:space="0" w:color="auto"/>
            </w:tcBorders>
            <w:vAlign w:val="center"/>
            <w:hideMark/>
          </w:tcPr>
          <w:p w14:paraId="5D469A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78A4AC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3,78</w:t>
            </w:r>
          </w:p>
        </w:tc>
        <w:tc>
          <w:tcPr>
            <w:tcW w:w="1099" w:type="dxa"/>
            <w:tcBorders>
              <w:top w:val="nil"/>
              <w:left w:val="nil"/>
              <w:bottom w:val="single" w:sz="8" w:space="0" w:color="auto"/>
              <w:right w:val="single" w:sz="8" w:space="0" w:color="auto"/>
            </w:tcBorders>
            <w:vAlign w:val="center"/>
            <w:hideMark/>
          </w:tcPr>
          <w:p w14:paraId="608BE54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1.505.663</w:t>
            </w:r>
          </w:p>
        </w:tc>
        <w:tc>
          <w:tcPr>
            <w:tcW w:w="1100" w:type="dxa"/>
            <w:tcBorders>
              <w:top w:val="nil"/>
              <w:left w:val="nil"/>
              <w:bottom w:val="single" w:sz="8" w:space="0" w:color="auto"/>
              <w:right w:val="single" w:sz="8" w:space="0" w:color="auto"/>
            </w:tcBorders>
            <w:vAlign w:val="center"/>
            <w:hideMark/>
          </w:tcPr>
          <w:p w14:paraId="71E7D07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653694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7AB27CF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A6B902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919" w:type="dxa"/>
            <w:tcBorders>
              <w:top w:val="nil"/>
              <w:left w:val="nil"/>
              <w:bottom w:val="single" w:sz="8" w:space="0" w:color="auto"/>
              <w:right w:val="single" w:sz="8" w:space="0" w:color="auto"/>
            </w:tcBorders>
            <w:shd w:val="clear" w:color="000000" w:fill="FFFFFF"/>
            <w:vAlign w:val="center"/>
            <w:hideMark/>
          </w:tcPr>
          <w:p w14:paraId="3B8625A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FUNDACIONES Y PILOTAJES SAS</w:t>
            </w:r>
          </w:p>
        </w:tc>
        <w:tc>
          <w:tcPr>
            <w:tcW w:w="817" w:type="dxa"/>
            <w:tcBorders>
              <w:top w:val="nil"/>
              <w:left w:val="nil"/>
              <w:bottom w:val="single" w:sz="8" w:space="0" w:color="auto"/>
              <w:right w:val="single" w:sz="8" w:space="0" w:color="auto"/>
            </w:tcBorders>
            <w:shd w:val="clear" w:color="000000" w:fill="FFFFFF"/>
            <w:vAlign w:val="center"/>
            <w:hideMark/>
          </w:tcPr>
          <w:p w14:paraId="24601A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0,87</w:t>
            </w:r>
          </w:p>
        </w:tc>
        <w:tc>
          <w:tcPr>
            <w:tcW w:w="1271" w:type="dxa"/>
            <w:tcBorders>
              <w:top w:val="nil"/>
              <w:left w:val="nil"/>
              <w:bottom w:val="single" w:sz="8" w:space="0" w:color="auto"/>
              <w:right w:val="single" w:sz="8" w:space="0" w:color="auto"/>
            </w:tcBorders>
            <w:shd w:val="clear" w:color="000000" w:fill="FFFFFF"/>
            <w:vAlign w:val="center"/>
            <w:hideMark/>
          </w:tcPr>
          <w:p w14:paraId="15F27E6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w:t>
            </w:r>
          </w:p>
        </w:tc>
        <w:tc>
          <w:tcPr>
            <w:tcW w:w="1190" w:type="dxa"/>
            <w:tcBorders>
              <w:top w:val="nil"/>
              <w:left w:val="nil"/>
              <w:bottom w:val="single" w:sz="8" w:space="0" w:color="auto"/>
              <w:right w:val="single" w:sz="8" w:space="0" w:color="auto"/>
            </w:tcBorders>
            <w:vAlign w:val="center"/>
            <w:hideMark/>
          </w:tcPr>
          <w:p w14:paraId="12E7F6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shd w:val="clear" w:color="000000" w:fill="FFFFFF"/>
            <w:vAlign w:val="center"/>
            <w:hideMark/>
          </w:tcPr>
          <w:p w14:paraId="67DB33F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-1.111.252</w:t>
            </w:r>
          </w:p>
        </w:tc>
        <w:tc>
          <w:tcPr>
            <w:tcW w:w="1100" w:type="dxa"/>
            <w:tcBorders>
              <w:top w:val="nil"/>
              <w:left w:val="nil"/>
              <w:bottom w:val="single" w:sz="8" w:space="0" w:color="auto"/>
              <w:right w:val="single" w:sz="8" w:space="0" w:color="auto"/>
            </w:tcBorders>
            <w:shd w:val="clear" w:color="000000" w:fill="FFFFFF"/>
            <w:vAlign w:val="center"/>
            <w:hideMark/>
          </w:tcPr>
          <w:p w14:paraId="5F65B05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w:t>
            </w:r>
          </w:p>
        </w:tc>
        <w:tc>
          <w:tcPr>
            <w:tcW w:w="1100" w:type="dxa"/>
            <w:tcBorders>
              <w:top w:val="nil"/>
              <w:left w:val="nil"/>
              <w:bottom w:val="single" w:sz="8" w:space="0" w:color="auto"/>
              <w:right w:val="single" w:sz="8" w:space="0" w:color="auto"/>
            </w:tcBorders>
            <w:shd w:val="clear" w:color="000000" w:fill="FFFFFF"/>
            <w:vAlign w:val="center"/>
            <w:hideMark/>
          </w:tcPr>
          <w:p w14:paraId="5B2A23F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26D5CAB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C70FF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919" w:type="dxa"/>
            <w:tcBorders>
              <w:top w:val="nil"/>
              <w:left w:val="nil"/>
              <w:bottom w:val="single" w:sz="8" w:space="0" w:color="auto"/>
              <w:right w:val="single" w:sz="8" w:space="0" w:color="auto"/>
            </w:tcBorders>
            <w:vAlign w:val="center"/>
            <w:hideMark/>
          </w:tcPr>
          <w:p w14:paraId="0604B20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ELECTRICAS LAC LTDA</w:t>
            </w:r>
          </w:p>
        </w:tc>
        <w:tc>
          <w:tcPr>
            <w:tcW w:w="817" w:type="dxa"/>
            <w:tcBorders>
              <w:top w:val="nil"/>
              <w:left w:val="nil"/>
              <w:bottom w:val="single" w:sz="8" w:space="0" w:color="auto"/>
              <w:right w:val="single" w:sz="8" w:space="0" w:color="auto"/>
            </w:tcBorders>
            <w:vAlign w:val="center"/>
            <w:hideMark/>
          </w:tcPr>
          <w:p w14:paraId="7D2E62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1,45</w:t>
            </w:r>
          </w:p>
        </w:tc>
        <w:tc>
          <w:tcPr>
            <w:tcW w:w="1271" w:type="dxa"/>
            <w:tcBorders>
              <w:top w:val="nil"/>
              <w:left w:val="nil"/>
              <w:bottom w:val="single" w:sz="8" w:space="0" w:color="auto"/>
              <w:right w:val="single" w:sz="8" w:space="0" w:color="auto"/>
            </w:tcBorders>
            <w:vAlign w:val="center"/>
            <w:hideMark/>
          </w:tcPr>
          <w:p w14:paraId="7783C0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w:t>
            </w:r>
          </w:p>
        </w:tc>
        <w:tc>
          <w:tcPr>
            <w:tcW w:w="1190" w:type="dxa"/>
            <w:tcBorders>
              <w:top w:val="nil"/>
              <w:left w:val="nil"/>
              <w:bottom w:val="single" w:sz="8" w:space="0" w:color="auto"/>
              <w:right w:val="single" w:sz="8" w:space="0" w:color="auto"/>
            </w:tcBorders>
            <w:vAlign w:val="center"/>
            <w:hideMark/>
          </w:tcPr>
          <w:p w14:paraId="147EB4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2,31</w:t>
            </w:r>
          </w:p>
        </w:tc>
        <w:tc>
          <w:tcPr>
            <w:tcW w:w="1099" w:type="dxa"/>
            <w:tcBorders>
              <w:top w:val="nil"/>
              <w:left w:val="nil"/>
              <w:bottom w:val="single" w:sz="8" w:space="0" w:color="auto"/>
              <w:right w:val="single" w:sz="8" w:space="0" w:color="auto"/>
            </w:tcBorders>
            <w:vAlign w:val="center"/>
            <w:hideMark/>
          </w:tcPr>
          <w:p w14:paraId="5BEF712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903.748</w:t>
            </w:r>
          </w:p>
        </w:tc>
        <w:tc>
          <w:tcPr>
            <w:tcW w:w="1100" w:type="dxa"/>
            <w:tcBorders>
              <w:top w:val="nil"/>
              <w:left w:val="nil"/>
              <w:bottom w:val="single" w:sz="8" w:space="0" w:color="auto"/>
              <w:right w:val="single" w:sz="8" w:space="0" w:color="auto"/>
            </w:tcBorders>
            <w:vAlign w:val="center"/>
            <w:hideMark/>
          </w:tcPr>
          <w:p w14:paraId="0BD5314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w:t>
            </w:r>
          </w:p>
        </w:tc>
        <w:tc>
          <w:tcPr>
            <w:tcW w:w="1100" w:type="dxa"/>
            <w:tcBorders>
              <w:top w:val="nil"/>
              <w:left w:val="nil"/>
              <w:bottom w:val="single" w:sz="8" w:space="0" w:color="auto"/>
              <w:right w:val="single" w:sz="8" w:space="0" w:color="auto"/>
            </w:tcBorders>
            <w:vAlign w:val="center"/>
            <w:hideMark/>
          </w:tcPr>
          <w:p w14:paraId="0CD01C2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r>
      <w:tr w:rsidR="008468B3" w:rsidRPr="008468B3" w14:paraId="396ACA46"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72CE4BD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23</w:t>
            </w:r>
          </w:p>
        </w:tc>
        <w:tc>
          <w:tcPr>
            <w:tcW w:w="1919" w:type="dxa"/>
            <w:tcBorders>
              <w:top w:val="nil"/>
              <w:left w:val="nil"/>
              <w:bottom w:val="single" w:sz="8" w:space="0" w:color="auto"/>
              <w:right w:val="single" w:sz="8" w:space="0" w:color="auto"/>
            </w:tcBorders>
            <w:vAlign w:val="center"/>
            <w:hideMark/>
          </w:tcPr>
          <w:p w14:paraId="6F41030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RUGELES DURAN ARQUITECTOS SAS</w:t>
            </w:r>
          </w:p>
        </w:tc>
        <w:tc>
          <w:tcPr>
            <w:tcW w:w="817" w:type="dxa"/>
            <w:tcBorders>
              <w:top w:val="nil"/>
              <w:left w:val="nil"/>
              <w:bottom w:val="single" w:sz="8" w:space="0" w:color="auto"/>
              <w:right w:val="single" w:sz="8" w:space="0" w:color="auto"/>
            </w:tcBorders>
            <w:vAlign w:val="center"/>
            <w:hideMark/>
          </w:tcPr>
          <w:p w14:paraId="2C1ED22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3,99</w:t>
            </w:r>
          </w:p>
        </w:tc>
        <w:tc>
          <w:tcPr>
            <w:tcW w:w="1271" w:type="dxa"/>
            <w:tcBorders>
              <w:top w:val="nil"/>
              <w:left w:val="nil"/>
              <w:bottom w:val="single" w:sz="8" w:space="0" w:color="auto"/>
              <w:right w:val="single" w:sz="8" w:space="0" w:color="auto"/>
            </w:tcBorders>
            <w:vAlign w:val="center"/>
            <w:hideMark/>
          </w:tcPr>
          <w:p w14:paraId="3571FB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90" w:type="dxa"/>
            <w:tcBorders>
              <w:top w:val="nil"/>
              <w:left w:val="nil"/>
              <w:bottom w:val="single" w:sz="8" w:space="0" w:color="auto"/>
              <w:right w:val="single" w:sz="8" w:space="0" w:color="auto"/>
            </w:tcBorders>
            <w:vAlign w:val="center"/>
            <w:hideMark/>
          </w:tcPr>
          <w:p w14:paraId="70B972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55DE84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1.650.944</w:t>
            </w:r>
          </w:p>
        </w:tc>
        <w:tc>
          <w:tcPr>
            <w:tcW w:w="1100" w:type="dxa"/>
            <w:tcBorders>
              <w:top w:val="nil"/>
              <w:left w:val="nil"/>
              <w:bottom w:val="single" w:sz="8" w:space="0" w:color="auto"/>
              <w:right w:val="single" w:sz="8" w:space="0" w:color="auto"/>
            </w:tcBorders>
            <w:vAlign w:val="center"/>
            <w:hideMark/>
          </w:tcPr>
          <w:p w14:paraId="4EA429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0AE976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7DB19FCA" w14:textId="77777777" w:rsidTr="008468B3">
        <w:trPr>
          <w:trHeight w:val="972"/>
        </w:trPr>
        <w:tc>
          <w:tcPr>
            <w:tcW w:w="474" w:type="dxa"/>
            <w:tcBorders>
              <w:top w:val="nil"/>
              <w:left w:val="single" w:sz="8" w:space="0" w:color="auto"/>
              <w:bottom w:val="single" w:sz="8" w:space="0" w:color="auto"/>
              <w:right w:val="single" w:sz="8" w:space="0" w:color="auto"/>
            </w:tcBorders>
            <w:noWrap/>
            <w:vAlign w:val="center"/>
            <w:hideMark/>
          </w:tcPr>
          <w:p w14:paraId="50DEA26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c>
          <w:tcPr>
            <w:tcW w:w="1919" w:type="dxa"/>
            <w:tcBorders>
              <w:top w:val="nil"/>
              <w:left w:val="nil"/>
              <w:bottom w:val="single" w:sz="8" w:space="0" w:color="auto"/>
              <w:right w:val="single" w:sz="8" w:space="0" w:color="auto"/>
            </w:tcBorders>
            <w:vAlign w:val="center"/>
            <w:hideMark/>
          </w:tcPr>
          <w:p w14:paraId="0809A53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MONA Y VILLEGAS INGENIEROS CONSTRUCTORES SAS</w:t>
            </w:r>
          </w:p>
        </w:tc>
        <w:tc>
          <w:tcPr>
            <w:tcW w:w="817" w:type="dxa"/>
            <w:tcBorders>
              <w:top w:val="nil"/>
              <w:left w:val="nil"/>
              <w:bottom w:val="single" w:sz="8" w:space="0" w:color="auto"/>
              <w:right w:val="single" w:sz="8" w:space="0" w:color="auto"/>
            </w:tcBorders>
            <w:vAlign w:val="center"/>
            <w:hideMark/>
          </w:tcPr>
          <w:p w14:paraId="7512CC6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0,40</w:t>
            </w:r>
          </w:p>
        </w:tc>
        <w:tc>
          <w:tcPr>
            <w:tcW w:w="1271" w:type="dxa"/>
            <w:tcBorders>
              <w:top w:val="nil"/>
              <w:left w:val="nil"/>
              <w:bottom w:val="single" w:sz="8" w:space="0" w:color="auto"/>
              <w:right w:val="single" w:sz="8" w:space="0" w:color="auto"/>
            </w:tcBorders>
            <w:vAlign w:val="center"/>
            <w:hideMark/>
          </w:tcPr>
          <w:p w14:paraId="6D38341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96%</w:t>
            </w:r>
          </w:p>
        </w:tc>
        <w:tc>
          <w:tcPr>
            <w:tcW w:w="1190" w:type="dxa"/>
            <w:tcBorders>
              <w:top w:val="nil"/>
              <w:left w:val="nil"/>
              <w:bottom w:val="single" w:sz="8" w:space="0" w:color="auto"/>
              <w:right w:val="single" w:sz="8" w:space="0" w:color="auto"/>
            </w:tcBorders>
            <w:vAlign w:val="center"/>
            <w:hideMark/>
          </w:tcPr>
          <w:p w14:paraId="2033BB9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BAF4F5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-10.040.457</w:t>
            </w:r>
          </w:p>
        </w:tc>
        <w:tc>
          <w:tcPr>
            <w:tcW w:w="1100" w:type="dxa"/>
            <w:tcBorders>
              <w:top w:val="nil"/>
              <w:left w:val="nil"/>
              <w:bottom w:val="single" w:sz="8" w:space="0" w:color="auto"/>
              <w:right w:val="single" w:sz="8" w:space="0" w:color="auto"/>
            </w:tcBorders>
            <w:vAlign w:val="center"/>
            <w:hideMark/>
          </w:tcPr>
          <w:p w14:paraId="0F848A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6AC75F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0D103C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24C149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919" w:type="dxa"/>
            <w:tcBorders>
              <w:top w:val="nil"/>
              <w:left w:val="nil"/>
              <w:bottom w:val="single" w:sz="8" w:space="0" w:color="auto"/>
              <w:right w:val="single" w:sz="8" w:space="0" w:color="auto"/>
            </w:tcBorders>
            <w:vAlign w:val="center"/>
            <w:hideMark/>
          </w:tcPr>
          <w:p w14:paraId="5BBE1F8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CONSTRUCCIONES AL DIA SAS</w:t>
            </w:r>
          </w:p>
        </w:tc>
        <w:tc>
          <w:tcPr>
            <w:tcW w:w="817" w:type="dxa"/>
            <w:tcBorders>
              <w:top w:val="nil"/>
              <w:left w:val="nil"/>
              <w:bottom w:val="single" w:sz="8" w:space="0" w:color="auto"/>
              <w:right w:val="single" w:sz="8" w:space="0" w:color="auto"/>
            </w:tcBorders>
            <w:vAlign w:val="center"/>
            <w:hideMark/>
          </w:tcPr>
          <w:p w14:paraId="27CD17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3,20</w:t>
            </w:r>
          </w:p>
        </w:tc>
        <w:tc>
          <w:tcPr>
            <w:tcW w:w="1271" w:type="dxa"/>
            <w:tcBorders>
              <w:top w:val="nil"/>
              <w:left w:val="nil"/>
              <w:bottom w:val="single" w:sz="8" w:space="0" w:color="auto"/>
              <w:right w:val="single" w:sz="8" w:space="0" w:color="auto"/>
            </w:tcBorders>
            <w:vAlign w:val="center"/>
            <w:hideMark/>
          </w:tcPr>
          <w:p w14:paraId="01F920D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190" w:type="dxa"/>
            <w:tcBorders>
              <w:top w:val="nil"/>
              <w:left w:val="nil"/>
              <w:bottom w:val="single" w:sz="8" w:space="0" w:color="auto"/>
              <w:right w:val="single" w:sz="8" w:space="0" w:color="auto"/>
            </w:tcBorders>
            <w:vAlign w:val="center"/>
            <w:hideMark/>
          </w:tcPr>
          <w:p w14:paraId="4D6E96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68CB84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14.968.146</w:t>
            </w:r>
          </w:p>
        </w:tc>
        <w:tc>
          <w:tcPr>
            <w:tcW w:w="1100" w:type="dxa"/>
            <w:tcBorders>
              <w:top w:val="nil"/>
              <w:left w:val="nil"/>
              <w:bottom w:val="single" w:sz="8" w:space="0" w:color="auto"/>
              <w:right w:val="single" w:sz="8" w:space="0" w:color="auto"/>
            </w:tcBorders>
            <w:vAlign w:val="center"/>
            <w:hideMark/>
          </w:tcPr>
          <w:p w14:paraId="7F86318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100" w:type="dxa"/>
            <w:tcBorders>
              <w:top w:val="nil"/>
              <w:left w:val="nil"/>
              <w:bottom w:val="single" w:sz="8" w:space="0" w:color="auto"/>
              <w:right w:val="single" w:sz="8" w:space="0" w:color="auto"/>
            </w:tcBorders>
            <w:vAlign w:val="center"/>
            <w:hideMark/>
          </w:tcPr>
          <w:p w14:paraId="5A2677D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w:t>
            </w:r>
          </w:p>
        </w:tc>
      </w:tr>
      <w:tr w:rsidR="008468B3" w:rsidRPr="008468B3" w14:paraId="3E5E7ED8"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D8A760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919" w:type="dxa"/>
            <w:tcBorders>
              <w:top w:val="nil"/>
              <w:left w:val="nil"/>
              <w:bottom w:val="single" w:sz="8" w:space="0" w:color="auto"/>
              <w:right w:val="single" w:sz="8" w:space="0" w:color="auto"/>
            </w:tcBorders>
            <w:vAlign w:val="center"/>
            <w:hideMark/>
          </w:tcPr>
          <w:p w14:paraId="03DEE61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ESTRADA BERNAL LTDA</w:t>
            </w:r>
          </w:p>
        </w:tc>
        <w:tc>
          <w:tcPr>
            <w:tcW w:w="817" w:type="dxa"/>
            <w:tcBorders>
              <w:top w:val="nil"/>
              <w:left w:val="nil"/>
              <w:bottom w:val="single" w:sz="8" w:space="0" w:color="auto"/>
              <w:right w:val="single" w:sz="8" w:space="0" w:color="auto"/>
            </w:tcBorders>
            <w:vAlign w:val="center"/>
            <w:hideMark/>
          </w:tcPr>
          <w:p w14:paraId="192E3B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1,05</w:t>
            </w:r>
          </w:p>
        </w:tc>
        <w:tc>
          <w:tcPr>
            <w:tcW w:w="1271" w:type="dxa"/>
            <w:tcBorders>
              <w:top w:val="nil"/>
              <w:left w:val="nil"/>
              <w:bottom w:val="single" w:sz="8" w:space="0" w:color="auto"/>
              <w:right w:val="single" w:sz="8" w:space="0" w:color="auto"/>
            </w:tcBorders>
            <w:vAlign w:val="center"/>
            <w:hideMark/>
          </w:tcPr>
          <w:p w14:paraId="1D9D3A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w:t>
            </w:r>
          </w:p>
        </w:tc>
        <w:tc>
          <w:tcPr>
            <w:tcW w:w="1190" w:type="dxa"/>
            <w:tcBorders>
              <w:top w:val="nil"/>
              <w:left w:val="nil"/>
              <w:bottom w:val="single" w:sz="8" w:space="0" w:color="auto"/>
              <w:right w:val="single" w:sz="8" w:space="0" w:color="auto"/>
            </w:tcBorders>
            <w:vAlign w:val="center"/>
            <w:hideMark/>
          </w:tcPr>
          <w:p w14:paraId="33DE9C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E30A4C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220.908</w:t>
            </w:r>
          </w:p>
        </w:tc>
        <w:tc>
          <w:tcPr>
            <w:tcW w:w="1100" w:type="dxa"/>
            <w:tcBorders>
              <w:top w:val="nil"/>
              <w:left w:val="nil"/>
              <w:bottom w:val="single" w:sz="8" w:space="0" w:color="auto"/>
              <w:right w:val="single" w:sz="8" w:space="0" w:color="auto"/>
            </w:tcBorders>
            <w:vAlign w:val="center"/>
            <w:hideMark/>
          </w:tcPr>
          <w:p w14:paraId="2B2D57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05879B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3F410ECA"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4A34E7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c>
          <w:tcPr>
            <w:tcW w:w="1919" w:type="dxa"/>
            <w:tcBorders>
              <w:top w:val="nil"/>
              <w:left w:val="nil"/>
              <w:bottom w:val="single" w:sz="8" w:space="0" w:color="auto"/>
              <w:right w:val="single" w:sz="8" w:space="0" w:color="auto"/>
            </w:tcBorders>
            <w:vAlign w:val="center"/>
            <w:hideMark/>
          </w:tcPr>
          <w:p w14:paraId="6A91D67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LOPEZ NIÑO SERVICIOS INFORMATICOS LTDA</w:t>
            </w:r>
          </w:p>
        </w:tc>
        <w:tc>
          <w:tcPr>
            <w:tcW w:w="817" w:type="dxa"/>
            <w:tcBorders>
              <w:top w:val="nil"/>
              <w:left w:val="nil"/>
              <w:bottom w:val="single" w:sz="8" w:space="0" w:color="auto"/>
              <w:right w:val="single" w:sz="8" w:space="0" w:color="auto"/>
            </w:tcBorders>
            <w:vAlign w:val="center"/>
            <w:hideMark/>
          </w:tcPr>
          <w:p w14:paraId="77DD51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2,71</w:t>
            </w:r>
          </w:p>
        </w:tc>
        <w:tc>
          <w:tcPr>
            <w:tcW w:w="1271" w:type="dxa"/>
            <w:tcBorders>
              <w:top w:val="nil"/>
              <w:left w:val="nil"/>
              <w:bottom w:val="single" w:sz="8" w:space="0" w:color="auto"/>
              <w:right w:val="single" w:sz="8" w:space="0" w:color="auto"/>
            </w:tcBorders>
            <w:vAlign w:val="center"/>
            <w:hideMark/>
          </w:tcPr>
          <w:p w14:paraId="0097CC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190" w:type="dxa"/>
            <w:tcBorders>
              <w:top w:val="nil"/>
              <w:left w:val="nil"/>
              <w:bottom w:val="single" w:sz="8" w:space="0" w:color="auto"/>
              <w:right w:val="single" w:sz="8" w:space="0" w:color="auto"/>
            </w:tcBorders>
            <w:vAlign w:val="center"/>
            <w:hideMark/>
          </w:tcPr>
          <w:p w14:paraId="5A84E9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1,98</w:t>
            </w:r>
          </w:p>
        </w:tc>
        <w:tc>
          <w:tcPr>
            <w:tcW w:w="1099" w:type="dxa"/>
            <w:tcBorders>
              <w:top w:val="nil"/>
              <w:left w:val="nil"/>
              <w:bottom w:val="single" w:sz="8" w:space="0" w:color="auto"/>
              <w:right w:val="single" w:sz="8" w:space="0" w:color="auto"/>
            </w:tcBorders>
            <w:vAlign w:val="center"/>
            <w:hideMark/>
          </w:tcPr>
          <w:p w14:paraId="381022E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1.353.194</w:t>
            </w:r>
          </w:p>
        </w:tc>
        <w:tc>
          <w:tcPr>
            <w:tcW w:w="1100" w:type="dxa"/>
            <w:tcBorders>
              <w:top w:val="nil"/>
              <w:left w:val="nil"/>
              <w:bottom w:val="single" w:sz="8" w:space="0" w:color="auto"/>
              <w:right w:val="single" w:sz="8" w:space="0" w:color="auto"/>
            </w:tcBorders>
            <w:vAlign w:val="center"/>
            <w:hideMark/>
          </w:tcPr>
          <w:p w14:paraId="5E173D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3C98715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66B7E8E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DE142B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w:t>
            </w:r>
          </w:p>
        </w:tc>
        <w:tc>
          <w:tcPr>
            <w:tcW w:w="1919" w:type="dxa"/>
            <w:tcBorders>
              <w:top w:val="nil"/>
              <w:left w:val="nil"/>
              <w:bottom w:val="single" w:sz="8" w:space="0" w:color="auto"/>
              <w:right w:val="single" w:sz="8" w:space="0" w:color="auto"/>
            </w:tcBorders>
            <w:vAlign w:val="center"/>
            <w:hideMark/>
          </w:tcPr>
          <w:p w14:paraId="05C9061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JAW PINTURAS LTDA</w:t>
            </w:r>
          </w:p>
        </w:tc>
        <w:tc>
          <w:tcPr>
            <w:tcW w:w="817" w:type="dxa"/>
            <w:tcBorders>
              <w:top w:val="nil"/>
              <w:left w:val="nil"/>
              <w:bottom w:val="single" w:sz="8" w:space="0" w:color="auto"/>
              <w:right w:val="single" w:sz="8" w:space="0" w:color="auto"/>
            </w:tcBorders>
            <w:vAlign w:val="center"/>
            <w:hideMark/>
          </w:tcPr>
          <w:p w14:paraId="0BFBDF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1,46</w:t>
            </w:r>
          </w:p>
        </w:tc>
        <w:tc>
          <w:tcPr>
            <w:tcW w:w="1271" w:type="dxa"/>
            <w:tcBorders>
              <w:top w:val="nil"/>
              <w:left w:val="nil"/>
              <w:bottom w:val="single" w:sz="8" w:space="0" w:color="auto"/>
              <w:right w:val="single" w:sz="8" w:space="0" w:color="auto"/>
            </w:tcBorders>
            <w:vAlign w:val="center"/>
            <w:hideMark/>
          </w:tcPr>
          <w:p w14:paraId="58CB323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190" w:type="dxa"/>
            <w:tcBorders>
              <w:top w:val="nil"/>
              <w:left w:val="nil"/>
              <w:bottom w:val="single" w:sz="8" w:space="0" w:color="auto"/>
              <w:right w:val="single" w:sz="8" w:space="0" w:color="auto"/>
            </w:tcBorders>
            <w:vAlign w:val="center"/>
            <w:hideMark/>
          </w:tcPr>
          <w:p w14:paraId="06521FA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3,90</w:t>
            </w:r>
          </w:p>
        </w:tc>
        <w:tc>
          <w:tcPr>
            <w:tcW w:w="1099" w:type="dxa"/>
            <w:tcBorders>
              <w:top w:val="nil"/>
              <w:left w:val="nil"/>
              <w:bottom w:val="single" w:sz="8" w:space="0" w:color="auto"/>
              <w:right w:val="single" w:sz="8" w:space="0" w:color="auto"/>
            </w:tcBorders>
            <w:vAlign w:val="center"/>
            <w:hideMark/>
          </w:tcPr>
          <w:p w14:paraId="179521F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506.533</w:t>
            </w:r>
          </w:p>
        </w:tc>
        <w:tc>
          <w:tcPr>
            <w:tcW w:w="1100" w:type="dxa"/>
            <w:tcBorders>
              <w:top w:val="nil"/>
              <w:left w:val="nil"/>
              <w:bottom w:val="single" w:sz="8" w:space="0" w:color="auto"/>
              <w:right w:val="single" w:sz="8" w:space="0" w:color="auto"/>
            </w:tcBorders>
            <w:vAlign w:val="center"/>
            <w:hideMark/>
          </w:tcPr>
          <w:p w14:paraId="4F43A6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715BB83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5C12432F"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86DEF2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919" w:type="dxa"/>
            <w:tcBorders>
              <w:top w:val="nil"/>
              <w:left w:val="nil"/>
              <w:bottom w:val="single" w:sz="8" w:space="0" w:color="auto"/>
              <w:right w:val="single" w:sz="8" w:space="0" w:color="auto"/>
            </w:tcBorders>
            <w:vAlign w:val="center"/>
            <w:hideMark/>
          </w:tcPr>
          <w:p w14:paraId="6C7CAF3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MAXIELECTRICOS SAS</w:t>
            </w:r>
          </w:p>
        </w:tc>
        <w:tc>
          <w:tcPr>
            <w:tcW w:w="817" w:type="dxa"/>
            <w:tcBorders>
              <w:top w:val="nil"/>
              <w:left w:val="nil"/>
              <w:bottom w:val="single" w:sz="8" w:space="0" w:color="auto"/>
              <w:right w:val="single" w:sz="8" w:space="0" w:color="auto"/>
            </w:tcBorders>
            <w:vAlign w:val="center"/>
            <w:hideMark/>
          </w:tcPr>
          <w:p w14:paraId="0659C69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1,32</w:t>
            </w:r>
          </w:p>
        </w:tc>
        <w:tc>
          <w:tcPr>
            <w:tcW w:w="1271" w:type="dxa"/>
            <w:tcBorders>
              <w:top w:val="nil"/>
              <w:left w:val="nil"/>
              <w:bottom w:val="single" w:sz="8" w:space="0" w:color="auto"/>
              <w:right w:val="single" w:sz="8" w:space="0" w:color="auto"/>
            </w:tcBorders>
            <w:vAlign w:val="center"/>
            <w:hideMark/>
          </w:tcPr>
          <w:p w14:paraId="3D2455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3602A6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0,32</w:t>
            </w:r>
          </w:p>
        </w:tc>
        <w:tc>
          <w:tcPr>
            <w:tcW w:w="1099" w:type="dxa"/>
            <w:tcBorders>
              <w:top w:val="nil"/>
              <w:left w:val="nil"/>
              <w:bottom w:val="single" w:sz="8" w:space="0" w:color="auto"/>
              <w:right w:val="single" w:sz="8" w:space="0" w:color="auto"/>
            </w:tcBorders>
            <w:vAlign w:val="center"/>
            <w:hideMark/>
          </w:tcPr>
          <w:p w14:paraId="1EC0C1F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2.949.454</w:t>
            </w:r>
          </w:p>
        </w:tc>
        <w:tc>
          <w:tcPr>
            <w:tcW w:w="1100" w:type="dxa"/>
            <w:tcBorders>
              <w:top w:val="nil"/>
              <w:left w:val="nil"/>
              <w:bottom w:val="single" w:sz="8" w:space="0" w:color="auto"/>
              <w:right w:val="single" w:sz="8" w:space="0" w:color="auto"/>
            </w:tcBorders>
            <w:vAlign w:val="center"/>
            <w:hideMark/>
          </w:tcPr>
          <w:p w14:paraId="63DE04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575B13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73651D0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3A83B0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w:t>
            </w:r>
          </w:p>
        </w:tc>
        <w:tc>
          <w:tcPr>
            <w:tcW w:w="1919" w:type="dxa"/>
            <w:tcBorders>
              <w:top w:val="nil"/>
              <w:left w:val="nil"/>
              <w:bottom w:val="single" w:sz="8" w:space="0" w:color="auto"/>
              <w:right w:val="single" w:sz="8" w:space="0" w:color="auto"/>
            </w:tcBorders>
            <w:vAlign w:val="center"/>
            <w:hideMark/>
          </w:tcPr>
          <w:p w14:paraId="27ECD33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Y SERVICIOS SAS</w:t>
            </w:r>
          </w:p>
        </w:tc>
        <w:tc>
          <w:tcPr>
            <w:tcW w:w="817" w:type="dxa"/>
            <w:tcBorders>
              <w:top w:val="nil"/>
              <w:left w:val="nil"/>
              <w:bottom w:val="single" w:sz="8" w:space="0" w:color="auto"/>
              <w:right w:val="single" w:sz="8" w:space="0" w:color="auto"/>
            </w:tcBorders>
            <w:vAlign w:val="center"/>
            <w:hideMark/>
          </w:tcPr>
          <w:p w14:paraId="437062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5,68</w:t>
            </w:r>
          </w:p>
        </w:tc>
        <w:tc>
          <w:tcPr>
            <w:tcW w:w="1271" w:type="dxa"/>
            <w:tcBorders>
              <w:top w:val="nil"/>
              <w:left w:val="nil"/>
              <w:bottom w:val="single" w:sz="8" w:space="0" w:color="auto"/>
              <w:right w:val="single" w:sz="8" w:space="0" w:color="auto"/>
            </w:tcBorders>
            <w:vAlign w:val="center"/>
            <w:hideMark/>
          </w:tcPr>
          <w:p w14:paraId="498F74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90" w:type="dxa"/>
            <w:tcBorders>
              <w:top w:val="nil"/>
              <w:left w:val="nil"/>
              <w:bottom w:val="single" w:sz="8" w:space="0" w:color="auto"/>
              <w:right w:val="single" w:sz="8" w:space="0" w:color="auto"/>
            </w:tcBorders>
            <w:vAlign w:val="center"/>
            <w:hideMark/>
          </w:tcPr>
          <w:p w14:paraId="1F7E46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25,97</w:t>
            </w:r>
          </w:p>
        </w:tc>
        <w:tc>
          <w:tcPr>
            <w:tcW w:w="1099" w:type="dxa"/>
            <w:tcBorders>
              <w:top w:val="nil"/>
              <w:left w:val="nil"/>
              <w:bottom w:val="single" w:sz="8" w:space="0" w:color="auto"/>
              <w:right w:val="single" w:sz="8" w:space="0" w:color="auto"/>
            </w:tcBorders>
            <w:vAlign w:val="center"/>
            <w:hideMark/>
          </w:tcPr>
          <w:p w14:paraId="4A5C21C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1.677.846</w:t>
            </w:r>
          </w:p>
        </w:tc>
        <w:tc>
          <w:tcPr>
            <w:tcW w:w="1100" w:type="dxa"/>
            <w:tcBorders>
              <w:top w:val="nil"/>
              <w:left w:val="nil"/>
              <w:bottom w:val="single" w:sz="8" w:space="0" w:color="auto"/>
              <w:right w:val="single" w:sz="8" w:space="0" w:color="auto"/>
            </w:tcBorders>
            <w:vAlign w:val="center"/>
            <w:hideMark/>
          </w:tcPr>
          <w:p w14:paraId="4B8800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c>
          <w:tcPr>
            <w:tcW w:w="1100" w:type="dxa"/>
            <w:tcBorders>
              <w:top w:val="nil"/>
              <w:left w:val="nil"/>
              <w:bottom w:val="single" w:sz="8" w:space="0" w:color="auto"/>
              <w:right w:val="single" w:sz="8" w:space="0" w:color="auto"/>
            </w:tcBorders>
            <w:vAlign w:val="center"/>
            <w:hideMark/>
          </w:tcPr>
          <w:p w14:paraId="3B7E32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r>
      <w:tr w:rsidR="008468B3" w:rsidRPr="008468B3" w14:paraId="19248BF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916F03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919" w:type="dxa"/>
            <w:tcBorders>
              <w:top w:val="nil"/>
              <w:left w:val="nil"/>
              <w:bottom w:val="single" w:sz="8" w:space="0" w:color="auto"/>
              <w:right w:val="single" w:sz="8" w:space="0" w:color="auto"/>
            </w:tcBorders>
            <w:shd w:val="clear" w:color="000000" w:fill="FFFFFF"/>
            <w:vAlign w:val="center"/>
            <w:hideMark/>
          </w:tcPr>
          <w:p w14:paraId="500ACFE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GLOBAL ASTI S.A.S</w:t>
            </w:r>
          </w:p>
        </w:tc>
        <w:tc>
          <w:tcPr>
            <w:tcW w:w="817" w:type="dxa"/>
            <w:tcBorders>
              <w:top w:val="nil"/>
              <w:left w:val="nil"/>
              <w:bottom w:val="single" w:sz="8" w:space="0" w:color="auto"/>
              <w:right w:val="single" w:sz="8" w:space="0" w:color="auto"/>
            </w:tcBorders>
            <w:shd w:val="clear" w:color="000000" w:fill="FFFFFF"/>
            <w:vAlign w:val="center"/>
            <w:hideMark/>
          </w:tcPr>
          <w:p w14:paraId="49D62A1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3,20</w:t>
            </w:r>
          </w:p>
        </w:tc>
        <w:tc>
          <w:tcPr>
            <w:tcW w:w="1271" w:type="dxa"/>
            <w:tcBorders>
              <w:top w:val="nil"/>
              <w:left w:val="nil"/>
              <w:bottom w:val="single" w:sz="8" w:space="0" w:color="auto"/>
              <w:right w:val="single" w:sz="8" w:space="0" w:color="auto"/>
            </w:tcBorders>
            <w:shd w:val="clear" w:color="000000" w:fill="FFFFFF"/>
            <w:vAlign w:val="center"/>
            <w:hideMark/>
          </w:tcPr>
          <w:p w14:paraId="381A243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w:t>
            </w:r>
          </w:p>
        </w:tc>
        <w:tc>
          <w:tcPr>
            <w:tcW w:w="1190" w:type="dxa"/>
            <w:tcBorders>
              <w:top w:val="nil"/>
              <w:left w:val="nil"/>
              <w:bottom w:val="single" w:sz="8" w:space="0" w:color="auto"/>
              <w:right w:val="single" w:sz="8" w:space="0" w:color="auto"/>
            </w:tcBorders>
            <w:vAlign w:val="center"/>
            <w:hideMark/>
          </w:tcPr>
          <w:p w14:paraId="5DEBA2E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1,22</w:t>
            </w:r>
          </w:p>
        </w:tc>
        <w:tc>
          <w:tcPr>
            <w:tcW w:w="1099" w:type="dxa"/>
            <w:tcBorders>
              <w:top w:val="nil"/>
              <w:left w:val="nil"/>
              <w:bottom w:val="single" w:sz="8" w:space="0" w:color="auto"/>
              <w:right w:val="single" w:sz="8" w:space="0" w:color="auto"/>
            </w:tcBorders>
            <w:vAlign w:val="center"/>
            <w:hideMark/>
          </w:tcPr>
          <w:p w14:paraId="33D6353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3.577.533</w:t>
            </w:r>
          </w:p>
        </w:tc>
        <w:tc>
          <w:tcPr>
            <w:tcW w:w="1100" w:type="dxa"/>
            <w:tcBorders>
              <w:top w:val="nil"/>
              <w:left w:val="nil"/>
              <w:bottom w:val="single" w:sz="8" w:space="0" w:color="auto"/>
              <w:right w:val="single" w:sz="8" w:space="0" w:color="auto"/>
            </w:tcBorders>
            <w:shd w:val="clear" w:color="000000" w:fill="FFFFFF"/>
            <w:vAlign w:val="center"/>
            <w:hideMark/>
          </w:tcPr>
          <w:p w14:paraId="3BC548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shd w:val="clear" w:color="000000" w:fill="FFFFFF"/>
            <w:vAlign w:val="center"/>
            <w:hideMark/>
          </w:tcPr>
          <w:p w14:paraId="1A7BC4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1B0B488E"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A1B405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919" w:type="dxa"/>
            <w:tcBorders>
              <w:top w:val="nil"/>
              <w:left w:val="nil"/>
              <w:bottom w:val="single" w:sz="8" w:space="0" w:color="auto"/>
              <w:right w:val="single" w:sz="8" w:space="0" w:color="auto"/>
            </w:tcBorders>
            <w:vAlign w:val="center"/>
            <w:hideMark/>
          </w:tcPr>
          <w:p w14:paraId="7280958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HHL INGENIEROS SAS</w:t>
            </w:r>
          </w:p>
        </w:tc>
        <w:tc>
          <w:tcPr>
            <w:tcW w:w="817" w:type="dxa"/>
            <w:tcBorders>
              <w:top w:val="nil"/>
              <w:left w:val="nil"/>
              <w:bottom w:val="single" w:sz="8" w:space="0" w:color="auto"/>
              <w:right w:val="single" w:sz="8" w:space="0" w:color="auto"/>
            </w:tcBorders>
            <w:vAlign w:val="center"/>
            <w:hideMark/>
          </w:tcPr>
          <w:p w14:paraId="49F679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w:t>
            </w:r>
          </w:p>
        </w:tc>
        <w:tc>
          <w:tcPr>
            <w:tcW w:w="1271" w:type="dxa"/>
            <w:tcBorders>
              <w:top w:val="nil"/>
              <w:left w:val="nil"/>
              <w:bottom w:val="single" w:sz="8" w:space="0" w:color="auto"/>
              <w:right w:val="single" w:sz="8" w:space="0" w:color="auto"/>
            </w:tcBorders>
            <w:vAlign w:val="center"/>
            <w:hideMark/>
          </w:tcPr>
          <w:p w14:paraId="0F9182F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90" w:type="dxa"/>
            <w:tcBorders>
              <w:top w:val="nil"/>
              <w:left w:val="nil"/>
              <w:bottom w:val="single" w:sz="8" w:space="0" w:color="auto"/>
              <w:right w:val="single" w:sz="8" w:space="0" w:color="auto"/>
            </w:tcBorders>
            <w:vAlign w:val="center"/>
            <w:hideMark/>
          </w:tcPr>
          <w:p w14:paraId="5C59018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7,08</w:t>
            </w:r>
          </w:p>
        </w:tc>
        <w:tc>
          <w:tcPr>
            <w:tcW w:w="1099" w:type="dxa"/>
            <w:tcBorders>
              <w:top w:val="nil"/>
              <w:left w:val="nil"/>
              <w:bottom w:val="single" w:sz="8" w:space="0" w:color="auto"/>
              <w:right w:val="single" w:sz="8" w:space="0" w:color="auto"/>
            </w:tcBorders>
            <w:vAlign w:val="center"/>
            <w:hideMark/>
          </w:tcPr>
          <w:p w14:paraId="5D9BCDA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3.556.189</w:t>
            </w:r>
          </w:p>
        </w:tc>
        <w:tc>
          <w:tcPr>
            <w:tcW w:w="1100" w:type="dxa"/>
            <w:tcBorders>
              <w:top w:val="nil"/>
              <w:left w:val="nil"/>
              <w:bottom w:val="single" w:sz="8" w:space="0" w:color="auto"/>
              <w:right w:val="single" w:sz="8" w:space="0" w:color="auto"/>
            </w:tcBorders>
            <w:vAlign w:val="center"/>
            <w:hideMark/>
          </w:tcPr>
          <w:p w14:paraId="3D2CD8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7C7120F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67D18DB"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AEB1D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919" w:type="dxa"/>
            <w:tcBorders>
              <w:top w:val="nil"/>
              <w:left w:val="nil"/>
              <w:bottom w:val="single" w:sz="8" w:space="0" w:color="auto"/>
              <w:right w:val="single" w:sz="8" w:space="0" w:color="auto"/>
            </w:tcBorders>
            <w:vAlign w:val="center"/>
            <w:hideMark/>
          </w:tcPr>
          <w:p w14:paraId="48D2785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INGEARCO Y CIA S.A.S.</w:t>
            </w:r>
          </w:p>
        </w:tc>
        <w:tc>
          <w:tcPr>
            <w:tcW w:w="817" w:type="dxa"/>
            <w:tcBorders>
              <w:top w:val="nil"/>
              <w:left w:val="nil"/>
              <w:bottom w:val="single" w:sz="8" w:space="0" w:color="auto"/>
              <w:right w:val="single" w:sz="8" w:space="0" w:color="auto"/>
            </w:tcBorders>
            <w:vAlign w:val="center"/>
            <w:hideMark/>
          </w:tcPr>
          <w:p w14:paraId="4D5E74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1,94</w:t>
            </w:r>
          </w:p>
        </w:tc>
        <w:tc>
          <w:tcPr>
            <w:tcW w:w="1271" w:type="dxa"/>
            <w:tcBorders>
              <w:top w:val="nil"/>
              <w:left w:val="nil"/>
              <w:bottom w:val="single" w:sz="8" w:space="0" w:color="auto"/>
              <w:right w:val="single" w:sz="8" w:space="0" w:color="auto"/>
            </w:tcBorders>
            <w:vAlign w:val="center"/>
            <w:hideMark/>
          </w:tcPr>
          <w:p w14:paraId="3BB19B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w:t>
            </w:r>
          </w:p>
        </w:tc>
        <w:tc>
          <w:tcPr>
            <w:tcW w:w="1190" w:type="dxa"/>
            <w:tcBorders>
              <w:top w:val="nil"/>
              <w:left w:val="nil"/>
              <w:bottom w:val="single" w:sz="8" w:space="0" w:color="auto"/>
              <w:right w:val="single" w:sz="8" w:space="0" w:color="auto"/>
            </w:tcBorders>
            <w:vAlign w:val="center"/>
            <w:hideMark/>
          </w:tcPr>
          <w:p w14:paraId="27A76E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D4F4DE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7.687.629</w:t>
            </w:r>
          </w:p>
        </w:tc>
        <w:tc>
          <w:tcPr>
            <w:tcW w:w="1100" w:type="dxa"/>
            <w:tcBorders>
              <w:top w:val="nil"/>
              <w:left w:val="nil"/>
              <w:bottom w:val="single" w:sz="8" w:space="0" w:color="auto"/>
              <w:right w:val="single" w:sz="8" w:space="0" w:color="auto"/>
            </w:tcBorders>
            <w:vAlign w:val="center"/>
            <w:hideMark/>
          </w:tcPr>
          <w:p w14:paraId="466D69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6E64A7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69FD789D"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82F3F6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c>
          <w:tcPr>
            <w:tcW w:w="1919" w:type="dxa"/>
            <w:tcBorders>
              <w:top w:val="nil"/>
              <w:left w:val="nil"/>
              <w:bottom w:val="single" w:sz="8" w:space="0" w:color="auto"/>
              <w:right w:val="single" w:sz="8" w:space="0" w:color="auto"/>
            </w:tcBorders>
            <w:vAlign w:val="center"/>
            <w:hideMark/>
          </w:tcPr>
          <w:p w14:paraId="37A14FC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MONTAJES Y SERVICIOS DE INGENIERIA SAS</w:t>
            </w:r>
          </w:p>
        </w:tc>
        <w:tc>
          <w:tcPr>
            <w:tcW w:w="817" w:type="dxa"/>
            <w:tcBorders>
              <w:top w:val="nil"/>
              <w:left w:val="nil"/>
              <w:bottom w:val="single" w:sz="8" w:space="0" w:color="auto"/>
              <w:right w:val="single" w:sz="8" w:space="0" w:color="auto"/>
            </w:tcBorders>
            <w:vAlign w:val="center"/>
            <w:hideMark/>
          </w:tcPr>
          <w:p w14:paraId="427F5A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6,50</w:t>
            </w:r>
          </w:p>
        </w:tc>
        <w:tc>
          <w:tcPr>
            <w:tcW w:w="1271" w:type="dxa"/>
            <w:tcBorders>
              <w:top w:val="nil"/>
              <w:left w:val="nil"/>
              <w:bottom w:val="single" w:sz="8" w:space="0" w:color="auto"/>
              <w:right w:val="single" w:sz="8" w:space="0" w:color="auto"/>
            </w:tcBorders>
            <w:vAlign w:val="center"/>
            <w:hideMark/>
          </w:tcPr>
          <w:p w14:paraId="2ABD7B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90" w:type="dxa"/>
            <w:tcBorders>
              <w:top w:val="nil"/>
              <w:left w:val="nil"/>
              <w:bottom w:val="single" w:sz="8" w:space="0" w:color="auto"/>
              <w:right w:val="single" w:sz="8" w:space="0" w:color="auto"/>
            </w:tcBorders>
            <w:vAlign w:val="center"/>
            <w:hideMark/>
          </w:tcPr>
          <w:p w14:paraId="422EADD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2,86</w:t>
            </w:r>
          </w:p>
        </w:tc>
        <w:tc>
          <w:tcPr>
            <w:tcW w:w="1099" w:type="dxa"/>
            <w:tcBorders>
              <w:top w:val="nil"/>
              <w:left w:val="nil"/>
              <w:bottom w:val="single" w:sz="8" w:space="0" w:color="auto"/>
              <w:right w:val="single" w:sz="8" w:space="0" w:color="auto"/>
            </w:tcBorders>
            <w:vAlign w:val="center"/>
            <w:hideMark/>
          </w:tcPr>
          <w:p w14:paraId="13D06F5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9.066.210</w:t>
            </w:r>
          </w:p>
        </w:tc>
        <w:tc>
          <w:tcPr>
            <w:tcW w:w="1100" w:type="dxa"/>
            <w:tcBorders>
              <w:top w:val="nil"/>
              <w:left w:val="nil"/>
              <w:bottom w:val="single" w:sz="8" w:space="0" w:color="auto"/>
              <w:right w:val="single" w:sz="8" w:space="0" w:color="auto"/>
            </w:tcBorders>
            <w:vAlign w:val="center"/>
            <w:hideMark/>
          </w:tcPr>
          <w:p w14:paraId="3E4C53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111B93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37387EE0"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3C0909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919" w:type="dxa"/>
            <w:tcBorders>
              <w:top w:val="nil"/>
              <w:left w:val="nil"/>
              <w:bottom w:val="single" w:sz="8" w:space="0" w:color="auto"/>
              <w:right w:val="single" w:sz="8" w:space="0" w:color="auto"/>
            </w:tcBorders>
            <w:vAlign w:val="center"/>
            <w:hideMark/>
          </w:tcPr>
          <w:p w14:paraId="41B5FEB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SERVICIOS DE ENERGIA Y TELECOMUNICACIONES S.A.S.</w:t>
            </w:r>
          </w:p>
        </w:tc>
        <w:tc>
          <w:tcPr>
            <w:tcW w:w="817" w:type="dxa"/>
            <w:tcBorders>
              <w:top w:val="nil"/>
              <w:left w:val="nil"/>
              <w:bottom w:val="single" w:sz="8" w:space="0" w:color="auto"/>
              <w:right w:val="single" w:sz="8" w:space="0" w:color="auto"/>
            </w:tcBorders>
            <w:vAlign w:val="center"/>
            <w:hideMark/>
          </w:tcPr>
          <w:p w14:paraId="7DF9EAC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2,30</w:t>
            </w:r>
          </w:p>
        </w:tc>
        <w:tc>
          <w:tcPr>
            <w:tcW w:w="1271" w:type="dxa"/>
            <w:tcBorders>
              <w:top w:val="nil"/>
              <w:left w:val="nil"/>
              <w:bottom w:val="single" w:sz="8" w:space="0" w:color="auto"/>
              <w:right w:val="single" w:sz="8" w:space="0" w:color="auto"/>
            </w:tcBorders>
            <w:vAlign w:val="center"/>
            <w:hideMark/>
          </w:tcPr>
          <w:p w14:paraId="77B1B4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w:t>
            </w:r>
          </w:p>
        </w:tc>
        <w:tc>
          <w:tcPr>
            <w:tcW w:w="1190" w:type="dxa"/>
            <w:tcBorders>
              <w:top w:val="nil"/>
              <w:left w:val="nil"/>
              <w:bottom w:val="single" w:sz="8" w:space="0" w:color="auto"/>
              <w:right w:val="single" w:sz="8" w:space="0" w:color="auto"/>
            </w:tcBorders>
            <w:vAlign w:val="center"/>
            <w:hideMark/>
          </w:tcPr>
          <w:p w14:paraId="7761DB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2,89</w:t>
            </w:r>
          </w:p>
        </w:tc>
        <w:tc>
          <w:tcPr>
            <w:tcW w:w="1099" w:type="dxa"/>
            <w:tcBorders>
              <w:top w:val="nil"/>
              <w:left w:val="nil"/>
              <w:bottom w:val="single" w:sz="8" w:space="0" w:color="auto"/>
              <w:right w:val="single" w:sz="8" w:space="0" w:color="auto"/>
            </w:tcBorders>
            <w:vAlign w:val="center"/>
            <w:hideMark/>
          </w:tcPr>
          <w:p w14:paraId="002CF8D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5.480.495</w:t>
            </w:r>
          </w:p>
        </w:tc>
        <w:tc>
          <w:tcPr>
            <w:tcW w:w="1100" w:type="dxa"/>
            <w:tcBorders>
              <w:top w:val="nil"/>
              <w:left w:val="nil"/>
              <w:bottom w:val="single" w:sz="8" w:space="0" w:color="auto"/>
              <w:right w:val="single" w:sz="8" w:space="0" w:color="auto"/>
            </w:tcBorders>
            <w:vAlign w:val="center"/>
            <w:hideMark/>
          </w:tcPr>
          <w:p w14:paraId="585301C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03783F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58FF585D"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D6817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919" w:type="dxa"/>
            <w:tcBorders>
              <w:top w:val="nil"/>
              <w:left w:val="nil"/>
              <w:bottom w:val="single" w:sz="8" w:space="0" w:color="auto"/>
              <w:right w:val="single" w:sz="8" w:space="0" w:color="auto"/>
            </w:tcBorders>
            <w:vAlign w:val="center"/>
            <w:hideMark/>
          </w:tcPr>
          <w:p w14:paraId="6D66687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MORALES &amp; ESCORCIA INGENIERIA SAS</w:t>
            </w:r>
          </w:p>
        </w:tc>
        <w:tc>
          <w:tcPr>
            <w:tcW w:w="817" w:type="dxa"/>
            <w:tcBorders>
              <w:top w:val="nil"/>
              <w:left w:val="nil"/>
              <w:bottom w:val="single" w:sz="8" w:space="0" w:color="auto"/>
              <w:right w:val="single" w:sz="8" w:space="0" w:color="auto"/>
            </w:tcBorders>
            <w:vAlign w:val="center"/>
            <w:hideMark/>
          </w:tcPr>
          <w:p w14:paraId="0CC393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4,45</w:t>
            </w:r>
          </w:p>
        </w:tc>
        <w:tc>
          <w:tcPr>
            <w:tcW w:w="1271" w:type="dxa"/>
            <w:tcBorders>
              <w:top w:val="nil"/>
              <w:left w:val="nil"/>
              <w:bottom w:val="single" w:sz="8" w:space="0" w:color="auto"/>
              <w:right w:val="single" w:sz="8" w:space="0" w:color="auto"/>
            </w:tcBorders>
            <w:vAlign w:val="center"/>
            <w:hideMark/>
          </w:tcPr>
          <w:p w14:paraId="45EFF5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90" w:type="dxa"/>
            <w:tcBorders>
              <w:top w:val="nil"/>
              <w:left w:val="nil"/>
              <w:bottom w:val="single" w:sz="8" w:space="0" w:color="auto"/>
              <w:right w:val="single" w:sz="8" w:space="0" w:color="auto"/>
            </w:tcBorders>
            <w:vAlign w:val="center"/>
            <w:hideMark/>
          </w:tcPr>
          <w:p w14:paraId="219A2B4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4,01</w:t>
            </w:r>
          </w:p>
        </w:tc>
        <w:tc>
          <w:tcPr>
            <w:tcW w:w="1099" w:type="dxa"/>
            <w:tcBorders>
              <w:top w:val="nil"/>
              <w:left w:val="nil"/>
              <w:bottom w:val="single" w:sz="8" w:space="0" w:color="auto"/>
              <w:right w:val="single" w:sz="8" w:space="0" w:color="auto"/>
            </w:tcBorders>
            <w:vAlign w:val="center"/>
            <w:hideMark/>
          </w:tcPr>
          <w:p w14:paraId="327A236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2.800.040</w:t>
            </w:r>
          </w:p>
        </w:tc>
        <w:tc>
          <w:tcPr>
            <w:tcW w:w="1100" w:type="dxa"/>
            <w:tcBorders>
              <w:top w:val="nil"/>
              <w:left w:val="nil"/>
              <w:bottom w:val="single" w:sz="8" w:space="0" w:color="auto"/>
              <w:right w:val="single" w:sz="8" w:space="0" w:color="auto"/>
            </w:tcBorders>
            <w:vAlign w:val="center"/>
            <w:hideMark/>
          </w:tcPr>
          <w:p w14:paraId="12ADB2A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2CABE1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666977BC"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56EDBF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919" w:type="dxa"/>
            <w:tcBorders>
              <w:top w:val="nil"/>
              <w:left w:val="nil"/>
              <w:bottom w:val="single" w:sz="8" w:space="0" w:color="auto"/>
              <w:right w:val="single" w:sz="8" w:space="0" w:color="auto"/>
            </w:tcBorders>
            <w:vAlign w:val="center"/>
            <w:hideMark/>
          </w:tcPr>
          <w:p w14:paraId="79DF2C2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PROYMETAL SA</w:t>
            </w:r>
          </w:p>
        </w:tc>
        <w:tc>
          <w:tcPr>
            <w:tcW w:w="817" w:type="dxa"/>
            <w:tcBorders>
              <w:top w:val="nil"/>
              <w:left w:val="nil"/>
              <w:bottom w:val="single" w:sz="8" w:space="0" w:color="auto"/>
              <w:right w:val="single" w:sz="8" w:space="0" w:color="auto"/>
            </w:tcBorders>
            <w:vAlign w:val="center"/>
            <w:hideMark/>
          </w:tcPr>
          <w:p w14:paraId="01ADF2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2,22</w:t>
            </w:r>
          </w:p>
        </w:tc>
        <w:tc>
          <w:tcPr>
            <w:tcW w:w="1271" w:type="dxa"/>
            <w:tcBorders>
              <w:top w:val="nil"/>
              <w:left w:val="nil"/>
              <w:bottom w:val="single" w:sz="8" w:space="0" w:color="auto"/>
              <w:right w:val="single" w:sz="8" w:space="0" w:color="auto"/>
            </w:tcBorders>
            <w:vAlign w:val="center"/>
            <w:hideMark/>
          </w:tcPr>
          <w:p w14:paraId="0936DE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190" w:type="dxa"/>
            <w:tcBorders>
              <w:top w:val="nil"/>
              <w:left w:val="nil"/>
              <w:bottom w:val="single" w:sz="8" w:space="0" w:color="auto"/>
              <w:right w:val="single" w:sz="8" w:space="0" w:color="auto"/>
            </w:tcBorders>
            <w:vAlign w:val="center"/>
            <w:hideMark/>
          </w:tcPr>
          <w:p w14:paraId="1903C2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1,62</w:t>
            </w:r>
          </w:p>
        </w:tc>
        <w:tc>
          <w:tcPr>
            <w:tcW w:w="1099" w:type="dxa"/>
            <w:tcBorders>
              <w:top w:val="nil"/>
              <w:left w:val="nil"/>
              <w:bottom w:val="single" w:sz="8" w:space="0" w:color="auto"/>
              <w:right w:val="single" w:sz="8" w:space="0" w:color="auto"/>
            </w:tcBorders>
            <w:vAlign w:val="center"/>
            <w:hideMark/>
          </w:tcPr>
          <w:p w14:paraId="404D6B7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6.297.022</w:t>
            </w:r>
          </w:p>
        </w:tc>
        <w:tc>
          <w:tcPr>
            <w:tcW w:w="1100" w:type="dxa"/>
            <w:tcBorders>
              <w:top w:val="nil"/>
              <w:left w:val="nil"/>
              <w:bottom w:val="single" w:sz="8" w:space="0" w:color="auto"/>
              <w:right w:val="single" w:sz="8" w:space="0" w:color="auto"/>
            </w:tcBorders>
            <w:vAlign w:val="center"/>
            <w:hideMark/>
          </w:tcPr>
          <w:p w14:paraId="751FD9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00" w:type="dxa"/>
            <w:tcBorders>
              <w:top w:val="nil"/>
              <w:left w:val="nil"/>
              <w:bottom w:val="single" w:sz="8" w:space="0" w:color="auto"/>
              <w:right w:val="single" w:sz="8" w:space="0" w:color="auto"/>
            </w:tcBorders>
            <w:vAlign w:val="center"/>
            <w:hideMark/>
          </w:tcPr>
          <w:p w14:paraId="61E342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21B2450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7235C0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w:t>
            </w:r>
          </w:p>
        </w:tc>
        <w:tc>
          <w:tcPr>
            <w:tcW w:w="1919" w:type="dxa"/>
            <w:tcBorders>
              <w:top w:val="nil"/>
              <w:left w:val="nil"/>
              <w:bottom w:val="single" w:sz="8" w:space="0" w:color="auto"/>
              <w:right w:val="single" w:sz="8" w:space="0" w:color="auto"/>
            </w:tcBorders>
            <w:vAlign w:val="center"/>
            <w:hideMark/>
          </w:tcPr>
          <w:p w14:paraId="228E9EF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S&amp;T INGENIERIA Y CONSULTORIA S.A.S.</w:t>
            </w:r>
          </w:p>
        </w:tc>
        <w:tc>
          <w:tcPr>
            <w:tcW w:w="817" w:type="dxa"/>
            <w:tcBorders>
              <w:top w:val="nil"/>
              <w:left w:val="nil"/>
              <w:bottom w:val="single" w:sz="8" w:space="0" w:color="auto"/>
              <w:right w:val="single" w:sz="8" w:space="0" w:color="auto"/>
            </w:tcBorders>
            <w:vAlign w:val="center"/>
            <w:hideMark/>
          </w:tcPr>
          <w:p w14:paraId="5475072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2,05</w:t>
            </w:r>
          </w:p>
        </w:tc>
        <w:tc>
          <w:tcPr>
            <w:tcW w:w="1271" w:type="dxa"/>
            <w:tcBorders>
              <w:top w:val="nil"/>
              <w:left w:val="nil"/>
              <w:bottom w:val="single" w:sz="8" w:space="0" w:color="auto"/>
              <w:right w:val="single" w:sz="8" w:space="0" w:color="auto"/>
            </w:tcBorders>
            <w:vAlign w:val="center"/>
            <w:hideMark/>
          </w:tcPr>
          <w:p w14:paraId="28A131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4B0600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7,62</w:t>
            </w:r>
          </w:p>
        </w:tc>
        <w:tc>
          <w:tcPr>
            <w:tcW w:w="1099" w:type="dxa"/>
            <w:tcBorders>
              <w:top w:val="nil"/>
              <w:left w:val="nil"/>
              <w:bottom w:val="single" w:sz="8" w:space="0" w:color="auto"/>
              <w:right w:val="single" w:sz="8" w:space="0" w:color="auto"/>
            </w:tcBorders>
            <w:vAlign w:val="center"/>
            <w:hideMark/>
          </w:tcPr>
          <w:p w14:paraId="40531A0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5.188.792</w:t>
            </w:r>
          </w:p>
        </w:tc>
        <w:tc>
          <w:tcPr>
            <w:tcW w:w="1100" w:type="dxa"/>
            <w:tcBorders>
              <w:top w:val="nil"/>
              <w:left w:val="nil"/>
              <w:bottom w:val="single" w:sz="8" w:space="0" w:color="auto"/>
              <w:right w:val="single" w:sz="8" w:space="0" w:color="auto"/>
            </w:tcBorders>
            <w:vAlign w:val="center"/>
            <w:hideMark/>
          </w:tcPr>
          <w:p w14:paraId="4F1A23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38D0149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226BFD9A"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F0E56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919" w:type="dxa"/>
            <w:tcBorders>
              <w:top w:val="nil"/>
              <w:left w:val="nil"/>
              <w:bottom w:val="single" w:sz="8" w:space="0" w:color="auto"/>
              <w:right w:val="single" w:sz="8" w:space="0" w:color="auto"/>
            </w:tcBorders>
            <w:vAlign w:val="center"/>
            <w:hideMark/>
          </w:tcPr>
          <w:p w14:paraId="7413F23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 POBLADO S.A.S.</w:t>
            </w:r>
          </w:p>
        </w:tc>
        <w:tc>
          <w:tcPr>
            <w:tcW w:w="817" w:type="dxa"/>
            <w:tcBorders>
              <w:top w:val="nil"/>
              <w:left w:val="nil"/>
              <w:bottom w:val="single" w:sz="8" w:space="0" w:color="auto"/>
              <w:right w:val="single" w:sz="8" w:space="0" w:color="auto"/>
            </w:tcBorders>
            <w:vAlign w:val="center"/>
            <w:hideMark/>
          </w:tcPr>
          <w:p w14:paraId="3C3F3B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9,96</w:t>
            </w:r>
          </w:p>
        </w:tc>
        <w:tc>
          <w:tcPr>
            <w:tcW w:w="1271" w:type="dxa"/>
            <w:tcBorders>
              <w:top w:val="nil"/>
              <w:left w:val="nil"/>
              <w:bottom w:val="single" w:sz="8" w:space="0" w:color="auto"/>
              <w:right w:val="single" w:sz="8" w:space="0" w:color="auto"/>
            </w:tcBorders>
            <w:vAlign w:val="center"/>
            <w:hideMark/>
          </w:tcPr>
          <w:p w14:paraId="60E55C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w:t>
            </w:r>
          </w:p>
        </w:tc>
        <w:tc>
          <w:tcPr>
            <w:tcW w:w="1190" w:type="dxa"/>
            <w:tcBorders>
              <w:top w:val="nil"/>
              <w:left w:val="nil"/>
              <w:bottom w:val="single" w:sz="8" w:space="0" w:color="auto"/>
              <w:right w:val="single" w:sz="8" w:space="0" w:color="auto"/>
            </w:tcBorders>
            <w:vAlign w:val="center"/>
            <w:hideMark/>
          </w:tcPr>
          <w:p w14:paraId="5A24C7B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00F4CC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114.103.286</w:t>
            </w:r>
          </w:p>
        </w:tc>
        <w:tc>
          <w:tcPr>
            <w:tcW w:w="1100" w:type="dxa"/>
            <w:tcBorders>
              <w:top w:val="nil"/>
              <w:left w:val="nil"/>
              <w:bottom w:val="single" w:sz="8" w:space="0" w:color="auto"/>
              <w:right w:val="single" w:sz="8" w:space="0" w:color="auto"/>
            </w:tcBorders>
            <w:vAlign w:val="center"/>
            <w:hideMark/>
          </w:tcPr>
          <w:p w14:paraId="7601C4E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3CEB1A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661093FD"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3ECB5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w:t>
            </w:r>
          </w:p>
        </w:tc>
        <w:tc>
          <w:tcPr>
            <w:tcW w:w="1919" w:type="dxa"/>
            <w:tcBorders>
              <w:top w:val="nil"/>
              <w:left w:val="nil"/>
              <w:bottom w:val="single" w:sz="8" w:space="0" w:color="auto"/>
              <w:right w:val="single" w:sz="8" w:space="0" w:color="auto"/>
            </w:tcBorders>
            <w:vAlign w:val="center"/>
            <w:hideMark/>
          </w:tcPr>
          <w:p w14:paraId="4B0507B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SOLUCIONES INTEGRALES DE PROYECTOS SISPRO SAS</w:t>
            </w:r>
          </w:p>
        </w:tc>
        <w:tc>
          <w:tcPr>
            <w:tcW w:w="817" w:type="dxa"/>
            <w:tcBorders>
              <w:top w:val="nil"/>
              <w:left w:val="nil"/>
              <w:bottom w:val="single" w:sz="8" w:space="0" w:color="auto"/>
              <w:right w:val="single" w:sz="8" w:space="0" w:color="auto"/>
            </w:tcBorders>
            <w:vAlign w:val="center"/>
            <w:hideMark/>
          </w:tcPr>
          <w:p w14:paraId="1B062B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7,52</w:t>
            </w:r>
          </w:p>
        </w:tc>
        <w:tc>
          <w:tcPr>
            <w:tcW w:w="1271" w:type="dxa"/>
            <w:tcBorders>
              <w:top w:val="nil"/>
              <w:left w:val="nil"/>
              <w:bottom w:val="single" w:sz="8" w:space="0" w:color="auto"/>
              <w:right w:val="single" w:sz="8" w:space="0" w:color="auto"/>
            </w:tcBorders>
            <w:vAlign w:val="center"/>
            <w:hideMark/>
          </w:tcPr>
          <w:p w14:paraId="56CF4C1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w:t>
            </w:r>
          </w:p>
        </w:tc>
        <w:tc>
          <w:tcPr>
            <w:tcW w:w="1190" w:type="dxa"/>
            <w:tcBorders>
              <w:top w:val="nil"/>
              <w:left w:val="nil"/>
              <w:bottom w:val="single" w:sz="8" w:space="0" w:color="auto"/>
              <w:right w:val="single" w:sz="8" w:space="0" w:color="auto"/>
            </w:tcBorders>
            <w:vAlign w:val="center"/>
            <w:hideMark/>
          </w:tcPr>
          <w:p w14:paraId="69A786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40,93</w:t>
            </w:r>
          </w:p>
        </w:tc>
        <w:tc>
          <w:tcPr>
            <w:tcW w:w="1099" w:type="dxa"/>
            <w:tcBorders>
              <w:top w:val="nil"/>
              <w:left w:val="nil"/>
              <w:bottom w:val="single" w:sz="8" w:space="0" w:color="auto"/>
              <w:right w:val="single" w:sz="8" w:space="0" w:color="auto"/>
            </w:tcBorders>
            <w:vAlign w:val="center"/>
            <w:hideMark/>
          </w:tcPr>
          <w:p w14:paraId="5ACF275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4.128.698</w:t>
            </w:r>
          </w:p>
        </w:tc>
        <w:tc>
          <w:tcPr>
            <w:tcW w:w="1100" w:type="dxa"/>
            <w:tcBorders>
              <w:top w:val="nil"/>
              <w:left w:val="nil"/>
              <w:bottom w:val="single" w:sz="8" w:space="0" w:color="auto"/>
              <w:right w:val="single" w:sz="8" w:space="0" w:color="auto"/>
            </w:tcBorders>
            <w:vAlign w:val="center"/>
            <w:hideMark/>
          </w:tcPr>
          <w:p w14:paraId="58254DC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00" w:type="dxa"/>
            <w:tcBorders>
              <w:top w:val="nil"/>
              <w:left w:val="nil"/>
              <w:bottom w:val="single" w:sz="8" w:space="0" w:color="auto"/>
              <w:right w:val="single" w:sz="8" w:space="0" w:color="auto"/>
            </w:tcBorders>
            <w:vAlign w:val="center"/>
            <w:hideMark/>
          </w:tcPr>
          <w:p w14:paraId="2A24EF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3B2BE7DC"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250A4F2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w:t>
            </w:r>
          </w:p>
        </w:tc>
        <w:tc>
          <w:tcPr>
            <w:tcW w:w="1919" w:type="dxa"/>
            <w:tcBorders>
              <w:top w:val="nil"/>
              <w:left w:val="nil"/>
              <w:bottom w:val="single" w:sz="8" w:space="0" w:color="auto"/>
              <w:right w:val="single" w:sz="8" w:space="0" w:color="auto"/>
            </w:tcBorders>
            <w:vAlign w:val="center"/>
            <w:hideMark/>
          </w:tcPr>
          <w:p w14:paraId="178BDA9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PROYINARQ SAS</w:t>
            </w:r>
          </w:p>
        </w:tc>
        <w:tc>
          <w:tcPr>
            <w:tcW w:w="817" w:type="dxa"/>
            <w:tcBorders>
              <w:top w:val="nil"/>
              <w:left w:val="nil"/>
              <w:bottom w:val="single" w:sz="8" w:space="0" w:color="auto"/>
              <w:right w:val="single" w:sz="8" w:space="0" w:color="auto"/>
            </w:tcBorders>
            <w:vAlign w:val="center"/>
            <w:hideMark/>
          </w:tcPr>
          <w:p w14:paraId="6B4CE47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3,54</w:t>
            </w:r>
          </w:p>
        </w:tc>
        <w:tc>
          <w:tcPr>
            <w:tcW w:w="1271" w:type="dxa"/>
            <w:tcBorders>
              <w:top w:val="nil"/>
              <w:left w:val="nil"/>
              <w:bottom w:val="single" w:sz="8" w:space="0" w:color="auto"/>
              <w:right w:val="single" w:sz="8" w:space="0" w:color="auto"/>
            </w:tcBorders>
            <w:vAlign w:val="center"/>
            <w:hideMark/>
          </w:tcPr>
          <w:p w14:paraId="7FE653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w:t>
            </w:r>
          </w:p>
        </w:tc>
        <w:tc>
          <w:tcPr>
            <w:tcW w:w="1190" w:type="dxa"/>
            <w:tcBorders>
              <w:top w:val="nil"/>
              <w:left w:val="nil"/>
              <w:bottom w:val="single" w:sz="8" w:space="0" w:color="auto"/>
              <w:right w:val="single" w:sz="8" w:space="0" w:color="auto"/>
            </w:tcBorders>
            <w:vAlign w:val="center"/>
            <w:hideMark/>
          </w:tcPr>
          <w:p w14:paraId="422D52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6,96</w:t>
            </w:r>
          </w:p>
        </w:tc>
        <w:tc>
          <w:tcPr>
            <w:tcW w:w="1099" w:type="dxa"/>
            <w:tcBorders>
              <w:top w:val="nil"/>
              <w:left w:val="nil"/>
              <w:bottom w:val="single" w:sz="8" w:space="0" w:color="auto"/>
              <w:right w:val="single" w:sz="8" w:space="0" w:color="auto"/>
            </w:tcBorders>
            <w:vAlign w:val="center"/>
            <w:hideMark/>
          </w:tcPr>
          <w:p w14:paraId="5FD34D1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4.629.271</w:t>
            </w:r>
          </w:p>
        </w:tc>
        <w:tc>
          <w:tcPr>
            <w:tcW w:w="1100" w:type="dxa"/>
            <w:tcBorders>
              <w:top w:val="nil"/>
              <w:left w:val="nil"/>
              <w:bottom w:val="single" w:sz="8" w:space="0" w:color="auto"/>
              <w:right w:val="single" w:sz="8" w:space="0" w:color="auto"/>
            </w:tcBorders>
            <w:vAlign w:val="center"/>
            <w:hideMark/>
          </w:tcPr>
          <w:p w14:paraId="4841B3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1B98421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0CA3742A"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1E6AC0A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42</w:t>
            </w:r>
          </w:p>
        </w:tc>
        <w:tc>
          <w:tcPr>
            <w:tcW w:w="1919" w:type="dxa"/>
            <w:tcBorders>
              <w:top w:val="nil"/>
              <w:left w:val="nil"/>
              <w:bottom w:val="single" w:sz="8" w:space="0" w:color="auto"/>
              <w:right w:val="single" w:sz="8" w:space="0" w:color="auto"/>
            </w:tcBorders>
            <w:vAlign w:val="center"/>
            <w:hideMark/>
          </w:tcPr>
          <w:p w14:paraId="006DCFC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Realización de actividades relacionadas con la ingeniería</w:t>
            </w:r>
          </w:p>
        </w:tc>
        <w:tc>
          <w:tcPr>
            <w:tcW w:w="817" w:type="dxa"/>
            <w:tcBorders>
              <w:top w:val="nil"/>
              <w:left w:val="nil"/>
              <w:bottom w:val="single" w:sz="8" w:space="0" w:color="auto"/>
              <w:right w:val="single" w:sz="8" w:space="0" w:color="auto"/>
            </w:tcBorders>
            <w:vAlign w:val="center"/>
            <w:hideMark/>
          </w:tcPr>
          <w:p w14:paraId="0FC93B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3,34</w:t>
            </w:r>
          </w:p>
        </w:tc>
        <w:tc>
          <w:tcPr>
            <w:tcW w:w="1271" w:type="dxa"/>
            <w:tcBorders>
              <w:top w:val="nil"/>
              <w:left w:val="nil"/>
              <w:bottom w:val="single" w:sz="8" w:space="0" w:color="auto"/>
              <w:right w:val="single" w:sz="8" w:space="0" w:color="auto"/>
            </w:tcBorders>
            <w:vAlign w:val="center"/>
            <w:hideMark/>
          </w:tcPr>
          <w:p w14:paraId="35F48D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190" w:type="dxa"/>
            <w:tcBorders>
              <w:top w:val="nil"/>
              <w:left w:val="nil"/>
              <w:bottom w:val="single" w:sz="8" w:space="0" w:color="auto"/>
              <w:right w:val="single" w:sz="8" w:space="0" w:color="auto"/>
            </w:tcBorders>
            <w:vAlign w:val="center"/>
            <w:hideMark/>
          </w:tcPr>
          <w:p w14:paraId="01F6A99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2,69</w:t>
            </w:r>
          </w:p>
        </w:tc>
        <w:tc>
          <w:tcPr>
            <w:tcW w:w="1099" w:type="dxa"/>
            <w:tcBorders>
              <w:top w:val="nil"/>
              <w:left w:val="nil"/>
              <w:bottom w:val="single" w:sz="8" w:space="0" w:color="auto"/>
              <w:right w:val="single" w:sz="8" w:space="0" w:color="auto"/>
            </w:tcBorders>
            <w:vAlign w:val="center"/>
            <w:hideMark/>
          </w:tcPr>
          <w:p w14:paraId="6ED4BCD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9.681.752</w:t>
            </w:r>
          </w:p>
        </w:tc>
        <w:tc>
          <w:tcPr>
            <w:tcW w:w="1100" w:type="dxa"/>
            <w:tcBorders>
              <w:top w:val="nil"/>
              <w:left w:val="nil"/>
              <w:bottom w:val="single" w:sz="8" w:space="0" w:color="auto"/>
              <w:right w:val="single" w:sz="8" w:space="0" w:color="auto"/>
            </w:tcBorders>
            <w:vAlign w:val="center"/>
            <w:hideMark/>
          </w:tcPr>
          <w:p w14:paraId="725DDD7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160659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6B3BF909"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5AC36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w:t>
            </w:r>
          </w:p>
        </w:tc>
        <w:tc>
          <w:tcPr>
            <w:tcW w:w="1919" w:type="dxa"/>
            <w:tcBorders>
              <w:top w:val="nil"/>
              <w:left w:val="nil"/>
              <w:bottom w:val="single" w:sz="8" w:space="0" w:color="auto"/>
              <w:right w:val="single" w:sz="8" w:space="0" w:color="auto"/>
            </w:tcBorders>
            <w:vAlign w:val="center"/>
            <w:hideMark/>
          </w:tcPr>
          <w:p w14:paraId="6ABCD57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RYCINGENIEROS SAS</w:t>
            </w:r>
          </w:p>
        </w:tc>
        <w:tc>
          <w:tcPr>
            <w:tcW w:w="817" w:type="dxa"/>
            <w:tcBorders>
              <w:top w:val="nil"/>
              <w:left w:val="nil"/>
              <w:bottom w:val="single" w:sz="8" w:space="0" w:color="auto"/>
              <w:right w:val="single" w:sz="8" w:space="0" w:color="auto"/>
            </w:tcBorders>
            <w:vAlign w:val="center"/>
            <w:hideMark/>
          </w:tcPr>
          <w:p w14:paraId="69550F5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w:t>
            </w:r>
          </w:p>
        </w:tc>
        <w:tc>
          <w:tcPr>
            <w:tcW w:w="1271" w:type="dxa"/>
            <w:tcBorders>
              <w:top w:val="nil"/>
              <w:left w:val="nil"/>
              <w:bottom w:val="single" w:sz="8" w:space="0" w:color="auto"/>
              <w:right w:val="single" w:sz="8" w:space="0" w:color="auto"/>
            </w:tcBorders>
            <w:vAlign w:val="center"/>
            <w:hideMark/>
          </w:tcPr>
          <w:p w14:paraId="7F3B4F4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w:t>
            </w:r>
          </w:p>
        </w:tc>
        <w:tc>
          <w:tcPr>
            <w:tcW w:w="1190" w:type="dxa"/>
            <w:tcBorders>
              <w:top w:val="nil"/>
              <w:left w:val="nil"/>
              <w:bottom w:val="single" w:sz="8" w:space="0" w:color="auto"/>
              <w:right w:val="single" w:sz="8" w:space="0" w:color="auto"/>
            </w:tcBorders>
            <w:vAlign w:val="center"/>
            <w:hideMark/>
          </w:tcPr>
          <w:p w14:paraId="215D579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3,40</w:t>
            </w:r>
          </w:p>
        </w:tc>
        <w:tc>
          <w:tcPr>
            <w:tcW w:w="1099" w:type="dxa"/>
            <w:tcBorders>
              <w:top w:val="nil"/>
              <w:left w:val="nil"/>
              <w:bottom w:val="single" w:sz="8" w:space="0" w:color="auto"/>
              <w:right w:val="single" w:sz="8" w:space="0" w:color="auto"/>
            </w:tcBorders>
            <w:vAlign w:val="center"/>
            <w:hideMark/>
          </w:tcPr>
          <w:p w14:paraId="14F6455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4.316.834</w:t>
            </w:r>
          </w:p>
        </w:tc>
        <w:tc>
          <w:tcPr>
            <w:tcW w:w="1100" w:type="dxa"/>
            <w:tcBorders>
              <w:top w:val="nil"/>
              <w:left w:val="nil"/>
              <w:bottom w:val="single" w:sz="8" w:space="0" w:color="auto"/>
              <w:right w:val="single" w:sz="8" w:space="0" w:color="auto"/>
            </w:tcBorders>
            <w:vAlign w:val="center"/>
            <w:hideMark/>
          </w:tcPr>
          <w:p w14:paraId="46CF4D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00" w:type="dxa"/>
            <w:tcBorders>
              <w:top w:val="nil"/>
              <w:left w:val="nil"/>
              <w:bottom w:val="single" w:sz="8" w:space="0" w:color="auto"/>
              <w:right w:val="single" w:sz="8" w:space="0" w:color="auto"/>
            </w:tcBorders>
            <w:vAlign w:val="center"/>
            <w:hideMark/>
          </w:tcPr>
          <w:p w14:paraId="19CD12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758F511A"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6CDB1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919" w:type="dxa"/>
            <w:tcBorders>
              <w:top w:val="nil"/>
              <w:left w:val="nil"/>
              <w:bottom w:val="single" w:sz="8" w:space="0" w:color="auto"/>
              <w:right w:val="single" w:sz="8" w:space="0" w:color="auto"/>
            </w:tcBorders>
            <w:vAlign w:val="center"/>
            <w:hideMark/>
          </w:tcPr>
          <w:p w14:paraId="4C26FB5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ILUMINACION SAN JUAN DE GIRON SA</w:t>
            </w:r>
          </w:p>
        </w:tc>
        <w:tc>
          <w:tcPr>
            <w:tcW w:w="817" w:type="dxa"/>
            <w:tcBorders>
              <w:top w:val="nil"/>
              <w:left w:val="nil"/>
              <w:bottom w:val="single" w:sz="8" w:space="0" w:color="auto"/>
              <w:right w:val="single" w:sz="8" w:space="0" w:color="auto"/>
            </w:tcBorders>
            <w:vAlign w:val="center"/>
            <w:hideMark/>
          </w:tcPr>
          <w:p w14:paraId="0E8608D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2,91</w:t>
            </w:r>
          </w:p>
        </w:tc>
        <w:tc>
          <w:tcPr>
            <w:tcW w:w="1271" w:type="dxa"/>
            <w:tcBorders>
              <w:top w:val="nil"/>
              <w:left w:val="nil"/>
              <w:bottom w:val="single" w:sz="8" w:space="0" w:color="auto"/>
              <w:right w:val="single" w:sz="8" w:space="0" w:color="auto"/>
            </w:tcBorders>
            <w:vAlign w:val="center"/>
            <w:hideMark/>
          </w:tcPr>
          <w:p w14:paraId="470CC7D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90" w:type="dxa"/>
            <w:tcBorders>
              <w:top w:val="nil"/>
              <w:left w:val="nil"/>
              <w:bottom w:val="single" w:sz="8" w:space="0" w:color="auto"/>
              <w:right w:val="single" w:sz="8" w:space="0" w:color="auto"/>
            </w:tcBorders>
            <w:vAlign w:val="center"/>
            <w:hideMark/>
          </w:tcPr>
          <w:p w14:paraId="505C3AE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3,52</w:t>
            </w:r>
          </w:p>
        </w:tc>
        <w:tc>
          <w:tcPr>
            <w:tcW w:w="1099" w:type="dxa"/>
            <w:tcBorders>
              <w:top w:val="nil"/>
              <w:left w:val="nil"/>
              <w:bottom w:val="single" w:sz="8" w:space="0" w:color="auto"/>
              <w:right w:val="single" w:sz="8" w:space="0" w:color="auto"/>
            </w:tcBorders>
            <w:vAlign w:val="center"/>
            <w:hideMark/>
          </w:tcPr>
          <w:p w14:paraId="7D4BC28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3.199.288</w:t>
            </w:r>
          </w:p>
        </w:tc>
        <w:tc>
          <w:tcPr>
            <w:tcW w:w="1100" w:type="dxa"/>
            <w:tcBorders>
              <w:top w:val="nil"/>
              <w:left w:val="nil"/>
              <w:bottom w:val="single" w:sz="8" w:space="0" w:color="auto"/>
              <w:right w:val="single" w:sz="8" w:space="0" w:color="auto"/>
            </w:tcBorders>
            <w:vAlign w:val="center"/>
            <w:hideMark/>
          </w:tcPr>
          <w:p w14:paraId="5E72610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00" w:type="dxa"/>
            <w:tcBorders>
              <w:top w:val="nil"/>
              <w:left w:val="nil"/>
              <w:bottom w:val="single" w:sz="8" w:space="0" w:color="auto"/>
              <w:right w:val="single" w:sz="8" w:space="0" w:color="auto"/>
            </w:tcBorders>
            <w:vAlign w:val="center"/>
            <w:hideMark/>
          </w:tcPr>
          <w:p w14:paraId="650114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r>
      <w:tr w:rsidR="008468B3" w:rsidRPr="008468B3" w14:paraId="536DBFC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62743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919" w:type="dxa"/>
            <w:tcBorders>
              <w:top w:val="nil"/>
              <w:left w:val="nil"/>
              <w:bottom w:val="single" w:sz="8" w:space="0" w:color="auto"/>
              <w:right w:val="single" w:sz="8" w:space="0" w:color="auto"/>
            </w:tcBorders>
            <w:vAlign w:val="center"/>
            <w:hideMark/>
          </w:tcPr>
          <w:p w14:paraId="7B6155A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RED DE INGENIERIA SAS</w:t>
            </w:r>
          </w:p>
        </w:tc>
        <w:tc>
          <w:tcPr>
            <w:tcW w:w="817" w:type="dxa"/>
            <w:tcBorders>
              <w:top w:val="nil"/>
              <w:left w:val="nil"/>
              <w:bottom w:val="single" w:sz="8" w:space="0" w:color="auto"/>
              <w:right w:val="single" w:sz="8" w:space="0" w:color="auto"/>
            </w:tcBorders>
            <w:vAlign w:val="center"/>
            <w:hideMark/>
          </w:tcPr>
          <w:p w14:paraId="601FF8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4,62</w:t>
            </w:r>
          </w:p>
        </w:tc>
        <w:tc>
          <w:tcPr>
            <w:tcW w:w="1271" w:type="dxa"/>
            <w:tcBorders>
              <w:top w:val="nil"/>
              <w:left w:val="nil"/>
              <w:bottom w:val="single" w:sz="8" w:space="0" w:color="auto"/>
              <w:right w:val="single" w:sz="8" w:space="0" w:color="auto"/>
            </w:tcBorders>
            <w:vAlign w:val="center"/>
            <w:hideMark/>
          </w:tcPr>
          <w:p w14:paraId="4595EA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190" w:type="dxa"/>
            <w:tcBorders>
              <w:top w:val="nil"/>
              <w:left w:val="nil"/>
              <w:bottom w:val="single" w:sz="8" w:space="0" w:color="auto"/>
              <w:right w:val="single" w:sz="8" w:space="0" w:color="auto"/>
            </w:tcBorders>
            <w:vAlign w:val="center"/>
            <w:hideMark/>
          </w:tcPr>
          <w:p w14:paraId="23554F5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AD2789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44.377.652</w:t>
            </w:r>
          </w:p>
        </w:tc>
        <w:tc>
          <w:tcPr>
            <w:tcW w:w="1100" w:type="dxa"/>
            <w:tcBorders>
              <w:top w:val="nil"/>
              <w:left w:val="nil"/>
              <w:bottom w:val="single" w:sz="8" w:space="0" w:color="auto"/>
              <w:right w:val="single" w:sz="8" w:space="0" w:color="auto"/>
            </w:tcBorders>
            <w:vAlign w:val="center"/>
            <w:hideMark/>
          </w:tcPr>
          <w:p w14:paraId="17689E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00" w:type="dxa"/>
            <w:tcBorders>
              <w:top w:val="nil"/>
              <w:left w:val="nil"/>
              <w:bottom w:val="single" w:sz="8" w:space="0" w:color="auto"/>
              <w:right w:val="single" w:sz="8" w:space="0" w:color="auto"/>
            </w:tcBorders>
            <w:vAlign w:val="center"/>
            <w:hideMark/>
          </w:tcPr>
          <w:p w14:paraId="23A030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59B97743"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3462FF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w:t>
            </w:r>
          </w:p>
        </w:tc>
        <w:tc>
          <w:tcPr>
            <w:tcW w:w="1919" w:type="dxa"/>
            <w:tcBorders>
              <w:top w:val="nil"/>
              <w:left w:val="nil"/>
              <w:bottom w:val="single" w:sz="8" w:space="0" w:color="auto"/>
              <w:right w:val="single" w:sz="8" w:space="0" w:color="auto"/>
            </w:tcBorders>
            <w:vAlign w:val="center"/>
            <w:hideMark/>
          </w:tcPr>
          <w:p w14:paraId="54ECB82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CONELTEC SAS</w:t>
            </w:r>
          </w:p>
        </w:tc>
        <w:tc>
          <w:tcPr>
            <w:tcW w:w="817" w:type="dxa"/>
            <w:tcBorders>
              <w:top w:val="nil"/>
              <w:left w:val="nil"/>
              <w:bottom w:val="single" w:sz="8" w:space="0" w:color="auto"/>
              <w:right w:val="single" w:sz="8" w:space="0" w:color="auto"/>
            </w:tcBorders>
            <w:vAlign w:val="center"/>
            <w:hideMark/>
          </w:tcPr>
          <w:p w14:paraId="1862AB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2,81</w:t>
            </w:r>
          </w:p>
        </w:tc>
        <w:tc>
          <w:tcPr>
            <w:tcW w:w="1271" w:type="dxa"/>
            <w:tcBorders>
              <w:top w:val="nil"/>
              <w:left w:val="nil"/>
              <w:bottom w:val="single" w:sz="8" w:space="0" w:color="auto"/>
              <w:right w:val="single" w:sz="8" w:space="0" w:color="auto"/>
            </w:tcBorders>
            <w:vAlign w:val="center"/>
            <w:hideMark/>
          </w:tcPr>
          <w:p w14:paraId="1C5B4C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90" w:type="dxa"/>
            <w:tcBorders>
              <w:top w:val="nil"/>
              <w:left w:val="nil"/>
              <w:bottom w:val="single" w:sz="8" w:space="0" w:color="auto"/>
              <w:right w:val="single" w:sz="8" w:space="0" w:color="auto"/>
            </w:tcBorders>
            <w:vAlign w:val="center"/>
            <w:hideMark/>
          </w:tcPr>
          <w:p w14:paraId="7599AB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0,81</w:t>
            </w:r>
          </w:p>
        </w:tc>
        <w:tc>
          <w:tcPr>
            <w:tcW w:w="1099" w:type="dxa"/>
            <w:tcBorders>
              <w:top w:val="nil"/>
              <w:left w:val="nil"/>
              <w:bottom w:val="single" w:sz="8" w:space="0" w:color="auto"/>
              <w:right w:val="single" w:sz="8" w:space="0" w:color="auto"/>
            </w:tcBorders>
            <w:vAlign w:val="center"/>
            <w:hideMark/>
          </w:tcPr>
          <w:p w14:paraId="23670D2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18.087.566</w:t>
            </w:r>
          </w:p>
        </w:tc>
        <w:tc>
          <w:tcPr>
            <w:tcW w:w="1100" w:type="dxa"/>
            <w:tcBorders>
              <w:top w:val="nil"/>
              <w:left w:val="nil"/>
              <w:bottom w:val="single" w:sz="8" w:space="0" w:color="auto"/>
              <w:right w:val="single" w:sz="8" w:space="0" w:color="auto"/>
            </w:tcBorders>
            <w:vAlign w:val="center"/>
            <w:hideMark/>
          </w:tcPr>
          <w:p w14:paraId="436F82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27E00F5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63834700"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B212C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919" w:type="dxa"/>
            <w:tcBorders>
              <w:top w:val="nil"/>
              <w:left w:val="nil"/>
              <w:bottom w:val="single" w:sz="8" w:space="0" w:color="auto"/>
              <w:right w:val="single" w:sz="8" w:space="0" w:color="auto"/>
            </w:tcBorders>
            <w:vAlign w:val="center"/>
            <w:hideMark/>
          </w:tcPr>
          <w:p w14:paraId="02B2C27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CONSTRUSAN SAS</w:t>
            </w:r>
          </w:p>
        </w:tc>
        <w:tc>
          <w:tcPr>
            <w:tcW w:w="817" w:type="dxa"/>
            <w:tcBorders>
              <w:top w:val="nil"/>
              <w:left w:val="nil"/>
              <w:bottom w:val="single" w:sz="8" w:space="0" w:color="auto"/>
              <w:right w:val="single" w:sz="8" w:space="0" w:color="auto"/>
            </w:tcBorders>
            <w:vAlign w:val="center"/>
            <w:hideMark/>
          </w:tcPr>
          <w:p w14:paraId="1EDC34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20,62</w:t>
            </w:r>
          </w:p>
        </w:tc>
        <w:tc>
          <w:tcPr>
            <w:tcW w:w="1271" w:type="dxa"/>
            <w:tcBorders>
              <w:top w:val="nil"/>
              <w:left w:val="nil"/>
              <w:bottom w:val="single" w:sz="8" w:space="0" w:color="auto"/>
              <w:right w:val="single" w:sz="8" w:space="0" w:color="auto"/>
            </w:tcBorders>
            <w:vAlign w:val="center"/>
            <w:hideMark/>
          </w:tcPr>
          <w:p w14:paraId="00DC3B6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w:t>
            </w:r>
          </w:p>
        </w:tc>
        <w:tc>
          <w:tcPr>
            <w:tcW w:w="1190" w:type="dxa"/>
            <w:tcBorders>
              <w:top w:val="nil"/>
              <w:left w:val="nil"/>
              <w:bottom w:val="single" w:sz="8" w:space="0" w:color="auto"/>
              <w:right w:val="single" w:sz="8" w:space="0" w:color="auto"/>
            </w:tcBorders>
            <w:vAlign w:val="center"/>
            <w:hideMark/>
          </w:tcPr>
          <w:p w14:paraId="1BDF44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2,29</w:t>
            </w:r>
          </w:p>
        </w:tc>
        <w:tc>
          <w:tcPr>
            <w:tcW w:w="1099" w:type="dxa"/>
            <w:tcBorders>
              <w:top w:val="nil"/>
              <w:left w:val="nil"/>
              <w:bottom w:val="single" w:sz="8" w:space="0" w:color="auto"/>
              <w:right w:val="single" w:sz="8" w:space="0" w:color="auto"/>
            </w:tcBorders>
            <w:vAlign w:val="center"/>
            <w:hideMark/>
          </w:tcPr>
          <w:p w14:paraId="5F56555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17.665.114</w:t>
            </w:r>
          </w:p>
        </w:tc>
        <w:tc>
          <w:tcPr>
            <w:tcW w:w="1100" w:type="dxa"/>
            <w:tcBorders>
              <w:top w:val="nil"/>
              <w:left w:val="nil"/>
              <w:bottom w:val="single" w:sz="8" w:space="0" w:color="auto"/>
              <w:right w:val="single" w:sz="8" w:space="0" w:color="auto"/>
            </w:tcBorders>
            <w:vAlign w:val="center"/>
            <w:hideMark/>
          </w:tcPr>
          <w:p w14:paraId="0E14570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3D5AE8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4F96AE76" w14:textId="77777777" w:rsidTr="008468B3">
        <w:trPr>
          <w:trHeight w:val="749"/>
        </w:trPr>
        <w:tc>
          <w:tcPr>
            <w:tcW w:w="474" w:type="dxa"/>
            <w:tcBorders>
              <w:top w:val="nil"/>
              <w:left w:val="single" w:sz="8" w:space="0" w:color="auto"/>
              <w:bottom w:val="single" w:sz="8" w:space="0" w:color="auto"/>
              <w:right w:val="single" w:sz="8" w:space="0" w:color="auto"/>
            </w:tcBorders>
            <w:noWrap/>
            <w:vAlign w:val="center"/>
            <w:hideMark/>
          </w:tcPr>
          <w:p w14:paraId="3E47C6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w:t>
            </w:r>
          </w:p>
        </w:tc>
        <w:tc>
          <w:tcPr>
            <w:tcW w:w="1919" w:type="dxa"/>
            <w:tcBorders>
              <w:top w:val="nil"/>
              <w:left w:val="nil"/>
              <w:bottom w:val="single" w:sz="8" w:space="0" w:color="auto"/>
              <w:right w:val="single" w:sz="8" w:space="0" w:color="auto"/>
            </w:tcBorders>
            <w:vAlign w:val="center"/>
            <w:hideMark/>
          </w:tcPr>
          <w:p w14:paraId="629C037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DE CONSTRUCCION MANTENIMIENTO Y SERVICIOS</w:t>
            </w:r>
          </w:p>
        </w:tc>
        <w:tc>
          <w:tcPr>
            <w:tcW w:w="817" w:type="dxa"/>
            <w:tcBorders>
              <w:top w:val="nil"/>
              <w:left w:val="nil"/>
              <w:bottom w:val="single" w:sz="8" w:space="0" w:color="auto"/>
              <w:right w:val="single" w:sz="8" w:space="0" w:color="auto"/>
            </w:tcBorders>
            <w:vAlign w:val="center"/>
            <w:hideMark/>
          </w:tcPr>
          <w:p w14:paraId="163D416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0,28</w:t>
            </w:r>
          </w:p>
        </w:tc>
        <w:tc>
          <w:tcPr>
            <w:tcW w:w="1271" w:type="dxa"/>
            <w:tcBorders>
              <w:top w:val="nil"/>
              <w:left w:val="nil"/>
              <w:bottom w:val="single" w:sz="8" w:space="0" w:color="auto"/>
              <w:right w:val="single" w:sz="8" w:space="0" w:color="auto"/>
            </w:tcBorders>
            <w:vAlign w:val="center"/>
            <w:hideMark/>
          </w:tcPr>
          <w:p w14:paraId="4701B73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27DFCE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21,24</w:t>
            </w:r>
          </w:p>
        </w:tc>
        <w:tc>
          <w:tcPr>
            <w:tcW w:w="1099" w:type="dxa"/>
            <w:tcBorders>
              <w:top w:val="nil"/>
              <w:left w:val="nil"/>
              <w:bottom w:val="single" w:sz="8" w:space="0" w:color="auto"/>
              <w:right w:val="single" w:sz="8" w:space="0" w:color="auto"/>
            </w:tcBorders>
            <w:vAlign w:val="center"/>
            <w:hideMark/>
          </w:tcPr>
          <w:p w14:paraId="500752D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-3.536.658</w:t>
            </w:r>
          </w:p>
        </w:tc>
        <w:tc>
          <w:tcPr>
            <w:tcW w:w="1100" w:type="dxa"/>
            <w:tcBorders>
              <w:top w:val="nil"/>
              <w:left w:val="nil"/>
              <w:bottom w:val="single" w:sz="8" w:space="0" w:color="auto"/>
              <w:right w:val="single" w:sz="8" w:space="0" w:color="auto"/>
            </w:tcBorders>
            <w:vAlign w:val="center"/>
            <w:hideMark/>
          </w:tcPr>
          <w:p w14:paraId="440256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00" w:type="dxa"/>
            <w:tcBorders>
              <w:top w:val="nil"/>
              <w:left w:val="nil"/>
              <w:bottom w:val="single" w:sz="8" w:space="0" w:color="auto"/>
              <w:right w:val="single" w:sz="8" w:space="0" w:color="auto"/>
            </w:tcBorders>
            <w:vAlign w:val="center"/>
            <w:hideMark/>
          </w:tcPr>
          <w:p w14:paraId="28CCB05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7BDFF4F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2AFB4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w:t>
            </w:r>
          </w:p>
        </w:tc>
        <w:tc>
          <w:tcPr>
            <w:tcW w:w="1919" w:type="dxa"/>
            <w:tcBorders>
              <w:top w:val="nil"/>
              <w:left w:val="nil"/>
              <w:bottom w:val="single" w:sz="8" w:space="0" w:color="auto"/>
              <w:right w:val="single" w:sz="8" w:space="0" w:color="auto"/>
            </w:tcBorders>
            <w:vAlign w:val="center"/>
            <w:hideMark/>
          </w:tcPr>
          <w:p w14:paraId="099BC9C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INGEASOCIADOS SAS</w:t>
            </w:r>
          </w:p>
        </w:tc>
        <w:tc>
          <w:tcPr>
            <w:tcW w:w="817" w:type="dxa"/>
            <w:tcBorders>
              <w:top w:val="nil"/>
              <w:left w:val="nil"/>
              <w:bottom w:val="single" w:sz="8" w:space="0" w:color="auto"/>
              <w:right w:val="single" w:sz="8" w:space="0" w:color="auto"/>
            </w:tcBorders>
            <w:vAlign w:val="center"/>
            <w:hideMark/>
          </w:tcPr>
          <w:p w14:paraId="38992D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3,03</w:t>
            </w:r>
          </w:p>
        </w:tc>
        <w:tc>
          <w:tcPr>
            <w:tcW w:w="1271" w:type="dxa"/>
            <w:tcBorders>
              <w:top w:val="nil"/>
              <w:left w:val="nil"/>
              <w:bottom w:val="single" w:sz="8" w:space="0" w:color="auto"/>
              <w:right w:val="single" w:sz="8" w:space="0" w:color="auto"/>
            </w:tcBorders>
            <w:vAlign w:val="center"/>
            <w:hideMark/>
          </w:tcPr>
          <w:p w14:paraId="6773E0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w:t>
            </w:r>
          </w:p>
        </w:tc>
        <w:tc>
          <w:tcPr>
            <w:tcW w:w="1190" w:type="dxa"/>
            <w:tcBorders>
              <w:top w:val="nil"/>
              <w:left w:val="nil"/>
              <w:bottom w:val="single" w:sz="8" w:space="0" w:color="auto"/>
              <w:right w:val="single" w:sz="8" w:space="0" w:color="auto"/>
            </w:tcBorders>
            <w:vAlign w:val="center"/>
            <w:hideMark/>
          </w:tcPr>
          <w:p w14:paraId="63725D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1,12</w:t>
            </w:r>
          </w:p>
        </w:tc>
        <w:tc>
          <w:tcPr>
            <w:tcW w:w="1099" w:type="dxa"/>
            <w:tcBorders>
              <w:top w:val="nil"/>
              <w:left w:val="nil"/>
              <w:bottom w:val="single" w:sz="8" w:space="0" w:color="auto"/>
              <w:right w:val="single" w:sz="8" w:space="0" w:color="auto"/>
            </w:tcBorders>
            <w:vAlign w:val="center"/>
            <w:hideMark/>
          </w:tcPr>
          <w:p w14:paraId="356951D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1.634.324</w:t>
            </w:r>
          </w:p>
        </w:tc>
        <w:tc>
          <w:tcPr>
            <w:tcW w:w="1100" w:type="dxa"/>
            <w:tcBorders>
              <w:top w:val="nil"/>
              <w:left w:val="nil"/>
              <w:bottom w:val="single" w:sz="8" w:space="0" w:color="auto"/>
              <w:right w:val="single" w:sz="8" w:space="0" w:color="auto"/>
            </w:tcBorders>
            <w:vAlign w:val="center"/>
            <w:hideMark/>
          </w:tcPr>
          <w:p w14:paraId="247621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6302C2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308A34B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9C57F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w:t>
            </w:r>
          </w:p>
        </w:tc>
        <w:tc>
          <w:tcPr>
            <w:tcW w:w="1919" w:type="dxa"/>
            <w:tcBorders>
              <w:top w:val="nil"/>
              <w:left w:val="nil"/>
              <w:bottom w:val="single" w:sz="8" w:space="0" w:color="auto"/>
              <w:right w:val="single" w:sz="8" w:space="0" w:color="auto"/>
            </w:tcBorders>
            <w:vAlign w:val="center"/>
            <w:hideMark/>
          </w:tcPr>
          <w:p w14:paraId="08BAF33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TERMOMONTAJES DE L VALLE</w:t>
            </w:r>
          </w:p>
        </w:tc>
        <w:tc>
          <w:tcPr>
            <w:tcW w:w="817" w:type="dxa"/>
            <w:tcBorders>
              <w:top w:val="nil"/>
              <w:left w:val="nil"/>
              <w:bottom w:val="single" w:sz="8" w:space="0" w:color="auto"/>
              <w:right w:val="single" w:sz="8" w:space="0" w:color="auto"/>
            </w:tcBorders>
            <w:vAlign w:val="center"/>
            <w:hideMark/>
          </w:tcPr>
          <w:p w14:paraId="0710E77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13,97</w:t>
            </w:r>
          </w:p>
        </w:tc>
        <w:tc>
          <w:tcPr>
            <w:tcW w:w="1271" w:type="dxa"/>
            <w:tcBorders>
              <w:top w:val="nil"/>
              <w:left w:val="nil"/>
              <w:bottom w:val="single" w:sz="8" w:space="0" w:color="auto"/>
              <w:right w:val="single" w:sz="8" w:space="0" w:color="auto"/>
            </w:tcBorders>
            <w:vAlign w:val="center"/>
            <w:hideMark/>
          </w:tcPr>
          <w:p w14:paraId="2E8C5DF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129%</w:t>
            </w:r>
          </w:p>
        </w:tc>
        <w:tc>
          <w:tcPr>
            <w:tcW w:w="1190" w:type="dxa"/>
            <w:tcBorders>
              <w:top w:val="nil"/>
              <w:left w:val="nil"/>
              <w:bottom w:val="single" w:sz="8" w:space="0" w:color="auto"/>
              <w:right w:val="single" w:sz="8" w:space="0" w:color="auto"/>
            </w:tcBorders>
            <w:vAlign w:val="center"/>
            <w:hideMark/>
          </w:tcPr>
          <w:p w14:paraId="59FE1D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4CF12B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1.052.263</w:t>
            </w:r>
          </w:p>
        </w:tc>
        <w:tc>
          <w:tcPr>
            <w:tcW w:w="1100" w:type="dxa"/>
            <w:tcBorders>
              <w:top w:val="nil"/>
              <w:left w:val="nil"/>
              <w:bottom w:val="single" w:sz="8" w:space="0" w:color="auto"/>
              <w:right w:val="single" w:sz="8" w:space="0" w:color="auto"/>
            </w:tcBorders>
            <w:vAlign w:val="center"/>
            <w:hideMark/>
          </w:tcPr>
          <w:p w14:paraId="170D0B5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w:t>
            </w:r>
          </w:p>
        </w:tc>
        <w:tc>
          <w:tcPr>
            <w:tcW w:w="1100" w:type="dxa"/>
            <w:tcBorders>
              <w:top w:val="nil"/>
              <w:left w:val="nil"/>
              <w:bottom w:val="single" w:sz="8" w:space="0" w:color="auto"/>
              <w:right w:val="single" w:sz="8" w:space="0" w:color="auto"/>
            </w:tcBorders>
            <w:vAlign w:val="center"/>
            <w:hideMark/>
          </w:tcPr>
          <w:p w14:paraId="6A789F7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r>
      <w:tr w:rsidR="008468B3" w:rsidRPr="008468B3" w14:paraId="301661E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114B8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w:t>
            </w:r>
          </w:p>
        </w:tc>
        <w:tc>
          <w:tcPr>
            <w:tcW w:w="1919" w:type="dxa"/>
            <w:tcBorders>
              <w:top w:val="nil"/>
              <w:left w:val="nil"/>
              <w:bottom w:val="single" w:sz="8" w:space="0" w:color="auto"/>
              <w:right w:val="single" w:sz="8" w:space="0" w:color="auto"/>
            </w:tcBorders>
            <w:vAlign w:val="center"/>
            <w:hideMark/>
          </w:tcPr>
          <w:p w14:paraId="52E8A28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SANTO VIENTO SAS</w:t>
            </w:r>
          </w:p>
        </w:tc>
        <w:tc>
          <w:tcPr>
            <w:tcW w:w="817" w:type="dxa"/>
            <w:tcBorders>
              <w:top w:val="nil"/>
              <w:left w:val="nil"/>
              <w:bottom w:val="single" w:sz="8" w:space="0" w:color="auto"/>
              <w:right w:val="single" w:sz="8" w:space="0" w:color="auto"/>
            </w:tcBorders>
            <w:vAlign w:val="center"/>
            <w:hideMark/>
          </w:tcPr>
          <w:p w14:paraId="41B0EFE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5,66</w:t>
            </w:r>
          </w:p>
        </w:tc>
        <w:tc>
          <w:tcPr>
            <w:tcW w:w="1271" w:type="dxa"/>
            <w:tcBorders>
              <w:top w:val="nil"/>
              <w:left w:val="nil"/>
              <w:bottom w:val="single" w:sz="8" w:space="0" w:color="auto"/>
              <w:right w:val="single" w:sz="8" w:space="0" w:color="auto"/>
            </w:tcBorders>
            <w:vAlign w:val="center"/>
            <w:hideMark/>
          </w:tcPr>
          <w:p w14:paraId="3BEFAA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c>
          <w:tcPr>
            <w:tcW w:w="1190" w:type="dxa"/>
            <w:tcBorders>
              <w:top w:val="nil"/>
              <w:left w:val="nil"/>
              <w:bottom w:val="single" w:sz="8" w:space="0" w:color="auto"/>
              <w:right w:val="single" w:sz="8" w:space="0" w:color="auto"/>
            </w:tcBorders>
            <w:vAlign w:val="center"/>
            <w:hideMark/>
          </w:tcPr>
          <w:p w14:paraId="7460BB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4,90</w:t>
            </w:r>
          </w:p>
        </w:tc>
        <w:tc>
          <w:tcPr>
            <w:tcW w:w="1099" w:type="dxa"/>
            <w:tcBorders>
              <w:top w:val="nil"/>
              <w:left w:val="nil"/>
              <w:bottom w:val="single" w:sz="8" w:space="0" w:color="auto"/>
              <w:right w:val="single" w:sz="8" w:space="0" w:color="auto"/>
            </w:tcBorders>
            <w:vAlign w:val="center"/>
            <w:hideMark/>
          </w:tcPr>
          <w:p w14:paraId="3DFE0D8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5.876.821</w:t>
            </w:r>
          </w:p>
        </w:tc>
        <w:tc>
          <w:tcPr>
            <w:tcW w:w="1100" w:type="dxa"/>
            <w:tcBorders>
              <w:top w:val="nil"/>
              <w:left w:val="nil"/>
              <w:bottom w:val="single" w:sz="8" w:space="0" w:color="auto"/>
              <w:right w:val="single" w:sz="8" w:space="0" w:color="auto"/>
            </w:tcBorders>
            <w:vAlign w:val="center"/>
            <w:hideMark/>
          </w:tcPr>
          <w:p w14:paraId="5658DF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2A7045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4A6E6AE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5B60A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919" w:type="dxa"/>
            <w:tcBorders>
              <w:top w:val="nil"/>
              <w:left w:val="nil"/>
              <w:bottom w:val="single" w:sz="8" w:space="0" w:color="auto"/>
              <w:right w:val="single" w:sz="8" w:space="0" w:color="auto"/>
            </w:tcBorders>
            <w:vAlign w:val="center"/>
            <w:hideMark/>
          </w:tcPr>
          <w:p w14:paraId="13C14DD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COSNTRUCTORA LA GALAXIA SAS</w:t>
            </w:r>
          </w:p>
        </w:tc>
        <w:tc>
          <w:tcPr>
            <w:tcW w:w="817" w:type="dxa"/>
            <w:tcBorders>
              <w:top w:val="nil"/>
              <w:left w:val="nil"/>
              <w:bottom w:val="single" w:sz="8" w:space="0" w:color="auto"/>
              <w:right w:val="single" w:sz="8" w:space="0" w:color="auto"/>
            </w:tcBorders>
            <w:vAlign w:val="center"/>
            <w:hideMark/>
          </w:tcPr>
          <w:p w14:paraId="79D4557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2,09</w:t>
            </w:r>
          </w:p>
        </w:tc>
        <w:tc>
          <w:tcPr>
            <w:tcW w:w="1271" w:type="dxa"/>
            <w:tcBorders>
              <w:top w:val="nil"/>
              <w:left w:val="nil"/>
              <w:bottom w:val="single" w:sz="8" w:space="0" w:color="auto"/>
              <w:right w:val="single" w:sz="8" w:space="0" w:color="auto"/>
            </w:tcBorders>
            <w:vAlign w:val="center"/>
            <w:hideMark/>
          </w:tcPr>
          <w:p w14:paraId="61E0D6E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90" w:type="dxa"/>
            <w:tcBorders>
              <w:top w:val="nil"/>
              <w:left w:val="nil"/>
              <w:bottom w:val="single" w:sz="8" w:space="0" w:color="auto"/>
              <w:right w:val="single" w:sz="8" w:space="0" w:color="auto"/>
            </w:tcBorders>
            <w:vAlign w:val="center"/>
            <w:hideMark/>
          </w:tcPr>
          <w:p w14:paraId="09A160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-12,79</w:t>
            </w:r>
          </w:p>
        </w:tc>
        <w:tc>
          <w:tcPr>
            <w:tcW w:w="1099" w:type="dxa"/>
            <w:tcBorders>
              <w:top w:val="nil"/>
              <w:left w:val="nil"/>
              <w:bottom w:val="single" w:sz="8" w:space="0" w:color="auto"/>
              <w:right w:val="single" w:sz="8" w:space="0" w:color="auto"/>
            </w:tcBorders>
            <w:vAlign w:val="center"/>
            <w:hideMark/>
          </w:tcPr>
          <w:p w14:paraId="0EF31BF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1.961.518</w:t>
            </w:r>
          </w:p>
        </w:tc>
        <w:tc>
          <w:tcPr>
            <w:tcW w:w="1100" w:type="dxa"/>
            <w:tcBorders>
              <w:top w:val="nil"/>
              <w:left w:val="nil"/>
              <w:bottom w:val="single" w:sz="8" w:space="0" w:color="auto"/>
              <w:right w:val="single" w:sz="8" w:space="0" w:color="auto"/>
            </w:tcBorders>
            <w:vAlign w:val="center"/>
            <w:hideMark/>
          </w:tcPr>
          <w:p w14:paraId="1F841A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29F22B2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2BBD6F25"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9091EA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w:t>
            </w:r>
          </w:p>
        </w:tc>
        <w:tc>
          <w:tcPr>
            <w:tcW w:w="1919" w:type="dxa"/>
            <w:tcBorders>
              <w:top w:val="nil"/>
              <w:left w:val="nil"/>
              <w:bottom w:val="single" w:sz="8" w:space="0" w:color="auto"/>
              <w:right w:val="single" w:sz="8" w:space="0" w:color="auto"/>
            </w:tcBorders>
            <w:vAlign w:val="center"/>
            <w:hideMark/>
          </w:tcPr>
          <w:p w14:paraId="3DE9BF9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REHABILITACION DE DUCTOS SAS</w:t>
            </w:r>
          </w:p>
        </w:tc>
        <w:tc>
          <w:tcPr>
            <w:tcW w:w="817" w:type="dxa"/>
            <w:tcBorders>
              <w:top w:val="nil"/>
              <w:left w:val="nil"/>
              <w:bottom w:val="single" w:sz="8" w:space="0" w:color="auto"/>
              <w:right w:val="single" w:sz="8" w:space="0" w:color="auto"/>
            </w:tcBorders>
            <w:vAlign w:val="center"/>
            <w:hideMark/>
          </w:tcPr>
          <w:p w14:paraId="4B68C6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4,48</w:t>
            </w:r>
          </w:p>
        </w:tc>
        <w:tc>
          <w:tcPr>
            <w:tcW w:w="1271" w:type="dxa"/>
            <w:tcBorders>
              <w:top w:val="nil"/>
              <w:left w:val="nil"/>
              <w:bottom w:val="single" w:sz="8" w:space="0" w:color="auto"/>
              <w:right w:val="single" w:sz="8" w:space="0" w:color="auto"/>
            </w:tcBorders>
            <w:vAlign w:val="center"/>
            <w:hideMark/>
          </w:tcPr>
          <w:p w14:paraId="0D9F55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w:t>
            </w:r>
          </w:p>
        </w:tc>
        <w:tc>
          <w:tcPr>
            <w:tcW w:w="1190" w:type="dxa"/>
            <w:tcBorders>
              <w:top w:val="nil"/>
              <w:left w:val="nil"/>
              <w:bottom w:val="single" w:sz="8" w:space="0" w:color="auto"/>
              <w:right w:val="single" w:sz="8" w:space="0" w:color="auto"/>
            </w:tcBorders>
            <w:vAlign w:val="center"/>
            <w:hideMark/>
          </w:tcPr>
          <w:p w14:paraId="348CD97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2,61</w:t>
            </w:r>
          </w:p>
        </w:tc>
        <w:tc>
          <w:tcPr>
            <w:tcW w:w="1099" w:type="dxa"/>
            <w:tcBorders>
              <w:top w:val="nil"/>
              <w:left w:val="nil"/>
              <w:bottom w:val="single" w:sz="8" w:space="0" w:color="auto"/>
              <w:right w:val="single" w:sz="8" w:space="0" w:color="auto"/>
            </w:tcBorders>
            <w:vAlign w:val="center"/>
            <w:hideMark/>
          </w:tcPr>
          <w:p w14:paraId="1A8046E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26.949.479</w:t>
            </w:r>
          </w:p>
        </w:tc>
        <w:tc>
          <w:tcPr>
            <w:tcW w:w="1100" w:type="dxa"/>
            <w:tcBorders>
              <w:top w:val="nil"/>
              <w:left w:val="nil"/>
              <w:bottom w:val="single" w:sz="8" w:space="0" w:color="auto"/>
              <w:right w:val="single" w:sz="8" w:space="0" w:color="auto"/>
            </w:tcBorders>
            <w:vAlign w:val="center"/>
            <w:hideMark/>
          </w:tcPr>
          <w:p w14:paraId="462C27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00" w:type="dxa"/>
            <w:tcBorders>
              <w:top w:val="nil"/>
              <w:left w:val="nil"/>
              <w:bottom w:val="single" w:sz="8" w:space="0" w:color="auto"/>
              <w:right w:val="single" w:sz="8" w:space="0" w:color="auto"/>
            </w:tcBorders>
            <w:vAlign w:val="center"/>
            <w:hideMark/>
          </w:tcPr>
          <w:p w14:paraId="2705FCB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5B3E75B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D5DB6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w:t>
            </w:r>
          </w:p>
        </w:tc>
        <w:tc>
          <w:tcPr>
            <w:tcW w:w="1919" w:type="dxa"/>
            <w:tcBorders>
              <w:top w:val="nil"/>
              <w:left w:val="nil"/>
              <w:bottom w:val="single" w:sz="8" w:space="0" w:color="auto"/>
              <w:right w:val="single" w:sz="8" w:space="0" w:color="auto"/>
            </w:tcBorders>
            <w:vAlign w:val="center"/>
            <w:hideMark/>
          </w:tcPr>
          <w:p w14:paraId="2F39F66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SERVITEC INGENIEROS SAS</w:t>
            </w:r>
          </w:p>
        </w:tc>
        <w:tc>
          <w:tcPr>
            <w:tcW w:w="817" w:type="dxa"/>
            <w:tcBorders>
              <w:top w:val="nil"/>
              <w:left w:val="nil"/>
              <w:bottom w:val="single" w:sz="8" w:space="0" w:color="auto"/>
              <w:right w:val="single" w:sz="8" w:space="0" w:color="auto"/>
            </w:tcBorders>
            <w:vAlign w:val="center"/>
            <w:hideMark/>
          </w:tcPr>
          <w:p w14:paraId="5DAF1F9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13,17</w:t>
            </w:r>
          </w:p>
        </w:tc>
        <w:tc>
          <w:tcPr>
            <w:tcW w:w="1271" w:type="dxa"/>
            <w:tcBorders>
              <w:top w:val="nil"/>
              <w:left w:val="nil"/>
              <w:bottom w:val="single" w:sz="8" w:space="0" w:color="auto"/>
              <w:right w:val="single" w:sz="8" w:space="0" w:color="auto"/>
            </w:tcBorders>
            <w:vAlign w:val="center"/>
            <w:hideMark/>
          </w:tcPr>
          <w:p w14:paraId="225BD0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90" w:type="dxa"/>
            <w:tcBorders>
              <w:top w:val="nil"/>
              <w:left w:val="nil"/>
              <w:bottom w:val="single" w:sz="8" w:space="0" w:color="auto"/>
              <w:right w:val="single" w:sz="8" w:space="0" w:color="auto"/>
            </w:tcBorders>
            <w:vAlign w:val="center"/>
            <w:hideMark/>
          </w:tcPr>
          <w:p w14:paraId="376BE61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39,21</w:t>
            </w:r>
          </w:p>
        </w:tc>
        <w:tc>
          <w:tcPr>
            <w:tcW w:w="1099" w:type="dxa"/>
            <w:tcBorders>
              <w:top w:val="nil"/>
              <w:left w:val="nil"/>
              <w:bottom w:val="single" w:sz="8" w:space="0" w:color="auto"/>
              <w:right w:val="single" w:sz="8" w:space="0" w:color="auto"/>
            </w:tcBorders>
            <w:vAlign w:val="center"/>
            <w:hideMark/>
          </w:tcPr>
          <w:p w14:paraId="4167358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2.949.763</w:t>
            </w:r>
          </w:p>
        </w:tc>
        <w:tc>
          <w:tcPr>
            <w:tcW w:w="1100" w:type="dxa"/>
            <w:tcBorders>
              <w:top w:val="nil"/>
              <w:left w:val="nil"/>
              <w:bottom w:val="single" w:sz="8" w:space="0" w:color="auto"/>
              <w:right w:val="single" w:sz="8" w:space="0" w:color="auto"/>
            </w:tcBorders>
            <w:vAlign w:val="center"/>
            <w:hideMark/>
          </w:tcPr>
          <w:p w14:paraId="2F7D84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7D4500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6247E71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638166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w:t>
            </w:r>
          </w:p>
        </w:tc>
        <w:tc>
          <w:tcPr>
            <w:tcW w:w="1919" w:type="dxa"/>
            <w:tcBorders>
              <w:top w:val="nil"/>
              <w:left w:val="nil"/>
              <w:bottom w:val="single" w:sz="8" w:space="0" w:color="auto"/>
              <w:right w:val="single" w:sz="8" w:space="0" w:color="auto"/>
            </w:tcBorders>
            <w:vAlign w:val="center"/>
            <w:hideMark/>
          </w:tcPr>
          <w:p w14:paraId="30C0241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MUÑOZ Y CIA SAS</w:t>
            </w:r>
          </w:p>
        </w:tc>
        <w:tc>
          <w:tcPr>
            <w:tcW w:w="817" w:type="dxa"/>
            <w:tcBorders>
              <w:top w:val="nil"/>
              <w:left w:val="nil"/>
              <w:bottom w:val="single" w:sz="8" w:space="0" w:color="auto"/>
              <w:right w:val="single" w:sz="8" w:space="0" w:color="auto"/>
            </w:tcBorders>
            <w:vAlign w:val="center"/>
            <w:hideMark/>
          </w:tcPr>
          <w:p w14:paraId="56365D4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0,96</w:t>
            </w:r>
          </w:p>
        </w:tc>
        <w:tc>
          <w:tcPr>
            <w:tcW w:w="1271" w:type="dxa"/>
            <w:tcBorders>
              <w:top w:val="nil"/>
              <w:left w:val="nil"/>
              <w:bottom w:val="single" w:sz="8" w:space="0" w:color="auto"/>
              <w:right w:val="single" w:sz="8" w:space="0" w:color="auto"/>
            </w:tcBorders>
            <w:vAlign w:val="center"/>
            <w:hideMark/>
          </w:tcPr>
          <w:p w14:paraId="7EA63A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100%</w:t>
            </w:r>
          </w:p>
        </w:tc>
        <w:tc>
          <w:tcPr>
            <w:tcW w:w="1190" w:type="dxa"/>
            <w:tcBorders>
              <w:top w:val="nil"/>
              <w:left w:val="nil"/>
              <w:bottom w:val="single" w:sz="8" w:space="0" w:color="auto"/>
              <w:right w:val="single" w:sz="8" w:space="0" w:color="auto"/>
            </w:tcBorders>
            <w:vAlign w:val="center"/>
            <w:hideMark/>
          </w:tcPr>
          <w:p w14:paraId="4A3140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E8F799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-35.172</w:t>
            </w:r>
          </w:p>
        </w:tc>
        <w:tc>
          <w:tcPr>
            <w:tcW w:w="1100" w:type="dxa"/>
            <w:tcBorders>
              <w:top w:val="nil"/>
              <w:left w:val="nil"/>
              <w:bottom w:val="single" w:sz="8" w:space="0" w:color="auto"/>
              <w:right w:val="single" w:sz="8" w:space="0" w:color="auto"/>
            </w:tcBorders>
            <w:vAlign w:val="center"/>
            <w:hideMark/>
          </w:tcPr>
          <w:p w14:paraId="4138B1D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13453%</w:t>
            </w:r>
          </w:p>
        </w:tc>
        <w:tc>
          <w:tcPr>
            <w:tcW w:w="1100" w:type="dxa"/>
            <w:tcBorders>
              <w:top w:val="nil"/>
              <w:left w:val="nil"/>
              <w:bottom w:val="single" w:sz="8" w:space="0" w:color="auto"/>
              <w:right w:val="single" w:sz="8" w:space="0" w:color="auto"/>
            </w:tcBorders>
            <w:vAlign w:val="center"/>
            <w:hideMark/>
          </w:tcPr>
          <w:p w14:paraId="370BFF2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r>
      <w:tr w:rsidR="008468B3" w:rsidRPr="008468B3" w14:paraId="3A820C84"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B791D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w:t>
            </w:r>
          </w:p>
        </w:tc>
        <w:tc>
          <w:tcPr>
            <w:tcW w:w="1919" w:type="dxa"/>
            <w:tcBorders>
              <w:top w:val="nil"/>
              <w:left w:val="nil"/>
              <w:bottom w:val="single" w:sz="8" w:space="0" w:color="auto"/>
              <w:right w:val="single" w:sz="8" w:space="0" w:color="auto"/>
            </w:tcBorders>
            <w:vAlign w:val="center"/>
            <w:hideMark/>
          </w:tcPr>
          <w:p w14:paraId="705EF7D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ALQUIMAQ SAS</w:t>
            </w:r>
          </w:p>
        </w:tc>
        <w:tc>
          <w:tcPr>
            <w:tcW w:w="817" w:type="dxa"/>
            <w:tcBorders>
              <w:top w:val="nil"/>
              <w:left w:val="nil"/>
              <w:bottom w:val="single" w:sz="8" w:space="0" w:color="auto"/>
              <w:right w:val="single" w:sz="8" w:space="0" w:color="auto"/>
            </w:tcBorders>
            <w:vAlign w:val="center"/>
            <w:hideMark/>
          </w:tcPr>
          <w:p w14:paraId="0656DB5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1,11</w:t>
            </w:r>
          </w:p>
        </w:tc>
        <w:tc>
          <w:tcPr>
            <w:tcW w:w="1271" w:type="dxa"/>
            <w:tcBorders>
              <w:top w:val="nil"/>
              <w:left w:val="nil"/>
              <w:bottom w:val="single" w:sz="8" w:space="0" w:color="auto"/>
              <w:right w:val="single" w:sz="8" w:space="0" w:color="auto"/>
            </w:tcBorders>
            <w:vAlign w:val="center"/>
            <w:hideMark/>
          </w:tcPr>
          <w:p w14:paraId="4D2918D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90" w:type="dxa"/>
            <w:tcBorders>
              <w:top w:val="nil"/>
              <w:left w:val="nil"/>
              <w:bottom w:val="single" w:sz="8" w:space="0" w:color="auto"/>
              <w:right w:val="single" w:sz="8" w:space="0" w:color="auto"/>
            </w:tcBorders>
            <w:vAlign w:val="center"/>
            <w:hideMark/>
          </w:tcPr>
          <w:p w14:paraId="3CAA6B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25,63</w:t>
            </w:r>
          </w:p>
        </w:tc>
        <w:tc>
          <w:tcPr>
            <w:tcW w:w="1099" w:type="dxa"/>
            <w:tcBorders>
              <w:top w:val="nil"/>
              <w:left w:val="nil"/>
              <w:bottom w:val="single" w:sz="8" w:space="0" w:color="auto"/>
              <w:right w:val="single" w:sz="8" w:space="0" w:color="auto"/>
            </w:tcBorders>
            <w:vAlign w:val="center"/>
            <w:hideMark/>
          </w:tcPr>
          <w:p w14:paraId="70F4DD2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58.043</w:t>
            </w:r>
          </w:p>
        </w:tc>
        <w:tc>
          <w:tcPr>
            <w:tcW w:w="1100" w:type="dxa"/>
            <w:tcBorders>
              <w:top w:val="nil"/>
              <w:left w:val="nil"/>
              <w:bottom w:val="single" w:sz="8" w:space="0" w:color="auto"/>
              <w:right w:val="single" w:sz="8" w:space="0" w:color="auto"/>
            </w:tcBorders>
            <w:vAlign w:val="center"/>
            <w:hideMark/>
          </w:tcPr>
          <w:p w14:paraId="7CD4D5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00" w:type="dxa"/>
            <w:tcBorders>
              <w:top w:val="nil"/>
              <w:left w:val="nil"/>
              <w:bottom w:val="single" w:sz="8" w:space="0" w:color="auto"/>
              <w:right w:val="single" w:sz="8" w:space="0" w:color="auto"/>
            </w:tcBorders>
            <w:vAlign w:val="center"/>
            <w:hideMark/>
          </w:tcPr>
          <w:p w14:paraId="0C086E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r>
      <w:tr w:rsidR="008468B3" w:rsidRPr="008468B3" w14:paraId="7761D06B"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A26FC8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919" w:type="dxa"/>
            <w:tcBorders>
              <w:top w:val="nil"/>
              <w:left w:val="nil"/>
              <w:bottom w:val="single" w:sz="8" w:space="0" w:color="auto"/>
              <w:right w:val="single" w:sz="8" w:space="0" w:color="auto"/>
            </w:tcBorders>
            <w:vAlign w:val="center"/>
            <w:hideMark/>
          </w:tcPr>
          <w:p w14:paraId="34B2489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IDEAS CIVILES SAS</w:t>
            </w:r>
          </w:p>
        </w:tc>
        <w:tc>
          <w:tcPr>
            <w:tcW w:w="817" w:type="dxa"/>
            <w:tcBorders>
              <w:top w:val="nil"/>
              <w:left w:val="nil"/>
              <w:bottom w:val="single" w:sz="8" w:space="0" w:color="auto"/>
              <w:right w:val="single" w:sz="8" w:space="0" w:color="auto"/>
            </w:tcBorders>
            <w:vAlign w:val="center"/>
            <w:hideMark/>
          </w:tcPr>
          <w:p w14:paraId="3698A8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3,84</w:t>
            </w:r>
          </w:p>
        </w:tc>
        <w:tc>
          <w:tcPr>
            <w:tcW w:w="1271" w:type="dxa"/>
            <w:tcBorders>
              <w:top w:val="nil"/>
              <w:left w:val="nil"/>
              <w:bottom w:val="single" w:sz="8" w:space="0" w:color="auto"/>
              <w:right w:val="single" w:sz="8" w:space="0" w:color="auto"/>
            </w:tcBorders>
            <w:vAlign w:val="center"/>
            <w:hideMark/>
          </w:tcPr>
          <w:p w14:paraId="197675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90" w:type="dxa"/>
            <w:tcBorders>
              <w:top w:val="nil"/>
              <w:left w:val="nil"/>
              <w:bottom w:val="single" w:sz="8" w:space="0" w:color="auto"/>
              <w:right w:val="single" w:sz="8" w:space="0" w:color="auto"/>
            </w:tcBorders>
            <w:vAlign w:val="center"/>
            <w:hideMark/>
          </w:tcPr>
          <w:p w14:paraId="7077E12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2058C8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5.577.264</w:t>
            </w:r>
          </w:p>
        </w:tc>
        <w:tc>
          <w:tcPr>
            <w:tcW w:w="1100" w:type="dxa"/>
            <w:tcBorders>
              <w:top w:val="nil"/>
              <w:left w:val="nil"/>
              <w:bottom w:val="single" w:sz="8" w:space="0" w:color="auto"/>
              <w:right w:val="single" w:sz="8" w:space="0" w:color="auto"/>
            </w:tcBorders>
            <w:vAlign w:val="center"/>
            <w:hideMark/>
          </w:tcPr>
          <w:p w14:paraId="69ECFE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00" w:type="dxa"/>
            <w:tcBorders>
              <w:top w:val="nil"/>
              <w:left w:val="nil"/>
              <w:bottom w:val="single" w:sz="8" w:space="0" w:color="auto"/>
              <w:right w:val="single" w:sz="8" w:space="0" w:color="auto"/>
            </w:tcBorders>
            <w:vAlign w:val="center"/>
            <w:hideMark/>
          </w:tcPr>
          <w:p w14:paraId="43ED08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29F3A1C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E8584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919" w:type="dxa"/>
            <w:tcBorders>
              <w:top w:val="nil"/>
              <w:left w:val="nil"/>
              <w:bottom w:val="single" w:sz="8" w:space="0" w:color="auto"/>
              <w:right w:val="single" w:sz="8" w:space="0" w:color="auto"/>
            </w:tcBorders>
            <w:vAlign w:val="center"/>
            <w:hideMark/>
          </w:tcPr>
          <w:p w14:paraId="6349028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SERVICIOS DE INGENIERIA CIVIL S.A.S</w:t>
            </w:r>
          </w:p>
        </w:tc>
        <w:tc>
          <w:tcPr>
            <w:tcW w:w="817" w:type="dxa"/>
            <w:tcBorders>
              <w:top w:val="nil"/>
              <w:left w:val="nil"/>
              <w:bottom w:val="single" w:sz="8" w:space="0" w:color="auto"/>
              <w:right w:val="single" w:sz="8" w:space="0" w:color="auto"/>
            </w:tcBorders>
            <w:vAlign w:val="center"/>
            <w:hideMark/>
          </w:tcPr>
          <w:p w14:paraId="02F23F0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2,02</w:t>
            </w:r>
          </w:p>
        </w:tc>
        <w:tc>
          <w:tcPr>
            <w:tcW w:w="1271" w:type="dxa"/>
            <w:tcBorders>
              <w:top w:val="nil"/>
              <w:left w:val="nil"/>
              <w:bottom w:val="single" w:sz="8" w:space="0" w:color="auto"/>
              <w:right w:val="single" w:sz="8" w:space="0" w:color="auto"/>
            </w:tcBorders>
            <w:vAlign w:val="center"/>
            <w:hideMark/>
          </w:tcPr>
          <w:p w14:paraId="22687E1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90" w:type="dxa"/>
            <w:tcBorders>
              <w:top w:val="nil"/>
              <w:left w:val="nil"/>
              <w:bottom w:val="single" w:sz="8" w:space="0" w:color="auto"/>
              <w:right w:val="single" w:sz="8" w:space="0" w:color="auto"/>
            </w:tcBorders>
            <w:vAlign w:val="center"/>
            <w:hideMark/>
          </w:tcPr>
          <w:p w14:paraId="1DB9A8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1,74</w:t>
            </w:r>
          </w:p>
        </w:tc>
        <w:tc>
          <w:tcPr>
            <w:tcW w:w="1099" w:type="dxa"/>
            <w:tcBorders>
              <w:top w:val="nil"/>
              <w:left w:val="nil"/>
              <w:bottom w:val="single" w:sz="8" w:space="0" w:color="auto"/>
              <w:right w:val="single" w:sz="8" w:space="0" w:color="auto"/>
            </w:tcBorders>
            <w:vAlign w:val="center"/>
            <w:hideMark/>
          </w:tcPr>
          <w:p w14:paraId="767867B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1.388.674</w:t>
            </w:r>
          </w:p>
        </w:tc>
        <w:tc>
          <w:tcPr>
            <w:tcW w:w="1100" w:type="dxa"/>
            <w:tcBorders>
              <w:top w:val="nil"/>
              <w:left w:val="nil"/>
              <w:bottom w:val="single" w:sz="8" w:space="0" w:color="auto"/>
              <w:right w:val="single" w:sz="8" w:space="0" w:color="auto"/>
            </w:tcBorders>
            <w:vAlign w:val="center"/>
            <w:hideMark/>
          </w:tcPr>
          <w:p w14:paraId="042F57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272AA4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22935530"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029111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919" w:type="dxa"/>
            <w:tcBorders>
              <w:top w:val="nil"/>
              <w:left w:val="nil"/>
              <w:bottom w:val="single" w:sz="8" w:space="0" w:color="auto"/>
              <w:right w:val="single" w:sz="8" w:space="0" w:color="auto"/>
            </w:tcBorders>
            <w:vAlign w:val="center"/>
            <w:hideMark/>
          </w:tcPr>
          <w:p w14:paraId="125EF16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COARTE SAS</w:t>
            </w:r>
          </w:p>
        </w:tc>
        <w:tc>
          <w:tcPr>
            <w:tcW w:w="817" w:type="dxa"/>
            <w:tcBorders>
              <w:top w:val="nil"/>
              <w:left w:val="nil"/>
              <w:bottom w:val="single" w:sz="8" w:space="0" w:color="auto"/>
              <w:right w:val="single" w:sz="8" w:space="0" w:color="auto"/>
            </w:tcBorders>
            <w:vAlign w:val="center"/>
            <w:hideMark/>
          </w:tcPr>
          <w:p w14:paraId="5F60166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2,66</w:t>
            </w:r>
          </w:p>
        </w:tc>
        <w:tc>
          <w:tcPr>
            <w:tcW w:w="1271" w:type="dxa"/>
            <w:tcBorders>
              <w:top w:val="nil"/>
              <w:left w:val="nil"/>
              <w:bottom w:val="single" w:sz="8" w:space="0" w:color="auto"/>
              <w:right w:val="single" w:sz="8" w:space="0" w:color="auto"/>
            </w:tcBorders>
            <w:vAlign w:val="center"/>
            <w:hideMark/>
          </w:tcPr>
          <w:p w14:paraId="04481B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w:t>
            </w:r>
          </w:p>
        </w:tc>
        <w:tc>
          <w:tcPr>
            <w:tcW w:w="1190" w:type="dxa"/>
            <w:tcBorders>
              <w:top w:val="nil"/>
              <w:left w:val="nil"/>
              <w:bottom w:val="single" w:sz="8" w:space="0" w:color="auto"/>
              <w:right w:val="single" w:sz="8" w:space="0" w:color="auto"/>
            </w:tcBorders>
            <w:vAlign w:val="center"/>
            <w:hideMark/>
          </w:tcPr>
          <w:p w14:paraId="5D650B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16,19</w:t>
            </w:r>
          </w:p>
        </w:tc>
        <w:tc>
          <w:tcPr>
            <w:tcW w:w="1099" w:type="dxa"/>
            <w:tcBorders>
              <w:top w:val="nil"/>
              <w:left w:val="nil"/>
              <w:bottom w:val="single" w:sz="8" w:space="0" w:color="auto"/>
              <w:right w:val="single" w:sz="8" w:space="0" w:color="auto"/>
            </w:tcBorders>
            <w:vAlign w:val="center"/>
            <w:hideMark/>
          </w:tcPr>
          <w:p w14:paraId="087324E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3.049.656</w:t>
            </w:r>
          </w:p>
        </w:tc>
        <w:tc>
          <w:tcPr>
            <w:tcW w:w="1100" w:type="dxa"/>
            <w:tcBorders>
              <w:top w:val="nil"/>
              <w:left w:val="nil"/>
              <w:bottom w:val="single" w:sz="8" w:space="0" w:color="auto"/>
              <w:right w:val="single" w:sz="8" w:space="0" w:color="auto"/>
            </w:tcBorders>
            <w:vAlign w:val="center"/>
            <w:hideMark/>
          </w:tcPr>
          <w:p w14:paraId="445B1AB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w:t>
            </w:r>
          </w:p>
        </w:tc>
        <w:tc>
          <w:tcPr>
            <w:tcW w:w="1100" w:type="dxa"/>
            <w:tcBorders>
              <w:top w:val="nil"/>
              <w:left w:val="nil"/>
              <w:bottom w:val="single" w:sz="8" w:space="0" w:color="auto"/>
              <w:right w:val="single" w:sz="8" w:space="0" w:color="auto"/>
            </w:tcBorders>
            <w:vAlign w:val="center"/>
            <w:hideMark/>
          </w:tcPr>
          <w:p w14:paraId="761BC6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098008D7"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0937C4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c>
          <w:tcPr>
            <w:tcW w:w="1919" w:type="dxa"/>
            <w:tcBorders>
              <w:top w:val="nil"/>
              <w:left w:val="nil"/>
              <w:bottom w:val="single" w:sz="8" w:space="0" w:color="auto"/>
              <w:right w:val="single" w:sz="8" w:space="0" w:color="auto"/>
            </w:tcBorders>
            <w:vAlign w:val="center"/>
            <w:hideMark/>
          </w:tcPr>
          <w:p w14:paraId="3B76F64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PROTELEC SAS</w:t>
            </w:r>
          </w:p>
        </w:tc>
        <w:tc>
          <w:tcPr>
            <w:tcW w:w="817" w:type="dxa"/>
            <w:tcBorders>
              <w:top w:val="nil"/>
              <w:left w:val="nil"/>
              <w:bottom w:val="single" w:sz="8" w:space="0" w:color="auto"/>
              <w:right w:val="single" w:sz="8" w:space="0" w:color="auto"/>
            </w:tcBorders>
            <w:vAlign w:val="center"/>
            <w:hideMark/>
          </w:tcPr>
          <w:p w14:paraId="5DD26D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3,63</w:t>
            </w:r>
          </w:p>
        </w:tc>
        <w:tc>
          <w:tcPr>
            <w:tcW w:w="1271" w:type="dxa"/>
            <w:tcBorders>
              <w:top w:val="nil"/>
              <w:left w:val="nil"/>
              <w:bottom w:val="single" w:sz="8" w:space="0" w:color="auto"/>
              <w:right w:val="single" w:sz="8" w:space="0" w:color="auto"/>
            </w:tcBorders>
            <w:vAlign w:val="center"/>
            <w:hideMark/>
          </w:tcPr>
          <w:p w14:paraId="6CCAA51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90" w:type="dxa"/>
            <w:tcBorders>
              <w:top w:val="nil"/>
              <w:left w:val="nil"/>
              <w:bottom w:val="single" w:sz="8" w:space="0" w:color="auto"/>
              <w:right w:val="single" w:sz="8" w:space="0" w:color="auto"/>
            </w:tcBorders>
            <w:vAlign w:val="center"/>
            <w:hideMark/>
          </w:tcPr>
          <w:p w14:paraId="352D35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8,86</w:t>
            </w:r>
          </w:p>
        </w:tc>
        <w:tc>
          <w:tcPr>
            <w:tcW w:w="1099" w:type="dxa"/>
            <w:tcBorders>
              <w:top w:val="nil"/>
              <w:left w:val="nil"/>
              <w:bottom w:val="single" w:sz="8" w:space="0" w:color="auto"/>
              <w:right w:val="single" w:sz="8" w:space="0" w:color="auto"/>
            </w:tcBorders>
            <w:vAlign w:val="center"/>
            <w:hideMark/>
          </w:tcPr>
          <w:p w14:paraId="2264CC9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810.787</w:t>
            </w:r>
          </w:p>
        </w:tc>
        <w:tc>
          <w:tcPr>
            <w:tcW w:w="1100" w:type="dxa"/>
            <w:tcBorders>
              <w:top w:val="nil"/>
              <w:left w:val="nil"/>
              <w:bottom w:val="single" w:sz="8" w:space="0" w:color="auto"/>
              <w:right w:val="single" w:sz="8" w:space="0" w:color="auto"/>
            </w:tcBorders>
            <w:vAlign w:val="center"/>
            <w:hideMark/>
          </w:tcPr>
          <w:p w14:paraId="100958E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51A387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5B5C625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FDFC5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61</w:t>
            </w:r>
          </w:p>
        </w:tc>
        <w:tc>
          <w:tcPr>
            <w:tcW w:w="1919" w:type="dxa"/>
            <w:tcBorders>
              <w:top w:val="nil"/>
              <w:left w:val="nil"/>
              <w:bottom w:val="single" w:sz="8" w:space="0" w:color="auto"/>
              <w:right w:val="single" w:sz="8" w:space="0" w:color="auto"/>
            </w:tcBorders>
            <w:vAlign w:val="center"/>
            <w:hideMark/>
          </w:tcPr>
          <w:p w14:paraId="16B3E49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CANALKI SAS</w:t>
            </w:r>
          </w:p>
        </w:tc>
        <w:tc>
          <w:tcPr>
            <w:tcW w:w="817" w:type="dxa"/>
            <w:tcBorders>
              <w:top w:val="nil"/>
              <w:left w:val="nil"/>
              <w:bottom w:val="single" w:sz="8" w:space="0" w:color="auto"/>
              <w:right w:val="single" w:sz="8" w:space="0" w:color="auto"/>
            </w:tcBorders>
            <w:vAlign w:val="center"/>
            <w:hideMark/>
          </w:tcPr>
          <w:p w14:paraId="0E5591F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3,98</w:t>
            </w:r>
          </w:p>
        </w:tc>
        <w:tc>
          <w:tcPr>
            <w:tcW w:w="1271" w:type="dxa"/>
            <w:tcBorders>
              <w:top w:val="nil"/>
              <w:left w:val="nil"/>
              <w:bottom w:val="single" w:sz="8" w:space="0" w:color="auto"/>
              <w:right w:val="single" w:sz="8" w:space="0" w:color="auto"/>
            </w:tcBorders>
            <w:vAlign w:val="center"/>
            <w:hideMark/>
          </w:tcPr>
          <w:p w14:paraId="03CE203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79%</w:t>
            </w:r>
          </w:p>
        </w:tc>
        <w:tc>
          <w:tcPr>
            <w:tcW w:w="1190" w:type="dxa"/>
            <w:tcBorders>
              <w:top w:val="nil"/>
              <w:left w:val="nil"/>
              <w:bottom w:val="single" w:sz="8" w:space="0" w:color="auto"/>
              <w:right w:val="single" w:sz="8" w:space="0" w:color="auto"/>
            </w:tcBorders>
            <w:vAlign w:val="center"/>
            <w:hideMark/>
          </w:tcPr>
          <w:p w14:paraId="15B632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7,50</w:t>
            </w:r>
          </w:p>
        </w:tc>
        <w:tc>
          <w:tcPr>
            <w:tcW w:w="1099" w:type="dxa"/>
            <w:tcBorders>
              <w:top w:val="nil"/>
              <w:left w:val="nil"/>
              <w:bottom w:val="single" w:sz="8" w:space="0" w:color="auto"/>
              <w:right w:val="single" w:sz="8" w:space="0" w:color="auto"/>
            </w:tcBorders>
            <w:vAlign w:val="center"/>
            <w:hideMark/>
          </w:tcPr>
          <w:p w14:paraId="09BA2B2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11.320.038</w:t>
            </w:r>
          </w:p>
        </w:tc>
        <w:tc>
          <w:tcPr>
            <w:tcW w:w="1100" w:type="dxa"/>
            <w:tcBorders>
              <w:top w:val="nil"/>
              <w:left w:val="nil"/>
              <w:bottom w:val="single" w:sz="8" w:space="0" w:color="auto"/>
              <w:right w:val="single" w:sz="8" w:space="0" w:color="auto"/>
            </w:tcBorders>
            <w:vAlign w:val="center"/>
            <w:hideMark/>
          </w:tcPr>
          <w:p w14:paraId="4616A56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6DD339C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6652881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23525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w:t>
            </w:r>
          </w:p>
        </w:tc>
        <w:tc>
          <w:tcPr>
            <w:tcW w:w="1919" w:type="dxa"/>
            <w:tcBorders>
              <w:top w:val="nil"/>
              <w:left w:val="nil"/>
              <w:bottom w:val="single" w:sz="8" w:space="0" w:color="auto"/>
              <w:right w:val="single" w:sz="8" w:space="0" w:color="auto"/>
            </w:tcBorders>
            <w:vAlign w:val="center"/>
            <w:hideMark/>
          </w:tcPr>
          <w:p w14:paraId="4BDA68B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PC MEJIA S.A.</w:t>
            </w:r>
          </w:p>
        </w:tc>
        <w:tc>
          <w:tcPr>
            <w:tcW w:w="817" w:type="dxa"/>
            <w:tcBorders>
              <w:top w:val="nil"/>
              <w:left w:val="nil"/>
              <w:bottom w:val="single" w:sz="8" w:space="0" w:color="auto"/>
              <w:right w:val="single" w:sz="8" w:space="0" w:color="auto"/>
            </w:tcBorders>
            <w:vAlign w:val="center"/>
            <w:hideMark/>
          </w:tcPr>
          <w:p w14:paraId="14EF1E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1,42</w:t>
            </w:r>
          </w:p>
        </w:tc>
        <w:tc>
          <w:tcPr>
            <w:tcW w:w="1271" w:type="dxa"/>
            <w:tcBorders>
              <w:top w:val="nil"/>
              <w:left w:val="nil"/>
              <w:bottom w:val="single" w:sz="8" w:space="0" w:color="auto"/>
              <w:right w:val="single" w:sz="8" w:space="0" w:color="auto"/>
            </w:tcBorders>
            <w:vAlign w:val="center"/>
            <w:hideMark/>
          </w:tcPr>
          <w:p w14:paraId="346E269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w:t>
            </w:r>
          </w:p>
        </w:tc>
        <w:tc>
          <w:tcPr>
            <w:tcW w:w="1190" w:type="dxa"/>
            <w:tcBorders>
              <w:top w:val="nil"/>
              <w:left w:val="nil"/>
              <w:bottom w:val="single" w:sz="8" w:space="0" w:color="auto"/>
              <w:right w:val="single" w:sz="8" w:space="0" w:color="auto"/>
            </w:tcBorders>
            <w:vAlign w:val="center"/>
            <w:hideMark/>
          </w:tcPr>
          <w:p w14:paraId="00CA57A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D91666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23.334.184</w:t>
            </w:r>
          </w:p>
        </w:tc>
        <w:tc>
          <w:tcPr>
            <w:tcW w:w="1100" w:type="dxa"/>
            <w:tcBorders>
              <w:top w:val="nil"/>
              <w:left w:val="nil"/>
              <w:bottom w:val="single" w:sz="8" w:space="0" w:color="auto"/>
              <w:right w:val="single" w:sz="8" w:space="0" w:color="auto"/>
            </w:tcBorders>
            <w:vAlign w:val="center"/>
            <w:hideMark/>
          </w:tcPr>
          <w:p w14:paraId="7E1160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c>
          <w:tcPr>
            <w:tcW w:w="1100" w:type="dxa"/>
            <w:tcBorders>
              <w:top w:val="nil"/>
              <w:left w:val="nil"/>
              <w:bottom w:val="single" w:sz="8" w:space="0" w:color="auto"/>
              <w:right w:val="single" w:sz="8" w:space="0" w:color="auto"/>
            </w:tcBorders>
            <w:vAlign w:val="center"/>
            <w:hideMark/>
          </w:tcPr>
          <w:p w14:paraId="7BAAE6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70560EB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73CC6E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w:t>
            </w:r>
          </w:p>
        </w:tc>
        <w:tc>
          <w:tcPr>
            <w:tcW w:w="1919" w:type="dxa"/>
            <w:tcBorders>
              <w:top w:val="nil"/>
              <w:left w:val="nil"/>
              <w:bottom w:val="single" w:sz="8" w:space="0" w:color="auto"/>
              <w:right w:val="single" w:sz="8" w:space="0" w:color="auto"/>
            </w:tcBorders>
            <w:vAlign w:val="center"/>
            <w:hideMark/>
          </w:tcPr>
          <w:p w14:paraId="41A699B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ELECTROMONTAJES S.A.S</w:t>
            </w:r>
          </w:p>
        </w:tc>
        <w:tc>
          <w:tcPr>
            <w:tcW w:w="817" w:type="dxa"/>
            <w:tcBorders>
              <w:top w:val="nil"/>
              <w:left w:val="nil"/>
              <w:bottom w:val="single" w:sz="8" w:space="0" w:color="auto"/>
              <w:right w:val="single" w:sz="8" w:space="0" w:color="auto"/>
            </w:tcBorders>
            <w:vAlign w:val="center"/>
            <w:hideMark/>
          </w:tcPr>
          <w:p w14:paraId="2F64554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2,17</w:t>
            </w:r>
          </w:p>
        </w:tc>
        <w:tc>
          <w:tcPr>
            <w:tcW w:w="1271" w:type="dxa"/>
            <w:tcBorders>
              <w:top w:val="nil"/>
              <w:left w:val="nil"/>
              <w:bottom w:val="single" w:sz="8" w:space="0" w:color="auto"/>
              <w:right w:val="single" w:sz="8" w:space="0" w:color="auto"/>
            </w:tcBorders>
            <w:vAlign w:val="center"/>
            <w:hideMark/>
          </w:tcPr>
          <w:p w14:paraId="372957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w:t>
            </w:r>
          </w:p>
        </w:tc>
        <w:tc>
          <w:tcPr>
            <w:tcW w:w="1190" w:type="dxa"/>
            <w:tcBorders>
              <w:top w:val="nil"/>
              <w:left w:val="nil"/>
              <w:bottom w:val="single" w:sz="8" w:space="0" w:color="auto"/>
              <w:right w:val="single" w:sz="8" w:space="0" w:color="auto"/>
            </w:tcBorders>
            <w:vAlign w:val="center"/>
            <w:hideMark/>
          </w:tcPr>
          <w:p w14:paraId="481EB0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2,03</w:t>
            </w:r>
          </w:p>
        </w:tc>
        <w:tc>
          <w:tcPr>
            <w:tcW w:w="1099" w:type="dxa"/>
            <w:tcBorders>
              <w:top w:val="nil"/>
              <w:left w:val="nil"/>
              <w:bottom w:val="single" w:sz="8" w:space="0" w:color="auto"/>
              <w:right w:val="single" w:sz="8" w:space="0" w:color="auto"/>
            </w:tcBorders>
            <w:vAlign w:val="center"/>
            <w:hideMark/>
          </w:tcPr>
          <w:p w14:paraId="5C5C9E4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2.654.867</w:t>
            </w:r>
          </w:p>
        </w:tc>
        <w:tc>
          <w:tcPr>
            <w:tcW w:w="1100" w:type="dxa"/>
            <w:tcBorders>
              <w:top w:val="nil"/>
              <w:left w:val="nil"/>
              <w:bottom w:val="single" w:sz="8" w:space="0" w:color="auto"/>
              <w:right w:val="single" w:sz="8" w:space="0" w:color="auto"/>
            </w:tcBorders>
            <w:vAlign w:val="center"/>
            <w:hideMark/>
          </w:tcPr>
          <w:p w14:paraId="6831F7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5FEBB3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64E38F4F"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307F27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w:t>
            </w:r>
          </w:p>
        </w:tc>
        <w:tc>
          <w:tcPr>
            <w:tcW w:w="1919" w:type="dxa"/>
            <w:tcBorders>
              <w:top w:val="nil"/>
              <w:left w:val="nil"/>
              <w:bottom w:val="single" w:sz="8" w:space="0" w:color="auto"/>
              <w:right w:val="single" w:sz="8" w:space="0" w:color="auto"/>
            </w:tcBorders>
            <w:vAlign w:val="center"/>
            <w:hideMark/>
          </w:tcPr>
          <w:p w14:paraId="192C41D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TODO EN CONSTRUCCIONES CIVILES SAS</w:t>
            </w:r>
          </w:p>
        </w:tc>
        <w:tc>
          <w:tcPr>
            <w:tcW w:w="817" w:type="dxa"/>
            <w:tcBorders>
              <w:top w:val="nil"/>
              <w:left w:val="nil"/>
              <w:bottom w:val="single" w:sz="8" w:space="0" w:color="auto"/>
              <w:right w:val="single" w:sz="8" w:space="0" w:color="auto"/>
            </w:tcBorders>
            <w:vAlign w:val="center"/>
            <w:hideMark/>
          </w:tcPr>
          <w:p w14:paraId="51E771A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1,30</w:t>
            </w:r>
          </w:p>
        </w:tc>
        <w:tc>
          <w:tcPr>
            <w:tcW w:w="1271" w:type="dxa"/>
            <w:tcBorders>
              <w:top w:val="nil"/>
              <w:left w:val="nil"/>
              <w:bottom w:val="single" w:sz="8" w:space="0" w:color="auto"/>
              <w:right w:val="single" w:sz="8" w:space="0" w:color="auto"/>
            </w:tcBorders>
            <w:vAlign w:val="center"/>
            <w:hideMark/>
          </w:tcPr>
          <w:p w14:paraId="37011B7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190" w:type="dxa"/>
            <w:tcBorders>
              <w:top w:val="nil"/>
              <w:left w:val="nil"/>
              <w:bottom w:val="single" w:sz="8" w:space="0" w:color="auto"/>
              <w:right w:val="single" w:sz="8" w:space="0" w:color="auto"/>
            </w:tcBorders>
            <w:vAlign w:val="center"/>
            <w:hideMark/>
          </w:tcPr>
          <w:p w14:paraId="40879C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7,02</w:t>
            </w:r>
          </w:p>
        </w:tc>
        <w:tc>
          <w:tcPr>
            <w:tcW w:w="1099" w:type="dxa"/>
            <w:tcBorders>
              <w:top w:val="nil"/>
              <w:left w:val="nil"/>
              <w:bottom w:val="single" w:sz="8" w:space="0" w:color="auto"/>
              <w:right w:val="single" w:sz="8" w:space="0" w:color="auto"/>
            </w:tcBorders>
            <w:vAlign w:val="center"/>
            <w:hideMark/>
          </w:tcPr>
          <w:p w14:paraId="2D93F55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3.587.681</w:t>
            </w:r>
          </w:p>
        </w:tc>
        <w:tc>
          <w:tcPr>
            <w:tcW w:w="1100" w:type="dxa"/>
            <w:tcBorders>
              <w:top w:val="nil"/>
              <w:left w:val="nil"/>
              <w:bottom w:val="single" w:sz="8" w:space="0" w:color="auto"/>
              <w:right w:val="single" w:sz="8" w:space="0" w:color="auto"/>
            </w:tcBorders>
            <w:vAlign w:val="center"/>
            <w:hideMark/>
          </w:tcPr>
          <w:p w14:paraId="203700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c>
          <w:tcPr>
            <w:tcW w:w="1100" w:type="dxa"/>
            <w:tcBorders>
              <w:top w:val="nil"/>
              <w:left w:val="nil"/>
              <w:bottom w:val="single" w:sz="8" w:space="0" w:color="auto"/>
              <w:right w:val="single" w:sz="8" w:space="0" w:color="auto"/>
            </w:tcBorders>
            <w:vAlign w:val="center"/>
            <w:hideMark/>
          </w:tcPr>
          <w:p w14:paraId="7912E4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r>
      <w:tr w:rsidR="008468B3" w:rsidRPr="008468B3" w14:paraId="7B0EB2BE"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8FDC8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65</w:t>
            </w:r>
          </w:p>
        </w:tc>
        <w:tc>
          <w:tcPr>
            <w:tcW w:w="1919" w:type="dxa"/>
            <w:tcBorders>
              <w:top w:val="nil"/>
              <w:left w:val="nil"/>
              <w:bottom w:val="single" w:sz="8" w:space="0" w:color="auto"/>
              <w:right w:val="single" w:sz="8" w:space="0" w:color="auto"/>
            </w:tcBorders>
            <w:vAlign w:val="center"/>
            <w:hideMark/>
          </w:tcPr>
          <w:p w14:paraId="0AFDF72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INMOBILIARIA SANTA PAULA S.A.S.</w:t>
            </w:r>
          </w:p>
        </w:tc>
        <w:tc>
          <w:tcPr>
            <w:tcW w:w="817" w:type="dxa"/>
            <w:tcBorders>
              <w:top w:val="nil"/>
              <w:left w:val="nil"/>
              <w:bottom w:val="single" w:sz="8" w:space="0" w:color="auto"/>
              <w:right w:val="single" w:sz="8" w:space="0" w:color="auto"/>
            </w:tcBorders>
            <w:vAlign w:val="center"/>
            <w:hideMark/>
          </w:tcPr>
          <w:p w14:paraId="4C00586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3,36</w:t>
            </w:r>
          </w:p>
        </w:tc>
        <w:tc>
          <w:tcPr>
            <w:tcW w:w="1271" w:type="dxa"/>
            <w:tcBorders>
              <w:top w:val="nil"/>
              <w:left w:val="nil"/>
              <w:bottom w:val="single" w:sz="8" w:space="0" w:color="auto"/>
              <w:right w:val="single" w:sz="8" w:space="0" w:color="auto"/>
            </w:tcBorders>
            <w:vAlign w:val="center"/>
            <w:hideMark/>
          </w:tcPr>
          <w:p w14:paraId="444D61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90" w:type="dxa"/>
            <w:tcBorders>
              <w:top w:val="nil"/>
              <w:left w:val="nil"/>
              <w:bottom w:val="single" w:sz="8" w:space="0" w:color="auto"/>
              <w:right w:val="single" w:sz="8" w:space="0" w:color="auto"/>
            </w:tcBorders>
            <w:vAlign w:val="center"/>
            <w:hideMark/>
          </w:tcPr>
          <w:p w14:paraId="679141E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2,10</w:t>
            </w:r>
          </w:p>
        </w:tc>
        <w:tc>
          <w:tcPr>
            <w:tcW w:w="1099" w:type="dxa"/>
            <w:tcBorders>
              <w:top w:val="nil"/>
              <w:left w:val="nil"/>
              <w:bottom w:val="single" w:sz="8" w:space="0" w:color="auto"/>
              <w:right w:val="single" w:sz="8" w:space="0" w:color="auto"/>
            </w:tcBorders>
            <w:vAlign w:val="center"/>
            <w:hideMark/>
          </w:tcPr>
          <w:p w14:paraId="4A9A49B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1.828.674</w:t>
            </w:r>
          </w:p>
        </w:tc>
        <w:tc>
          <w:tcPr>
            <w:tcW w:w="1100" w:type="dxa"/>
            <w:tcBorders>
              <w:top w:val="nil"/>
              <w:left w:val="nil"/>
              <w:bottom w:val="single" w:sz="8" w:space="0" w:color="auto"/>
              <w:right w:val="single" w:sz="8" w:space="0" w:color="auto"/>
            </w:tcBorders>
            <w:vAlign w:val="center"/>
            <w:hideMark/>
          </w:tcPr>
          <w:p w14:paraId="1C0B6C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7D5683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773A3478"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DEC190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66</w:t>
            </w:r>
          </w:p>
        </w:tc>
        <w:tc>
          <w:tcPr>
            <w:tcW w:w="1919" w:type="dxa"/>
            <w:tcBorders>
              <w:top w:val="nil"/>
              <w:left w:val="nil"/>
              <w:bottom w:val="single" w:sz="8" w:space="0" w:color="auto"/>
              <w:right w:val="single" w:sz="8" w:space="0" w:color="auto"/>
            </w:tcBorders>
            <w:vAlign w:val="center"/>
            <w:hideMark/>
          </w:tcPr>
          <w:p w14:paraId="65894B6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METAL CIVIL SAS</w:t>
            </w:r>
          </w:p>
        </w:tc>
        <w:tc>
          <w:tcPr>
            <w:tcW w:w="817" w:type="dxa"/>
            <w:tcBorders>
              <w:top w:val="nil"/>
              <w:left w:val="nil"/>
              <w:bottom w:val="single" w:sz="8" w:space="0" w:color="auto"/>
              <w:right w:val="single" w:sz="8" w:space="0" w:color="auto"/>
            </w:tcBorders>
            <w:vAlign w:val="center"/>
            <w:hideMark/>
          </w:tcPr>
          <w:p w14:paraId="5F1EA63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6,63</w:t>
            </w:r>
          </w:p>
        </w:tc>
        <w:tc>
          <w:tcPr>
            <w:tcW w:w="1271" w:type="dxa"/>
            <w:tcBorders>
              <w:top w:val="nil"/>
              <w:left w:val="nil"/>
              <w:bottom w:val="single" w:sz="8" w:space="0" w:color="auto"/>
              <w:right w:val="single" w:sz="8" w:space="0" w:color="auto"/>
            </w:tcBorders>
            <w:vAlign w:val="center"/>
            <w:hideMark/>
          </w:tcPr>
          <w:p w14:paraId="35DBE9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90" w:type="dxa"/>
            <w:tcBorders>
              <w:top w:val="nil"/>
              <w:left w:val="nil"/>
              <w:bottom w:val="single" w:sz="8" w:space="0" w:color="auto"/>
              <w:right w:val="single" w:sz="8" w:space="0" w:color="auto"/>
            </w:tcBorders>
            <w:vAlign w:val="center"/>
            <w:hideMark/>
          </w:tcPr>
          <w:p w14:paraId="50A9B6F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5,98</w:t>
            </w:r>
          </w:p>
        </w:tc>
        <w:tc>
          <w:tcPr>
            <w:tcW w:w="1099" w:type="dxa"/>
            <w:tcBorders>
              <w:top w:val="nil"/>
              <w:left w:val="nil"/>
              <w:bottom w:val="single" w:sz="8" w:space="0" w:color="auto"/>
              <w:right w:val="single" w:sz="8" w:space="0" w:color="auto"/>
            </w:tcBorders>
            <w:vAlign w:val="center"/>
            <w:hideMark/>
          </w:tcPr>
          <w:p w14:paraId="19DCC60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1.101.911</w:t>
            </w:r>
          </w:p>
        </w:tc>
        <w:tc>
          <w:tcPr>
            <w:tcW w:w="1100" w:type="dxa"/>
            <w:tcBorders>
              <w:top w:val="nil"/>
              <w:left w:val="nil"/>
              <w:bottom w:val="single" w:sz="8" w:space="0" w:color="auto"/>
              <w:right w:val="single" w:sz="8" w:space="0" w:color="auto"/>
            </w:tcBorders>
            <w:vAlign w:val="center"/>
            <w:hideMark/>
          </w:tcPr>
          <w:p w14:paraId="45A49E2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57551C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7BB623D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EFBEA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w:t>
            </w:r>
          </w:p>
        </w:tc>
        <w:tc>
          <w:tcPr>
            <w:tcW w:w="1919" w:type="dxa"/>
            <w:tcBorders>
              <w:top w:val="nil"/>
              <w:left w:val="nil"/>
              <w:bottom w:val="single" w:sz="8" w:space="0" w:color="auto"/>
              <w:right w:val="single" w:sz="8" w:space="0" w:color="auto"/>
            </w:tcBorders>
            <w:vAlign w:val="center"/>
            <w:hideMark/>
          </w:tcPr>
          <w:p w14:paraId="714F351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CONSTRUCOL S.A.S.</w:t>
            </w:r>
          </w:p>
        </w:tc>
        <w:tc>
          <w:tcPr>
            <w:tcW w:w="817" w:type="dxa"/>
            <w:tcBorders>
              <w:top w:val="nil"/>
              <w:left w:val="nil"/>
              <w:bottom w:val="single" w:sz="8" w:space="0" w:color="auto"/>
              <w:right w:val="single" w:sz="8" w:space="0" w:color="auto"/>
            </w:tcBorders>
            <w:vAlign w:val="center"/>
            <w:hideMark/>
          </w:tcPr>
          <w:p w14:paraId="06B38B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29,50</w:t>
            </w:r>
          </w:p>
        </w:tc>
        <w:tc>
          <w:tcPr>
            <w:tcW w:w="1271" w:type="dxa"/>
            <w:tcBorders>
              <w:top w:val="nil"/>
              <w:left w:val="nil"/>
              <w:bottom w:val="single" w:sz="8" w:space="0" w:color="auto"/>
              <w:right w:val="single" w:sz="8" w:space="0" w:color="auto"/>
            </w:tcBorders>
            <w:vAlign w:val="center"/>
            <w:hideMark/>
          </w:tcPr>
          <w:p w14:paraId="30EAE6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90" w:type="dxa"/>
            <w:tcBorders>
              <w:top w:val="nil"/>
              <w:left w:val="nil"/>
              <w:bottom w:val="single" w:sz="8" w:space="0" w:color="auto"/>
              <w:right w:val="single" w:sz="8" w:space="0" w:color="auto"/>
            </w:tcBorders>
            <w:vAlign w:val="center"/>
            <w:hideMark/>
          </w:tcPr>
          <w:p w14:paraId="3E9A19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4,81</w:t>
            </w:r>
          </w:p>
        </w:tc>
        <w:tc>
          <w:tcPr>
            <w:tcW w:w="1099" w:type="dxa"/>
            <w:tcBorders>
              <w:top w:val="nil"/>
              <w:left w:val="nil"/>
              <w:bottom w:val="single" w:sz="8" w:space="0" w:color="auto"/>
              <w:right w:val="single" w:sz="8" w:space="0" w:color="auto"/>
            </w:tcBorders>
            <w:vAlign w:val="center"/>
            <w:hideMark/>
          </w:tcPr>
          <w:p w14:paraId="38D296D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5.298.372</w:t>
            </w:r>
          </w:p>
        </w:tc>
        <w:tc>
          <w:tcPr>
            <w:tcW w:w="1100" w:type="dxa"/>
            <w:tcBorders>
              <w:top w:val="nil"/>
              <w:left w:val="nil"/>
              <w:bottom w:val="single" w:sz="8" w:space="0" w:color="auto"/>
              <w:right w:val="single" w:sz="8" w:space="0" w:color="auto"/>
            </w:tcBorders>
            <w:vAlign w:val="center"/>
            <w:hideMark/>
          </w:tcPr>
          <w:p w14:paraId="01F118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194EB6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30BDEB7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589BFB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w:t>
            </w:r>
          </w:p>
        </w:tc>
        <w:tc>
          <w:tcPr>
            <w:tcW w:w="1919" w:type="dxa"/>
            <w:tcBorders>
              <w:top w:val="nil"/>
              <w:left w:val="nil"/>
              <w:bottom w:val="single" w:sz="8" w:space="0" w:color="auto"/>
              <w:right w:val="single" w:sz="8" w:space="0" w:color="auto"/>
            </w:tcBorders>
            <w:vAlign w:val="center"/>
            <w:hideMark/>
          </w:tcPr>
          <w:p w14:paraId="608D2D7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INGELEC SAS</w:t>
            </w:r>
          </w:p>
        </w:tc>
        <w:tc>
          <w:tcPr>
            <w:tcW w:w="817" w:type="dxa"/>
            <w:tcBorders>
              <w:top w:val="nil"/>
              <w:left w:val="nil"/>
              <w:bottom w:val="single" w:sz="8" w:space="0" w:color="auto"/>
              <w:right w:val="single" w:sz="8" w:space="0" w:color="auto"/>
            </w:tcBorders>
            <w:vAlign w:val="center"/>
            <w:hideMark/>
          </w:tcPr>
          <w:p w14:paraId="23171C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8,84</w:t>
            </w:r>
          </w:p>
        </w:tc>
        <w:tc>
          <w:tcPr>
            <w:tcW w:w="1271" w:type="dxa"/>
            <w:tcBorders>
              <w:top w:val="nil"/>
              <w:left w:val="nil"/>
              <w:bottom w:val="single" w:sz="8" w:space="0" w:color="auto"/>
              <w:right w:val="single" w:sz="8" w:space="0" w:color="auto"/>
            </w:tcBorders>
            <w:vAlign w:val="center"/>
            <w:hideMark/>
          </w:tcPr>
          <w:p w14:paraId="48A6AF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90" w:type="dxa"/>
            <w:tcBorders>
              <w:top w:val="nil"/>
              <w:left w:val="nil"/>
              <w:bottom w:val="single" w:sz="8" w:space="0" w:color="auto"/>
              <w:right w:val="single" w:sz="8" w:space="0" w:color="auto"/>
            </w:tcBorders>
            <w:vAlign w:val="center"/>
            <w:hideMark/>
          </w:tcPr>
          <w:p w14:paraId="3DA33FE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3AD68F8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20.977.601</w:t>
            </w:r>
          </w:p>
        </w:tc>
        <w:tc>
          <w:tcPr>
            <w:tcW w:w="1100" w:type="dxa"/>
            <w:tcBorders>
              <w:top w:val="nil"/>
              <w:left w:val="nil"/>
              <w:bottom w:val="single" w:sz="8" w:space="0" w:color="auto"/>
              <w:right w:val="single" w:sz="8" w:space="0" w:color="auto"/>
            </w:tcBorders>
            <w:vAlign w:val="center"/>
            <w:hideMark/>
          </w:tcPr>
          <w:p w14:paraId="544DF4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4DB841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58559608"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0FFE4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69</w:t>
            </w:r>
          </w:p>
        </w:tc>
        <w:tc>
          <w:tcPr>
            <w:tcW w:w="1919" w:type="dxa"/>
            <w:tcBorders>
              <w:top w:val="nil"/>
              <w:left w:val="nil"/>
              <w:bottom w:val="single" w:sz="8" w:space="0" w:color="auto"/>
              <w:right w:val="single" w:sz="8" w:space="0" w:color="auto"/>
            </w:tcBorders>
            <w:vAlign w:val="center"/>
            <w:hideMark/>
          </w:tcPr>
          <w:p w14:paraId="73E8A85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PROYECTOS ELECTRICOS DE COLOMBIA SAS</w:t>
            </w:r>
          </w:p>
        </w:tc>
        <w:tc>
          <w:tcPr>
            <w:tcW w:w="817" w:type="dxa"/>
            <w:tcBorders>
              <w:top w:val="nil"/>
              <w:left w:val="nil"/>
              <w:bottom w:val="single" w:sz="8" w:space="0" w:color="auto"/>
              <w:right w:val="single" w:sz="8" w:space="0" w:color="auto"/>
            </w:tcBorders>
            <w:vAlign w:val="center"/>
            <w:hideMark/>
          </w:tcPr>
          <w:p w14:paraId="3F8EE24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1,41</w:t>
            </w:r>
          </w:p>
        </w:tc>
        <w:tc>
          <w:tcPr>
            <w:tcW w:w="1271" w:type="dxa"/>
            <w:tcBorders>
              <w:top w:val="nil"/>
              <w:left w:val="nil"/>
              <w:bottom w:val="single" w:sz="8" w:space="0" w:color="auto"/>
              <w:right w:val="single" w:sz="8" w:space="0" w:color="auto"/>
            </w:tcBorders>
            <w:vAlign w:val="center"/>
            <w:hideMark/>
          </w:tcPr>
          <w:p w14:paraId="678CA17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c>
          <w:tcPr>
            <w:tcW w:w="1190" w:type="dxa"/>
            <w:tcBorders>
              <w:top w:val="nil"/>
              <w:left w:val="nil"/>
              <w:bottom w:val="single" w:sz="8" w:space="0" w:color="auto"/>
              <w:right w:val="single" w:sz="8" w:space="0" w:color="auto"/>
            </w:tcBorders>
            <w:vAlign w:val="center"/>
            <w:hideMark/>
          </w:tcPr>
          <w:p w14:paraId="191BA8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522C92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7.272.849</w:t>
            </w:r>
          </w:p>
        </w:tc>
        <w:tc>
          <w:tcPr>
            <w:tcW w:w="1100" w:type="dxa"/>
            <w:tcBorders>
              <w:top w:val="nil"/>
              <w:left w:val="nil"/>
              <w:bottom w:val="single" w:sz="8" w:space="0" w:color="auto"/>
              <w:right w:val="single" w:sz="8" w:space="0" w:color="auto"/>
            </w:tcBorders>
            <w:vAlign w:val="center"/>
            <w:hideMark/>
          </w:tcPr>
          <w:p w14:paraId="328B512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100" w:type="dxa"/>
            <w:tcBorders>
              <w:top w:val="nil"/>
              <w:left w:val="nil"/>
              <w:bottom w:val="single" w:sz="8" w:space="0" w:color="auto"/>
              <w:right w:val="single" w:sz="8" w:space="0" w:color="auto"/>
            </w:tcBorders>
            <w:vAlign w:val="center"/>
            <w:hideMark/>
          </w:tcPr>
          <w:p w14:paraId="25B6292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36AB8B45"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6699B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w:t>
            </w:r>
          </w:p>
        </w:tc>
        <w:tc>
          <w:tcPr>
            <w:tcW w:w="1919" w:type="dxa"/>
            <w:tcBorders>
              <w:top w:val="nil"/>
              <w:left w:val="nil"/>
              <w:bottom w:val="single" w:sz="8" w:space="0" w:color="auto"/>
              <w:right w:val="single" w:sz="8" w:space="0" w:color="auto"/>
            </w:tcBorders>
            <w:vAlign w:val="center"/>
            <w:hideMark/>
          </w:tcPr>
          <w:p w14:paraId="7C6F36D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MANTENIMIENTO Y CONTROLES DEL LLANO EU</w:t>
            </w:r>
          </w:p>
        </w:tc>
        <w:tc>
          <w:tcPr>
            <w:tcW w:w="817" w:type="dxa"/>
            <w:tcBorders>
              <w:top w:val="nil"/>
              <w:left w:val="nil"/>
              <w:bottom w:val="single" w:sz="8" w:space="0" w:color="auto"/>
              <w:right w:val="single" w:sz="8" w:space="0" w:color="auto"/>
            </w:tcBorders>
            <w:vAlign w:val="center"/>
            <w:hideMark/>
          </w:tcPr>
          <w:p w14:paraId="5198AC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3,19</w:t>
            </w:r>
          </w:p>
        </w:tc>
        <w:tc>
          <w:tcPr>
            <w:tcW w:w="1271" w:type="dxa"/>
            <w:tcBorders>
              <w:top w:val="nil"/>
              <w:left w:val="nil"/>
              <w:bottom w:val="single" w:sz="8" w:space="0" w:color="auto"/>
              <w:right w:val="single" w:sz="8" w:space="0" w:color="auto"/>
            </w:tcBorders>
            <w:vAlign w:val="center"/>
            <w:hideMark/>
          </w:tcPr>
          <w:p w14:paraId="690B75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77ABB3F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3,53</w:t>
            </w:r>
          </w:p>
        </w:tc>
        <w:tc>
          <w:tcPr>
            <w:tcW w:w="1099" w:type="dxa"/>
            <w:tcBorders>
              <w:top w:val="nil"/>
              <w:left w:val="nil"/>
              <w:bottom w:val="single" w:sz="8" w:space="0" w:color="auto"/>
              <w:right w:val="single" w:sz="8" w:space="0" w:color="auto"/>
            </w:tcBorders>
            <w:vAlign w:val="center"/>
            <w:hideMark/>
          </w:tcPr>
          <w:p w14:paraId="11230F5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5.217.160</w:t>
            </w:r>
          </w:p>
        </w:tc>
        <w:tc>
          <w:tcPr>
            <w:tcW w:w="1100" w:type="dxa"/>
            <w:tcBorders>
              <w:top w:val="nil"/>
              <w:left w:val="nil"/>
              <w:bottom w:val="single" w:sz="8" w:space="0" w:color="auto"/>
              <w:right w:val="single" w:sz="8" w:space="0" w:color="auto"/>
            </w:tcBorders>
            <w:vAlign w:val="center"/>
            <w:hideMark/>
          </w:tcPr>
          <w:p w14:paraId="090FB6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3AE678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0758DD59"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E0AAB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919" w:type="dxa"/>
            <w:tcBorders>
              <w:top w:val="nil"/>
              <w:left w:val="nil"/>
              <w:bottom w:val="single" w:sz="8" w:space="0" w:color="auto"/>
              <w:right w:val="single" w:sz="8" w:space="0" w:color="auto"/>
            </w:tcBorders>
            <w:vAlign w:val="center"/>
            <w:hideMark/>
          </w:tcPr>
          <w:p w14:paraId="2A72CFC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OBSERVAR LTDA</w:t>
            </w:r>
          </w:p>
        </w:tc>
        <w:tc>
          <w:tcPr>
            <w:tcW w:w="817" w:type="dxa"/>
            <w:tcBorders>
              <w:top w:val="nil"/>
              <w:left w:val="nil"/>
              <w:bottom w:val="single" w:sz="8" w:space="0" w:color="auto"/>
              <w:right w:val="single" w:sz="8" w:space="0" w:color="auto"/>
            </w:tcBorders>
            <w:vAlign w:val="center"/>
            <w:hideMark/>
          </w:tcPr>
          <w:p w14:paraId="119B05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4,65</w:t>
            </w:r>
          </w:p>
        </w:tc>
        <w:tc>
          <w:tcPr>
            <w:tcW w:w="1271" w:type="dxa"/>
            <w:tcBorders>
              <w:top w:val="nil"/>
              <w:left w:val="nil"/>
              <w:bottom w:val="single" w:sz="8" w:space="0" w:color="auto"/>
              <w:right w:val="single" w:sz="8" w:space="0" w:color="auto"/>
            </w:tcBorders>
            <w:vAlign w:val="center"/>
            <w:hideMark/>
          </w:tcPr>
          <w:p w14:paraId="033E30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90" w:type="dxa"/>
            <w:tcBorders>
              <w:top w:val="nil"/>
              <w:left w:val="nil"/>
              <w:bottom w:val="single" w:sz="8" w:space="0" w:color="auto"/>
              <w:right w:val="single" w:sz="8" w:space="0" w:color="auto"/>
            </w:tcBorders>
            <w:vAlign w:val="center"/>
            <w:hideMark/>
          </w:tcPr>
          <w:p w14:paraId="03CE16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43FA4F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3.907.545</w:t>
            </w:r>
          </w:p>
        </w:tc>
        <w:tc>
          <w:tcPr>
            <w:tcW w:w="1100" w:type="dxa"/>
            <w:tcBorders>
              <w:top w:val="nil"/>
              <w:left w:val="nil"/>
              <w:bottom w:val="single" w:sz="8" w:space="0" w:color="auto"/>
              <w:right w:val="single" w:sz="8" w:space="0" w:color="auto"/>
            </w:tcBorders>
            <w:vAlign w:val="center"/>
            <w:hideMark/>
          </w:tcPr>
          <w:p w14:paraId="68A7DC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w:t>
            </w:r>
          </w:p>
        </w:tc>
        <w:tc>
          <w:tcPr>
            <w:tcW w:w="1100" w:type="dxa"/>
            <w:tcBorders>
              <w:top w:val="nil"/>
              <w:left w:val="nil"/>
              <w:bottom w:val="single" w:sz="8" w:space="0" w:color="auto"/>
              <w:right w:val="single" w:sz="8" w:space="0" w:color="auto"/>
            </w:tcBorders>
            <w:vAlign w:val="center"/>
            <w:hideMark/>
          </w:tcPr>
          <w:p w14:paraId="0AB2C5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44C88146" w14:textId="77777777" w:rsidTr="008468B3">
        <w:trPr>
          <w:trHeight w:val="972"/>
        </w:trPr>
        <w:tc>
          <w:tcPr>
            <w:tcW w:w="474" w:type="dxa"/>
            <w:tcBorders>
              <w:top w:val="nil"/>
              <w:left w:val="single" w:sz="8" w:space="0" w:color="auto"/>
              <w:bottom w:val="single" w:sz="8" w:space="0" w:color="auto"/>
              <w:right w:val="single" w:sz="8" w:space="0" w:color="auto"/>
            </w:tcBorders>
            <w:noWrap/>
            <w:vAlign w:val="center"/>
            <w:hideMark/>
          </w:tcPr>
          <w:p w14:paraId="7730523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w:t>
            </w:r>
          </w:p>
        </w:tc>
        <w:tc>
          <w:tcPr>
            <w:tcW w:w="1919" w:type="dxa"/>
            <w:tcBorders>
              <w:top w:val="nil"/>
              <w:left w:val="nil"/>
              <w:bottom w:val="single" w:sz="8" w:space="0" w:color="auto"/>
              <w:right w:val="single" w:sz="8" w:space="0" w:color="auto"/>
            </w:tcBorders>
            <w:vAlign w:val="center"/>
            <w:hideMark/>
          </w:tcPr>
          <w:p w14:paraId="13CEA1E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IINDUSTRIA COMERCIALIZADORA DE REDES INTELIGENTES SAS</w:t>
            </w:r>
          </w:p>
        </w:tc>
        <w:tc>
          <w:tcPr>
            <w:tcW w:w="817" w:type="dxa"/>
            <w:tcBorders>
              <w:top w:val="nil"/>
              <w:left w:val="nil"/>
              <w:bottom w:val="single" w:sz="8" w:space="0" w:color="auto"/>
              <w:right w:val="single" w:sz="8" w:space="0" w:color="auto"/>
            </w:tcBorders>
            <w:vAlign w:val="center"/>
            <w:hideMark/>
          </w:tcPr>
          <w:p w14:paraId="7926156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1,56</w:t>
            </w:r>
          </w:p>
        </w:tc>
        <w:tc>
          <w:tcPr>
            <w:tcW w:w="1271" w:type="dxa"/>
            <w:tcBorders>
              <w:top w:val="nil"/>
              <w:left w:val="nil"/>
              <w:bottom w:val="single" w:sz="8" w:space="0" w:color="auto"/>
              <w:right w:val="single" w:sz="8" w:space="0" w:color="auto"/>
            </w:tcBorders>
            <w:vAlign w:val="center"/>
            <w:hideMark/>
          </w:tcPr>
          <w:p w14:paraId="4510CF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84%</w:t>
            </w:r>
          </w:p>
        </w:tc>
        <w:tc>
          <w:tcPr>
            <w:tcW w:w="1190" w:type="dxa"/>
            <w:tcBorders>
              <w:top w:val="nil"/>
              <w:left w:val="nil"/>
              <w:bottom w:val="single" w:sz="8" w:space="0" w:color="auto"/>
              <w:right w:val="single" w:sz="8" w:space="0" w:color="auto"/>
            </w:tcBorders>
            <w:vAlign w:val="center"/>
            <w:hideMark/>
          </w:tcPr>
          <w:p w14:paraId="30FF4B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-0,06</w:t>
            </w:r>
          </w:p>
        </w:tc>
        <w:tc>
          <w:tcPr>
            <w:tcW w:w="1099" w:type="dxa"/>
            <w:tcBorders>
              <w:top w:val="nil"/>
              <w:left w:val="nil"/>
              <w:bottom w:val="single" w:sz="8" w:space="0" w:color="auto"/>
              <w:right w:val="single" w:sz="8" w:space="0" w:color="auto"/>
            </w:tcBorders>
            <w:vAlign w:val="center"/>
            <w:hideMark/>
          </w:tcPr>
          <w:p w14:paraId="4D06EB8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6.801.212</w:t>
            </w:r>
          </w:p>
        </w:tc>
        <w:tc>
          <w:tcPr>
            <w:tcW w:w="1100" w:type="dxa"/>
            <w:tcBorders>
              <w:top w:val="nil"/>
              <w:left w:val="nil"/>
              <w:bottom w:val="single" w:sz="8" w:space="0" w:color="auto"/>
              <w:right w:val="single" w:sz="8" w:space="0" w:color="auto"/>
            </w:tcBorders>
            <w:vAlign w:val="center"/>
            <w:hideMark/>
          </w:tcPr>
          <w:p w14:paraId="1D86CF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57DC983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338327F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B1427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73</w:t>
            </w:r>
          </w:p>
        </w:tc>
        <w:tc>
          <w:tcPr>
            <w:tcW w:w="1919" w:type="dxa"/>
            <w:tcBorders>
              <w:top w:val="nil"/>
              <w:left w:val="nil"/>
              <w:bottom w:val="single" w:sz="8" w:space="0" w:color="auto"/>
              <w:right w:val="single" w:sz="8" w:space="0" w:color="auto"/>
            </w:tcBorders>
            <w:vAlign w:val="center"/>
            <w:hideMark/>
          </w:tcPr>
          <w:p w14:paraId="2F404298"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VINCI COATINGS S A S</w:t>
            </w:r>
          </w:p>
        </w:tc>
        <w:tc>
          <w:tcPr>
            <w:tcW w:w="817" w:type="dxa"/>
            <w:tcBorders>
              <w:top w:val="nil"/>
              <w:left w:val="nil"/>
              <w:bottom w:val="single" w:sz="8" w:space="0" w:color="auto"/>
              <w:right w:val="single" w:sz="8" w:space="0" w:color="auto"/>
            </w:tcBorders>
            <w:vAlign w:val="center"/>
            <w:hideMark/>
          </w:tcPr>
          <w:p w14:paraId="4F47A08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11,82</w:t>
            </w:r>
          </w:p>
        </w:tc>
        <w:tc>
          <w:tcPr>
            <w:tcW w:w="1271" w:type="dxa"/>
            <w:tcBorders>
              <w:top w:val="nil"/>
              <w:left w:val="nil"/>
              <w:bottom w:val="single" w:sz="8" w:space="0" w:color="auto"/>
              <w:right w:val="single" w:sz="8" w:space="0" w:color="auto"/>
            </w:tcBorders>
            <w:vAlign w:val="center"/>
            <w:hideMark/>
          </w:tcPr>
          <w:p w14:paraId="09E636A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5FCC90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5D6D9B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3.846.437</w:t>
            </w:r>
          </w:p>
        </w:tc>
        <w:tc>
          <w:tcPr>
            <w:tcW w:w="1100" w:type="dxa"/>
            <w:tcBorders>
              <w:top w:val="nil"/>
              <w:left w:val="nil"/>
              <w:bottom w:val="single" w:sz="8" w:space="0" w:color="auto"/>
              <w:right w:val="single" w:sz="8" w:space="0" w:color="auto"/>
            </w:tcBorders>
            <w:vAlign w:val="center"/>
            <w:hideMark/>
          </w:tcPr>
          <w:p w14:paraId="5E6A58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30E09A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449560A1"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9A1D60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w:t>
            </w:r>
          </w:p>
        </w:tc>
        <w:tc>
          <w:tcPr>
            <w:tcW w:w="1919" w:type="dxa"/>
            <w:tcBorders>
              <w:top w:val="nil"/>
              <w:left w:val="nil"/>
              <w:bottom w:val="single" w:sz="8" w:space="0" w:color="auto"/>
              <w:right w:val="single" w:sz="8" w:space="0" w:color="auto"/>
            </w:tcBorders>
            <w:vAlign w:val="center"/>
            <w:hideMark/>
          </w:tcPr>
          <w:p w14:paraId="609C781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Y TELECOMUNICACIONES SAS</w:t>
            </w:r>
          </w:p>
        </w:tc>
        <w:tc>
          <w:tcPr>
            <w:tcW w:w="817" w:type="dxa"/>
            <w:tcBorders>
              <w:top w:val="nil"/>
              <w:left w:val="nil"/>
              <w:bottom w:val="single" w:sz="8" w:space="0" w:color="auto"/>
              <w:right w:val="single" w:sz="8" w:space="0" w:color="auto"/>
            </w:tcBorders>
            <w:vAlign w:val="center"/>
            <w:hideMark/>
          </w:tcPr>
          <w:p w14:paraId="6DB841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3,36</w:t>
            </w:r>
          </w:p>
        </w:tc>
        <w:tc>
          <w:tcPr>
            <w:tcW w:w="1271" w:type="dxa"/>
            <w:tcBorders>
              <w:top w:val="nil"/>
              <w:left w:val="nil"/>
              <w:bottom w:val="single" w:sz="8" w:space="0" w:color="auto"/>
              <w:right w:val="single" w:sz="8" w:space="0" w:color="auto"/>
            </w:tcBorders>
            <w:vAlign w:val="center"/>
            <w:hideMark/>
          </w:tcPr>
          <w:p w14:paraId="50BD82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1141D9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2,29</w:t>
            </w:r>
          </w:p>
        </w:tc>
        <w:tc>
          <w:tcPr>
            <w:tcW w:w="1099" w:type="dxa"/>
            <w:tcBorders>
              <w:top w:val="nil"/>
              <w:left w:val="nil"/>
              <w:bottom w:val="single" w:sz="8" w:space="0" w:color="auto"/>
              <w:right w:val="single" w:sz="8" w:space="0" w:color="auto"/>
            </w:tcBorders>
            <w:vAlign w:val="center"/>
            <w:hideMark/>
          </w:tcPr>
          <w:p w14:paraId="264E7D5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18.694.892</w:t>
            </w:r>
          </w:p>
        </w:tc>
        <w:tc>
          <w:tcPr>
            <w:tcW w:w="1100" w:type="dxa"/>
            <w:tcBorders>
              <w:top w:val="nil"/>
              <w:left w:val="nil"/>
              <w:bottom w:val="single" w:sz="8" w:space="0" w:color="auto"/>
              <w:right w:val="single" w:sz="8" w:space="0" w:color="auto"/>
            </w:tcBorders>
            <w:vAlign w:val="center"/>
            <w:hideMark/>
          </w:tcPr>
          <w:p w14:paraId="2C2C79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00" w:type="dxa"/>
            <w:tcBorders>
              <w:top w:val="nil"/>
              <w:left w:val="nil"/>
              <w:bottom w:val="single" w:sz="8" w:space="0" w:color="auto"/>
              <w:right w:val="single" w:sz="8" w:space="0" w:color="auto"/>
            </w:tcBorders>
            <w:vAlign w:val="center"/>
            <w:hideMark/>
          </w:tcPr>
          <w:p w14:paraId="4149BAF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01DC6F7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1A8D95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w:t>
            </w:r>
          </w:p>
        </w:tc>
        <w:tc>
          <w:tcPr>
            <w:tcW w:w="1919" w:type="dxa"/>
            <w:tcBorders>
              <w:top w:val="nil"/>
              <w:left w:val="nil"/>
              <w:bottom w:val="single" w:sz="8" w:space="0" w:color="auto"/>
              <w:right w:val="single" w:sz="8" w:space="0" w:color="auto"/>
            </w:tcBorders>
            <w:vAlign w:val="center"/>
            <w:hideMark/>
          </w:tcPr>
          <w:p w14:paraId="35A73BD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CHAPAVAL LTDA.</w:t>
            </w:r>
          </w:p>
        </w:tc>
        <w:tc>
          <w:tcPr>
            <w:tcW w:w="817" w:type="dxa"/>
            <w:tcBorders>
              <w:top w:val="nil"/>
              <w:left w:val="nil"/>
              <w:bottom w:val="single" w:sz="8" w:space="0" w:color="auto"/>
              <w:right w:val="single" w:sz="8" w:space="0" w:color="auto"/>
            </w:tcBorders>
            <w:vAlign w:val="center"/>
            <w:hideMark/>
          </w:tcPr>
          <w:p w14:paraId="6BB09C3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1,90</w:t>
            </w:r>
          </w:p>
        </w:tc>
        <w:tc>
          <w:tcPr>
            <w:tcW w:w="1271" w:type="dxa"/>
            <w:tcBorders>
              <w:top w:val="nil"/>
              <w:left w:val="nil"/>
              <w:bottom w:val="single" w:sz="8" w:space="0" w:color="auto"/>
              <w:right w:val="single" w:sz="8" w:space="0" w:color="auto"/>
            </w:tcBorders>
            <w:vAlign w:val="center"/>
            <w:hideMark/>
          </w:tcPr>
          <w:p w14:paraId="71670C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195B69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2ED3EE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599.056</w:t>
            </w:r>
          </w:p>
        </w:tc>
        <w:tc>
          <w:tcPr>
            <w:tcW w:w="1100" w:type="dxa"/>
            <w:tcBorders>
              <w:top w:val="nil"/>
              <w:left w:val="nil"/>
              <w:bottom w:val="single" w:sz="8" w:space="0" w:color="auto"/>
              <w:right w:val="single" w:sz="8" w:space="0" w:color="auto"/>
            </w:tcBorders>
            <w:vAlign w:val="center"/>
            <w:hideMark/>
          </w:tcPr>
          <w:p w14:paraId="4294223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00" w:type="dxa"/>
            <w:tcBorders>
              <w:top w:val="nil"/>
              <w:left w:val="nil"/>
              <w:bottom w:val="single" w:sz="8" w:space="0" w:color="auto"/>
              <w:right w:val="single" w:sz="8" w:space="0" w:color="auto"/>
            </w:tcBorders>
            <w:vAlign w:val="center"/>
            <w:hideMark/>
          </w:tcPr>
          <w:p w14:paraId="47F0F46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692B4003"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00AC87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w:t>
            </w:r>
          </w:p>
        </w:tc>
        <w:tc>
          <w:tcPr>
            <w:tcW w:w="1919" w:type="dxa"/>
            <w:tcBorders>
              <w:top w:val="nil"/>
              <w:left w:val="nil"/>
              <w:bottom w:val="single" w:sz="8" w:space="0" w:color="auto"/>
              <w:right w:val="single" w:sz="8" w:space="0" w:color="auto"/>
            </w:tcBorders>
            <w:vAlign w:val="center"/>
            <w:hideMark/>
          </w:tcPr>
          <w:p w14:paraId="75E21145"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AEI ARQUITECTURA E INTERIORES SAS</w:t>
            </w:r>
          </w:p>
        </w:tc>
        <w:tc>
          <w:tcPr>
            <w:tcW w:w="817" w:type="dxa"/>
            <w:tcBorders>
              <w:top w:val="nil"/>
              <w:left w:val="nil"/>
              <w:bottom w:val="single" w:sz="8" w:space="0" w:color="auto"/>
              <w:right w:val="single" w:sz="8" w:space="0" w:color="auto"/>
            </w:tcBorders>
            <w:vAlign w:val="center"/>
            <w:hideMark/>
          </w:tcPr>
          <w:p w14:paraId="7CBD80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1,52</w:t>
            </w:r>
          </w:p>
        </w:tc>
        <w:tc>
          <w:tcPr>
            <w:tcW w:w="1271" w:type="dxa"/>
            <w:tcBorders>
              <w:top w:val="nil"/>
              <w:left w:val="nil"/>
              <w:bottom w:val="single" w:sz="8" w:space="0" w:color="auto"/>
              <w:right w:val="single" w:sz="8" w:space="0" w:color="auto"/>
            </w:tcBorders>
            <w:vAlign w:val="center"/>
            <w:hideMark/>
          </w:tcPr>
          <w:p w14:paraId="0CF549F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w:t>
            </w:r>
          </w:p>
        </w:tc>
        <w:tc>
          <w:tcPr>
            <w:tcW w:w="1190" w:type="dxa"/>
            <w:tcBorders>
              <w:top w:val="nil"/>
              <w:left w:val="nil"/>
              <w:bottom w:val="single" w:sz="8" w:space="0" w:color="auto"/>
              <w:right w:val="single" w:sz="8" w:space="0" w:color="auto"/>
            </w:tcBorders>
            <w:vAlign w:val="center"/>
            <w:hideMark/>
          </w:tcPr>
          <w:p w14:paraId="392262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4,11</w:t>
            </w:r>
          </w:p>
        </w:tc>
        <w:tc>
          <w:tcPr>
            <w:tcW w:w="1099" w:type="dxa"/>
            <w:tcBorders>
              <w:top w:val="nil"/>
              <w:left w:val="nil"/>
              <w:bottom w:val="single" w:sz="8" w:space="0" w:color="auto"/>
              <w:right w:val="single" w:sz="8" w:space="0" w:color="auto"/>
            </w:tcBorders>
            <w:vAlign w:val="center"/>
            <w:hideMark/>
          </w:tcPr>
          <w:p w14:paraId="7733C63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14.786.155</w:t>
            </w:r>
          </w:p>
        </w:tc>
        <w:tc>
          <w:tcPr>
            <w:tcW w:w="1100" w:type="dxa"/>
            <w:tcBorders>
              <w:top w:val="nil"/>
              <w:left w:val="nil"/>
              <w:bottom w:val="single" w:sz="8" w:space="0" w:color="auto"/>
              <w:right w:val="single" w:sz="8" w:space="0" w:color="auto"/>
            </w:tcBorders>
            <w:vAlign w:val="center"/>
            <w:hideMark/>
          </w:tcPr>
          <w:p w14:paraId="184894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3380A4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5C8B8B0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B43957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w:t>
            </w:r>
          </w:p>
        </w:tc>
        <w:tc>
          <w:tcPr>
            <w:tcW w:w="1919" w:type="dxa"/>
            <w:tcBorders>
              <w:top w:val="nil"/>
              <w:left w:val="nil"/>
              <w:bottom w:val="single" w:sz="8" w:space="0" w:color="auto"/>
              <w:right w:val="single" w:sz="8" w:space="0" w:color="auto"/>
            </w:tcBorders>
            <w:vAlign w:val="center"/>
            <w:hideMark/>
          </w:tcPr>
          <w:p w14:paraId="2ACA096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ODRQ Y CIA SAS</w:t>
            </w:r>
          </w:p>
        </w:tc>
        <w:tc>
          <w:tcPr>
            <w:tcW w:w="817" w:type="dxa"/>
            <w:tcBorders>
              <w:top w:val="nil"/>
              <w:left w:val="nil"/>
              <w:bottom w:val="single" w:sz="8" w:space="0" w:color="auto"/>
              <w:right w:val="single" w:sz="8" w:space="0" w:color="auto"/>
            </w:tcBorders>
            <w:vAlign w:val="center"/>
            <w:hideMark/>
          </w:tcPr>
          <w:p w14:paraId="23D7114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2,14</w:t>
            </w:r>
          </w:p>
        </w:tc>
        <w:tc>
          <w:tcPr>
            <w:tcW w:w="1271" w:type="dxa"/>
            <w:tcBorders>
              <w:top w:val="nil"/>
              <w:left w:val="nil"/>
              <w:bottom w:val="single" w:sz="8" w:space="0" w:color="auto"/>
              <w:right w:val="single" w:sz="8" w:space="0" w:color="auto"/>
            </w:tcBorders>
            <w:vAlign w:val="center"/>
            <w:hideMark/>
          </w:tcPr>
          <w:p w14:paraId="0CBEA3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90" w:type="dxa"/>
            <w:tcBorders>
              <w:top w:val="nil"/>
              <w:left w:val="nil"/>
              <w:bottom w:val="single" w:sz="8" w:space="0" w:color="auto"/>
              <w:right w:val="single" w:sz="8" w:space="0" w:color="auto"/>
            </w:tcBorders>
            <w:vAlign w:val="center"/>
            <w:hideMark/>
          </w:tcPr>
          <w:p w14:paraId="088E07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BB200A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395.638</w:t>
            </w:r>
          </w:p>
        </w:tc>
        <w:tc>
          <w:tcPr>
            <w:tcW w:w="1100" w:type="dxa"/>
            <w:tcBorders>
              <w:top w:val="nil"/>
              <w:left w:val="nil"/>
              <w:bottom w:val="single" w:sz="8" w:space="0" w:color="auto"/>
              <w:right w:val="single" w:sz="8" w:space="0" w:color="auto"/>
            </w:tcBorders>
            <w:vAlign w:val="center"/>
            <w:hideMark/>
          </w:tcPr>
          <w:p w14:paraId="06D0BD1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10F3302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40A7B255"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062831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78</w:t>
            </w:r>
          </w:p>
        </w:tc>
        <w:tc>
          <w:tcPr>
            <w:tcW w:w="1919" w:type="dxa"/>
            <w:tcBorders>
              <w:top w:val="nil"/>
              <w:left w:val="nil"/>
              <w:bottom w:val="single" w:sz="8" w:space="0" w:color="auto"/>
              <w:right w:val="single" w:sz="8" w:space="0" w:color="auto"/>
            </w:tcBorders>
            <w:vAlign w:val="center"/>
            <w:hideMark/>
          </w:tcPr>
          <w:p w14:paraId="0E4BA52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CORTES CAÑON INGENIEROS CIVILES SAS</w:t>
            </w:r>
          </w:p>
        </w:tc>
        <w:tc>
          <w:tcPr>
            <w:tcW w:w="817" w:type="dxa"/>
            <w:tcBorders>
              <w:top w:val="nil"/>
              <w:left w:val="nil"/>
              <w:bottom w:val="single" w:sz="8" w:space="0" w:color="auto"/>
              <w:right w:val="single" w:sz="8" w:space="0" w:color="auto"/>
            </w:tcBorders>
            <w:vAlign w:val="center"/>
            <w:hideMark/>
          </w:tcPr>
          <w:p w14:paraId="070BB1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1,99</w:t>
            </w:r>
          </w:p>
        </w:tc>
        <w:tc>
          <w:tcPr>
            <w:tcW w:w="1271" w:type="dxa"/>
            <w:tcBorders>
              <w:top w:val="nil"/>
              <w:left w:val="nil"/>
              <w:bottom w:val="single" w:sz="8" w:space="0" w:color="auto"/>
              <w:right w:val="single" w:sz="8" w:space="0" w:color="auto"/>
            </w:tcBorders>
            <w:vAlign w:val="center"/>
            <w:hideMark/>
          </w:tcPr>
          <w:p w14:paraId="66B83B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90" w:type="dxa"/>
            <w:tcBorders>
              <w:top w:val="nil"/>
              <w:left w:val="nil"/>
              <w:bottom w:val="single" w:sz="8" w:space="0" w:color="auto"/>
              <w:right w:val="single" w:sz="8" w:space="0" w:color="auto"/>
            </w:tcBorders>
            <w:vAlign w:val="center"/>
            <w:hideMark/>
          </w:tcPr>
          <w:p w14:paraId="44D0BD9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705A33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4.301.036</w:t>
            </w:r>
          </w:p>
        </w:tc>
        <w:tc>
          <w:tcPr>
            <w:tcW w:w="1100" w:type="dxa"/>
            <w:tcBorders>
              <w:top w:val="nil"/>
              <w:left w:val="nil"/>
              <w:bottom w:val="single" w:sz="8" w:space="0" w:color="auto"/>
              <w:right w:val="single" w:sz="8" w:space="0" w:color="auto"/>
            </w:tcBorders>
            <w:vAlign w:val="center"/>
            <w:hideMark/>
          </w:tcPr>
          <w:p w14:paraId="4E5273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4C179B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26E617C7"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7C7143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79</w:t>
            </w:r>
          </w:p>
        </w:tc>
        <w:tc>
          <w:tcPr>
            <w:tcW w:w="1919" w:type="dxa"/>
            <w:tcBorders>
              <w:top w:val="nil"/>
              <w:left w:val="nil"/>
              <w:bottom w:val="single" w:sz="8" w:space="0" w:color="auto"/>
              <w:right w:val="single" w:sz="8" w:space="0" w:color="auto"/>
            </w:tcBorders>
            <w:vAlign w:val="center"/>
            <w:hideMark/>
          </w:tcPr>
          <w:p w14:paraId="202B804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COBRA INSTALACIONES Y SERVICIOS SUCURSAL SA</w:t>
            </w:r>
          </w:p>
        </w:tc>
        <w:tc>
          <w:tcPr>
            <w:tcW w:w="817" w:type="dxa"/>
            <w:tcBorders>
              <w:top w:val="nil"/>
              <w:left w:val="nil"/>
              <w:bottom w:val="single" w:sz="8" w:space="0" w:color="auto"/>
              <w:right w:val="single" w:sz="8" w:space="0" w:color="auto"/>
            </w:tcBorders>
            <w:vAlign w:val="center"/>
            <w:hideMark/>
          </w:tcPr>
          <w:p w14:paraId="3FE3DB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1,39</w:t>
            </w:r>
          </w:p>
        </w:tc>
        <w:tc>
          <w:tcPr>
            <w:tcW w:w="1271" w:type="dxa"/>
            <w:tcBorders>
              <w:top w:val="nil"/>
              <w:left w:val="nil"/>
              <w:bottom w:val="single" w:sz="8" w:space="0" w:color="auto"/>
              <w:right w:val="single" w:sz="8" w:space="0" w:color="auto"/>
            </w:tcBorders>
            <w:vAlign w:val="center"/>
            <w:hideMark/>
          </w:tcPr>
          <w:p w14:paraId="237475C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w:t>
            </w:r>
          </w:p>
        </w:tc>
        <w:tc>
          <w:tcPr>
            <w:tcW w:w="1190" w:type="dxa"/>
            <w:tcBorders>
              <w:top w:val="nil"/>
              <w:left w:val="nil"/>
              <w:bottom w:val="single" w:sz="8" w:space="0" w:color="auto"/>
              <w:right w:val="single" w:sz="8" w:space="0" w:color="auto"/>
            </w:tcBorders>
            <w:vAlign w:val="center"/>
            <w:hideMark/>
          </w:tcPr>
          <w:p w14:paraId="45D659F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1,72</w:t>
            </w:r>
          </w:p>
        </w:tc>
        <w:tc>
          <w:tcPr>
            <w:tcW w:w="1099" w:type="dxa"/>
            <w:tcBorders>
              <w:top w:val="nil"/>
              <w:left w:val="nil"/>
              <w:bottom w:val="single" w:sz="8" w:space="0" w:color="auto"/>
              <w:right w:val="single" w:sz="8" w:space="0" w:color="auto"/>
            </w:tcBorders>
            <w:vAlign w:val="center"/>
            <w:hideMark/>
          </w:tcPr>
          <w:p w14:paraId="4B46EF7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14.211.379</w:t>
            </w:r>
          </w:p>
        </w:tc>
        <w:tc>
          <w:tcPr>
            <w:tcW w:w="1100" w:type="dxa"/>
            <w:tcBorders>
              <w:top w:val="nil"/>
              <w:left w:val="nil"/>
              <w:bottom w:val="single" w:sz="8" w:space="0" w:color="auto"/>
              <w:right w:val="single" w:sz="8" w:space="0" w:color="auto"/>
            </w:tcBorders>
            <w:vAlign w:val="center"/>
            <w:hideMark/>
          </w:tcPr>
          <w:p w14:paraId="7B5D76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w:t>
            </w:r>
          </w:p>
        </w:tc>
        <w:tc>
          <w:tcPr>
            <w:tcW w:w="1100" w:type="dxa"/>
            <w:tcBorders>
              <w:top w:val="nil"/>
              <w:left w:val="nil"/>
              <w:bottom w:val="single" w:sz="8" w:space="0" w:color="auto"/>
              <w:right w:val="single" w:sz="8" w:space="0" w:color="auto"/>
            </w:tcBorders>
            <w:vAlign w:val="center"/>
            <w:hideMark/>
          </w:tcPr>
          <w:p w14:paraId="4B9ED1D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2D3226A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42AF6D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80</w:t>
            </w:r>
          </w:p>
        </w:tc>
        <w:tc>
          <w:tcPr>
            <w:tcW w:w="1919" w:type="dxa"/>
            <w:tcBorders>
              <w:top w:val="nil"/>
              <w:left w:val="nil"/>
              <w:bottom w:val="single" w:sz="8" w:space="0" w:color="auto"/>
              <w:right w:val="single" w:sz="8" w:space="0" w:color="auto"/>
            </w:tcBorders>
            <w:vAlign w:val="center"/>
            <w:hideMark/>
          </w:tcPr>
          <w:p w14:paraId="5F4DB11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GU PROYECTOS</w:t>
            </w:r>
          </w:p>
        </w:tc>
        <w:tc>
          <w:tcPr>
            <w:tcW w:w="817" w:type="dxa"/>
            <w:tcBorders>
              <w:top w:val="nil"/>
              <w:left w:val="nil"/>
              <w:bottom w:val="single" w:sz="8" w:space="0" w:color="auto"/>
              <w:right w:val="single" w:sz="8" w:space="0" w:color="auto"/>
            </w:tcBorders>
            <w:vAlign w:val="center"/>
            <w:hideMark/>
          </w:tcPr>
          <w:p w14:paraId="428F7E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950,56</w:t>
            </w:r>
          </w:p>
        </w:tc>
        <w:tc>
          <w:tcPr>
            <w:tcW w:w="1271" w:type="dxa"/>
            <w:tcBorders>
              <w:top w:val="nil"/>
              <w:left w:val="nil"/>
              <w:bottom w:val="single" w:sz="8" w:space="0" w:color="auto"/>
              <w:right w:val="single" w:sz="8" w:space="0" w:color="auto"/>
            </w:tcBorders>
            <w:vAlign w:val="center"/>
            <w:hideMark/>
          </w:tcPr>
          <w:p w14:paraId="15ECF3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90" w:type="dxa"/>
            <w:tcBorders>
              <w:top w:val="nil"/>
              <w:left w:val="nil"/>
              <w:bottom w:val="single" w:sz="8" w:space="0" w:color="auto"/>
              <w:right w:val="single" w:sz="8" w:space="0" w:color="auto"/>
            </w:tcBorders>
            <w:vAlign w:val="center"/>
            <w:hideMark/>
          </w:tcPr>
          <w:p w14:paraId="3E3D40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EDBD0C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16.542.284</w:t>
            </w:r>
          </w:p>
        </w:tc>
        <w:tc>
          <w:tcPr>
            <w:tcW w:w="1100" w:type="dxa"/>
            <w:tcBorders>
              <w:top w:val="nil"/>
              <w:left w:val="nil"/>
              <w:bottom w:val="single" w:sz="8" w:space="0" w:color="auto"/>
              <w:right w:val="single" w:sz="8" w:space="0" w:color="auto"/>
            </w:tcBorders>
            <w:vAlign w:val="center"/>
            <w:hideMark/>
          </w:tcPr>
          <w:p w14:paraId="61E5790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3B61ACE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00DE181"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802AD1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81</w:t>
            </w:r>
          </w:p>
        </w:tc>
        <w:tc>
          <w:tcPr>
            <w:tcW w:w="1919" w:type="dxa"/>
            <w:tcBorders>
              <w:top w:val="nil"/>
              <w:left w:val="nil"/>
              <w:bottom w:val="single" w:sz="8" w:space="0" w:color="auto"/>
              <w:right w:val="single" w:sz="8" w:space="0" w:color="auto"/>
            </w:tcBorders>
            <w:vAlign w:val="center"/>
            <w:hideMark/>
          </w:tcPr>
          <w:p w14:paraId="19B80B7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JIC Y CIA SAS</w:t>
            </w:r>
          </w:p>
        </w:tc>
        <w:tc>
          <w:tcPr>
            <w:tcW w:w="817" w:type="dxa"/>
            <w:tcBorders>
              <w:top w:val="nil"/>
              <w:left w:val="nil"/>
              <w:bottom w:val="single" w:sz="8" w:space="0" w:color="auto"/>
              <w:right w:val="single" w:sz="8" w:space="0" w:color="auto"/>
            </w:tcBorders>
            <w:vAlign w:val="center"/>
            <w:hideMark/>
          </w:tcPr>
          <w:p w14:paraId="449C13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1,18</w:t>
            </w:r>
          </w:p>
        </w:tc>
        <w:tc>
          <w:tcPr>
            <w:tcW w:w="1271" w:type="dxa"/>
            <w:tcBorders>
              <w:top w:val="nil"/>
              <w:left w:val="nil"/>
              <w:bottom w:val="single" w:sz="8" w:space="0" w:color="auto"/>
              <w:right w:val="single" w:sz="8" w:space="0" w:color="auto"/>
            </w:tcBorders>
            <w:vAlign w:val="center"/>
            <w:hideMark/>
          </w:tcPr>
          <w:p w14:paraId="32A1C52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w:t>
            </w:r>
          </w:p>
        </w:tc>
        <w:tc>
          <w:tcPr>
            <w:tcW w:w="1190" w:type="dxa"/>
            <w:tcBorders>
              <w:top w:val="nil"/>
              <w:left w:val="nil"/>
              <w:bottom w:val="single" w:sz="8" w:space="0" w:color="auto"/>
              <w:right w:val="single" w:sz="8" w:space="0" w:color="auto"/>
            </w:tcBorders>
            <w:vAlign w:val="center"/>
            <w:hideMark/>
          </w:tcPr>
          <w:p w14:paraId="0314C4A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5,50</w:t>
            </w:r>
          </w:p>
        </w:tc>
        <w:tc>
          <w:tcPr>
            <w:tcW w:w="1099" w:type="dxa"/>
            <w:tcBorders>
              <w:top w:val="nil"/>
              <w:left w:val="nil"/>
              <w:bottom w:val="single" w:sz="8" w:space="0" w:color="auto"/>
              <w:right w:val="single" w:sz="8" w:space="0" w:color="auto"/>
            </w:tcBorders>
            <w:vAlign w:val="center"/>
            <w:hideMark/>
          </w:tcPr>
          <w:p w14:paraId="4ECA0F7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1.129.427</w:t>
            </w:r>
          </w:p>
        </w:tc>
        <w:tc>
          <w:tcPr>
            <w:tcW w:w="1100" w:type="dxa"/>
            <w:tcBorders>
              <w:top w:val="nil"/>
              <w:left w:val="nil"/>
              <w:bottom w:val="single" w:sz="8" w:space="0" w:color="auto"/>
              <w:right w:val="single" w:sz="8" w:space="0" w:color="auto"/>
            </w:tcBorders>
            <w:vAlign w:val="center"/>
            <w:hideMark/>
          </w:tcPr>
          <w:p w14:paraId="38BF3F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00" w:type="dxa"/>
            <w:tcBorders>
              <w:top w:val="nil"/>
              <w:left w:val="nil"/>
              <w:bottom w:val="single" w:sz="8" w:space="0" w:color="auto"/>
              <w:right w:val="single" w:sz="8" w:space="0" w:color="auto"/>
            </w:tcBorders>
            <w:vAlign w:val="center"/>
            <w:hideMark/>
          </w:tcPr>
          <w:p w14:paraId="1BFEFBC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0806B3EF"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4F90CE0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82</w:t>
            </w:r>
          </w:p>
        </w:tc>
        <w:tc>
          <w:tcPr>
            <w:tcW w:w="1919" w:type="dxa"/>
            <w:tcBorders>
              <w:top w:val="nil"/>
              <w:left w:val="nil"/>
              <w:bottom w:val="single" w:sz="8" w:space="0" w:color="auto"/>
              <w:right w:val="single" w:sz="8" w:space="0" w:color="auto"/>
            </w:tcBorders>
            <w:vAlign w:val="center"/>
            <w:hideMark/>
          </w:tcPr>
          <w:p w14:paraId="013CDD4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SEÑAL SAS</w:t>
            </w:r>
          </w:p>
        </w:tc>
        <w:tc>
          <w:tcPr>
            <w:tcW w:w="817" w:type="dxa"/>
            <w:tcBorders>
              <w:top w:val="nil"/>
              <w:left w:val="nil"/>
              <w:bottom w:val="single" w:sz="8" w:space="0" w:color="auto"/>
              <w:right w:val="single" w:sz="8" w:space="0" w:color="auto"/>
            </w:tcBorders>
            <w:vAlign w:val="center"/>
            <w:hideMark/>
          </w:tcPr>
          <w:p w14:paraId="1701B4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1,71</w:t>
            </w:r>
          </w:p>
        </w:tc>
        <w:tc>
          <w:tcPr>
            <w:tcW w:w="1271" w:type="dxa"/>
            <w:tcBorders>
              <w:top w:val="nil"/>
              <w:left w:val="nil"/>
              <w:bottom w:val="single" w:sz="8" w:space="0" w:color="auto"/>
              <w:right w:val="single" w:sz="8" w:space="0" w:color="auto"/>
            </w:tcBorders>
            <w:vAlign w:val="center"/>
            <w:hideMark/>
          </w:tcPr>
          <w:p w14:paraId="377665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114%</w:t>
            </w:r>
          </w:p>
        </w:tc>
        <w:tc>
          <w:tcPr>
            <w:tcW w:w="1190" w:type="dxa"/>
            <w:tcBorders>
              <w:top w:val="nil"/>
              <w:left w:val="nil"/>
              <w:bottom w:val="single" w:sz="8" w:space="0" w:color="auto"/>
              <w:right w:val="single" w:sz="8" w:space="0" w:color="auto"/>
            </w:tcBorders>
            <w:vAlign w:val="center"/>
            <w:hideMark/>
          </w:tcPr>
          <w:p w14:paraId="542D0E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-0,80</w:t>
            </w:r>
          </w:p>
        </w:tc>
        <w:tc>
          <w:tcPr>
            <w:tcW w:w="1099" w:type="dxa"/>
            <w:tcBorders>
              <w:top w:val="nil"/>
              <w:left w:val="nil"/>
              <w:bottom w:val="single" w:sz="8" w:space="0" w:color="auto"/>
              <w:right w:val="single" w:sz="8" w:space="0" w:color="auto"/>
            </w:tcBorders>
            <w:vAlign w:val="center"/>
            <w:hideMark/>
          </w:tcPr>
          <w:p w14:paraId="5F8017E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700.133</w:t>
            </w:r>
          </w:p>
        </w:tc>
        <w:tc>
          <w:tcPr>
            <w:tcW w:w="1100" w:type="dxa"/>
            <w:tcBorders>
              <w:top w:val="nil"/>
              <w:left w:val="nil"/>
              <w:bottom w:val="single" w:sz="8" w:space="0" w:color="auto"/>
              <w:right w:val="single" w:sz="8" w:space="0" w:color="auto"/>
            </w:tcBorders>
            <w:vAlign w:val="center"/>
            <w:hideMark/>
          </w:tcPr>
          <w:p w14:paraId="5020FD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c>
          <w:tcPr>
            <w:tcW w:w="1100" w:type="dxa"/>
            <w:tcBorders>
              <w:top w:val="nil"/>
              <w:left w:val="nil"/>
              <w:bottom w:val="single" w:sz="8" w:space="0" w:color="auto"/>
              <w:right w:val="single" w:sz="8" w:space="0" w:color="auto"/>
            </w:tcBorders>
            <w:vAlign w:val="center"/>
            <w:hideMark/>
          </w:tcPr>
          <w:p w14:paraId="1CB5DD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5CFB4FB6"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0431892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83</w:t>
            </w:r>
          </w:p>
        </w:tc>
        <w:tc>
          <w:tcPr>
            <w:tcW w:w="1919" w:type="dxa"/>
            <w:tcBorders>
              <w:top w:val="nil"/>
              <w:left w:val="nil"/>
              <w:bottom w:val="single" w:sz="8" w:space="0" w:color="auto"/>
              <w:right w:val="single" w:sz="8" w:space="0" w:color="auto"/>
            </w:tcBorders>
            <w:vAlign w:val="center"/>
            <w:hideMark/>
          </w:tcPr>
          <w:p w14:paraId="7B667E6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DATACOM REDES Y COMUNICACIONES</w:t>
            </w:r>
          </w:p>
        </w:tc>
        <w:tc>
          <w:tcPr>
            <w:tcW w:w="817" w:type="dxa"/>
            <w:tcBorders>
              <w:top w:val="nil"/>
              <w:left w:val="nil"/>
              <w:bottom w:val="single" w:sz="8" w:space="0" w:color="auto"/>
              <w:right w:val="single" w:sz="8" w:space="0" w:color="auto"/>
            </w:tcBorders>
            <w:vAlign w:val="center"/>
            <w:hideMark/>
          </w:tcPr>
          <w:p w14:paraId="260BC6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5,75</w:t>
            </w:r>
          </w:p>
        </w:tc>
        <w:tc>
          <w:tcPr>
            <w:tcW w:w="1271" w:type="dxa"/>
            <w:tcBorders>
              <w:top w:val="nil"/>
              <w:left w:val="nil"/>
              <w:bottom w:val="single" w:sz="8" w:space="0" w:color="auto"/>
              <w:right w:val="single" w:sz="8" w:space="0" w:color="auto"/>
            </w:tcBorders>
            <w:vAlign w:val="center"/>
            <w:hideMark/>
          </w:tcPr>
          <w:p w14:paraId="2CCB063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w:t>
            </w:r>
          </w:p>
        </w:tc>
        <w:tc>
          <w:tcPr>
            <w:tcW w:w="1190" w:type="dxa"/>
            <w:tcBorders>
              <w:top w:val="nil"/>
              <w:left w:val="nil"/>
              <w:bottom w:val="single" w:sz="8" w:space="0" w:color="auto"/>
              <w:right w:val="single" w:sz="8" w:space="0" w:color="auto"/>
            </w:tcBorders>
            <w:vAlign w:val="center"/>
            <w:hideMark/>
          </w:tcPr>
          <w:p w14:paraId="03BA9DD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11,71</w:t>
            </w:r>
          </w:p>
        </w:tc>
        <w:tc>
          <w:tcPr>
            <w:tcW w:w="1099" w:type="dxa"/>
            <w:tcBorders>
              <w:top w:val="nil"/>
              <w:left w:val="nil"/>
              <w:bottom w:val="single" w:sz="8" w:space="0" w:color="auto"/>
              <w:right w:val="single" w:sz="8" w:space="0" w:color="auto"/>
            </w:tcBorders>
            <w:vAlign w:val="center"/>
            <w:hideMark/>
          </w:tcPr>
          <w:p w14:paraId="2946E30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1.186.341</w:t>
            </w:r>
          </w:p>
        </w:tc>
        <w:tc>
          <w:tcPr>
            <w:tcW w:w="1100" w:type="dxa"/>
            <w:tcBorders>
              <w:top w:val="nil"/>
              <w:left w:val="nil"/>
              <w:bottom w:val="single" w:sz="8" w:space="0" w:color="auto"/>
              <w:right w:val="single" w:sz="8" w:space="0" w:color="auto"/>
            </w:tcBorders>
            <w:vAlign w:val="center"/>
            <w:hideMark/>
          </w:tcPr>
          <w:p w14:paraId="1F7F6E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76B6C6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73962B9C" w14:textId="77777777" w:rsidTr="008468B3">
        <w:trPr>
          <w:trHeight w:val="890"/>
        </w:trPr>
        <w:tc>
          <w:tcPr>
            <w:tcW w:w="474" w:type="dxa"/>
            <w:tcBorders>
              <w:top w:val="nil"/>
              <w:left w:val="single" w:sz="8" w:space="0" w:color="auto"/>
              <w:bottom w:val="single" w:sz="8" w:space="0" w:color="auto"/>
              <w:right w:val="single" w:sz="8" w:space="0" w:color="auto"/>
            </w:tcBorders>
            <w:noWrap/>
            <w:vAlign w:val="center"/>
            <w:hideMark/>
          </w:tcPr>
          <w:p w14:paraId="302DE7A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84</w:t>
            </w:r>
          </w:p>
        </w:tc>
        <w:tc>
          <w:tcPr>
            <w:tcW w:w="1919" w:type="dxa"/>
            <w:tcBorders>
              <w:top w:val="nil"/>
              <w:left w:val="nil"/>
              <w:bottom w:val="single" w:sz="8" w:space="0" w:color="auto"/>
              <w:right w:val="single" w:sz="8" w:space="0" w:color="auto"/>
            </w:tcBorders>
            <w:vAlign w:val="center"/>
            <w:hideMark/>
          </w:tcPr>
          <w:p w14:paraId="6C1C2EF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REDES Y PROYECTOS DE ENERGIA S A EMPRESA MULTINACIONAL ANDINA - EN REORGANIZACION</w:t>
            </w:r>
          </w:p>
        </w:tc>
        <w:tc>
          <w:tcPr>
            <w:tcW w:w="817" w:type="dxa"/>
            <w:tcBorders>
              <w:top w:val="nil"/>
              <w:left w:val="nil"/>
              <w:bottom w:val="single" w:sz="8" w:space="0" w:color="auto"/>
              <w:right w:val="single" w:sz="8" w:space="0" w:color="auto"/>
            </w:tcBorders>
            <w:vAlign w:val="center"/>
            <w:hideMark/>
          </w:tcPr>
          <w:p w14:paraId="10433A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3,03</w:t>
            </w:r>
          </w:p>
        </w:tc>
        <w:tc>
          <w:tcPr>
            <w:tcW w:w="1271" w:type="dxa"/>
            <w:tcBorders>
              <w:top w:val="nil"/>
              <w:left w:val="nil"/>
              <w:bottom w:val="single" w:sz="8" w:space="0" w:color="auto"/>
              <w:right w:val="single" w:sz="8" w:space="0" w:color="auto"/>
            </w:tcBorders>
            <w:vAlign w:val="center"/>
            <w:hideMark/>
          </w:tcPr>
          <w:p w14:paraId="7E173A6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159%</w:t>
            </w:r>
          </w:p>
        </w:tc>
        <w:tc>
          <w:tcPr>
            <w:tcW w:w="1190" w:type="dxa"/>
            <w:tcBorders>
              <w:top w:val="nil"/>
              <w:left w:val="nil"/>
              <w:bottom w:val="single" w:sz="8" w:space="0" w:color="auto"/>
              <w:right w:val="single" w:sz="8" w:space="0" w:color="auto"/>
            </w:tcBorders>
            <w:vAlign w:val="center"/>
            <w:hideMark/>
          </w:tcPr>
          <w:p w14:paraId="5C292D6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32C0B9E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12.457.545</w:t>
            </w:r>
          </w:p>
        </w:tc>
        <w:tc>
          <w:tcPr>
            <w:tcW w:w="1100" w:type="dxa"/>
            <w:tcBorders>
              <w:top w:val="nil"/>
              <w:left w:val="nil"/>
              <w:bottom w:val="single" w:sz="8" w:space="0" w:color="auto"/>
              <w:right w:val="single" w:sz="8" w:space="0" w:color="auto"/>
            </w:tcBorders>
            <w:vAlign w:val="center"/>
            <w:hideMark/>
          </w:tcPr>
          <w:p w14:paraId="26A82D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1CD35C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780AE9E4" w14:textId="77777777" w:rsidTr="008468B3">
        <w:trPr>
          <w:trHeight w:val="748"/>
        </w:trPr>
        <w:tc>
          <w:tcPr>
            <w:tcW w:w="474" w:type="dxa"/>
            <w:tcBorders>
              <w:top w:val="nil"/>
              <w:left w:val="single" w:sz="8" w:space="0" w:color="auto"/>
              <w:bottom w:val="single" w:sz="8" w:space="0" w:color="auto"/>
              <w:right w:val="single" w:sz="8" w:space="0" w:color="auto"/>
            </w:tcBorders>
            <w:noWrap/>
            <w:vAlign w:val="center"/>
            <w:hideMark/>
          </w:tcPr>
          <w:p w14:paraId="631401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85</w:t>
            </w:r>
          </w:p>
        </w:tc>
        <w:tc>
          <w:tcPr>
            <w:tcW w:w="1919" w:type="dxa"/>
            <w:tcBorders>
              <w:top w:val="nil"/>
              <w:left w:val="nil"/>
              <w:bottom w:val="single" w:sz="8" w:space="0" w:color="auto"/>
              <w:right w:val="single" w:sz="8" w:space="0" w:color="auto"/>
            </w:tcBorders>
            <w:vAlign w:val="center"/>
            <w:hideMark/>
          </w:tcPr>
          <w:p w14:paraId="1191030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IMEC INGENIERIA &amp; CONSTRUCCIONES SAS EN REORGANIZACION</w:t>
            </w:r>
          </w:p>
        </w:tc>
        <w:tc>
          <w:tcPr>
            <w:tcW w:w="817" w:type="dxa"/>
            <w:tcBorders>
              <w:top w:val="nil"/>
              <w:left w:val="nil"/>
              <w:bottom w:val="single" w:sz="8" w:space="0" w:color="auto"/>
              <w:right w:val="single" w:sz="8" w:space="0" w:color="auto"/>
            </w:tcBorders>
            <w:vAlign w:val="center"/>
            <w:hideMark/>
          </w:tcPr>
          <w:p w14:paraId="032DA10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6,42</w:t>
            </w:r>
          </w:p>
        </w:tc>
        <w:tc>
          <w:tcPr>
            <w:tcW w:w="1271" w:type="dxa"/>
            <w:tcBorders>
              <w:top w:val="nil"/>
              <w:left w:val="nil"/>
              <w:bottom w:val="single" w:sz="8" w:space="0" w:color="auto"/>
              <w:right w:val="single" w:sz="8" w:space="0" w:color="auto"/>
            </w:tcBorders>
            <w:vAlign w:val="center"/>
            <w:hideMark/>
          </w:tcPr>
          <w:p w14:paraId="088629B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61%</w:t>
            </w:r>
          </w:p>
        </w:tc>
        <w:tc>
          <w:tcPr>
            <w:tcW w:w="1190" w:type="dxa"/>
            <w:tcBorders>
              <w:top w:val="nil"/>
              <w:left w:val="nil"/>
              <w:bottom w:val="single" w:sz="8" w:space="0" w:color="auto"/>
              <w:right w:val="single" w:sz="8" w:space="0" w:color="auto"/>
            </w:tcBorders>
            <w:vAlign w:val="center"/>
            <w:hideMark/>
          </w:tcPr>
          <w:p w14:paraId="1DFBD5A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2,11</w:t>
            </w:r>
          </w:p>
        </w:tc>
        <w:tc>
          <w:tcPr>
            <w:tcW w:w="1099" w:type="dxa"/>
            <w:tcBorders>
              <w:top w:val="nil"/>
              <w:left w:val="nil"/>
              <w:bottom w:val="single" w:sz="8" w:space="0" w:color="auto"/>
              <w:right w:val="single" w:sz="8" w:space="0" w:color="auto"/>
            </w:tcBorders>
            <w:vAlign w:val="center"/>
            <w:hideMark/>
          </w:tcPr>
          <w:p w14:paraId="613F8B7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1.074.976</w:t>
            </w:r>
          </w:p>
        </w:tc>
        <w:tc>
          <w:tcPr>
            <w:tcW w:w="1100" w:type="dxa"/>
            <w:tcBorders>
              <w:top w:val="nil"/>
              <w:left w:val="nil"/>
              <w:bottom w:val="single" w:sz="8" w:space="0" w:color="auto"/>
              <w:right w:val="single" w:sz="8" w:space="0" w:color="auto"/>
            </w:tcBorders>
            <w:vAlign w:val="center"/>
            <w:hideMark/>
          </w:tcPr>
          <w:p w14:paraId="5DD768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00" w:type="dxa"/>
            <w:tcBorders>
              <w:top w:val="nil"/>
              <w:left w:val="nil"/>
              <w:bottom w:val="single" w:sz="8" w:space="0" w:color="auto"/>
              <w:right w:val="single" w:sz="8" w:space="0" w:color="auto"/>
            </w:tcBorders>
            <w:vAlign w:val="center"/>
            <w:hideMark/>
          </w:tcPr>
          <w:p w14:paraId="2BBFCC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r>
      <w:tr w:rsidR="008468B3" w:rsidRPr="008468B3" w14:paraId="08476BB7" w14:textId="77777777" w:rsidTr="008468B3">
        <w:trPr>
          <w:trHeight w:val="547"/>
        </w:trPr>
        <w:tc>
          <w:tcPr>
            <w:tcW w:w="474" w:type="dxa"/>
            <w:tcBorders>
              <w:top w:val="nil"/>
              <w:left w:val="single" w:sz="8" w:space="0" w:color="auto"/>
              <w:bottom w:val="single" w:sz="8" w:space="0" w:color="auto"/>
              <w:right w:val="single" w:sz="8" w:space="0" w:color="auto"/>
            </w:tcBorders>
            <w:noWrap/>
            <w:vAlign w:val="center"/>
            <w:hideMark/>
          </w:tcPr>
          <w:p w14:paraId="55BBD6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w:t>
            </w:r>
          </w:p>
        </w:tc>
        <w:tc>
          <w:tcPr>
            <w:tcW w:w="1919" w:type="dxa"/>
            <w:tcBorders>
              <w:top w:val="nil"/>
              <w:left w:val="nil"/>
              <w:bottom w:val="single" w:sz="8" w:space="0" w:color="auto"/>
              <w:right w:val="single" w:sz="8" w:space="0" w:color="auto"/>
            </w:tcBorders>
            <w:vAlign w:val="center"/>
            <w:hideMark/>
          </w:tcPr>
          <w:p w14:paraId="2228691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MGM INGENIERIA Y PROYECTOS SAS</w:t>
            </w:r>
          </w:p>
        </w:tc>
        <w:tc>
          <w:tcPr>
            <w:tcW w:w="817" w:type="dxa"/>
            <w:tcBorders>
              <w:top w:val="nil"/>
              <w:left w:val="nil"/>
              <w:bottom w:val="single" w:sz="8" w:space="0" w:color="auto"/>
              <w:right w:val="single" w:sz="8" w:space="0" w:color="auto"/>
            </w:tcBorders>
            <w:vAlign w:val="center"/>
            <w:hideMark/>
          </w:tcPr>
          <w:p w14:paraId="03539B6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2,04</w:t>
            </w:r>
          </w:p>
        </w:tc>
        <w:tc>
          <w:tcPr>
            <w:tcW w:w="1271" w:type="dxa"/>
            <w:tcBorders>
              <w:top w:val="nil"/>
              <w:left w:val="nil"/>
              <w:bottom w:val="single" w:sz="8" w:space="0" w:color="auto"/>
              <w:right w:val="single" w:sz="8" w:space="0" w:color="auto"/>
            </w:tcBorders>
            <w:vAlign w:val="center"/>
            <w:hideMark/>
          </w:tcPr>
          <w:p w14:paraId="397E6DC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w:t>
            </w:r>
          </w:p>
        </w:tc>
        <w:tc>
          <w:tcPr>
            <w:tcW w:w="1190" w:type="dxa"/>
            <w:tcBorders>
              <w:top w:val="nil"/>
              <w:left w:val="nil"/>
              <w:bottom w:val="single" w:sz="8" w:space="0" w:color="auto"/>
              <w:right w:val="single" w:sz="8" w:space="0" w:color="auto"/>
            </w:tcBorders>
            <w:vAlign w:val="center"/>
            <w:hideMark/>
          </w:tcPr>
          <w:p w14:paraId="42473D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7,01</w:t>
            </w:r>
          </w:p>
        </w:tc>
        <w:tc>
          <w:tcPr>
            <w:tcW w:w="1099" w:type="dxa"/>
            <w:tcBorders>
              <w:top w:val="nil"/>
              <w:left w:val="nil"/>
              <w:bottom w:val="single" w:sz="8" w:space="0" w:color="auto"/>
              <w:right w:val="single" w:sz="8" w:space="0" w:color="auto"/>
            </w:tcBorders>
            <w:vAlign w:val="center"/>
            <w:hideMark/>
          </w:tcPr>
          <w:p w14:paraId="41FEC61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12.177.011</w:t>
            </w:r>
          </w:p>
        </w:tc>
        <w:tc>
          <w:tcPr>
            <w:tcW w:w="1100" w:type="dxa"/>
            <w:tcBorders>
              <w:top w:val="nil"/>
              <w:left w:val="nil"/>
              <w:bottom w:val="single" w:sz="8" w:space="0" w:color="auto"/>
              <w:right w:val="single" w:sz="8" w:space="0" w:color="auto"/>
            </w:tcBorders>
            <w:vAlign w:val="center"/>
            <w:hideMark/>
          </w:tcPr>
          <w:p w14:paraId="66021F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100" w:type="dxa"/>
            <w:tcBorders>
              <w:top w:val="nil"/>
              <w:left w:val="nil"/>
              <w:bottom w:val="single" w:sz="8" w:space="0" w:color="auto"/>
              <w:right w:val="single" w:sz="8" w:space="0" w:color="auto"/>
            </w:tcBorders>
            <w:vAlign w:val="center"/>
            <w:hideMark/>
          </w:tcPr>
          <w:p w14:paraId="7A6ED0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36B3956F"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6FC05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87</w:t>
            </w:r>
          </w:p>
        </w:tc>
        <w:tc>
          <w:tcPr>
            <w:tcW w:w="1919" w:type="dxa"/>
            <w:tcBorders>
              <w:top w:val="nil"/>
              <w:left w:val="nil"/>
              <w:bottom w:val="single" w:sz="8" w:space="0" w:color="auto"/>
              <w:right w:val="single" w:sz="8" w:space="0" w:color="auto"/>
            </w:tcBorders>
            <w:vAlign w:val="center"/>
            <w:hideMark/>
          </w:tcPr>
          <w:p w14:paraId="7D6243C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CONSTRUCEMA SAS</w:t>
            </w:r>
          </w:p>
        </w:tc>
        <w:tc>
          <w:tcPr>
            <w:tcW w:w="817" w:type="dxa"/>
            <w:tcBorders>
              <w:top w:val="nil"/>
              <w:left w:val="nil"/>
              <w:bottom w:val="single" w:sz="8" w:space="0" w:color="auto"/>
              <w:right w:val="single" w:sz="8" w:space="0" w:color="auto"/>
            </w:tcBorders>
            <w:vAlign w:val="center"/>
            <w:hideMark/>
          </w:tcPr>
          <w:p w14:paraId="3DD05B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5,76</w:t>
            </w:r>
          </w:p>
        </w:tc>
        <w:tc>
          <w:tcPr>
            <w:tcW w:w="1271" w:type="dxa"/>
            <w:tcBorders>
              <w:top w:val="nil"/>
              <w:left w:val="nil"/>
              <w:bottom w:val="single" w:sz="8" w:space="0" w:color="auto"/>
              <w:right w:val="single" w:sz="8" w:space="0" w:color="auto"/>
            </w:tcBorders>
            <w:vAlign w:val="center"/>
            <w:hideMark/>
          </w:tcPr>
          <w:p w14:paraId="7D41EF7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90" w:type="dxa"/>
            <w:tcBorders>
              <w:top w:val="nil"/>
              <w:left w:val="nil"/>
              <w:bottom w:val="single" w:sz="8" w:space="0" w:color="auto"/>
              <w:right w:val="single" w:sz="8" w:space="0" w:color="auto"/>
            </w:tcBorders>
            <w:vAlign w:val="center"/>
            <w:hideMark/>
          </w:tcPr>
          <w:p w14:paraId="658D929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8,93</w:t>
            </w:r>
          </w:p>
        </w:tc>
        <w:tc>
          <w:tcPr>
            <w:tcW w:w="1099" w:type="dxa"/>
            <w:tcBorders>
              <w:top w:val="nil"/>
              <w:left w:val="nil"/>
              <w:bottom w:val="single" w:sz="8" w:space="0" w:color="auto"/>
              <w:right w:val="single" w:sz="8" w:space="0" w:color="auto"/>
            </w:tcBorders>
            <w:vAlign w:val="center"/>
            <w:hideMark/>
          </w:tcPr>
          <w:p w14:paraId="033D47D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3.694.221</w:t>
            </w:r>
          </w:p>
        </w:tc>
        <w:tc>
          <w:tcPr>
            <w:tcW w:w="1100" w:type="dxa"/>
            <w:tcBorders>
              <w:top w:val="nil"/>
              <w:left w:val="nil"/>
              <w:bottom w:val="single" w:sz="8" w:space="0" w:color="auto"/>
              <w:right w:val="single" w:sz="8" w:space="0" w:color="auto"/>
            </w:tcBorders>
            <w:vAlign w:val="center"/>
            <w:hideMark/>
          </w:tcPr>
          <w:p w14:paraId="60FA5B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00" w:type="dxa"/>
            <w:tcBorders>
              <w:top w:val="nil"/>
              <w:left w:val="nil"/>
              <w:bottom w:val="single" w:sz="8" w:space="0" w:color="auto"/>
              <w:right w:val="single" w:sz="8" w:space="0" w:color="auto"/>
            </w:tcBorders>
            <w:vAlign w:val="center"/>
            <w:hideMark/>
          </w:tcPr>
          <w:p w14:paraId="7F8F476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0E7E5250" w14:textId="77777777" w:rsidTr="008468B3">
        <w:trPr>
          <w:trHeight w:val="830"/>
        </w:trPr>
        <w:tc>
          <w:tcPr>
            <w:tcW w:w="474" w:type="dxa"/>
            <w:tcBorders>
              <w:top w:val="nil"/>
              <w:left w:val="single" w:sz="8" w:space="0" w:color="auto"/>
              <w:bottom w:val="single" w:sz="8" w:space="0" w:color="auto"/>
              <w:right w:val="single" w:sz="8" w:space="0" w:color="auto"/>
            </w:tcBorders>
            <w:noWrap/>
            <w:vAlign w:val="center"/>
            <w:hideMark/>
          </w:tcPr>
          <w:p w14:paraId="22789A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w:t>
            </w:r>
          </w:p>
        </w:tc>
        <w:tc>
          <w:tcPr>
            <w:tcW w:w="1919" w:type="dxa"/>
            <w:tcBorders>
              <w:top w:val="nil"/>
              <w:left w:val="nil"/>
              <w:bottom w:val="single" w:sz="8" w:space="0" w:color="auto"/>
              <w:right w:val="single" w:sz="8" w:space="0" w:color="auto"/>
            </w:tcBorders>
            <w:vAlign w:val="center"/>
            <w:hideMark/>
          </w:tcPr>
          <w:p w14:paraId="07D62A1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DISEÑOS Y CONSTRUCCIONES ELECTRICAS LTDA DICONEL LTDA</w:t>
            </w:r>
          </w:p>
        </w:tc>
        <w:tc>
          <w:tcPr>
            <w:tcW w:w="817" w:type="dxa"/>
            <w:tcBorders>
              <w:top w:val="nil"/>
              <w:left w:val="nil"/>
              <w:bottom w:val="single" w:sz="8" w:space="0" w:color="auto"/>
              <w:right w:val="single" w:sz="8" w:space="0" w:color="auto"/>
            </w:tcBorders>
            <w:vAlign w:val="center"/>
            <w:hideMark/>
          </w:tcPr>
          <w:p w14:paraId="3E18B85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2,13</w:t>
            </w:r>
          </w:p>
        </w:tc>
        <w:tc>
          <w:tcPr>
            <w:tcW w:w="1271" w:type="dxa"/>
            <w:tcBorders>
              <w:top w:val="nil"/>
              <w:left w:val="nil"/>
              <w:bottom w:val="single" w:sz="8" w:space="0" w:color="auto"/>
              <w:right w:val="single" w:sz="8" w:space="0" w:color="auto"/>
            </w:tcBorders>
            <w:vAlign w:val="center"/>
            <w:hideMark/>
          </w:tcPr>
          <w:p w14:paraId="556516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91%</w:t>
            </w:r>
          </w:p>
        </w:tc>
        <w:tc>
          <w:tcPr>
            <w:tcW w:w="1190" w:type="dxa"/>
            <w:tcBorders>
              <w:top w:val="nil"/>
              <w:left w:val="nil"/>
              <w:bottom w:val="single" w:sz="8" w:space="0" w:color="auto"/>
              <w:right w:val="single" w:sz="8" w:space="0" w:color="auto"/>
            </w:tcBorders>
            <w:vAlign w:val="center"/>
            <w:hideMark/>
          </w:tcPr>
          <w:p w14:paraId="222D982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A33EFE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963.791</w:t>
            </w:r>
          </w:p>
        </w:tc>
        <w:tc>
          <w:tcPr>
            <w:tcW w:w="1100" w:type="dxa"/>
            <w:tcBorders>
              <w:top w:val="nil"/>
              <w:left w:val="nil"/>
              <w:bottom w:val="single" w:sz="8" w:space="0" w:color="auto"/>
              <w:right w:val="single" w:sz="8" w:space="0" w:color="auto"/>
            </w:tcBorders>
            <w:vAlign w:val="center"/>
            <w:hideMark/>
          </w:tcPr>
          <w:p w14:paraId="45867C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00" w:type="dxa"/>
            <w:tcBorders>
              <w:top w:val="nil"/>
              <w:left w:val="nil"/>
              <w:bottom w:val="single" w:sz="8" w:space="0" w:color="auto"/>
              <w:right w:val="single" w:sz="8" w:space="0" w:color="auto"/>
            </w:tcBorders>
            <w:vAlign w:val="center"/>
            <w:hideMark/>
          </w:tcPr>
          <w:p w14:paraId="535F6A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61379BA2" w14:textId="77777777" w:rsidTr="008468B3">
        <w:trPr>
          <w:trHeight w:val="687"/>
        </w:trPr>
        <w:tc>
          <w:tcPr>
            <w:tcW w:w="474" w:type="dxa"/>
            <w:tcBorders>
              <w:top w:val="nil"/>
              <w:left w:val="single" w:sz="8" w:space="0" w:color="auto"/>
              <w:bottom w:val="single" w:sz="8" w:space="0" w:color="auto"/>
              <w:right w:val="single" w:sz="8" w:space="0" w:color="auto"/>
            </w:tcBorders>
            <w:noWrap/>
            <w:vAlign w:val="center"/>
            <w:hideMark/>
          </w:tcPr>
          <w:p w14:paraId="1F2872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89</w:t>
            </w:r>
          </w:p>
        </w:tc>
        <w:tc>
          <w:tcPr>
            <w:tcW w:w="1919" w:type="dxa"/>
            <w:tcBorders>
              <w:top w:val="nil"/>
              <w:left w:val="nil"/>
              <w:bottom w:val="single" w:sz="8" w:space="0" w:color="auto"/>
              <w:right w:val="single" w:sz="8" w:space="0" w:color="auto"/>
            </w:tcBorders>
            <w:vAlign w:val="center"/>
            <w:hideMark/>
          </w:tcPr>
          <w:p w14:paraId="6DCF7ED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ABECOL DEMOLICIONES Y CONSTRUCCIONES SAS</w:t>
            </w:r>
          </w:p>
        </w:tc>
        <w:tc>
          <w:tcPr>
            <w:tcW w:w="817" w:type="dxa"/>
            <w:tcBorders>
              <w:top w:val="nil"/>
              <w:left w:val="nil"/>
              <w:bottom w:val="single" w:sz="8" w:space="0" w:color="auto"/>
              <w:right w:val="single" w:sz="8" w:space="0" w:color="auto"/>
            </w:tcBorders>
            <w:vAlign w:val="center"/>
            <w:hideMark/>
          </w:tcPr>
          <w:p w14:paraId="4C42DE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3,64</w:t>
            </w:r>
          </w:p>
        </w:tc>
        <w:tc>
          <w:tcPr>
            <w:tcW w:w="1271" w:type="dxa"/>
            <w:tcBorders>
              <w:top w:val="nil"/>
              <w:left w:val="nil"/>
              <w:bottom w:val="single" w:sz="8" w:space="0" w:color="auto"/>
              <w:right w:val="single" w:sz="8" w:space="0" w:color="auto"/>
            </w:tcBorders>
            <w:vAlign w:val="center"/>
            <w:hideMark/>
          </w:tcPr>
          <w:p w14:paraId="3C55CB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90" w:type="dxa"/>
            <w:tcBorders>
              <w:top w:val="nil"/>
              <w:left w:val="nil"/>
              <w:bottom w:val="single" w:sz="8" w:space="0" w:color="auto"/>
              <w:right w:val="single" w:sz="8" w:space="0" w:color="auto"/>
            </w:tcBorders>
            <w:vAlign w:val="center"/>
            <w:hideMark/>
          </w:tcPr>
          <w:p w14:paraId="4278E7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7,08</w:t>
            </w:r>
          </w:p>
        </w:tc>
        <w:tc>
          <w:tcPr>
            <w:tcW w:w="1099" w:type="dxa"/>
            <w:tcBorders>
              <w:top w:val="nil"/>
              <w:left w:val="nil"/>
              <w:bottom w:val="single" w:sz="8" w:space="0" w:color="auto"/>
              <w:right w:val="single" w:sz="8" w:space="0" w:color="auto"/>
            </w:tcBorders>
            <w:vAlign w:val="center"/>
            <w:hideMark/>
          </w:tcPr>
          <w:p w14:paraId="3346593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6.390.169</w:t>
            </w:r>
          </w:p>
        </w:tc>
        <w:tc>
          <w:tcPr>
            <w:tcW w:w="1100" w:type="dxa"/>
            <w:tcBorders>
              <w:top w:val="nil"/>
              <w:left w:val="nil"/>
              <w:bottom w:val="single" w:sz="8" w:space="0" w:color="auto"/>
              <w:right w:val="single" w:sz="8" w:space="0" w:color="auto"/>
            </w:tcBorders>
            <w:vAlign w:val="center"/>
            <w:hideMark/>
          </w:tcPr>
          <w:p w14:paraId="2CD950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27E3977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4310DA2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D5A6E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w:t>
            </w:r>
          </w:p>
        </w:tc>
        <w:tc>
          <w:tcPr>
            <w:tcW w:w="1919" w:type="dxa"/>
            <w:tcBorders>
              <w:top w:val="nil"/>
              <w:left w:val="nil"/>
              <w:bottom w:val="single" w:sz="8" w:space="0" w:color="auto"/>
              <w:right w:val="single" w:sz="8" w:space="0" w:color="auto"/>
            </w:tcBorders>
            <w:vAlign w:val="center"/>
            <w:hideMark/>
          </w:tcPr>
          <w:p w14:paraId="013C6DD2"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CONSTUELECTRICOS JOSE H S A S</w:t>
            </w:r>
          </w:p>
        </w:tc>
        <w:tc>
          <w:tcPr>
            <w:tcW w:w="817" w:type="dxa"/>
            <w:tcBorders>
              <w:top w:val="nil"/>
              <w:left w:val="nil"/>
              <w:bottom w:val="single" w:sz="8" w:space="0" w:color="auto"/>
              <w:right w:val="single" w:sz="8" w:space="0" w:color="auto"/>
            </w:tcBorders>
            <w:vAlign w:val="center"/>
            <w:hideMark/>
          </w:tcPr>
          <w:p w14:paraId="064DD24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5,71</w:t>
            </w:r>
          </w:p>
        </w:tc>
        <w:tc>
          <w:tcPr>
            <w:tcW w:w="1271" w:type="dxa"/>
            <w:tcBorders>
              <w:top w:val="nil"/>
              <w:left w:val="nil"/>
              <w:bottom w:val="single" w:sz="8" w:space="0" w:color="auto"/>
              <w:right w:val="single" w:sz="8" w:space="0" w:color="auto"/>
            </w:tcBorders>
            <w:vAlign w:val="center"/>
            <w:hideMark/>
          </w:tcPr>
          <w:p w14:paraId="7287CD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w:t>
            </w:r>
          </w:p>
        </w:tc>
        <w:tc>
          <w:tcPr>
            <w:tcW w:w="1190" w:type="dxa"/>
            <w:tcBorders>
              <w:top w:val="nil"/>
              <w:left w:val="nil"/>
              <w:bottom w:val="single" w:sz="8" w:space="0" w:color="auto"/>
              <w:right w:val="single" w:sz="8" w:space="0" w:color="auto"/>
            </w:tcBorders>
            <w:vAlign w:val="center"/>
            <w:hideMark/>
          </w:tcPr>
          <w:p w14:paraId="5EE73E9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50,01</w:t>
            </w:r>
          </w:p>
        </w:tc>
        <w:tc>
          <w:tcPr>
            <w:tcW w:w="1099" w:type="dxa"/>
            <w:tcBorders>
              <w:top w:val="nil"/>
              <w:left w:val="nil"/>
              <w:bottom w:val="single" w:sz="8" w:space="0" w:color="auto"/>
              <w:right w:val="single" w:sz="8" w:space="0" w:color="auto"/>
            </w:tcBorders>
            <w:vAlign w:val="center"/>
            <w:hideMark/>
          </w:tcPr>
          <w:p w14:paraId="6858A62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21.017.594</w:t>
            </w:r>
          </w:p>
        </w:tc>
        <w:tc>
          <w:tcPr>
            <w:tcW w:w="1100" w:type="dxa"/>
            <w:tcBorders>
              <w:top w:val="nil"/>
              <w:left w:val="nil"/>
              <w:bottom w:val="single" w:sz="8" w:space="0" w:color="auto"/>
              <w:right w:val="single" w:sz="8" w:space="0" w:color="auto"/>
            </w:tcBorders>
            <w:vAlign w:val="center"/>
            <w:hideMark/>
          </w:tcPr>
          <w:p w14:paraId="2BEC1A9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00" w:type="dxa"/>
            <w:tcBorders>
              <w:top w:val="nil"/>
              <w:left w:val="nil"/>
              <w:bottom w:val="single" w:sz="8" w:space="0" w:color="auto"/>
              <w:right w:val="single" w:sz="8" w:space="0" w:color="auto"/>
            </w:tcBorders>
            <w:vAlign w:val="center"/>
            <w:hideMark/>
          </w:tcPr>
          <w:p w14:paraId="1BC3D6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r>
      <w:tr w:rsidR="008468B3" w:rsidRPr="008468B3" w14:paraId="50CDD13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88D38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91</w:t>
            </w:r>
          </w:p>
        </w:tc>
        <w:tc>
          <w:tcPr>
            <w:tcW w:w="1919" w:type="dxa"/>
            <w:tcBorders>
              <w:top w:val="nil"/>
              <w:left w:val="nil"/>
              <w:bottom w:val="single" w:sz="8" w:space="0" w:color="auto"/>
              <w:right w:val="single" w:sz="8" w:space="0" w:color="auto"/>
            </w:tcBorders>
            <w:vAlign w:val="center"/>
            <w:hideMark/>
          </w:tcPr>
          <w:p w14:paraId="5CB49AD0" w14:textId="77777777" w:rsidR="008468B3" w:rsidRPr="00DB3156" w:rsidRDefault="008468B3" w:rsidP="008468B3">
            <w:pPr>
              <w:spacing w:after="0" w:line="240" w:lineRule="auto"/>
              <w:rPr>
                <w:rFonts w:ascii="Arial" w:eastAsia="Times New Roman" w:hAnsi="Arial" w:cs="Arial"/>
                <w:color w:val="000000"/>
                <w:sz w:val="14"/>
                <w:szCs w:val="14"/>
                <w:lang w:val="sv-SE" w:eastAsia="es-CO"/>
              </w:rPr>
            </w:pPr>
            <w:r w:rsidRPr="00DB3156">
              <w:rPr>
                <w:rFonts w:ascii="Arial" w:eastAsia="Times New Roman" w:hAnsi="Arial" w:cs="Arial"/>
                <w:color w:val="000000"/>
                <w:sz w:val="14"/>
                <w:szCs w:val="14"/>
                <w:lang w:val="sv-SE" w:eastAsia="es-CO"/>
              </w:rPr>
              <w:t>ROCK WALL S.A.S.</w:t>
            </w:r>
          </w:p>
        </w:tc>
        <w:tc>
          <w:tcPr>
            <w:tcW w:w="817" w:type="dxa"/>
            <w:tcBorders>
              <w:top w:val="nil"/>
              <w:left w:val="nil"/>
              <w:bottom w:val="single" w:sz="8" w:space="0" w:color="auto"/>
              <w:right w:val="single" w:sz="8" w:space="0" w:color="auto"/>
            </w:tcBorders>
            <w:vAlign w:val="center"/>
            <w:hideMark/>
          </w:tcPr>
          <w:p w14:paraId="17A3FF3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1,58</w:t>
            </w:r>
          </w:p>
        </w:tc>
        <w:tc>
          <w:tcPr>
            <w:tcW w:w="1271" w:type="dxa"/>
            <w:tcBorders>
              <w:top w:val="nil"/>
              <w:left w:val="nil"/>
              <w:bottom w:val="single" w:sz="8" w:space="0" w:color="auto"/>
              <w:right w:val="single" w:sz="8" w:space="0" w:color="auto"/>
            </w:tcBorders>
            <w:vAlign w:val="center"/>
            <w:hideMark/>
          </w:tcPr>
          <w:p w14:paraId="0981EE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w:t>
            </w:r>
          </w:p>
        </w:tc>
        <w:tc>
          <w:tcPr>
            <w:tcW w:w="1190" w:type="dxa"/>
            <w:tcBorders>
              <w:top w:val="nil"/>
              <w:left w:val="nil"/>
              <w:bottom w:val="single" w:sz="8" w:space="0" w:color="auto"/>
              <w:right w:val="single" w:sz="8" w:space="0" w:color="auto"/>
            </w:tcBorders>
            <w:vAlign w:val="center"/>
            <w:hideMark/>
          </w:tcPr>
          <w:p w14:paraId="58ACDC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8,95</w:t>
            </w:r>
          </w:p>
        </w:tc>
        <w:tc>
          <w:tcPr>
            <w:tcW w:w="1099" w:type="dxa"/>
            <w:tcBorders>
              <w:top w:val="nil"/>
              <w:left w:val="nil"/>
              <w:bottom w:val="single" w:sz="8" w:space="0" w:color="auto"/>
              <w:right w:val="single" w:sz="8" w:space="0" w:color="auto"/>
            </w:tcBorders>
            <w:vAlign w:val="center"/>
            <w:hideMark/>
          </w:tcPr>
          <w:p w14:paraId="7A8F1DB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652.621</w:t>
            </w:r>
          </w:p>
        </w:tc>
        <w:tc>
          <w:tcPr>
            <w:tcW w:w="1100" w:type="dxa"/>
            <w:tcBorders>
              <w:top w:val="nil"/>
              <w:left w:val="nil"/>
              <w:bottom w:val="single" w:sz="8" w:space="0" w:color="auto"/>
              <w:right w:val="single" w:sz="8" w:space="0" w:color="auto"/>
            </w:tcBorders>
            <w:vAlign w:val="center"/>
            <w:hideMark/>
          </w:tcPr>
          <w:p w14:paraId="5F7339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00" w:type="dxa"/>
            <w:tcBorders>
              <w:top w:val="nil"/>
              <w:left w:val="nil"/>
              <w:bottom w:val="single" w:sz="8" w:space="0" w:color="auto"/>
              <w:right w:val="single" w:sz="8" w:space="0" w:color="auto"/>
            </w:tcBorders>
            <w:vAlign w:val="center"/>
            <w:hideMark/>
          </w:tcPr>
          <w:p w14:paraId="6264D1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31866C4C" w14:textId="77777777" w:rsidTr="008468B3">
        <w:trPr>
          <w:trHeight w:val="811"/>
        </w:trPr>
        <w:tc>
          <w:tcPr>
            <w:tcW w:w="474" w:type="dxa"/>
            <w:tcBorders>
              <w:top w:val="nil"/>
              <w:left w:val="single" w:sz="8" w:space="0" w:color="auto"/>
              <w:bottom w:val="single" w:sz="8" w:space="0" w:color="auto"/>
              <w:right w:val="single" w:sz="8" w:space="0" w:color="auto"/>
            </w:tcBorders>
            <w:noWrap/>
            <w:vAlign w:val="center"/>
            <w:hideMark/>
          </w:tcPr>
          <w:p w14:paraId="02E0EBC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92</w:t>
            </w:r>
          </w:p>
        </w:tc>
        <w:tc>
          <w:tcPr>
            <w:tcW w:w="1919" w:type="dxa"/>
            <w:tcBorders>
              <w:top w:val="nil"/>
              <w:left w:val="nil"/>
              <w:bottom w:val="single" w:sz="8" w:space="0" w:color="auto"/>
              <w:right w:val="single" w:sz="8" w:space="0" w:color="auto"/>
            </w:tcBorders>
            <w:vAlign w:val="center"/>
            <w:hideMark/>
          </w:tcPr>
          <w:p w14:paraId="09C0EF6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CONTROLES Y AUTOMATIZACION SAS EN REORGANIZACION</w:t>
            </w:r>
          </w:p>
        </w:tc>
        <w:tc>
          <w:tcPr>
            <w:tcW w:w="817" w:type="dxa"/>
            <w:tcBorders>
              <w:top w:val="nil"/>
              <w:left w:val="nil"/>
              <w:bottom w:val="single" w:sz="8" w:space="0" w:color="auto"/>
              <w:right w:val="single" w:sz="8" w:space="0" w:color="auto"/>
            </w:tcBorders>
            <w:vAlign w:val="center"/>
            <w:hideMark/>
          </w:tcPr>
          <w:p w14:paraId="49AC32C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3,04</w:t>
            </w:r>
          </w:p>
        </w:tc>
        <w:tc>
          <w:tcPr>
            <w:tcW w:w="1271" w:type="dxa"/>
            <w:tcBorders>
              <w:top w:val="nil"/>
              <w:left w:val="nil"/>
              <w:bottom w:val="single" w:sz="8" w:space="0" w:color="auto"/>
              <w:right w:val="single" w:sz="8" w:space="0" w:color="auto"/>
            </w:tcBorders>
            <w:vAlign w:val="center"/>
            <w:hideMark/>
          </w:tcPr>
          <w:p w14:paraId="6E250B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1E3BAF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2CF3C5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7.882.812</w:t>
            </w:r>
          </w:p>
        </w:tc>
        <w:tc>
          <w:tcPr>
            <w:tcW w:w="1100" w:type="dxa"/>
            <w:tcBorders>
              <w:top w:val="nil"/>
              <w:left w:val="nil"/>
              <w:bottom w:val="single" w:sz="8" w:space="0" w:color="auto"/>
              <w:right w:val="single" w:sz="8" w:space="0" w:color="auto"/>
            </w:tcBorders>
            <w:vAlign w:val="center"/>
            <w:hideMark/>
          </w:tcPr>
          <w:p w14:paraId="1349B9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0E56C3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39D57F9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CF562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93</w:t>
            </w:r>
          </w:p>
        </w:tc>
        <w:tc>
          <w:tcPr>
            <w:tcW w:w="1919" w:type="dxa"/>
            <w:tcBorders>
              <w:top w:val="nil"/>
              <w:left w:val="nil"/>
              <w:bottom w:val="single" w:sz="8" w:space="0" w:color="auto"/>
              <w:right w:val="single" w:sz="8" w:space="0" w:color="auto"/>
            </w:tcBorders>
            <w:vAlign w:val="center"/>
            <w:hideMark/>
          </w:tcPr>
          <w:p w14:paraId="3CD16A0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COLOMBIA ILUMINADA SAS</w:t>
            </w:r>
          </w:p>
        </w:tc>
        <w:tc>
          <w:tcPr>
            <w:tcW w:w="817" w:type="dxa"/>
            <w:tcBorders>
              <w:top w:val="nil"/>
              <w:left w:val="nil"/>
              <w:bottom w:val="single" w:sz="8" w:space="0" w:color="auto"/>
              <w:right w:val="single" w:sz="8" w:space="0" w:color="auto"/>
            </w:tcBorders>
            <w:vAlign w:val="center"/>
            <w:hideMark/>
          </w:tcPr>
          <w:p w14:paraId="48DD3CA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25,49</w:t>
            </w:r>
          </w:p>
        </w:tc>
        <w:tc>
          <w:tcPr>
            <w:tcW w:w="1271" w:type="dxa"/>
            <w:tcBorders>
              <w:top w:val="nil"/>
              <w:left w:val="nil"/>
              <w:bottom w:val="single" w:sz="8" w:space="0" w:color="auto"/>
              <w:right w:val="single" w:sz="8" w:space="0" w:color="auto"/>
            </w:tcBorders>
            <w:vAlign w:val="center"/>
            <w:hideMark/>
          </w:tcPr>
          <w:p w14:paraId="6A6B94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90" w:type="dxa"/>
            <w:tcBorders>
              <w:top w:val="nil"/>
              <w:left w:val="nil"/>
              <w:bottom w:val="single" w:sz="8" w:space="0" w:color="auto"/>
              <w:right w:val="single" w:sz="8" w:space="0" w:color="auto"/>
            </w:tcBorders>
            <w:vAlign w:val="center"/>
            <w:hideMark/>
          </w:tcPr>
          <w:p w14:paraId="3C384B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13,70</w:t>
            </w:r>
          </w:p>
        </w:tc>
        <w:tc>
          <w:tcPr>
            <w:tcW w:w="1099" w:type="dxa"/>
            <w:tcBorders>
              <w:top w:val="nil"/>
              <w:left w:val="nil"/>
              <w:bottom w:val="single" w:sz="8" w:space="0" w:color="auto"/>
              <w:right w:val="single" w:sz="8" w:space="0" w:color="auto"/>
            </w:tcBorders>
            <w:vAlign w:val="center"/>
            <w:hideMark/>
          </w:tcPr>
          <w:p w14:paraId="56BBDF1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2.225.715</w:t>
            </w:r>
          </w:p>
        </w:tc>
        <w:tc>
          <w:tcPr>
            <w:tcW w:w="1100" w:type="dxa"/>
            <w:tcBorders>
              <w:top w:val="nil"/>
              <w:left w:val="nil"/>
              <w:bottom w:val="single" w:sz="8" w:space="0" w:color="auto"/>
              <w:right w:val="single" w:sz="8" w:space="0" w:color="auto"/>
            </w:tcBorders>
            <w:vAlign w:val="center"/>
            <w:hideMark/>
          </w:tcPr>
          <w:p w14:paraId="006AA53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1650EE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724D774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E8D8B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94</w:t>
            </w:r>
          </w:p>
        </w:tc>
        <w:tc>
          <w:tcPr>
            <w:tcW w:w="1919" w:type="dxa"/>
            <w:tcBorders>
              <w:top w:val="nil"/>
              <w:left w:val="nil"/>
              <w:bottom w:val="single" w:sz="8" w:space="0" w:color="auto"/>
              <w:right w:val="single" w:sz="8" w:space="0" w:color="auto"/>
            </w:tcBorders>
            <w:vAlign w:val="center"/>
            <w:hideMark/>
          </w:tcPr>
          <w:p w14:paraId="273B1C3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RENT INDUSTRIAL SAS</w:t>
            </w:r>
          </w:p>
        </w:tc>
        <w:tc>
          <w:tcPr>
            <w:tcW w:w="817" w:type="dxa"/>
            <w:tcBorders>
              <w:top w:val="nil"/>
              <w:left w:val="nil"/>
              <w:bottom w:val="single" w:sz="8" w:space="0" w:color="auto"/>
              <w:right w:val="single" w:sz="8" w:space="0" w:color="auto"/>
            </w:tcBorders>
            <w:vAlign w:val="center"/>
            <w:hideMark/>
          </w:tcPr>
          <w:p w14:paraId="21B715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8,88</w:t>
            </w:r>
          </w:p>
        </w:tc>
        <w:tc>
          <w:tcPr>
            <w:tcW w:w="1271" w:type="dxa"/>
            <w:tcBorders>
              <w:top w:val="nil"/>
              <w:left w:val="nil"/>
              <w:bottom w:val="single" w:sz="8" w:space="0" w:color="auto"/>
              <w:right w:val="single" w:sz="8" w:space="0" w:color="auto"/>
            </w:tcBorders>
            <w:vAlign w:val="center"/>
            <w:hideMark/>
          </w:tcPr>
          <w:p w14:paraId="07B3F7A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90" w:type="dxa"/>
            <w:tcBorders>
              <w:top w:val="nil"/>
              <w:left w:val="nil"/>
              <w:bottom w:val="single" w:sz="8" w:space="0" w:color="auto"/>
              <w:right w:val="single" w:sz="8" w:space="0" w:color="auto"/>
            </w:tcBorders>
            <w:vAlign w:val="center"/>
            <w:hideMark/>
          </w:tcPr>
          <w:p w14:paraId="1E2F894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3,90</w:t>
            </w:r>
          </w:p>
        </w:tc>
        <w:tc>
          <w:tcPr>
            <w:tcW w:w="1099" w:type="dxa"/>
            <w:tcBorders>
              <w:top w:val="nil"/>
              <w:left w:val="nil"/>
              <w:bottom w:val="single" w:sz="8" w:space="0" w:color="auto"/>
              <w:right w:val="single" w:sz="8" w:space="0" w:color="auto"/>
            </w:tcBorders>
            <w:vAlign w:val="center"/>
            <w:hideMark/>
          </w:tcPr>
          <w:p w14:paraId="20B1F53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5.433.909</w:t>
            </w:r>
          </w:p>
        </w:tc>
        <w:tc>
          <w:tcPr>
            <w:tcW w:w="1100" w:type="dxa"/>
            <w:tcBorders>
              <w:top w:val="nil"/>
              <w:left w:val="nil"/>
              <w:bottom w:val="single" w:sz="8" w:space="0" w:color="auto"/>
              <w:right w:val="single" w:sz="8" w:space="0" w:color="auto"/>
            </w:tcBorders>
            <w:vAlign w:val="center"/>
            <w:hideMark/>
          </w:tcPr>
          <w:p w14:paraId="6619B81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00" w:type="dxa"/>
            <w:tcBorders>
              <w:top w:val="nil"/>
              <w:left w:val="nil"/>
              <w:bottom w:val="single" w:sz="8" w:space="0" w:color="auto"/>
              <w:right w:val="single" w:sz="8" w:space="0" w:color="auto"/>
            </w:tcBorders>
            <w:vAlign w:val="center"/>
            <w:hideMark/>
          </w:tcPr>
          <w:p w14:paraId="03B92F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48960A10"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0E6D6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95</w:t>
            </w:r>
          </w:p>
        </w:tc>
        <w:tc>
          <w:tcPr>
            <w:tcW w:w="1919" w:type="dxa"/>
            <w:tcBorders>
              <w:top w:val="nil"/>
              <w:left w:val="nil"/>
              <w:bottom w:val="single" w:sz="8" w:space="0" w:color="auto"/>
              <w:right w:val="single" w:sz="8" w:space="0" w:color="auto"/>
            </w:tcBorders>
            <w:vAlign w:val="center"/>
            <w:hideMark/>
          </w:tcPr>
          <w:p w14:paraId="52CAA2C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Y CONSTRUCCIONES INTEC OTM LTDA</w:t>
            </w:r>
          </w:p>
        </w:tc>
        <w:tc>
          <w:tcPr>
            <w:tcW w:w="817" w:type="dxa"/>
            <w:tcBorders>
              <w:top w:val="nil"/>
              <w:left w:val="nil"/>
              <w:bottom w:val="single" w:sz="8" w:space="0" w:color="auto"/>
              <w:right w:val="single" w:sz="8" w:space="0" w:color="auto"/>
            </w:tcBorders>
            <w:vAlign w:val="center"/>
            <w:hideMark/>
          </w:tcPr>
          <w:p w14:paraId="42D38A4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25,82</w:t>
            </w:r>
          </w:p>
        </w:tc>
        <w:tc>
          <w:tcPr>
            <w:tcW w:w="1271" w:type="dxa"/>
            <w:tcBorders>
              <w:top w:val="nil"/>
              <w:left w:val="nil"/>
              <w:bottom w:val="single" w:sz="8" w:space="0" w:color="auto"/>
              <w:right w:val="single" w:sz="8" w:space="0" w:color="auto"/>
            </w:tcBorders>
            <w:vAlign w:val="center"/>
            <w:hideMark/>
          </w:tcPr>
          <w:p w14:paraId="486BB0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666EB7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084A56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2.048.194</w:t>
            </w:r>
          </w:p>
        </w:tc>
        <w:tc>
          <w:tcPr>
            <w:tcW w:w="1100" w:type="dxa"/>
            <w:tcBorders>
              <w:top w:val="nil"/>
              <w:left w:val="nil"/>
              <w:bottom w:val="single" w:sz="8" w:space="0" w:color="auto"/>
              <w:right w:val="single" w:sz="8" w:space="0" w:color="auto"/>
            </w:tcBorders>
            <w:vAlign w:val="center"/>
            <w:hideMark/>
          </w:tcPr>
          <w:p w14:paraId="3BCAC3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6CC47A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7BC4F64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F0CD2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96</w:t>
            </w:r>
          </w:p>
        </w:tc>
        <w:tc>
          <w:tcPr>
            <w:tcW w:w="1919" w:type="dxa"/>
            <w:tcBorders>
              <w:top w:val="nil"/>
              <w:left w:val="nil"/>
              <w:bottom w:val="single" w:sz="8" w:space="0" w:color="auto"/>
              <w:right w:val="single" w:sz="8" w:space="0" w:color="auto"/>
            </w:tcBorders>
            <w:vAlign w:val="center"/>
            <w:hideMark/>
          </w:tcPr>
          <w:p w14:paraId="6A062EA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CONSTRUINTEC S A S</w:t>
            </w:r>
          </w:p>
        </w:tc>
        <w:tc>
          <w:tcPr>
            <w:tcW w:w="817" w:type="dxa"/>
            <w:tcBorders>
              <w:top w:val="nil"/>
              <w:left w:val="nil"/>
              <w:bottom w:val="single" w:sz="8" w:space="0" w:color="auto"/>
              <w:right w:val="single" w:sz="8" w:space="0" w:color="auto"/>
            </w:tcBorders>
            <w:vAlign w:val="center"/>
            <w:hideMark/>
          </w:tcPr>
          <w:p w14:paraId="0A39F16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2,15</w:t>
            </w:r>
          </w:p>
        </w:tc>
        <w:tc>
          <w:tcPr>
            <w:tcW w:w="1271" w:type="dxa"/>
            <w:tcBorders>
              <w:top w:val="nil"/>
              <w:left w:val="nil"/>
              <w:bottom w:val="single" w:sz="8" w:space="0" w:color="auto"/>
              <w:right w:val="single" w:sz="8" w:space="0" w:color="auto"/>
            </w:tcBorders>
            <w:vAlign w:val="center"/>
            <w:hideMark/>
          </w:tcPr>
          <w:p w14:paraId="6BEFB4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w:t>
            </w:r>
          </w:p>
        </w:tc>
        <w:tc>
          <w:tcPr>
            <w:tcW w:w="1190" w:type="dxa"/>
            <w:tcBorders>
              <w:top w:val="nil"/>
              <w:left w:val="nil"/>
              <w:bottom w:val="single" w:sz="8" w:space="0" w:color="auto"/>
              <w:right w:val="single" w:sz="8" w:space="0" w:color="auto"/>
            </w:tcBorders>
            <w:vAlign w:val="center"/>
            <w:hideMark/>
          </w:tcPr>
          <w:p w14:paraId="65DDD4B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16,52</w:t>
            </w:r>
          </w:p>
        </w:tc>
        <w:tc>
          <w:tcPr>
            <w:tcW w:w="1099" w:type="dxa"/>
            <w:tcBorders>
              <w:top w:val="nil"/>
              <w:left w:val="nil"/>
              <w:bottom w:val="single" w:sz="8" w:space="0" w:color="auto"/>
              <w:right w:val="single" w:sz="8" w:space="0" w:color="auto"/>
            </w:tcBorders>
            <w:vAlign w:val="center"/>
            <w:hideMark/>
          </w:tcPr>
          <w:p w14:paraId="0A36470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3.850.633</w:t>
            </w:r>
          </w:p>
        </w:tc>
        <w:tc>
          <w:tcPr>
            <w:tcW w:w="1100" w:type="dxa"/>
            <w:tcBorders>
              <w:top w:val="nil"/>
              <w:left w:val="nil"/>
              <w:bottom w:val="single" w:sz="8" w:space="0" w:color="auto"/>
              <w:right w:val="single" w:sz="8" w:space="0" w:color="auto"/>
            </w:tcBorders>
            <w:vAlign w:val="center"/>
            <w:hideMark/>
          </w:tcPr>
          <w:p w14:paraId="5F4F832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08673E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1049CC6E" w14:textId="77777777" w:rsidTr="008468B3">
        <w:trPr>
          <w:trHeight w:val="766"/>
        </w:trPr>
        <w:tc>
          <w:tcPr>
            <w:tcW w:w="474" w:type="dxa"/>
            <w:tcBorders>
              <w:top w:val="nil"/>
              <w:left w:val="single" w:sz="8" w:space="0" w:color="auto"/>
              <w:bottom w:val="single" w:sz="8" w:space="0" w:color="auto"/>
              <w:right w:val="single" w:sz="8" w:space="0" w:color="auto"/>
            </w:tcBorders>
            <w:noWrap/>
            <w:vAlign w:val="center"/>
            <w:hideMark/>
          </w:tcPr>
          <w:p w14:paraId="4E28F5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97</w:t>
            </w:r>
          </w:p>
        </w:tc>
        <w:tc>
          <w:tcPr>
            <w:tcW w:w="1919" w:type="dxa"/>
            <w:tcBorders>
              <w:top w:val="nil"/>
              <w:left w:val="nil"/>
              <w:bottom w:val="single" w:sz="8" w:space="0" w:color="auto"/>
              <w:right w:val="single" w:sz="8" w:space="0" w:color="auto"/>
            </w:tcBorders>
            <w:vAlign w:val="center"/>
            <w:hideMark/>
          </w:tcPr>
          <w:p w14:paraId="145B7B1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SOLUCIONES INTEGRALES DE DISEÑO Y CONSTRUCCION SAS</w:t>
            </w:r>
          </w:p>
        </w:tc>
        <w:tc>
          <w:tcPr>
            <w:tcW w:w="817" w:type="dxa"/>
            <w:tcBorders>
              <w:top w:val="nil"/>
              <w:left w:val="nil"/>
              <w:bottom w:val="single" w:sz="8" w:space="0" w:color="auto"/>
              <w:right w:val="single" w:sz="8" w:space="0" w:color="auto"/>
            </w:tcBorders>
            <w:vAlign w:val="center"/>
            <w:hideMark/>
          </w:tcPr>
          <w:p w14:paraId="148EC3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1,34</w:t>
            </w:r>
          </w:p>
        </w:tc>
        <w:tc>
          <w:tcPr>
            <w:tcW w:w="1271" w:type="dxa"/>
            <w:tcBorders>
              <w:top w:val="nil"/>
              <w:left w:val="nil"/>
              <w:bottom w:val="single" w:sz="8" w:space="0" w:color="auto"/>
              <w:right w:val="single" w:sz="8" w:space="0" w:color="auto"/>
            </w:tcBorders>
            <w:vAlign w:val="center"/>
            <w:hideMark/>
          </w:tcPr>
          <w:p w14:paraId="43E845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190" w:type="dxa"/>
            <w:tcBorders>
              <w:top w:val="nil"/>
              <w:left w:val="nil"/>
              <w:bottom w:val="single" w:sz="8" w:space="0" w:color="auto"/>
              <w:right w:val="single" w:sz="8" w:space="0" w:color="auto"/>
            </w:tcBorders>
            <w:vAlign w:val="center"/>
            <w:hideMark/>
          </w:tcPr>
          <w:p w14:paraId="40BB83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6,78</w:t>
            </w:r>
          </w:p>
        </w:tc>
        <w:tc>
          <w:tcPr>
            <w:tcW w:w="1099" w:type="dxa"/>
            <w:tcBorders>
              <w:top w:val="nil"/>
              <w:left w:val="nil"/>
              <w:bottom w:val="single" w:sz="8" w:space="0" w:color="auto"/>
              <w:right w:val="single" w:sz="8" w:space="0" w:color="auto"/>
            </w:tcBorders>
            <w:vAlign w:val="center"/>
            <w:hideMark/>
          </w:tcPr>
          <w:p w14:paraId="74A1012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1.137.568</w:t>
            </w:r>
          </w:p>
        </w:tc>
        <w:tc>
          <w:tcPr>
            <w:tcW w:w="1100" w:type="dxa"/>
            <w:tcBorders>
              <w:top w:val="nil"/>
              <w:left w:val="nil"/>
              <w:bottom w:val="single" w:sz="8" w:space="0" w:color="auto"/>
              <w:right w:val="single" w:sz="8" w:space="0" w:color="auto"/>
            </w:tcBorders>
            <w:vAlign w:val="center"/>
            <w:hideMark/>
          </w:tcPr>
          <w:p w14:paraId="5FB6931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00" w:type="dxa"/>
            <w:tcBorders>
              <w:top w:val="nil"/>
              <w:left w:val="nil"/>
              <w:bottom w:val="single" w:sz="8" w:space="0" w:color="auto"/>
              <w:right w:val="single" w:sz="8" w:space="0" w:color="auto"/>
            </w:tcBorders>
            <w:vAlign w:val="center"/>
            <w:hideMark/>
          </w:tcPr>
          <w:p w14:paraId="7A364D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34F83D3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A3440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98</w:t>
            </w:r>
          </w:p>
        </w:tc>
        <w:tc>
          <w:tcPr>
            <w:tcW w:w="1919" w:type="dxa"/>
            <w:tcBorders>
              <w:top w:val="nil"/>
              <w:left w:val="nil"/>
              <w:bottom w:val="single" w:sz="8" w:space="0" w:color="auto"/>
              <w:right w:val="single" w:sz="8" w:space="0" w:color="auto"/>
            </w:tcBorders>
            <w:vAlign w:val="center"/>
            <w:hideMark/>
          </w:tcPr>
          <w:p w14:paraId="4189ED0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NETCOM COLOMBIA SAS</w:t>
            </w:r>
          </w:p>
        </w:tc>
        <w:tc>
          <w:tcPr>
            <w:tcW w:w="817" w:type="dxa"/>
            <w:tcBorders>
              <w:top w:val="nil"/>
              <w:left w:val="nil"/>
              <w:bottom w:val="single" w:sz="8" w:space="0" w:color="auto"/>
              <w:right w:val="single" w:sz="8" w:space="0" w:color="auto"/>
            </w:tcBorders>
            <w:vAlign w:val="center"/>
            <w:hideMark/>
          </w:tcPr>
          <w:p w14:paraId="6356989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4,28</w:t>
            </w:r>
          </w:p>
        </w:tc>
        <w:tc>
          <w:tcPr>
            <w:tcW w:w="1271" w:type="dxa"/>
            <w:tcBorders>
              <w:top w:val="nil"/>
              <w:left w:val="nil"/>
              <w:bottom w:val="single" w:sz="8" w:space="0" w:color="auto"/>
              <w:right w:val="single" w:sz="8" w:space="0" w:color="auto"/>
            </w:tcBorders>
            <w:vAlign w:val="center"/>
            <w:hideMark/>
          </w:tcPr>
          <w:p w14:paraId="0C2855B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90" w:type="dxa"/>
            <w:tcBorders>
              <w:top w:val="nil"/>
              <w:left w:val="nil"/>
              <w:bottom w:val="single" w:sz="8" w:space="0" w:color="auto"/>
              <w:right w:val="single" w:sz="8" w:space="0" w:color="auto"/>
            </w:tcBorders>
            <w:vAlign w:val="center"/>
            <w:hideMark/>
          </w:tcPr>
          <w:p w14:paraId="026CE8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3,68</w:t>
            </w:r>
          </w:p>
        </w:tc>
        <w:tc>
          <w:tcPr>
            <w:tcW w:w="1099" w:type="dxa"/>
            <w:tcBorders>
              <w:top w:val="nil"/>
              <w:left w:val="nil"/>
              <w:bottom w:val="single" w:sz="8" w:space="0" w:color="auto"/>
              <w:right w:val="single" w:sz="8" w:space="0" w:color="auto"/>
            </w:tcBorders>
            <w:vAlign w:val="center"/>
            <w:hideMark/>
          </w:tcPr>
          <w:p w14:paraId="272CF25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2.476.896</w:t>
            </w:r>
          </w:p>
        </w:tc>
        <w:tc>
          <w:tcPr>
            <w:tcW w:w="1100" w:type="dxa"/>
            <w:tcBorders>
              <w:top w:val="nil"/>
              <w:left w:val="nil"/>
              <w:bottom w:val="single" w:sz="8" w:space="0" w:color="auto"/>
              <w:right w:val="single" w:sz="8" w:space="0" w:color="auto"/>
            </w:tcBorders>
            <w:vAlign w:val="center"/>
            <w:hideMark/>
          </w:tcPr>
          <w:p w14:paraId="0258FD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2AFFDE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607D62F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250AF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w:t>
            </w:r>
          </w:p>
        </w:tc>
        <w:tc>
          <w:tcPr>
            <w:tcW w:w="1919" w:type="dxa"/>
            <w:tcBorders>
              <w:top w:val="nil"/>
              <w:left w:val="nil"/>
              <w:bottom w:val="single" w:sz="8" w:space="0" w:color="auto"/>
              <w:right w:val="single" w:sz="8" w:space="0" w:color="auto"/>
            </w:tcBorders>
            <w:vAlign w:val="center"/>
            <w:hideMark/>
          </w:tcPr>
          <w:p w14:paraId="5C6524F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NTECOM SAS</w:t>
            </w:r>
          </w:p>
        </w:tc>
        <w:tc>
          <w:tcPr>
            <w:tcW w:w="817" w:type="dxa"/>
            <w:tcBorders>
              <w:top w:val="nil"/>
              <w:left w:val="nil"/>
              <w:bottom w:val="single" w:sz="8" w:space="0" w:color="auto"/>
              <w:right w:val="single" w:sz="8" w:space="0" w:color="auto"/>
            </w:tcBorders>
            <w:vAlign w:val="center"/>
            <w:hideMark/>
          </w:tcPr>
          <w:p w14:paraId="2F489DF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19,06</w:t>
            </w:r>
          </w:p>
        </w:tc>
        <w:tc>
          <w:tcPr>
            <w:tcW w:w="1271" w:type="dxa"/>
            <w:tcBorders>
              <w:top w:val="nil"/>
              <w:left w:val="nil"/>
              <w:bottom w:val="single" w:sz="8" w:space="0" w:color="auto"/>
              <w:right w:val="single" w:sz="8" w:space="0" w:color="auto"/>
            </w:tcBorders>
            <w:vAlign w:val="center"/>
            <w:hideMark/>
          </w:tcPr>
          <w:p w14:paraId="0FE176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90" w:type="dxa"/>
            <w:tcBorders>
              <w:top w:val="nil"/>
              <w:left w:val="nil"/>
              <w:bottom w:val="single" w:sz="8" w:space="0" w:color="auto"/>
              <w:right w:val="single" w:sz="8" w:space="0" w:color="auto"/>
            </w:tcBorders>
            <w:vAlign w:val="center"/>
            <w:hideMark/>
          </w:tcPr>
          <w:p w14:paraId="577DC8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F91E60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2.468.918</w:t>
            </w:r>
          </w:p>
        </w:tc>
        <w:tc>
          <w:tcPr>
            <w:tcW w:w="1100" w:type="dxa"/>
            <w:tcBorders>
              <w:top w:val="nil"/>
              <w:left w:val="nil"/>
              <w:bottom w:val="single" w:sz="8" w:space="0" w:color="auto"/>
              <w:right w:val="single" w:sz="8" w:space="0" w:color="auto"/>
            </w:tcBorders>
            <w:vAlign w:val="center"/>
            <w:hideMark/>
          </w:tcPr>
          <w:p w14:paraId="6B3210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7AC130E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31617CC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54B346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100</w:t>
            </w:r>
          </w:p>
        </w:tc>
        <w:tc>
          <w:tcPr>
            <w:tcW w:w="1919" w:type="dxa"/>
            <w:tcBorders>
              <w:top w:val="nil"/>
              <w:left w:val="nil"/>
              <w:bottom w:val="single" w:sz="8" w:space="0" w:color="auto"/>
              <w:right w:val="single" w:sz="8" w:space="0" w:color="auto"/>
            </w:tcBorders>
            <w:vAlign w:val="center"/>
            <w:hideMark/>
          </w:tcPr>
          <w:p w14:paraId="7125A7C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RO INGENIERIA SAS</w:t>
            </w:r>
          </w:p>
        </w:tc>
        <w:tc>
          <w:tcPr>
            <w:tcW w:w="817" w:type="dxa"/>
            <w:tcBorders>
              <w:top w:val="nil"/>
              <w:left w:val="nil"/>
              <w:bottom w:val="single" w:sz="8" w:space="0" w:color="auto"/>
              <w:right w:val="single" w:sz="8" w:space="0" w:color="auto"/>
            </w:tcBorders>
            <w:vAlign w:val="center"/>
            <w:hideMark/>
          </w:tcPr>
          <w:p w14:paraId="4CA394F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8,69</w:t>
            </w:r>
          </w:p>
        </w:tc>
        <w:tc>
          <w:tcPr>
            <w:tcW w:w="1271" w:type="dxa"/>
            <w:tcBorders>
              <w:top w:val="nil"/>
              <w:left w:val="nil"/>
              <w:bottom w:val="single" w:sz="8" w:space="0" w:color="auto"/>
              <w:right w:val="single" w:sz="8" w:space="0" w:color="auto"/>
            </w:tcBorders>
            <w:vAlign w:val="center"/>
            <w:hideMark/>
          </w:tcPr>
          <w:p w14:paraId="3A9720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w:t>
            </w:r>
          </w:p>
        </w:tc>
        <w:tc>
          <w:tcPr>
            <w:tcW w:w="1190" w:type="dxa"/>
            <w:tcBorders>
              <w:top w:val="nil"/>
              <w:left w:val="nil"/>
              <w:bottom w:val="single" w:sz="8" w:space="0" w:color="auto"/>
              <w:right w:val="single" w:sz="8" w:space="0" w:color="auto"/>
            </w:tcBorders>
            <w:vAlign w:val="center"/>
            <w:hideMark/>
          </w:tcPr>
          <w:p w14:paraId="52C694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74,61</w:t>
            </w:r>
          </w:p>
        </w:tc>
        <w:tc>
          <w:tcPr>
            <w:tcW w:w="1099" w:type="dxa"/>
            <w:tcBorders>
              <w:top w:val="nil"/>
              <w:left w:val="nil"/>
              <w:bottom w:val="single" w:sz="8" w:space="0" w:color="auto"/>
              <w:right w:val="single" w:sz="8" w:space="0" w:color="auto"/>
            </w:tcBorders>
            <w:vAlign w:val="center"/>
            <w:hideMark/>
          </w:tcPr>
          <w:p w14:paraId="2740E54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30.024.428</w:t>
            </w:r>
          </w:p>
        </w:tc>
        <w:tc>
          <w:tcPr>
            <w:tcW w:w="1100" w:type="dxa"/>
            <w:tcBorders>
              <w:top w:val="nil"/>
              <w:left w:val="nil"/>
              <w:bottom w:val="single" w:sz="8" w:space="0" w:color="auto"/>
              <w:right w:val="single" w:sz="8" w:space="0" w:color="auto"/>
            </w:tcBorders>
            <w:vAlign w:val="center"/>
            <w:hideMark/>
          </w:tcPr>
          <w:p w14:paraId="7FA92A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00" w:type="dxa"/>
            <w:tcBorders>
              <w:top w:val="nil"/>
              <w:left w:val="nil"/>
              <w:bottom w:val="single" w:sz="8" w:space="0" w:color="auto"/>
              <w:right w:val="single" w:sz="8" w:space="0" w:color="auto"/>
            </w:tcBorders>
            <w:vAlign w:val="center"/>
            <w:hideMark/>
          </w:tcPr>
          <w:p w14:paraId="17E117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r>
      <w:tr w:rsidR="008468B3" w:rsidRPr="008468B3" w14:paraId="70B1D9C5"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3FBD5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w:t>
            </w:r>
          </w:p>
        </w:tc>
        <w:tc>
          <w:tcPr>
            <w:tcW w:w="1919" w:type="dxa"/>
            <w:tcBorders>
              <w:top w:val="nil"/>
              <w:left w:val="nil"/>
              <w:bottom w:val="single" w:sz="8" w:space="0" w:color="auto"/>
              <w:right w:val="single" w:sz="8" w:space="0" w:color="auto"/>
            </w:tcBorders>
            <w:vAlign w:val="center"/>
            <w:hideMark/>
          </w:tcPr>
          <w:p w14:paraId="6F282A0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ALPA CONSTRUCCIONES SAS</w:t>
            </w:r>
          </w:p>
        </w:tc>
        <w:tc>
          <w:tcPr>
            <w:tcW w:w="817" w:type="dxa"/>
            <w:tcBorders>
              <w:top w:val="nil"/>
              <w:left w:val="nil"/>
              <w:bottom w:val="single" w:sz="8" w:space="0" w:color="auto"/>
              <w:right w:val="single" w:sz="8" w:space="0" w:color="auto"/>
            </w:tcBorders>
            <w:vAlign w:val="center"/>
            <w:hideMark/>
          </w:tcPr>
          <w:p w14:paraId="72E07E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6,88</w:t>
            </w:r>
          </w:p>
        </w:tc>
        <w:tc>
          <w:tcPr>
            <w:tcW w:w="1271" w:type="dxa"/>
            <w:tcBorders>
              <w:top w:val="nil"/>
              <w:left w:val="nil"/>
              <w:bottom w:val="single" w:sz="8" w:space="0" w:color="auto"/>
              <w:right w:val="single" w:sz="8" w:space="0" w:color="auto"/>
            </w:tcBorders>
            <w:vAlign w:val="center"/>
            <w:hideMark/>
          </w:tcPr>
          <w:p w14:paraId="2973CD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90" w:type="dxa"/>
            <w:tcBorders>
              <w:top w:val="nil"/>
              <w:left w:val="nil"/>
              <w:bottom w:val="single" w:sz="8" w:space="0" w:color="auto"/>
              <w:right w:val="single" w:sz="8" w:space="0" w:color="auto"/>
            </w:tcBorders>
            <w:vAlign w:val="center"/>
            <w:hideMark/>
          </w:tcPr>
          <w:p w14:paraId="5AAC20D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10672,06</w:t>
            </w:r>
          </w:p>
        </w:tc>
        <w:tc>
          <w:tcPr>
            <w:tcW w:w="1099" w:type="dxa"/>
            <w:tcBorders>
              <w:top w:val="nil"/>
              <w:left w:val="nil"/>
              <w:bottom w:val="single" w:sz="8" w:space="0" w:color="auto"/>
              <w:right w:val="single" w:sz="8" w:space="0" w:color="auto"/>
            </w:tcBorders>
            <w:vAlign w:val="center"/>
            <w:hideMark/>
          </w:tcPr>
          <w:p w14:paraId="1874EEB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23.994.525</w:t>
            </w:r>
          </w:p>
        </w:tc>
        <w:tc>
          <w:tcPr>
            <w:tcW w:w="1100" w:type="dxa"/>
            <w:tcBorders>
              <w:top w:val="nil"/>
              <w:left w:val="nil"/>
              <w:bottom w:val="single" w:sz="8" w:space="0" w:color="auto"/>
              <w:right w:val="single" w:sz="8" w:space="0" w:color="auto"/>
            </w:tcBorders>
            <w:vAlign w:val="center"/>
            <w:hideMark/>
          </w:tcPr>
          <w:p w14:paraId="58F699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00" w:type="dxa"/>
            <w:tcBorders>
              <w:top w:val="nil"/>
              <w:left w:val="nil"/>
              <w:bottom w:val="single" w:sz="8" w:space="0" w:color="auto"/>
              <w:right w:val="single" w:sz="8" w:space="0" w:color="auto"/>
            </w:tcBorders>
            <w:vAlign w:val="center"/>
            <w:hideMark/>
          </w:tcPr>
          <w:p w14:paraId="0773633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1E1B1D89"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1FC3B8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102</w:t>
            </w:r>
          </w:p>
        </w:tc>
        <w:tc>
          <w:tcPr>
            <w:tcW w:w="1919" w:type="dxa"/>
            <w:tcBorders>
              <w:top w:val="nil"/>
              <w:left w:val="nil"/>
              <w:bottom w:val="single" w:sz="8" w:space="0" w:color="auto"/>
              <w:right w:val="single" w:sz="8" w:space="0" w:color="auto"/>
            </w:tcBorders>
            <w:vAlign w:val="center"/>
            <w:hideMark/>
          </w:tcPr>
          <w:p w14:paraId="74845F5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ESTRUCTURAS DE CONCRETO SA</w:t>
            </w:r>
          </w:p>
        </w:tc>
        <w:tc>
          <w:tcPr>
            <w:tcW w:w="817" w:type="dxa"/>
            <w:tcBorders>
              <w:top w:val="nil"/>
              <w:left w:val="nil"/>
              <w:bottom w:val="single" w:sz="8" w:space="0" w:color="auto"/>
              <w:right w:val="single" w:sz="8" w:space="0" w:color="auto"/>
            </w:tcBorders>
            <w:vAlign w:val="center"/>
            <w:hideMark/>
          </w:tcPr>
          <w:p w14:paraId="154985F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5,92</w:t>
            </w:r>
          </w:p>
        </w:tc>
        <w:tc>
          <w:tcPr>
            <w:tcW w:w="1271" w:type="dxa"/>
            <w:tcBorders>
              <w:top w:val="nil"/>
              <w:left w:val="nil"/>
              <w:bottom w:val="single" w:sz="8" w:space="0" w:color="auto"/>
              <w:right w:val="single" w:sz="8" w:space="0" w:color="auto"/>
            </w:tcBorders>
            <w:vAlign w:val="center"/>
            <w:hideMark/>
          </w:tcPr>
          <w:p w14:paraId="40A4F8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190" w:type="dxa"/>
            <w:tcBorders>
              <w:top w:val="nil"/>
              <w:left w:val="nil"/>
              <w:bottom w:val="single" w:sz="8" w:space="0" w:color="auto"/>
              <w:right w:val="single" w:sz="8" w:space="0" w:color="auto"/>
            </w:tcBorders>
            <w:vAlign w:val="center"/>
            <w:hideMark/>
          </w:tcPr>
          <w:p w14:paraId="13E2C5D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1,47</w:t>
            </w:r>
          </w:p>
        </w:tc>
        <w:tc>
          <w:tcPr>
            <w:tcW w:w="1099" w:type="dxa"/>
            <w:tcBorders>
              <w:top w:val="nil"/>
              <w:left w:val="nil"/>
              <w:bottom w:val="single" w:sz="8" w:space="0" w:color="auto"/>
              <w:right w:val="single" w:sz="8" w:space="0" w:color="auto"/>
            </w:tcBorders>
            <w:vAlign w:val="center"/>
            <w:hideMark/>
          </w:tcPr>
          <w:p w14:paraId="7DCC163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10.632.507</w:t>
            </w:r>
          </w:p>
        </w:tc>
        <w:tc>
          <w:tcPr>
            <w:tcW w:w="1100" w:type="dxa"/>
            <w:tcBorders>
              <w:top w:val="nil"/>
              <w:left w:val="nil"/>
              <w:bottom w:val="single" w:sz="8" w:space="0" w:color="auto"/>
              <w:right w:val="single" w:sz="8" w:space="0" w:color="auto"/>
            </w:tcBorders>
            <w:vAlign w:val="center"/>
            <w:hideMark/>
          </w:tcPr>
          <w:p w14:paraId="197DA27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03CE583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625EE93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148C5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103</w:t>
            </w:r>
          </w:p>
        </w:tc>
        <w:tc>
          <w:tcPr>
            <w:tcW w:w="1919" w:type="dxa"/>
            <w:tcBorders>
              <w:top w:val="nil"/>
              <w:left w:val="nil"/>
              <w:bottom w:val="single" w:sz="8" w:space="0" w:color="auto"/>
              <w:right w:val="single" w:sz="8" w:space="0" w:color="auto"/>
            </w:tcBorders>
            <w:vAlign w:val="center"/>
            <w:hideMark/>
          </w:tcPr>
          <w:p w14:paraId="2FC5B4C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INDEQ SAS</w:t>
            </w:r>
          </w:p>
        </w:tc>
        <w:tc>
          <w:tcPr>
            <w:tcW w:w="817" w:type="dxa"/>
            <w:tcBorders>
              <w:top w:val="nil"/>
              <w:left w:val="nil"/>
              <w:bottom w:val="single" w:sz="8" w:space="0" w:color="auto"/>
              <w:right w:val="single" w:sz="8" w:space="0" w:color="auto"/>
            </w:tcBorders>
            <w:vAlign w:val="center"/>
            <w:hideMark/>
          </w:tcPr>
          <w:p w14:paraId="4EB3EF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2,88</w:t>
            </w:r>
          </w:p>
        </w:tc>
        <w:tc>
          <w:tcPr>
            <w:tcW w:w="1271" w:type="dxa"/>
            <w:tcBorders>
              <w:top w:val="nil"/>
              <w:left w:val="nil"/>
              <w:bottom w:val="single" w:sz="8" w:space="0" w:color="auto"/>
              <w:right w:val="single" w:sz="8" w:space="0" w:color="auto"/>
            </w:tcBorders>
            <w:vAlign w:val="center"/>
            <w:hideMark/>
          </w:tcPr>
          <w:p w14:paraId="6803AB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90" w:type="dxa"/>
            <w:tcBorders>
              <w:top w:val="nil"/>
              <w:left w:val="nil"/>
              <w:bottom w:val="single" w:sz="8" w:space="0" w:color="auto"/>
              <w:right w:val="single" w:sz="8" w:space="0" w:color="auto"/>
            </w:tcBorders>
            <w:vAlign w:val="center"/>
            <w:hideMark/>
          </w:tcPr>
          <w:p w14:paraId="6FDDA64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541900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15.743.549</w:t>
            </w:r>
          </w:p>
        </w:tc>
        <w:tc>
          <w:tcPr>
            <w:tcW w:w="1100" w:type="dxa"/>
            <w:tcBorders>
              <w:top w:val="nil"/>
              <w:left w:val="nil"/>
              <w:bottom w:val="single" w:sz="8" w:space="0" w:color="auto"/>
              <w:right w:val="single" w:sz="8" w:space="0" w:color="auto"/>
            </w:tcBorders>
            <w:vAlign w:val="center"/>
            <w:hideMark/>
          </w:tcPr>
          <w:p w14:paraId="5F3EE4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100" w:type="dxa"/>
            <w:tcBorders>
              <w:top w:val="nil"/>
              <w:left w:val="nil"/>
              <w:bottom w:val="single" w:sz="8" w:space="0" w:color="auto"/>
              <w:right w:val="single" w:sz="8" w:space="0" w:color="auto"/>
            </w:tcBorders>
            <w:vAlign w:val="center"/>
            <w:hideMark/>
          </w:tcPr>
          <w:p w14:paraId="0AD32C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r>
      <w:tr w:rsidR="008468B3" w:rsidRPr="008468B3" w14:paraId="449B65F3" w14:textId="77777777" w:rsidTr="008468B3">
        <w:trPr>
          <w:trHeight w:val="748"/>
        </w:trPr>
        <w:tc>
          <w:tcPr>
            <w:tcW w:w="474" w:type="dxa"/>
            <w:tcBorders>
              <w:top w:val="nil"/>
              <w:left w:val="single" w:sz="8" w:space="0" w:color="auto"/>
              <w:bottom w:val="single" w:sz="8" w:space="0" w:color="auto"/>
              <w:right w:val="single" w:sz="8" w:space="0" w:color="auto"/>
            </w:tcBorders>
            <w:noWrap/>
            <w:vAlign w:val="center"/>
            <w:hideMark/>
          </w:tcPr>
          <w:p w14:paraId="6E25BE1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104</w:t>
            </w:r>
          </w:p>
        </w:tc>
        <w:tc>
          <w:tcPr>
            <w:tcW w:w="1919" w:type="dxa"/>
            <w:tcBorders>
              <w:top w:val="nil"/>
              <w:left w:val="nil"/>
              <w:bottom w:val="single" w:sz="8" w:space="0" w:color="auto"/>
              <w:right w:val="single" w:sz="8" w:space="0" w:color="auto"/>
            </w:tcBorders>
            <w:vAlign w:val="center"/>
            <w:hideMark/>
          </w:tcPr>
          <w:p w14:paraId="38FA73C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DISEÑO ARQUITECTURA Y CONSTRUCCION DIARCO SAS</w:t>
            </w:r>
          </w:p>
        </w:tc>
        <w:tc>
          <w:tcPr>
            <w:tcW w:w="817" w:type="dxa"/>
            <w:tcBorders>
              <w:top w:val="nil"/>
              <w:left w:val="nil"/>
              <w:bottom w:val="single" w:sz="8" w:space="0" w:color="auto"/>
              <w:right w:val="single" w:sz="8" w:space="0" w:color="auto"/>
            </w:tcBorders>
            <w:vAlign w:val="center"/>
            <w:hideMark/>
          </w:tcPr>
          <w:p w14:paraId="7B37DF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90,77</w:t>
            </w:r>
          </w:p>
        </w:tc>
        <w:tc>
          <w:tcPr>
            <w:tcW w:w="1271" w:type="dxa"/>
            <w:tcBorders>
              <w:top w:val="nil"/>
              <w:left w:val="nil"/>
              <w:bottom w:val="single" w:sz="8" w:space="0" w:color="auto"/>
              <w:right w:val="single" w:sz="8" w:space="0" w:color="auto"/>
            </w:tcBorders>
            <w:vAlign w:val="center"/>
            <w:hideMark/>
          </w:tcPr>
          <w:p w14:paraId="29982F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4E50AB7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7CE7CC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2.363.408</w:t>
            </w:r>
          </w:p>
        </w:tc>
        <w:tc>
          <w:tcPr>
            <w:tcW w:w="1100" w:type="dxa"/>
            <w:tcBorders>
              <w:top w:val="nil"/>
              <w:left w:val="nil"/>
              <w:bottom w:val="single" w:sz="8" w:space="0" w:color="auto"/>
              <w:right w:val="single" w:sz="8" w:space="0" w:color="auto"/>
            </w:tcBorders>
            <w:vAlign w:val="center"/>
            <w:hideMark/>
          </w:tcPr>
          <w:p w14:paraId="179586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5E56D7A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7F50E50"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8A2FE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105</w:t>
            </w:r>
          </w:p>
        </w:tc>
        <w:tc>
          <w:tcPr>
            <w:tcW w:w="1919" w:type="dxa"/>
            <w:tcBorders>
              <w:top w:val="nil"/>
              <w:left w:val="nil"/>
              <w:bottom w:val="single" w:sz="8" w:space="0" w:color="auto"/>
              <w:right w:val="single" w:sz="8" w:space="0" w:color="auto"/>
            </w:tcBorders>
            <w:vAlign w:val="center"/>
            <w:hideMark/>
          </w:tcPr>
          <w:p w14:paraId="3FF8622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MULTIPLES SAS</w:t>
            </w:r>
          </w:p>
        </w:tc>
        <w:tc>
          <w:tcPr>
            <w:tcW w:w="817" w:type="dxa"/>
            <w:tcBorders>
              <w:top w:val="nil"/>
              <w:left w:val="nil"/>
              <w:bottom w:val="single" w:sz="8" w:space="0" w:color="auto"/>
              <w:right w:val="single" w:sz="8" w:space="0" w:color="auto"/>
            </w:tcBorders>
            <w:vAlign w:val="center"/>
            <w:hideMark/>
          </w:tcPr>
          <w:p w14:paraId="36DB60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5,24</w:t>
            </w:r>
          </w:p>
        </w:tc>
        <w:tc>
          <w:tcPr>
            <w:tcW w:w="1271" w:type="dxa"/>
            <w:tcBorders>
              <w:top w:val="nil"/>
              <w:left w:val="nil"/>
              <w:bottom w:val="single" w:sz="8" w:space="0" w:color="auto"/>
              <w:right w:val="single" w:sz="8" w:space="0" w:color="auto"/>
            </w:tcBorders>
            <w:vAlign w:val="center"/>
            <w:hideMark/>
          </w:tcPr>
          <w:p w14:paraId="190EBD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90" w:type="dxa"/>
            <w:tcBorders>
              <w:top w:val="nil"/>
              <w:left w:val="nil"/>
              <w:bottom w:val="single" w:sz="8" w:space="0" w:color="auto"/>
              <w:right w:val="single" w:sz="8" w:space="0" w:color="auto"/>
            </w:tcBorders>
            <w:vAlign w:val="center"/>
            <w:hideMark/>
          </w:tcPr>
          <w:p w14:paraId="65819B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382803A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494.966</w:t>
            </w:r>
          </w:p>
        </w:tc>
        <w:tc>
          <w:tcPr>
            <w:tcW w:w="1100" w:type="dxa"/>
            <w:tcBorders>
              <w:top w:val="nil"/>
              <w:left w:val="nil"/>
              <w:bottom w:val="single" w:sz="8" w:space="0" w:color="auto"/>
              <w:right w:val="single" w:sz="8" w:space="0" w:color="auto"/>
            </w:tcBorders>
            <w:vAlign w:val="center"/>
            <w:hideMark/>
          </w:tcPr>
          <w:p w14:paraId="7220AA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00" w:type="dxa"/>
            <w:tcBorders>
              <w:top w:val="nil"/>
              <w:left w:val="nil"/>
              <w:bottom w:val="single" w:sz="8" w:space="0" w:color="auto"/>
              <w:right w:val="single" w:sz="8" w:space="0" w:color="auto"/>
            </w:tcBorders>
            <w:vAlign w:val="center"/>
            <w:hideMark/>
          </w:tcPr>
          <w:p w14:paraId="6A3BEC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5C86F2C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F32C0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106</w:t>
            </w:r>
          </w:p>
        </w:tc>
        <w:tc>
          <w:tcPr>
            <w:tcW w:w="1919" w:type="dxa"/>
            <w:tcBorders>
              <w:top w:val="nil"/>
              <w:left w:val="nil"/>
              <w:bottom w:val="single" w:sz="8" w:space="0" w:color="auto"/>
              <w:right w:val="single" w:sz="8" w:space="0" w:color="auto"/>
            </w:tcBorders>
            <w:vAlign w:val="center"/>
            <w:hideMark/>
          </w:tcPr>
          <w:p w14:paraId="491A17C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MUÑOZ VANEGAS Y CIA S EN C</w:t>
            </w:r>
          </w:p>
        </w:tc>
        <w:tc>
          <w:tcPr>
            <w:tcW w:w="817" w:type="dxa"/>
            <w:tcBorders>
              <w:top w:val="nil"/>
              <w:left w:val="nil"/>
              <w:bottom w:val="single" w:sz="8" w:space="0" w:color="auto"/>
              <w:right w:val="single" w:sz="8" w:space="0" w:color="auto"/>
            </w:tcBorders>
            <w:vAlign w:val="center"/>
            <w:hideMark/>
          </w:tcPr>
          <w:p w14:paraId="090E77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674,88</w:t>
            </w:r>
          </w:p>
        </w:tc>
        <w:tc>
          <w:tcPr>
            <w:tcW w:w="1271" w:type="dxa"/>
            <w:tcBorders>
              <w:top w:val="nil"/>
              <w:left w:val="nil"/>
              <w:bottom w:val="single" w:sz="8" w:space="0" w:color="auto"/>
              <w:right w:val="single" w:sz="8" w:space="0" w:color="auto"/>
            </w:tcBorders>
            <w:vAlign w:val="center"/>
            <w:hideMark/>
          </w:tcPr>
          <w:p w14:paraId="0B10CC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90" w:type="dxa"/>
            <w:tcBorders>
              <w:top w:val="nil"/>
              <w:left w:val="nil"/>
              <w:bottom w:val="single" w:sz="8" w:space="0" w:color="auto"/>
              <w:right w:val="single" w:sz="8" w:space="0" w:color="auto"/>
            </w:tcBorders>
            <w:vAlign w:val="center"/>
            <w:hideMark/>
          </w:tcPr>
          <w:p w14:paraId="1E8923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E34FAF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11.462.085</w:t>
            </w:r>
          </w:p>
        </w:tc>
        <w:tc>
          <w:tcPr>
            <w:tcW w:w="1100" w:type="dxa"/>
            <w:tcBorders>
              <w:top w:val="nil"/>
              <w:left w:val="nil"/>
              <w:bottom w:val="single" w:sz="8" w:space="0" w:color="auto"/>
              <w:right w:val="single" w:sz="8" w:space="0" w:color="auto"/>
            </w:tcBorders>
            <w:vAlign w:val="center"/>
            <w:hideMark/>
          </w:tcPr>
          <w:p w14:paraId="218CBF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2FA809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7633174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01CB5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w:t>
            </w:r>
          </w:p>
        </w:tc>
        <w:tc>
          <w:tcPr>
            <w:tcW w:w="1919" w:type="dxa"/>
            <w:tcBorders>
              <w:top w:val="nil"/>
              <w:left w:val="nil"/>
              <w:bottom w:val="single" w:sz="8" w:space="0" w:color="auto"/>
              <w:right w:val="single" w:sz="8" w:space="0" w:color="auto"/>
            </w:tcBorders>
            <w:vAlign w:val="center"/>
            <w:hideMark/>
          </w:tcPr>
          <w:p w14:paraId="2869F1F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INVERTIERRAS LTDA</w:t>
            </w:r>
          </w:p>
        </w:tc>
        <w:tc>
          <w:tcPr>
            <w:tcW w:w="817" w:type="dxa"/>
            <w:tcBorders>
              <w:top w:val="nil"/>
              <w:left w:val="nil"/>
              <w:bottom w:val="single" w:sz="8" w:space="0" w:color="auto"/>
              <w:right w:val="single" w:sz="8" w:space="0" w:color="auto"/>
            </w:tcBorders>
            <w:vAlign w:val="center"/>
            <w:hideMark/>
          </w:tcPr>
          <w:p w14:paraId="03746DD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0,04</w:t>
            </w:r>
          </w:p>
        </w:tc>
        <w:tc>
          <w:tcPr>
            <w:tcW w:w="1271" w:type="dxa"/>
            <w:tcBorders>
              <w:top w:val="nil"/>
              <w:left w:val="nil"/>
              <w:bottom w:val="single" w:sz="8" w:space="0" w:color="auto"/>
              <w:right w:val="single" w:sz="8" w:space="0" w:color="auto"/>
            </w:tcBorders>
            <w:vAlign w:val="center"/>
            <w:hideMark/>
          </w:tcPr>
          <w:p w14:paraId="24A7AF0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4FF236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A29296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-301.766</w:t>
            </w:r>
          </w:p>
        </w:tc>
        <w:tc>
          <w:tcPr>
            <w:tcW w:w="1100" w:type="dxa"/>
            <w:tcBorders>
              <w:top w:val="nil"/>
              <w:left w:val="nil"/>
              <w:bottom w:val="single" w:sz="8" w:space="0" w:color="auto"/>
              <w:right w:val="single" w:sz="8" w:space="0" w:color="auto"/>
            </w:tcBorders>
            <w:vAlign w:val="center"/>
            <w:hideMark/>
          </w:tcPr>
          <w:p w14:paraId="382512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013556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3A1C4A2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111B2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108</w:t>
            </w:r>
          </w:p>
        </w:tc>
        <w:tc>
          <w:tcPr>
            <w:tcW w:w="1919" w:type="dxa"/>
            <w:tcBorders>
              <w:top w:val="nil"/>
              <w:left w:val="nil"/>
              <w:bottom w:val="single" w:sz="8" w:space="0" w:color="auto"/>
              <w:right w:val="single" w:sz="8" w:space="0" w:color="auto"/>
            </w:tcBorders>
            <w:vAlign w:val="center"/>
            <w:hideMark/>
          </w:tcPr>
          <w:p w14:paraId="3EE684E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VILLEGAS Y VILLEGAS IVEGAS SAS</w:t>
            </w:r>
          </w:p>
        </w:tc>
        <w:tc>
          <w:tcPr>
            <w:tcW w:w="817" w:type="dxa"/>
            <w:tcBorders>
              <w:top w:val="nil"/>
              <w:left w:val="nil"/>
              <w:bottom w:val="single" w:sz="8" w:space="0" w:color="auto"/>
              <w:right w:val="single" w:sz="8" w:space="0" w:color="auto"/>
            </w:tcBorders>
            <w:vAlign w:val="center"/>
            <w:hideMark/>
          </w:tcPr>
          <w:p w14:paraId="2C84DE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5,84</w:t>
            </w:r>
          </w:p>
        </w:tc>
        <w:tc>
          <w:tcPr>
            <w:tcW w:w="1271" w:type="dxa"/>
            <w:tcBorders>
              <w:top w:val="nil"/>
              <w:left w:val="nil"/>
              <w:bottom w:val="single" w:sz="8" w:space="0" w:color="auto"/>
              <w:right w:val="single" w:sz="8" w:space="0" w:color="auto"/>
            </w:tcBorders>
            <w:vAlign w:val="center"/>
            <w:hideMark/>
          </w:tcPr>
          <w:p w14:paraId="006A962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c>
          <w:tcPr>
            <w:tcW w:w="1190" w:type="dxa"/>
            <w:tcBorders>
              <w:top w:val="nil"/>
              <w:left w:val="nil"/>
              <w:bottom w:val="single" w:sz="8" w:space="0" w:color="auto"/>
              <w:right w:val="single" w:sz="8" w:space="0" w:color="auto"/>
            </w:tcBorders>
            <w:vAlign w:val="center"/>
            <w:hideMark/>
          </w:tcPr>
          <w:p w14:paraId="140F29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3,84</w:t>
            </w:r>
          </w:p>
        </w:tc>
        <w:tc>
          <w:tcPr>
            <w:tcW w:w="1099" w:type="dxa"/>
            <w:tcBorders>
              <w:top w:val="nil"/>
              <w:left w:val="nil"/>
              <w:bottom w:val="single" w:sz="8" w:space="0" w:color="auto"/>
              <w:right w:val="single" w:sz="8" w:space="0" w:color="auto"/>
            </w:tcBorders>
            <w:vAlign w:val="center"/>
            <w:hideMark/>
          </w:tcPr>
          <w:p w14:paraId="24BD396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14.655.058</w:t>
            </w:r>
          </w:p>
        </w:tc>
        <w:tc>
          <w:tcPr>
            <w:tcW w:w="1100" w:type="dxa"/>
            <w:tcBorders>
              <w:top w:val="nil"/>
              <w:left w:val="nil"/>
              <w:bottom w:val="single" w:sz="8" w:space="0" w:color="auto"/>
              <w:right w:val="single" w:sz="8" w:space="0" w:color="auto"/>
            </w:tcBorders>
            <w:vAlign w:val="center"/>
            <w:hideMark/>
          </w:tcPr>
          <w:p w14:paraId="0A4F9B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2B0356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46AF8A95"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A56BE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109</w:t>
            </w:r>
          </w:p>
        </w:tc>
        <w:tc>
          <w:tcPr>
            <w:tcW w:w="1919" w:type="dxa"/>
            <w:tcBorders>
              <w:top w:val="nil"/>
              <w:left w:val="nil"/>
              <w:bottom w:val="single" w:sz="8" w:space="0" w:color="auto"/>
              <w:right w:val="single" w:sz="8" w:space="0" w:color="auto"/>
            </w:tcBorders>
            <w:vAlign w:val="center"/>
            <w:hideMark/>
          </w:tcPr>
          <w:p w14:paraId="1CE7AE7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RAFAEL TRONCOSO Y CIA. S.C.S.</w:t>
            </w:r>
          </w:p>
        </w:tc>
        <w:tc>
          <w:tcPr>
            <w:tcW w:w="817" w:type="dxa"/>
            <w:tcBorders>
              <w:top w:val="nil"/>
              <w:left w:val="nil"/>
              <w:bottom w:val="single" w:sz="8" w:space="0" w:color="auto"/>
              <w:right w:val="single" w:sz="8" w:space="0" w:color="auto"/>
            </w:tcBorders>
            <w:vAlign w:val="center"/>
            <w:hideMark/>
          </w:tcPr>
          <w:p w14:paraId="7F1DDF2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1,05</w:t>
            </w:r>
          </w:p>
        </w:tc>
        <w:tc>
          <w:tcPr>
            <w:tcW w:w="1271" w:type="dxa"/>
            <w:tcBorders>
              <w:top w:val="nil"/>
              <w:left w:val="nil"/>
              <w:bottom w:val="single" w:sz="8" w:space="0" w:color="auto"/>
              <w:right w:val="single" w:sz="8" w:space="0" w:color="auto"/>
            </w:tcBorders>
            <w:vAlign w:val="center"/>
            <w:hideMark/>
          </w:tcPr>
          <w:p w14:paraId="3807C5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w:t>
            </w:r>
          </w:p>
        </w:tc>
        <w:tc>
          <w:tcPr>
            <w:tcW w:w="1190" w:type="dxa"/>
            <w:tcBorders>
              <w:top w:val="nil"/>
              <w:left w:val="nil"/>
              <w:bottom w:val="single" w:sz="8" w:space="0" w:color="auto"/>
              <w:right w:val="single" w:sz="8" w:space="0" w:color="auto"/>
            </w:tcBorders>
            <w:vAlign w:val="center"/>
            <w:hideMark/>
          </w:tcPr>
          <w:p w14:paraId="1D3169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B9789C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107.099</w:t>
            </w:r>
          </w:p>
        </w:tc>
        <w:tc>
          <w:tcPr>
            <w:tcW w:w="1100" w:type="dxa"/>
            <w:tcBorders>
              <w:top w:val="nil"/>
              <w:left w:val="nil"/>
              <w:bottom w:val="single" w:sz="8" w:space="0" w:color="auto"/>
              <w:right w:val="single" w:sz="8" w:space="0" w:color="auto"/>
            </w:tcBorders>
            <w:vAlign w:val="center"/>
            <w:hideMark/>
          </w:tcPr>
          <w:p w14:paraId="4F8DC61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0CF5A4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40F5E97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76447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110</w:t>
            </w:r>
          </w:p>
        </w:tc>
        <w:tc>
          <w:tcPr>
            <w:tcW w:w="1919" w:type="dxa"/>
            <w:tcBorders>
              <w:top w:val="nil"/>
              <w:left w:val="nil"/>
              <w:bottom w:val="single" w:sz="8" w:space="0" w:color="auto"/>
              <w:right w:val="single" w:sz="8" w:space="0" w:color="auto"/>
            </w:tcBorders>
            <w:vAlign w:val="center"/>
            <w:hideMark/>
          </w:tcPr>
          <w:p w14:paraId="3D0C5DE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CAMPOALEGRE SAS</w:t>
            </w:r>
          </w:p>
        </w:tc>
        <w:tc>
          <w:tcPr>
            <w:tcW w:w="817" w:type="dxa"/>
            <w:tcBorders>
              <w:top w:val="nil"/>
              <w:left w:val="nil"/>
              <w:bottom w:val="single" w:sz="8" w:space="0" w:color="auto"/>
              <w:right w:val="single" w:sz="8" w:space="0" w:color="auto"/>
            </w:tcBorders>
            <w:vAlign w:val="center"/>
            <w:hideMark/>
          </w:tcPr>
          <w:p w14:paraId="1E7B09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1,66</w:t>
            </w:r>
          </w:p>
        </w:tc>
        <w:tc>
          <w:tcPr>
            <w:tcW w:w="1271" w:type="dxa"/>
            <w:tcBorders>
              <w:top w:val="nil"/>
              <w:left w:val="nil"/>
              <w:bottom w:val="single" w:sz="8" w:space="0" w:color="auto"/>
              <w:right w:val="single" w:sz="8" w:space="0" w:color="auto"/>
            </w:tcBorders>
            <w:vAlign w:val="center"/>
            <w:hideMark/>
          </w:tcPr>
          <w:p w14:paraId="7123E3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90" w:type="dxa"/>
            <w:tcBorders>
              <w:top w:val="nil"/>
              <w:left w:val="nil"/>
              <w:bottom w:val="single" w:sz="8" w:space="0" w:color="auto"/>
              <w:right w:val="single" w:sz="8" w:space="0" w:color="auto"/>
            </w:tcBorders>
            <w:vAlign w:val="center"/>
            <w:hideMark/>
          </w:tcPr>
          <w:p w14:paraId="08E3F1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-1,91</w:t>
            </w:r>
          </w:p>
        </w:tc>
        <w:tc>
          <w:tcPr>
            <w:tcW w:w="1099" w:type="dxa"/>
            <w:tcBorders>
              <w:top w:val="nil"/>
              <w:left w:val="nil"/>
              <w:bottom w:val="single" w:sz="8" w:space="0" w:color="auto"/>
              <w:right w:val="single" w:sz="8" w:space="0" w:color="auto"/>
            </w:tcBorders>
            <w:vAlign w:val="center"/>
            <w:hideMark/>
          </w:tcPr>
          <w:p w14:paraId="2BC789B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113.929</w:t>
            </w:r>
          </w:p>
        </w:tc>
        <w:tc>
          <w:tcPr>
            <w:tcW w:w="1100" w:type="dxa"/>
            <w:tcBorders>
              <w:top w:val="nil"/>
              <w:left w:val="nil"/>
              <w:bottom w:val="single" w:sz="8" w:space="0" w:color="auto"/>
              <w:right w:val="single" w:sz="8" w:space="0" w:color="auto"/>
            </w:tcBorders>
            <w:vAlign w:val="center"/>
            <w:hideMark/>
          </w:tcPr>
          <w:p w14:paraId="20FA45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3C3B108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42AB000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509DBE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111</w:t>
            </w:r>
          </w:p>
        </w:tc>
        <w:tc>
          <w:tcPr>
            <w:tcW w:w="1919" w:type="dxa"/>
            <w:tcBorders>
              <w:top w:val="nil"/>
              <w:left w:val="nil"/>
              <w:bottom w:val="single" w:sz="8" w:space="0" w:color="auto"/>
              <w:right w:val="single" w:sz="8" w:space="0" w:color="auto"/>
            </w:tcBorders>
            <w:vAlign w:val="center"/>
            <w:hideMark/>
          </w:tcPr>
          <w:p w14:paraId="564557A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TARELECTRIC INGENIERIA LIMITADA</w:t>
            </w:r>
          </w:p>
        </w:tc>
        <w:tc>
          <w:tcPr>
            <w:tcW w:w="817" w:type="dxa"/>
            <w:tcBorders>
              <w:top w:val="nil"/>
              <w:left w:val="nil"/>
              <w:bottom w:val="single" w:sz="8" w:space="0" w:color="auto"/>
              <w:right w:val="single" w:sz="8" w:space="0" w:color="auto"/>
            </w:tcBorders>
            <w:vAlign w:val="center"/>
            <w:hideMark/>
          </w:tcPr>
          <w:p w14:paraId="3D4060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8,90</w:t>
            </w:r>
          </w:p>
        </w:tc>
        <w:tc>
          <w:tcPr>
            <w:tcW w:w="1271" w:type="dxa"/>
            <w:tcBorders>
              <w:top w:val="nil"/>
              <w:left w:val="nil"/>
              <w:bottom w:val="single" w:sz="8" w:space="0" w:color="auto"/>
              <w:right w:val="single" w:sz="8" w:space="0" w:color="auto"/>
            </w:tcBorders>
            <w:vAlign w:val="center"/>
            <w:hideMark/>
          </w:tcPr>
          <w:p w14:paraId="69BE6AB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w:t>
            </w:r>
          </w:p>
        </w:tc>
        <w:tc>
          <w:tcPr>
            <w:tcW w:w="1190" w:type="dxa"/>
            <w:tcBorders>
              <w:top w:val="nil"/>
              <w:left w:val="nil"/>
              <w:bottom w:val="single" w:sz="8" w:space="0" w:color="auto"/>
              <w:right w:val="single" w:sz="8" w:space="0" w:color="auto"/>
            </w:tcBorders>
            <w:vAlign w:val="center"/>
            <w:hideMark/>
          </w:tcPr>
          <w:p w14:paraId="4910C3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4,36</w:t>
            </w:r>
          </w:p>
        </w:tc>
        <w:tc>
          <w:tcPr>
            <w:tcW w:w="1099" w:type="dxa"/>
            <w:tcBorders>
              <w:top w:val="nil"/>
              <w:left w:val="nil"/>
              <w:bottom w:val="single" w:sz="8" w:space="0" w:color="auto"/>
              <w:right w:val="single" w:sz="8" w:space="0" w:color="auto"/>
            </w:tcBorders>
            <w:vAlign w:val="center"/>
            <w:hideMark/>
          </w:tcPr>
          <w:p w14:paraId="2329CBB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5.345.693</w:t>
            </w:r>
          </w:p>
        </w:tc>
        <w:tc>
          <w:tcPr>
            <w:tcW w:w="1100" w:type="dxa"/>
            <w:tcBorders>
              <w:top w:val="nil"/>
              <w:left w:val="nil"/>
              <w:bottom w:val="single" w:sz="8" w:space="0" w:color="auto"/>
              <w:right w:val="single" w:sz="8" w:space="0" w:color="auto"/>
            </w:tcBorders>
            <w:vAlign w:val="center"/>
            <w:hideMark/>
          </w:tcPr>
          <w:p w14:paraId="1579E6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0083283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303A93D8" w14:textId="77777777" w:rsidTr="008468B3">
        <w:trPr>
          <w:trHeight w:val="972"/>
        </w:trPr>
        <w:tc>
          <w:tcPr>
            <w:tcW w:w="474" w:type="dxa"/>
            <w:tcBorders>
              <w:top w:val="nil"/>
              <w:left w:val="single" w:sz="8" w:space="0" w:color="auto"/>
              <w:bottom w:val="single" w:sz="8" w:space="0" w:color="auto"/>
              <w:right w:val="single" w:sz="8" w:space="0" w:color="auto"/>
            </w:tcBorders>
            <w:noWrap/>
            <w:vAlign w:val="center"/>
            <w:hideMark/>
          </w:tcPr>
          <w:p w14:paraId="352CE6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112</w:t>
            </w:r>
          </w:p>
        </w:tc>
        <w:tc>
          <w:tcPr>
            <w:tcW w:w="1919" w:type="dxa"/>
            <w:tcBorders>
              <w:top w:val="nil"/>
              <w:left w:val="nil"/>
              <w:bottom w:val="single" w:sz="8" w:space="0" w:color="auto"/>
              <w:right w:val="single" w:sz="8" w:space="0" w:color="auto"/>
            </w:tcBorders>
            <w:vAlign w:val="center"/>
            <w:hideMark/>
          </w:tcPr>
          <w:p w14:paraId="16A339D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SERVICIOS PETROLEROS  SERPEL SAS-EN REORGANIZACION</w:t>
            </w:r>
          </w:p>
        </w:tc>
        <w:tc>
          <w:tcPr>
            <w:tcW w:w="817" w:type="dxa"/>
            <w:tcBorders>
              <w:top w:val="nil"/>
              <w:left w:val="nil"/>
              <w:bottom w:val="single" w:sz="8" w:space="0" w:color="auto"/>
              <w:right w:val="single" w:sz="8" w:space="0" w:color="auto"/>
            </w:tcBorders>
            <w:vAlign w:val="center"/>
            <w:hideMark/>
          </w:tcPr>
          <w:p w14:paraId="0EEE7B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3,20</w:t>
            </w:r>
          </w:p>
        </w:tc>
        <w:tc>
          <w:tcPr>
            <w:tcW w:w="1271" w:type="dxa"/>
            <w:tcBorders>
              <w:top w:val="nil"/>
              <w:left w:val="nil"/>
              <w:bottom w:val="single" w:sz="8" w:space="0" w:color="auto"/>
              <w:right w:val="single" w:sz="8" w:space="0" w:color="auto"/>
            </w:tcBorders>
            <w:vAlign w:val="center"/>
            <w:hideMark/>
          </w:tcPr>
          <w:p w14:paraId="6DFBC63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w:t>
            </w:r>
          </w:p>
        </w:tc>
        <w:tc>
          <w:tcPr>
            <w:tcW w:w="1190" w:type="dxa"/>
            <w:tcBorders>
              <w:top w:val="nil"/>
              <w:left w:val="nil"/>
              <w:bottom w:val="single" w:sz="8" w:space="0" w:color="auto"/>
              <w:right w:val="single" w:sz="8" w:space="0" w:color="auto"/>
            </w:tcBorders>
            <w:vAlign w:val="center"/>
            <w:hideMark/>
          </w:tcPr>
          <w:p w14:paraId="6EEFA5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1,38</w:t>
            </w:r>
          </w:p>
        </w:tc>
        <w:tc>
          <w:tcPr>
            <w:tcW w:w="1099" w:type="dxa"/>
            <w:tcBorders>
              <w:top w:val="nil"/>
              <w:left w:val="nil"/>
              <w:bottom w:val="single" w:sz="8" w:space="0" w:color="auto"/>
              <w:right w:val="single" w:sz="8" w:space="0" w:color="auto"/>
            </w:tcBorders>
            <w:vAlign w:val="center"/>
            <w:hideMark/>
          </w:tcPr>
          <w:p w14:paraId="7AA5C19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9.526.708</w:t>
            </w:r>
          </w:p>
        </w:tc>
        <w:tc>
          <w:tcPr>
            <w:tcW w:w="1100" w:type="dxa"/>
            <w:tcBorders>
              <w:top w:val="nil"/>
              <w:left w:val="nil"/>
              <w:bottom w:val="single" w:sz="8" w:space="0" w:color="auto"/>
              <w:right w:val="single" w:sz="8" w:space="0" w:color="auto"/>
            </w:tcBorders>
            <w:vAlign w:val="center"/>
            <w:hideMark/>
          </w:tcPr>
          <w:p w14:paraId="4401458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7FD52D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73642DA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24682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113</w:t>
            </w:r>
          </w:p>
        </w:tc>
        <w:tc>
          <w:tcPr>
            <w:tcW w:w="1919" w:type="dxa"/>
            <w:tcBorders>
              <w:top w:val="nil"/>
              <w:left w:val="nil"/>
              <w:bottom w:val="single" w:sz="8" w:space="0" w:color="auto"/>
              <w:right w:val="single" w:sz="8" w:space="0" w:color="auto"/>
            </w:tcBorders>
            <w:vAlign w:val="center"/>
            <w:hideMark/>
          </w:tcPr>
          <w:p w14:paraId="760A9D0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MENGA EDER Y CIA S EN C</w:t>
            </w:r>
          </w:p>
        </w:tc>
        <w:tc>
          <w:tcPr>
            <w:tcW w:w="817" w:type="dxa"/>
            <w:tcBorders>
              <w:top w:val="nil"/>
              <w:left w:val="nil"/>
              <w:bottom w:val="single" w:sz="8" w:space="0" w:color="auto"/>
              <w:right w:val="single" w:sz="8" w:space="0" w:color="auto"/>
            </w:tcBorders>
            <w:vAlign w:val="center"/>
            <w:hideMark/>
          </w:tcPr>
          <w:p w14:paraId="10371E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29,27</w:t>
            </w:r>
          </w:p>
        </w:tc>
        <w:tc>
          <w:tcPr>
            <w:tcW w:w="1271" w:type="dxa"/>
            <w:tcBorders>
              <w:top w:val="nil"/>
              <w:left w:val="nil"/>
              <w:bottom w:val="single" w:sz="8" w:space="0" w:color="auto"/>
              <w:right w:val="single" w:sz="8" w:space="0" w:color="auto"/>
            </w:tcBorders>
            <w:vAlign w:val="center"/>
            <w:hideMark/>
          </w:tcPr>
          <w:p w14:paraId="2DA8C25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90" w:type="dxa"/>
            <w:tcBorders>
              <w:top w:val="nil"/>
              <w:left w:val="nil"/>
              <w:bottom w:val="single" w:sz="8" w:space="0" w:color="auto"/>
              <w:right w:val="single" w:sz="8" w:space="0" w:color="auto"/>
            </w:tcBorders>
            <w:vAlign w:val="center"/>
            <w:hideMark/>
          </w:tcPr>
          <w:p w14:paraId="3E34F9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73,37</w:t>
            </w:r>
          </w:p>
        </w:tc>
        <w:tc>
          <w:tcPr>
            <w:tcW w:w="1099" w:type="dxa"/>
            <w:tcBorders>
              <w:top w:val="nil"/>
              <w:left w:val="nil"/>
              <w:bottom w:val="single" w:sz="8" w:space="0" w:color="auto"/>
              <w:right w:val="single" w:sz="8" w:space="0" w:color="auto"/>
            </w:tcBorders>
            <w:vAlign w:val="center"/>
            <w:hideMark/>
          </w:tcPr>
          <w:p w14:paraId="114F82F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23.248.652</w:t>
            </w:r>
          </w:p>
        </w:tc>
        <w:tc>
          <w:tcPr>
            <w:tcW w:w="1100" w:type="dxa"/>
            <w:tcBorders>
              <w:top w:val="nil"/>
              <w:left w:val="nil"/>
              <w:bottom w:val="single" w:sz="8" w:space="0" w:color="auto"/>
              <w:right w:val="single" w:sz="8" w:space="0" w:color="auto"/>
            </w:tcBorders>
            <w:vAlign w:val="center"/>
            <w:hideMark/>
          </w:tcPr>
          <w:p w14:paraId="325FDB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228214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246B348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5380FD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114</w:t>
            </w:r>
          </w:p>
        </w:tc>
        <w:tc>
          <w:tcPr>
            <w:tcW w:w="1919" w:type="dxa"/>
            <w:tcBorders>
              <w:top w:val="nil"/>
              <w:left w:val="nil"/>
              <w:bottom w:val="single" w:sz="8" w:space="0" w:color="auto"/>
              <w:right w:val="single" w:sz="8" w:space="0" w:color="auto"/>
            </w:tcBorders>
            <w:vAlign w:val="center"/>
            <w:hideMark/>
          </w:tcPr>
          <w:p w14:paraId="32C4C9E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GC INGENIEROS SAS</w:t>
            </w:r>
          </w:p>
        </w:tc>
        <w:tc>
          <w:tcPr>
            <w:tcW w:w="817" w:type="dxa"/>
            <w:tcBorders>
              <w:top w:val="nil"/>
              <w:left w:val="nil"/>
              <w:bottom w:val="single" w:sz="8" w:space="0" w:color="auto"/>
              <w:right w:val="single" w:sz="8" w:space="0" w:color="auto"/>
            </w:tcBorders>
            <w:vAlign w:val="center"/>
            <w:hideMark/>
          </w:tcPr>
          <w:p w14:paraId="428192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9,91</w:t>
            </w:r>
          </w:p>
        </w:tc>
        <w:tc>
          <w:tcPr>
            <w:tcW w:w="1271" w:type="dxa"/>
            <w:tcBorders>
              <w:top w:val="nil"/>
              <w:left w:val="nil"/>
              <w:bottom w:val="single" w:sz="8" w:space="0" w:color="auto"/>
              <w:right w:val="single" w:sz="8" w:space="0" w:color="auto"/>
            </w:tcBorders>
            <w:vAlign w:val="center"/>
            <w:hideMark/>
          </w:tcPr>
          <w:p w14:paraId="7FE224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90" w:type="dxa"/>
            <w:tcBorders>
              <w:top w:val="nil"/>
              <w:left w:val="nil"/>
              <w:bottom w:val="single" w:sz="8" w:space="0" w:color="auto"/>
              <w:right w:val="single" w:sz="8" w:space="0" w:color="auto"/>
            </w:tcBorders>
            <w:vAlign w:val="center"/>
            <w:hideMark/>
          </w:tcPr>
          <w:p w14:paraId="21971EE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3D8831B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6.230.368</w:t>
            </w:r>
          </w:p>
        </w:tc>
        <w:tc>
          <w:tcPr>
            <w:tcW w:w="1100" w:type="dxa"/>
            <w:tcBorders>
              <w:top w:val="nil"/>
              <w:left w:val="nil"/>
              <w:bottom w:val="single" w:sz="8" w:space="0" w:color="auto"/>
              <w:right w:val="single" w:sz="8" w:space="0" w:color="auto"/>
            </w:tcBorders>
            <w:vAlign w:val="center"/>
            <w:hideMark/>
          </w:tcPr>
          <w:p w14:paraId="2CE932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095531F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6EECA510"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FCA66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115</w:t>
            </w:r>
          </w:p>
        </w:tc>
        <w:tc>
          <w:tcPr>
            <w:tcW w:w="1919" w:type="dxa"/>
            <w:tcBorders>
              <w:top w:val="nil"/>
              <w:left w:val="nil"/>
              <w:bottom w:val="single" w:sz="8" w:space="0" w:color="auto"/>
              <w:right w:val="single" w:sz="8" w:space="0" w:color="auto"/>
            </w:tcBorders>
            <w:vAlign w:val="center"/>
            <w:hideMark/>
          </w:tcPr>
          <w:p w14:paraId="52CFC43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CRP SAS</w:t>
            </w:r>
          </w:p>
        </w:tc>
        <w:tc>
          <w:tcPr>
            <w:tcW w:w="817" w:type="dxa"/>
            <w:tcBorders>
              <w:top w:val="nil"/>
              <w:left w:val="nil"/>
              <w:bottom w:val="single" w:sz="8" w:space="0" w:color="auto"/>
              <w:right w:val="single" w:sz="8" w:space="0" w:color="auto"/>
            </w:tcBorders>
            <w:vAlign w:val="center"/>
            <w:hideMark/>
          </w:tcPr>
          <w:p w14:paraId="07A765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3,39</w:t>
            </w:r>
          </w:p>
        </w:tc>
        <w:tc>
          <w:tcPr>
            <w:tcW w:w="1271" w:type="dxa"/>
            <w:tcBorders>
              <w:top w:val="nil"/>
              <w:left w:val="nil"/>
              <w:bottom w:val="single" w:sz="8" w:space="0" w:color="auto"/>
              <w:right w:val="single" w:sz="8" w:space="0" w:color="auto"/>
            </w:tcBorders>
            <w:vAlign w:val="center"/>
            <w:hideMark/>
          </w:tcPr>
          <w:p w14:paraId="3BF71C3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90" w:type="dxa"/>
            <w:tcBorders>
              <w:top w:val="nil"/>
              <w:left w:val="nil"/>
              <w:bottom w:val="single" w:sz="8" w:space="0" w:color="auto"/>
              <w:right w:val="single" w:sz="8" w:space="0" w:color="auto"/>
            </w:tcBorders>
            <w:vAlign w:val="center"/>
            <w:hideMark/>
          </w:tcPr>
          <w:p w14:paraId="12023C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-17,66</w:t>
            </w:r>
          </w:p>
        </w:tc>
        <w:tc>
          <w:tcPr>
            <w:tcW w:w="1099" w:type="dxa"/>
            <w:tcBorders>
              <w:top w:val="nil"/>
              <w:left w:val="nil"/>
              <w:bottom w:val="single" w:sz="8" w:space="0" w:color="auto"/>
              <w:right w:val="single" w:sz="8" w:space="0" w:color="auto"/>
            </w:tcBorders>
            <w:vAlign w:val="center"/>
            <w:hideMark/>
          </w:tcPr>
          <w:p w14:paraId="7AE82CD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28.345.837</w:t>
            </w:r>
          </w:p>
        </w:tc>
        <w:tc>
          <w:tcPr>
            <w:tcW w:w="1100" w:type="dxa"/>
            <w:tcBorders>
              <w:top w:val="nil"/>
              <w:left w:val="nil"/>
              <w:bottom w:val="single" w:sz="8" w:space="0" w:color="auto"/>
              <w:right w:val="single" w:sz="8" w:space="0" w:color="auto"/>
            </w:tcBorders>
            <w:vAlign w:val="center"/>
            <w:hideMark/>
          </w:tcPr>
          <w:p w14:paraId="380DC8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03DDCC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75E2D29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78554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116</w:t>
            </w:r>
          </w:p>
        </w:tc>
        <w:tc>
          <w:tcPr>
            <w:tcW w:w="1919" w:type="dxa"/>
            <w:tcBorders>
              <w:top w:val="nil"/>
              <w:left w:val="nil"/>
              <w:bottom w:val="single" w:sz="8" w:space="0" w:color="auto"/>
              <w:right w:val="single" w:sz="8" w:space="0" w:color="auto"/>
            </w:tcBorders>
            <w:vAlign w:val="center"/>
            <w:hideMark/>
          </w:tcPr>
          <w:p w14:paraId="211789D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BOBINADOS TECNICOS INGENIERIA SAS</w:t>
            </w:r>
          </w:p>
        </w:tc>
        <w:tc>
          <w:tcPr>
            <w:tcW w:w="817" w:type="dxa"/>
            <w:tcBorders>
              <w:top w:val="nil"/>
              <w:left w:val="nil"/>
              <w:bottom w:val="single" w:sz="8" w:space="0" w:color="auto"/>
              <w:right w:val="single" w:sz="8" w:space="0" w:color="auto"/>
            </w:tcBorders>
            <w:vAlign w:val="center"/>
            <w:hideMark/>
          </w:tcPr>
          <w:p w14:paraId="1F0F1D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5,87</w:t>
            </w:r>
          </w:p>
        </w:tc>
        <w:tc>
          <w:tcPr>
            <w:tcW w:w="1271" w:type="dxa"/>
            <w:tcBorders>
              <w:top w:val="nil"/>
              <w:left w:val="nil"/>
              <w:bottom w:val="single" w:sz="8" w:space="0" w:color="auto"/>
              <w:right w:val="single" w:sz="8" w:space="0" w:color="auto"/>
            </w:tcBorders>
            <w:vAlign w:val="center"/>
            <w:hideMark/>
          </w:tcPr>
          <w:p w14:paraId="21FCB2E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90" w:type="dxa"/>
            <w:tcBorders>
              <w:top w:val="nil"/>
              <w:left w:val="nil"/>
              <w:bottom w:val="single" w:sz="8" w:space="0" w:color="auto"/>
              <w:right w:val="single" w:sz="8" w:space="0" w:color="auto"/>
            </w:tcBorders>
            <w:vAlign w:val="center"/>
            <w:hideMark/>
          </w:tcPr>
          <w:p w14:paraId="7667B6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15,09</w:t>
            </w:r>
          </w:p>
        </w:tc>
        <w:tc>
          <w:tcPr>
            <w:tcW w:w="1099" w:type="dxa"/>
            <w:tcBorders>
              <w:top w:val="nil"/>
              <w:left w:val="nil"/>
              <w:bottom w:val="single" w:sz="8" w:space="0" w:color="auto"/>
              <w:right w:val="single" w:sz="8" w:space="0" w:color="auto"/>
            </w:tcBorders>
            <w:vAlign w:val="center"/>
            <w:hideMark/>
          </w:tcPr>
          <w:p w14:paraId="03DDF9B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3.339.004</w:t>
            </w:r>
          </w:p>
        </w:tc>
        <w:tc>
          <w:tcPr>
            <w:tcW w:w="1100" w:type="dxa"/>
            <w:tcBorders>
              <w:top w:val="nil"/>
              <w:left w:val="nil"/>
              <w:bottom w:val="single" w:sz="8" w:space="0" w:color="auto"/>
              <w:right w:val="single" w:sz="8" w:space="0" w:color="auto"/>
            </w:tcBorders>
            <w:vAlign w:val="center"/>
            <w:hideMark/>
          </w:tcPr>
          <w:p w14:paraId="75C106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00" w:type="dxa"/>
            <w:tcBorders>
              <w:top w:val="nil"/>
              <w:left w:val="nil"/>
              <w:bottom w:val="single" w:sz="8" w:space="0" w:color="auto"/>
              <w:right w:val="single" w:sz="8" w:space="0" w:color="auto"/>
            </w:tcBorders>
            <w:vAlign w:val="center"/>
            <w:hideMark/>
          </w:tcPr>
          <w:p w14:paraId="091B42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277C607B"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19B4CA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117</w:t>
            </w:r>
          </w:p>
        </w:tc>
        <w:tc>
          <w:tcPr>
            <w:tcW w:w="1919" w:type="dxa"/>
            <w:tcBorders>
              <w:top w:val="nil"/>
              <w:left w:val="nil"/>
              <w:bottom w:val="single" w:sz="8" w:space="0" w:color="auto"/>
              <w:right w:val="single" w:sz="8" w:space="0" w:color="auto"/>
            </w:tcBorders>
            <w:vAlign w:val="center"/>
            <w:hideMark/>
          </w:tcPr>
          <w:p w14:paraId="47B8831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INGENIERÍA ELÉCTRICA Y CONSTRUCCIONES SAS</w:t>
            </w:r>
          </w:p>
        </w:tc>
        <w:tc>
          <w:tcPr>
            <w:tcW w:w="817" w:type="dxa"/>
            <w:tcBorders>
              <w:top w:val="nil"/>
              <w:left w:val="nil"/>
              <w:bottom w:val="single" w:sz="8" w:space="0" w:color="auto"/>
              <w:right w:val="single" w:sz="8" w:space="0" w:color="auto"/>
            </w:tcBorders>
            <w:vAlign w:val="center"/>
            <w:hideMark/>
          </w:tcPr>
          <w:p w14:paraId="0C898A1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2,02</w:t>
            </w:r>
          </w:p>
        </w:tc>
        <w:tc>
          <w:tcPr>
            <w:tcW w:w="1271" w:type="dxa"/>
            <w:tcBorders>
              <w:top w:val="nil"/>
              <w:left w:val="nil"/>
              <w:bottom w:val="single" w:sz="8" w:space="0" w:color="auto"/>
              <w:right w:val="single" w:sz="8" w:space="0" w:color="auto"/>
            </w:tcBorders>
            <w:vAlign w:val="center"/>
            <w:hideMark/>
          </w:tcPr>
          <w:p w14:paraId="138400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w:t>
            </w:r>
          </w:p>
        </w:tc>
        <w:tc>
          <w:tcPr>
            <w:tcW w:w="1190" w:type="dxa"/>
            <w:tcBorders>
              <w:top w:val="nil"/>
              <w:left w:val="nil"/>
              <w:bottom w:val="single" w:sz="8" w:space="0" w:color="auto"/>
              <w:right w:val="single" w:sz="8" w:space="0" w:color="auto"/>
            </w:tcBorders>
            <w:vAlign w:val="center"/>
            <w:hideMark/>
          </w:tcPr>
          <w:p w14:paraId="4A18092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7233A7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4.703.637</w:t>
            </w:r>
          </w:p>
        </w:tc>
        <w:tc>
          <w:tcPr>
            <w:tcW w:w="1100" w:type="dxa"/>
            <w:tcBorders>
              <w:top w:val="nil"/>
              <w:left w:val="nil"/>
              <w:bottom w:val="single" w:sz="8" w:space="0" w:color="auto"/>
              <w:right w:val="single" w:sz="8" w:space="0" w:color="auto"/>
            </w:tcBorders>
            <w:vAlign w:val="center"/>
            <w:hideMark/>
          </w:tcPr>
          <w:p w14:paraId="3D879EC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131%</w:t>
            </w:r>
          </w:p>
        </w:tc>
        <w:tc>
          <w:tcPr>
            <w:tcW w:w="1100" w:type="dxa"/>
            <w:tcBorders>
              <w:top w:val="nil"/>
              <w:left w:val="nil"/>
              <w:bottom w:val="single" w:sz="8" w:space="0" w:color="auto"/>
              <w:right w:val="single" w:sz="8" w:space="0" w:color="auto"/>
            </w:tcBorders>
            <w:vAlign w:val="center"/>
            <w:hideMark/>
          </w:tcPr>
          <w:p w14:paraId="16E342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w:t>
            </w:r>
          </w:p>
        </w:tc>
      </w:tr>
      <w:tr w:rsidR="008468B3" w:rsidRPr="008468B3" w14:paraId="4CC2B72A" w14:textId="77777777" w:rsidTr="008468B3">
        <w:trPr>
          <w:trHeight w:val="581"/>
        </w:trPr>
        <w:tc>
          <w:tcPr>
            <w:tcW w:w="474" w:type="dxa"/>
            <w:tcBorders>
              <w:top w:val="nil"/>
              <w:left w:val="single" w:sz="8" w:space="0" w:color="auto"/>
              <w:bottom w:val="single" w:sz="8" w:space="0" w:color="auto"/>
              <w:right w:val="single" w:sz="8" w:space="0" w:color="auto"/>
            </w:tcBorders>
            <w:noWrap/>
            <w:vAlign w:val="center"/>
            <w:hideMark/>
          </w:tcPr>
          <w:p w14:paraId="698E18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118</w:t>
            </w:r>
          </w:p>
        </w:tc>
        <w:tc>
          <w:tcPr>
            <w:tcW w:w="1919" w:type="dxa"/>
            <w:tcBorders>
              <w:top w:val="nil"/>
              <w:left w:val="nil"/>
              <w:bottom w:val="single" w:sz="8" w:space="0" w:color="auto"/>
              <w:right w:val="single" w:sz="8" w:space="0" w:color="auto"/>
            </w:tcBorders>
            <w:vAlign w:val="center"/>
            <w:hideMark/>
          </w:tcPr>
          <w:p w14:paraId="0B5F894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PROYECTOS DE INGENIERIA ELECTRICA LTDA</w:t>
            </w:r>
          </w:p>
        </w:tc>
        <w:tc>
          <w:tcPr>
            <w:tcW w:w="817" w:type="dxa"/>
            <w:tcBorders>
              <w:top w:val="nil"/>
              <w:left w:val="nil"/>
              <w:bottom w:val="single" w:sz="8" w:space="0" w:color="auto"/>
              <w:right w:val="single" w:sz="8" w:space="0" w:color="auto"/>
            </w:tcBorders>
            <w:vAlign w:val="center"/>
            <w:hideMark/>
          </w:tcPr>
          <w:p w14:paraId="6B2142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13,76</w:t>
            </w:r>
          </w:p>
        </w:tc>
        <w:tc>
          <w:tcPr>
            <w:tcW w:w="1271" w:type="dxa"/>
            <w:tcBorders>
              <w:top w:val="nil"/>
              <w:left w:val="nil"/>
              <w:bottom w:val="single" w:sz="8" w:space="0" w:color="auto"/>
              <w:right w:val="single" w:sz="8" w:space="0" w:color="auto"/>
            </w:tcBorders>
            <w:vAlign w:val="center"/>
            <w:hideMark/>
          </w:tcPr>
          <w:p w14:paraId="760D8C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c>
          <w:tcPr>
            <w:tcW w:w="1190" w:type="dxa"/>
            <w:tcBorders>
              <w:top w:val="nil"/>
              <w:left w:val="nil"/>
              <w:bottom w:val="single" w:sz="8" w:space="0" w:color="auto"/>
              <w:right w:val="single" w:sz="8" w:space="0" w:color="auto"/>
            </w:tcBorders>
            <w:vAlign w:val="center"/>
            <w:hideMark/>
          </w:tcPr>
          <w:p w14:paraId="00C251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8,67</w:t>
            </w:r>
          </w:p>
        </w:tc>
        <w:tc>
          <w:tcPr>
            <w:tcW w:w="1099" w:type="dxa"/>
            <w:tcBorders>
              <w:top w:val="nil"/>
              <w:left w:val="nil"/>
              <w:bottom w:val="single" w:sz="8" w:space="0" w:color="auto"/>
              <w:right w:val="single" w:sz="8" w:space="0" w:color="auto"/>
            </w:tcBorders>
            <w:vAlign w:val="center"/>
            <w:hideMark/>
          </w:tcPr>
          <w:p w14:paraId="39B7849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5.538.587</w:t>
            </w:r>
          </w:p>
        </w:tc>
        <w:tc>
          <w:tcPr>
            <w:tcW w:w="1100" w:type="dxa"/>
            <w:tcBorders>
              <w:top w:val="nil"/>
              <w:left w:val="nil"/>
              <w:bottom w:val="single" w:sz="8" w:space="0" w:color="auto"/>
              <w:right w:val="single" w:sz="8" w:space="0" w:color="auto"/>
            </w:tcBorders>
            <w:vAlign w:val="center"/>
            <w:hideMark/>
          </w:tcPr>
          <w:p w14:paraId="50669D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0BA4CF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26FB0BDF" w14:textId="77777777" w:rsidTr="008468B3">
        <w:trPr>
          <w:trHeight w:val="776"/>
        </w:trPr>
        <w:tc>
          <w:tcPr>
            <w:tcW w:w="474" w:type="dxa"/>
            <w:tcBorders>
              <w:top w:val="nil"/>
              <w:left w:val="single" w:sz="8" w:space="0" w:color="auto"/>
              <w:bottom w:val="single" w:sz="8" w:space="0" w:color="auto"/>
              <w:right w:val="single" w:sz="8" w:space="0" w:color="auto"/>
            </w:tcBorders>
            <w:noWrap/>
            <w:vAlign w:val="center"/>
            <w:hideMark/>
          </w:tcPr>
          <w:p w14:paraId="64F9ABD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119</w:t>
            </w:r>
          </w:p>
        </w:tc>
        <w:tc>
          <w:tcPr>
            <w:tcW w:w="1919" w:type="dxa"/>
            <w:tcBorders>
              <w:top w:val="nil"/>
              <w:left w:val="nil"/>
              <w:bottom w:val="single" w:sz="8" w:space="0" w:color="auto"/>
              <w:right w:val="single" w:sz="8" w:space="0" w:color="auto"/>
            </w:tcBorders>
            <w:vAlign w:val="center"/>
            <w:hideMark/>
          </w:tcPr>
          <w:p w14:paraId="5942FC7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OFICINA DE DISEÑO CALCULO Y CONSTRUCCIONES S.A.S.</w:t>
            </w:r>
          </w:p>
        </w:tc>
        <w:tc>
          <w:tcPr>
            <w:tcW w:w="817" w:type="dxa"/>
            <w:tcBorders>
              <w:top w:val="nil"/>
              <w:left w:val="nil"/>
              <w:bottom w:val="single" w:sz="8" w:space="0" w:color="auto"/>
              <w:right w:val="single" w:sz="8" w:space="0" w:color="auto"/>
            </w:tcBorders>
            <w:vAlign w:val="center"/>
            <w:hideMark/>
          </w:tcPr>
          <w:p w14:paraId="79DBA6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3008,50</w:t>
            </w:r>
          </w:p>
        </w:tc>
        <w:tc>
          <w:tcPr>
            <w:tcW w:w="1271" w:type="dxa"/>
            <w:tcBorders>
              <w:top w:val="nil"/>
              <w:left w:val="nil"/>
              <w:bottom w:val="single" w:sz="8" w:space="0" w:color="auto"/>
              <w:right w:val="single" w:sz="8" w:space="0" w:color="auto"/>
            </w:tcBorders>
            <w:vAlign w:val="center"/>
            <w:hideMark/>
          </w:tcPr>
          <w:p w14:paraId="7A8913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w:t>
            </w:r>
          </w:p>
        </w:tc>
        <w:tc>
          <w:tcPr>
            <w:tcW w:w="1190" w:type="dxa"/>
            <w:tcBorders>
              <w:top w:val="nil"/>
              <w:left w:val="nil"/>
              <w:bottom w:val="single" w:sz="8" w:space="0" w:color="auto"/>
              <w:right w:val="single" w:sz="8" w:space="0" w:color="auto"/>
            </w:tcBorders>
            <w:vAlign w:val="center"/>
            <w:hideMark/>
          </w:tcPr>
          <w:p w14:paraId="77CE271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3,73</w:t>
            </w:r>
          </w:p>
        </w:tc>
        <w:tc>
          <w:tcPr>
            <w:tcW w:w="1099" w:type="dxa"/>
            <w:tcBorders>
              <w:top w:val="nil"/>
              <w:left w:val="nil"/>
              <w:bottom w:val="single" w:sz="8" w:space="0" w:color="auto"/>
              <w:right w:val="single" w:sz="8" w:space="0" w:color="auto"/>
            </w:tcBorders>
            <w:vAlign w:val="center"/>
            <w:hideMark/>
          </w:tcPr>
          <w:p w14:paraId="3ABF706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50.237.305</w:t>
            </w:r>
          </w:p>
        </w:tc>
        <w:tc>
          <w:tcPr>
            <w:tcW w:w="1100" w:type="dxa"/>
            <w:tcBorders>
              <w:top w:val="nil"/>
              <w:left w:val="nil"/>
              <w:bottom w:val="single" w:sz="8" w:space="0" w:color="auto"/>
              <w:right w:val="single" w:sz="8" w:space="0" w:color="auto"/>
            </w:tcBorders>
            <w:vAlign w:val="center"/>
            <w:hideMark/>
          </w:tcPr>
          <w:p w14:paraId="5D481CC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3284AD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60F0B046"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08032A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120</w:t>
            </w:r>
          </w:p>
        </w:tc>
        <w:tc>
          <w:tcPr>
            <w:tcW w:w="1919" w:type="dxa"/>
            <w:tcBorders>
              <w:top w:val="nil"/>
              <w:left w:val="nil"/>
              <w:bottom w:val="single" w:sz="8" w:space="0" w:color="auto"/>
              <w:right w:val="single" w:sz="8" w:space="0" w:color="auto"/>
            </w:tcBorders>
            <w:vAlign w:val="center"/>
            <w:hideMark/>
          </w:tcPr>
          <w:p w14:paraId="7C6F207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PRECOMPRIMIDOS S.A.S.</w:t>
            </w:r>
          </w:p>
        </w:tc>
        <w:tc>
          <w:tcPr>
            <w:tcW w:w="817" w:type="dxa"/>
            <w:tcBorders>
              <w:top w:val="nil"/>
              <w:left w:val="nil"/>
              <w:bottom w:val="single" w:sz="8" w:space="0" w:color="auto"/>
              <w:right w:val="single" w:sz="8" w:space="0" w:color="auto"/>
            </w:tcBorders>
            <w:vAlign w:val="center"/>
            <w:hideMark/>
          </w:tcPr>
          <w:p w14:paraId="4E3E10C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2,63</w:t>
            </w:r>
          </w:p>
        </w:tc>
        <w:tc>
          <w:tcPr>
            <w:tcW w:w="1271" w:type="dxa"/>
            <w:tcBorders>
              <w:top w:val="nil"/>
              <w:left w:val="nil"/>
              <w:bottom w:val="single" w:sz="8" w:space="0" w:color="auto"/>
              <w:right w:val="single" w:sz="8" w:space="0" w:color="auto"/>
            </w:tcBorders>
            <w:vAlign w:val="center"/>
            <w:hideMark/>
          </w:tcPr>
          <w:p w14:paraId="3E15C8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90" w:type="dxa"/>
            <w:tcBorders>
              <w:top w:val="nil"/>
              <w:left w:val="nil"/>
              <w:bottom w:val="single" w:sz="8" w:space="0" w:color="auto"/>
              <w:right w:val="single" w:sz="8" w:space="0" w:color="auto"/>
            </w:tcBorders>
            <w:vAlign w:val="center"/>
            <w:hideMark/>
          </w:tcPr>
          <w:p w14:paraId="64C92B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17,82</w:t>
            </w:r>
          </w:p>
        </w:tc>
        <w:tc>
          <w:tcPr>
            <w:tcW w:w="1099" w:type="dxa"/>
            <w:tcBorders>
              <w:top w:val="nil"/>
              <w:left w:val="nil"/>
              <w:bottom w:val="single" w:sz="8" w:space="0" w:color="auto"/>
              <w:right w:val="single" w:sz="8" w:space="0" w:color="auto"/>
            </w:tcBorders>
            <w:vAlign w:val="center"/>
            <w:hideMark/>
          </w:tcPr>
          <w:p w14:paraId="1491B31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5.701.501</w:t>
            </w:r>
          </w:p>
        </w:tc>
        <w:tc>
          <w:tcPr>
            <w:tcW w:w="1100" w:type="dxa"/>
            <w:tcBorders>
              <w:top w:val="nil"/>
              <w:left w:val="nil"/>
              <w:bottom w:val="single" w:sz="8" w:space="0" w:color="auto"/>
              <w:right w:val="single" w:sz="8" w:space="0" w:color="auto"/>
            </w:tcBorders>
            <w:vAlign w:val="center"/>
            <w:hideMark/>
          </w:tcPr>
          <w:p w14:paraId="3490D33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3304F9D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01378ACB"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CA7561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121</w:t>
            </w:r>
          </w:p>
        </w:tc>
        <w:tc>
          <w:tcPr>
            <w:tcW w:w="1919" w:type="dxa"/>
            <w:tcBorders>
              <w:top w:val="nil"/>
              <w:left w:val="nil"/>
              <w:bottom w:val="single" w:sz="8" w:space="0" w:color="auto"/>
              <w:right w:val="single" w:sz="8" w:space="0" w:color="auto"/>
            </w:tcBorders>
            <w:vAlign w:val="center"/>
            <w:hideMark/>
          </w:tcPr>
          <w:p w14:paraId="0A9F1A2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ZUGOM Y CIA. S.A.S.</w:t>
            </w:r>
          </w:p>
        </w:tc>
        <w:tc>
          <w:tcPr>
            <w:tcW w:w="817" w:type="dxa"/>
            <w:tcBorders>
              <w:top w:val="nil"/>
              <w:left w:val="nil"/>
              <w:bottom w:val="single" w:sz="8" w:space="0" w:color="auto"/>
              <w:right w:val="single" w:sz="8" w:space="0" w:color="auto"/>
            </w:tcBorders>
            <w:vAlign w:val="center"/>
            <w:hideMark/>
          </w:tcPr>
          <w:p w14:paraId="14BA596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w:t>
            </w:r>
          </w:p>
        </w:tc>
        <w:tc>
          <w:tcPr>
            <w:tcW w:w="1271" w:type="dxa"/>
            <w:tcBorders>
              <w:top w:val="nil"/>
              <w:left w:val="nil"/>
              <w:bottom w:val="single" w:sz="8" w:space="0" w:color="auto"/>
              <w:right w:val="single" w:sz="8" w:space="0" w:color="auto"/>
            </w:tcBorders>
            <w:vAlign w:val="center"/>
            <w:hideMark/>
          </w:tcPr>
          <w:p w14:paraId="4C0490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90" w:type="dxa"/>
            <w:tcBorders>
              <w:top w:val="nil"/>
              <w:left w:val="nil"/>
              <w:bottom w:val="single" w:sz="8" w:space="0" w:color="auto"/>
              <w:right w:val="single" w:sz="8" w:space="0" w:color="auto"/>
            </w:tcBorders>
            <w:vAlign w:val="center"/>
            <w:hideMark/>
          </w:tcPr>
          <w:p w14:paraId="6618D41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-14,48</w:t>
            </w:r>
          </w:p>
        </w:tc>
        <w:tc>
          <w:tcPr>
            <w:tcW w:w="1099" w:type="dxa"/>
            <w:tcBorders>
              <w:top w:val="nil"/>
              <w:left w:val="nil"/>
              <w:bottom w:val="single" w:sz="8" w:space="0" w:color="auto"/>
              <w:right w:val="single" w:sz="8" w:space="0" w:color="auto"/>
            </w:tcBorders>
            <w:vAlign w:val="center"/>
            <w:hideMark/>
          </w:tcPr>
          <w:p w14:paraId="618D5B5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1.459.471</w:t>
            </w:r>
          </w:p>
        </w:tc>
        <w:tc>
          <w:tcPr>
            <w:tcW w:w="1100" w:type="dxa"/>
            <w:tcBorders>
              <w:top w:val="nil"/>
              <w:left w:val="nil"/>
              <w:bottom w:val="single" w:sz="8" w:space="0" w:color="auto"/>
              <w:right w:val="single" w:sz="8" w:space="0" w:color="auto"/>
            </w:tcBorders>
            <w:vAlign w:val="center"/>
            <w:hideMark/>
          </w:tcPr>
          <w:p w14:paraId="06F6AC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40470F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076F138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AD43F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122</w:t>
            </w:r>
          </w:p>
        </w:tc>
        <w:tc>
          <w:tcPr>
            <w:tcW w:w="1919" w:type="dxa"/>
            <w:tcBorders>
              <w:top w:val="nil"/>
              <w:left w:val="nil"/>
              <w:bottom w:val="single" w:sz="8" w:space="0" w:color="auto"/>
              <w:right w:val="single" w:sz="8" w:space="0" w:color="auto"/>
            </w:tcBorders>
            <w:vAlign w:val="center"/>
            <w:hideMark/>
          </w:tcPr>
          <w:p w14:paraId="4B94DC5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INGENIEROS MECANICOS ASOCIADOS SAS</w:t>
            </w:r>
          </w:p>
        </w:tc>
        <w:tc>
          <w:tcPr>
            <w:tcW w:w="817" w:type="dxa"/>
            <w:tcBorders>
              <w:top w:val="nil"/>
              <w:left w:val="nil"/>
              <w:bottom w:val="single" w:sz="8" w:space="0" w:color="auto"/>
              <w:right w:val="single" w:sz="8" w:space="0" w:color="auto"/>
            </w:tcBorders>
            <w:vAlign w:val="center"/>
            <w:hideMark/>
          </w:tcPr>
          <w:p w14:paraId="28D65F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6,36</w:t>
            </w:r>
          </w:p>
        </w:tc>
        <w:tc>
          <w:tcPr>
            <w:tcW w:w="1271" w:type="dxa"/>
            <w:tcBorders>
              <w:top w:val="nil"/>
              <w:left w:val="nil"/>
              <w:bottom w:val="single" w:sz="8" w:space="0" w:color="auto"/>
              <w:right w:val="single" w:sz="8" w:space="0" w:color="auto"/>
            </w:tcBorders>
            <w:vAlign w:val="center"/>
            <w:hideMark/>
          </w:tcPr>
          <w:p w14:paraId="431EA14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w:t>
            </w:r>
          </w:p>
        </w:tc>
        <w:tc>
          <w:tcPr>
            <w:tcW w:w="1190" w:type="dxa"/>
            <w:tcBorders>
              <w:top w:val="nil"/>
              <w:left w:val="nil"/>
              <w:bottom w:val="single" w:sz="8" w:space="0" w:color="auto"/>
              <w:right w:val="single" w:sz="8" w:space="0" w:color="auto"/>
            </w:tcBorders>
            <w:vAlign w:val="center"/>
            <w:hideMark/>
          </w:tcPr>
          <w:p w14:paraId="091D6D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0,41</w:t>
            </w:r>
          </w:p>
        </w:tc>
        <w:tc>
          <w:tcPr>
            <w:tcW w:w="1099" w:type="dxa"/>
            <w:tcBorders>
              <w:top w:val="nil"/>
              <w:left w:val="nil"/>
              <w:bottom w:val="single" w:sz="8" w:space="0" w:color="auto"/>
              <w:right w:val="single" w:sz="8" w:space="0" w:color="auto"/>
            </w:tcBorders>
            <w:vAlign w:val="center"/>
            <w:hideMark/>
          </w:tcPr>
          <w:p w14:paraId="48EC1EF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3.345.780</w:t>
            </w:r>
          </w:p>
        </w:tc>
        <w:tc>
          <w:tcPr>
            <w:tcW w:w="1100" w:type="dxa"/>
            <w:tcBorders>
              <w:top w:val="nil"/>
              <w:left w:val="nil"/>
              <w:bottom w:val="single" w:sz="8" w:space="0" w:color="auto"/>
              <w:right w:val="single" w:sz="8" w:space="0" w:color="auto"/>
            </w:tcBorders>
            <w:vAlign w:val="center"/>
            <w:hideMark/>
          </w:tcPr>
          <w:p w14:paraId="256C2A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41AF91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5A771DE4"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4B4DFF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123</w:t>
            </w:r>
          </w:p>
        </w:tc>
        <w:tc>
          <w:tcPr>
            <w:tcW w:w="1919" w:type="dxa"/>
            <w:tcBorders>
              <w:top w:val="nil"/>
              <w:left w:val="nil"/>
              <w:bottom w:val="single" w:sz="8" w:space="0" w:color="auto"/>
              <w:right w:val="single" w:sz="8" w:space="0" w:color="auto"/>
            </w:tcBorders>
            <w:vAlign w:val="center"/>
            <w:hideMark/>
          </w:tcPr>
          <w:p w14:paraId="0A5B7E2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INSTELEC SAS</w:t>
            </w:r>
          </w:p>
        </w:tc>
        <w:tc>
          <w:tcPr>
            <w:tcW w:w="817" w:type="dxa"/>
            <w:tcBorders>
              <w:top w:val="nil"/>
              <w:left w:val="nil"/>
              <w:bottom w:val="single" w:sz="8" w:space="0" w:color="auto"/>
              <w:right w:val="single" w:sz="8" w:space="0" w:color="auto"/>
            </w:tcBorders>
            <w:vAlign w:val="center"/>
            <w:hideMark/>
          </w:tcPr>
          <w:p w14:paraId="730312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1,64</w:t>
            </w:r>
          </w:p>
        </w:tc>
        <w:tc>
          <w:tcPr>
            <w:tcW w:w="1271" w:type="dxa"/>
            <w:tcBorders>
              <w:top w:val="nil"/>
              <w:left w:val="nil"/>
              <w:bottom w:val="single" w:sz="8" w:space="0" w:color="auto"/>
              <w:right w:val="single" w:sz="8" w:space="0" w:color="auto"/>
            </w:tcBorders>
            <w:vAlign w:val="center"/>
            <w:hideMark/>
          </w:tcPr>
          <w:p w14:paraId="57D7866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w:t>
            </w:r>
          </w:p>
        </w:tc>
        <w:tc>
          <w:tcPr>
            <w:tcW w:w="1190" w:type="dxa"/>
            <w:tcBorders>
              <w:top w:val="nil"/>
              <w:left w:val="nil"/>
              <w:bottom w:val="single" w:sz="8" w:space="0" w:color="auto"/>
              <w:right w:val="single" w:sz="8" w:space="0" w:color="auto"/>
            </w:tcBorders>
            <w:vAlign w:val="center"/>
            <w:hideMark/>
          </w:tcPr>
          <w:p w14:paraId="024C4B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w:t>
            </w:r>
          </w:p>
        </w:tc>
        <w:tc>
          <w:tcPr>
            <w:tcW w:w="1099" w:type="dxa"/>
            <w:tcBorders>
              <w:top w:val="nil"/>
              <w:left w:val="nil"/>
              <w:bottom w:val="single" w:sz="8" w:space="0" w:color="auto"/>
              <w:right w:val="single" w:sz="8" w:space="0" w:color="auto"/>
            </w:tcBorders>
            <w:vAlign w:val="center"/>
            <w:hideMark/>
          </w:tcPr>
          <w:p w14:paraId="43F29F8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8.980.149</w:t>
            </w:r>
          </w:p>
        </w:tc>
        <w:tc>
          <w:tcPr>
            <w:tcW w:w="1100" w:type="dxa"/>
            <w:tcBorders>
              <w:top w:val="nil"/>
              <w:left w:val="nil"/>
              <w:bottom w:val="single" w:sz="8" w:space="0" w:color="auto"/>
              <w:right w:val="single" w:sz="8" w:space="0" w:color="auto"/>
            </w:tcBorders>
            <w:vAlign w:val="center"/>
            <w:hideMark/>
          </w:tcPr>
          <w:p w14:paraId="4DDF83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12B23A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6C48BE52"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6C28E9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124</w:t>
            </w:r>
          </w:p>
        </w:tc>
        <w:tc>
          <w:tcPr>
            <w:tcW w:w="1919" w:type="dxa"/>
            <w:tcBorders>
              <w:top w:val="nil"/>
              <w:left w:val="nil"/>
              <w:bottom w:val="single" w:sz="8" w:space="0" w:color="auto"/>
              <w:right w:val="single" w:sz="8" w:space="0" w:color="auto"/>
            </w:tcBorders>
            <w:vAlign w:val="center"/>
            <w:hideMark/>
          </w:tcPr>
          <w:p w14:paraId="10E4293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JOSE FELIX ESCOBAR H Y CIA LTDA</w:t>
            </w:r>
          </w:p>
        </w:tc>
        <w:tc>
          <w:tcPr>
            <w:tcW w:w="817" w:type="dxa"/>
            <w:tcBorders>
              <w:top w:val="nil"/>
              <w:left w:val="nil"/>
              <w:bottom w:val="single" w:sz="8" w:space="0" w:color="auto"/>
              <w:right w:val="single" w:sz="8" w:space="0" w:color="auto"/>
            </w:tcBorders>
            <w:vAlign w:val="center"/>
            <w:hideMark/>
          </w:tcPr>
          <w:p w14:paraId="1C0EFD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4,37</w:t>
            </w:r>
          </w:p>
        </w:tc>
        <w:tc>
          <w:tcPr>
            <w:tcW w:w="1271" w:type="dxa"/>
            <w:tcBorders>
              <w:top w:val="nil"/>
              <w:left w:val="nil"/>
              <w:bottom w:val="single" w:sz="8" w:space="0" w:color="auto"/>
              <w:right w:val="single" w:sz="8" w:space="0" w:color="auto"/>
            </w:tcBorders>
            <w:vAlign w:val="center"/>
            <w:hideMark/>
          </w:tcPr>
          <w:p w14:paraId="062C5A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90" w:type="dxa"/>
            <w:tcBorders>
              <w:top w:val="nil"/>
              <w:left w:val="nil"/>
              <w:bottom w:val="single" w:sz="8" w:space="0" w:color="auto"/>
              <w:right w:val="single" w:sz="8" w:space="0" w:color="auto"/>
            </w:tcBorders>
            <w:vAlign w:val="center"/>
            <w:hideMark/>
          </w:tcPr>
          <w:p w14:paraId="6E93DCB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8,68</w:t>
            </w:r>
          </w:p>
        </w:tc>
        <w:tc>
          <w:tcPr>
            <w:tcW w:w="1099" w:type="dxa"/>
            <w:tcBorders>
              <w:top w:val="nil"/>
              <w:left w:val="nil"/>
              <w:bottom w:val="single" w:sz="8" w:space="0" w:color="auto"/>
              <w:right w:val="single" w:sz="8" w:space="0" w:color="auto"/>
            </w:tcBorders>
            <w:vAlign w:val="center"/>
            <w:hideMark/>
          </w:tcPr>
          <w:p w14:paraId="3987D33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5.807.869</w:t>
            </w:r>
          </w:p>
        </w:tc>
        <w:tc>
          <w:tcPr>
            <w:tcW w:w="1100" w:type="dxa"/>
            <w:tcBorders>
              <w:top w:val="nil"/>
              <w:left w:val="nil"/>
              <w:bottom w:val="single" w:sz="8" w:space="0" w:color="auto"/>
              <w:right w:val="single" w:sz="8" w:space="0" w:color="auto"/>
            </w:tcBorders>
            <w:vAlign w:val="center"/>
            <w:hideMark/>
          </w:tcPr>
          <w:p w14:paraId="2ABDCF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00" w:type="dxa"/>
            <w:tcBorders>
              <w:top w:val="nil"/>
              <w:left w:val="nil"/>
              <w:bottom w:val="single" w:sz="8" w:space="0" w:color="auto"/>
              <w:right w:val="single" w:sz="8" w:space="0" w:color="auto"/>
            </w:tcBorders>
            <w:vAlign w:val="center"/>
            <w:hideMark/>
          </w:tcPr>
          <w:p w14:paraId="4EDF6C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52B80D9E"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3DBA3F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125</w:t>
            </w:r>
          </w:p>
        </w:tc>
        <w:tc>
          <w:tcPr>
            <w:tcW w:w="1919" w:type="dxa"/>
            <w:tcBorders>
              <w:top w:val="nil"/>
              <w:left w:val="nil"/>
              <w:bottom w:val="single" w:sz="8" w:space="0" w:color="auto"/>
              <w:right w:val="single" w:sz="8" w:space="0" w:color="auto"/>
            </w:tcBorders>
            <w:vAlign w:val="center"/>
            <w:hideMark/>
          </w:tcPr>
          <w:p w14:paraId="2D1A91C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PATIÑO Y CIA S.A</w:t>
            </w:r>
          </w:p>
        </w:tc>
        <w:tc>
          <w:tcPr>
            <w:tcW w:w="817" w:type="dxa"/>
            <w:tcBorders>
              <w:top w:val="nil"/>
              <w:left w:val="nil"/>
              <w:bottom w:val="single" w:sz="8" w:space="0" w:color="auto"/>
              <w:right w:val="single" w:sz="8" w:space="0" w:color="auto"/>
            </w:tcBorders>
            <w:vAlign w:val="center"/>
            <w:hideMark/>
          </w:tcPr>
          <w:p w14:paraId="6F57A3A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8,20</w:t>
            </w:r>
          </w:p>
        </w:tc>
        <w:tc>
          <w:tcPr>
            <w:tcW w:w="1271" w:type="dxa"/>
            <w:tcBorders>
              <w:top w:val="nil"/>
              <w:left w:val="nil"/>
              <w:bottom w:val="single" w:sz="8" w:space="0" w:color="auto"/>
              <w:right w:val="single" w:sz="8" w:space="0" w:color="auto"/>
            </w:tcBorders>
            <w:vAlign w:val="center"/>
            <w:hideMark/>
          </w:tcPr>
          <w:p w14:paraId="102F5E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90" w:type="dxa"/>
            <w:tcBorders>
              <w:top w:val="nil"/>
              <w:left w:val="nil"/>
              <w:bottom w:val="single" w:sz="8" w:space="0" w:color="auto"/>
              <w:right w:val="single" w:sz="8" w:space="0" w:color="auto"/>
            </w:tcBorders>
            <w:vAlign w:val="center"/>
            <w:hideMark/>
          </w:tcPr>
          <w:p w14:paraId="044333D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16,85</w:t>
            </w:r>
          </w:p>
        </w:tc>
        <w:tc>
          <w:tcPr>
            <w:tcW w:w="1099" w:type="dxa"/>
            <w:tcBorders>
              <w:top w:val="nil"/>
              <w:left w:val="nil"/>
              <w:bottom w:val="single" w:sz="8" w:space="0" w:color="auto"/>
              <w:right w:val="single" w:sz="8" w:space="0" w:color="auto"/>
            </w:tcBorders>
            <w:vAlign w:val="center"/>
            <w:hideMark/>
          </w:tcPr>
          <w:p w14:paraId="212922E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3.427.220</w:t>
            </w:r>
          </w:p>
        </w:tc>
        <w:tc>
          <w:tcPr>
            <w:tcW w:w="1100" w:type="dxa"/>
            <w:tcBorders>
              <w:top w:val="nil"/>
              <w:left w:val="nil"/>
              <w:bottom w:val="single" w:sz="8" w:space="0" w:color="auto"/>
              <w:right w:val="single" w:sz="8" w:space="0" w:color="auto"/>
            </w:tcBorders>
            <w:vAlign w:val="center"/>
            <w:hideMark/>
          </w:tcPr>
          <w:p w14:paraId="422C3F7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00" w:type="dxa"/>
            <w:tcBorders>
              <w:top w:val="nil"/>
              <w:left w:val="nil"/>
              <w:bottom w:val="single" w:sz="8" w:space="0" w:color="auto"/>
              <w:right w:val="single" w:sz="8" w:space="0" w:color="auto"/>
            </w:tcBorders>
            <w:vAlign w:val="center"/>
            <w:hideMark/>
          </w:tcPr>
          <w:p w14:paraId="368CCD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r>
      <w:tr w:rsidR="008468B3" w:rsidRPr="008468B3" w14:paraId="65556224"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9EF58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126</w:t>
            </w:r>
          </w:p>
        </w:tc>
        <w:tc>
          <w:tcPr>
            <w:tcW w:w="1919" w:type="dxa"/>
            <w:tcBorders>
              <w:top w:val="nil"/>
              <w:left w:val="nil"/>
              <w:bottom w:val="single" w:sz="8" w:space="0" w:color="auto"/>
              <w:right w:val="single" w:sz="8" w:space="0" w:color="auto"/>
            </w:tcBorders>
            <w:vAlign w:val="center"/>
            <w:hideMark/>
          </w:tcPr>
          <w:p w14:paraId="6E266BC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VIAS SAS</w:t>
            </w:r>
          </w:p>
        </w:tc>
        <w:tc>
          <w:tcPr>
            <w:tcW w:w="817" w:type="dxa"/>
            <w:tcBorders>
              <w:top w:val="nil"/>
              <w:left w:val="nil"/>
              <w:bottom w:val="single" w:sz="8" w:space="0" w:color="auto"/>
              <w:right w:val="single" w:sz="8" w:space="0" w:color="auto"/>
            </w:tcBorders>
            <w:vAlign w:val="center"/>
            <w:hideMark/>
          </w:tcPr>
          <w:p w14:paraId="530274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3,11</w:t>
            </w:r>
          </w:p>
        </w:tc>
        <w:tc>
          <w:tcPr>
            <w:tcW w:w="1271" w:type="dxa"/>
            <w:tcBorders>
              <w:top w:val="nil"/>
              <w:left w:val="nil"/>
              <w:bottom w:val="single" w:sz="8" w:space="0" w:color="auto"/>
              <w:right w:val="single" w:sz="8" w:space="0" w:color="auto"/>
            </w:tcBorders>
            <w:vAlign w:val="center"/>
            <w:hideMark/>
          </w:tcPr>
          <w:p w14:paraId="2034D6A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261B002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6,25</w:t>
            </w:r>
          </w:p>
        </w:tc>
        <w:tc>
          <w:tcPr>
            <w:tcW w:w="1099" w:type="dxa"/>
            <w:tcBorders>
              <w:top w:val="nil"/>
              <w:left w:val="nil"/>
              <w:bottom w:val="single" w:sz="8" w:space="0" w:color="auto"/>
              <w:right w:val="single" w:sz="8" w:space="0" w:color="auto"/>
            </w:tcBorders>
            <w:vAlign w:val="center"/>
            <w:hideMark/>
          </w:tcPr>
          <w:p w14:paraId="74E2E42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12.960.219</w:t>
            </w:r>
          </w:p>
        </w:tc>
        <w:tc>
          <w:tcPr>
            <w:tcW w:w="1100" w:type="dxa"/>
            <w:tcBorders>
              <w:top w:val="nil"/>
              <w:left w:val="nil"/>
              <w:bottom w:val="single" w:sz="8" w:space="0" w:color="auto"/>
              <w:right w:val="single" w:sz="8" w:space="0" w:color="auto"/>
            </w:tcBorders>
            <w:vAlign w:val="center"/>
            <w:hideMark/>
          </w:tcPr>
          <w:p w14:paraId="3F57F7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2CD0E7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6ACFEB68"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7A2EE0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127</w:t>
            </w:r>
          </w:p>
        </w:tc>
        <w:tc>
          <w:tcPr>
            <w:tcW w:w="1919" w:type="dxa"/>
            <w:tcBorders>
              <w:top w:val="nil"/>
              <w:left w:val="nil"/>
              <w:bottom w:val="single" w:sz="8" w:space="0" w:color="auto"/>
              <w:right w:val="single" w:sz="8" w:space="0" w:color="auto"/>
            </w:tcBorders>
            <w:vAlign w:val="center"/>
            <w:hideMark/>
          </w:tcPr>
          <w:p w14:paraId="60931C92"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CAPUTI &amp; VIEIRA S.A.S.</w:t>
            </w:r>
          </w:p>
        </w:tc>
        <w:tc>
          <w:tcPr>
            <w:tcW w:w="817" w:type="dxa"/>
            <w:tcBorders>
              <w:top w:val="nil"/>
              <w:left w:val="nil"/>
              <w:bottom w:val="single" w:sz="8" w:space="0" w:color="auto"/>
              <w:right w:val="single" w:sz="8" w:space="0" w:color="auto"/>
            </w:tcBorders>
            <w:vAlign w:val="center"/>
            <w:hideMark/>
          </w:tcPr>
          <w:p w14:paraId="06BC01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2,47</w:t>
            </w:r>
          </w:p>
        </w:tc>
        <w:tc>
          <w:tcPr>
            <w:tcW w:w="1271" w:type="dxa"/>
            <w:tcBorders>
              <w:top w:val="nil"/>
              <w:left w:val="nil"/>
              <w:bottom w:val="single" w:sz="8" w:space="0" w:color="auto"/>
              <w:right w:val="single" w:sz="8" w:space="0" w:color="auto"/>
            </w:tcBorders>
            <w:vAlign w:val="center"/>
            <w:hideMark/>
          </w:tcPr>
          <w:p w14:paraId="759469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90" w:type="dxa"/>
            <w:tcBorders>
              <w:top w:val="nil"/>
              <w:left w:val="nil"/>
              <w:bottom w:val="single" w:sz="8" w:space="0" w:color="auto"/>
              <w:right w:val="single" w:sz="8" w:space="0" w:color="auto"/>
            </w:tcBorders>
            <w:vAlign w:val="center"/>
            <w:hideMark/>
          </w:tcPr>
          <w:p w14:paraId="599B31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-3,25</w:t>
            </w:r>
          </w:p>
        </w:tc>
        <w:tc>
          <w:tcPr>
            <w:tcW w:w="1099" w:type="dxa"/>
            <w:tcBorders>
              <w:top w:val="nil"/>
              <w:left w:val="nil"/>
              <w:bottom w:val="single" w:sz="8" w:space="0" w:color="auto"/>
              <w:right w:val="single" w:sz="8" w:space="0" w:color="auto"/>
            </w:tcBorders>
            <w:vAlign w:val="center"/>
            <w:hideMark/>
          </w:tcPr>
          <w:p w14:paraId="31CB0E4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531.536</w:t>
            </w:r>
          </w:p>
        </w:tc>
        <w:tc>
          <w:tcPr>
            <w:tcW w:w="1100" w:type="dxa"/>
            <w:tcBorders>
              <w:top w:val="nil"/>
              <w:left w:val="nil"/>
              <w:bottom w:val="single" w:sz="8" w:space="0" w:color="auto"/>
              <w:right w:val="single" w:sz="8" w:space="0" w:color="auto"/>
            </w:tcBorders>
            <w:vAlign w:val="center"/>
            <w:hideMark/>
          </w:tcPr>
          <w:p w14:paraId="55EEB2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414763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5C7218E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586DCD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128</w:t>
            </w:r>
          </w:p>
        </w:tc>
        <w:tc>
          <w:tcPr>
            <w:tcW w:w="1919" w:type="dxa"/>
            <w:tcBorders>
              <w:top w:val="nil"/>
              <w:left w:val="nil"/>
              <w:bottom w:val="single" w:sz="8" w:space="0" w:color="auto"/>
              <w:right w:val="single" w:sz="8" w:space="0" w:color="auto"/>
            </w:tcBorders>
            <w:vAlign w:val="center"/>
            <w:hideMark/>
          </w:tcPr>
          <w:p w14:paraId="61D3A2E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BERLIMOTOS SAS</w:t>
            </w:r>
          </w:p>
        </w:tc>
        <w:tc>
          <w:tcPr>
            <w:tcW w:w="817" w:type="dxa"/>
            <w:tcBorders>
              <w:top w:val="nil"/>
              <w:left w:val="nil"/>
              <w:bottom w:val="single" w:sz="8" w:space="0" w:color="auto"/>
              <w:right w:val="single" w:sz="8" w:space="0" w:color="auto"/>
            </w:tcBorders>
            <w:vAlign w:val="center"/>
            <w:hideMark/>
          </w:tcPr>
          <w:p w14:paraId="0F1EA1D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0,93</w:t>
            </w:r>
          </w:p>
        </w:tc>
        <w:tc>
          <w:tcPr>
            <w:tcW w:w="1271" w:type="dxa"/>
            <w:tcBorders>
              <w:top w:val="nil"/>
              <w:left w:val="nil"/>
              <w:bottom w:val="single" w:sz="8" w:space="0" w:color="auto"/>
              <w:right w:val="single" w:sz="8" w:space="0" w:color="auto"/>
            </w:tcBorders>
            <w:vAlign w:val="center"/>
            <w:hideMark/>
          </w:tcPr>
          <w:p w14:paraId="25326D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w:t>
            </w:r>
          </w:p>
        </w:tc>
        <w:tc>
          <w:tcPr>
            <w:tcW w:w="1190" w:type="dxa"/>
            <w:tcBorders>
              <w:top w:val="nil"/>
              <w:left w:val="nil"/>
              <w:bottom w:val="single" w:sz="8" w:space="0" w:color="auto"/>
              <w:right w:val="single" w:sz="8" w:space="0" w:color="auto"/>
            </w:tcBorders>
            <w:vAlign w:val="center"/>
            <w:hideMark/>
          </w:tcPr>
          <w:p w14:paraId="1A911FD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202,37</w:t>
            </w:r>
          </w:p>
        </w:tc>
        <w:tc>
          <w:tcPr>
            <w:tcW w:w="1099" w:type="dxa"/>
            <w:tcBorders>
              <w:top w:val="nil"/>
              <w:left w:val="nil"/>
              <w:bottom w:val="single" w:sz="8" w:space="0" w:color="auto"/>
              <w:right w:val="single" w:sz="8" w:space="0" w:color="auto"/>
            </w:tcBorders>
            <w:vAlign w:val="center"/>
            <w:hideMark/>
          </w:tcPr>
          <w:p w14:paraId="4C7E81C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-5.171.717</w:t>
            </w:r>
          </w:p>
        </w:tc>
        <w:tc>
          <w:tcPr>
            <w:tcW w:w="1100" w:type="dxa"/>
            <w:tcBorders>
              <w:top w:val="nil"/>
              <w:left w:val="nil"/>
              <w:bottom w:val="single" w:sz="8" w:space="0" w:color="auto"/>
              <w:right w:val="single" w:sz="8" w:space="0" w:color="auto"/>
            </w:tcBorders>
            <w:vAlign w:val="center"/>
            <w:hideMark/>
          </w:tcPr>
          <w:p w14:paraId="2C4646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773%</w:t>
            </w:r>
          </w:p>
        </w:tc>
        <w:tc>
          <w:tcPr>
            <w:tcW w:w="1100" w:type="dxa"/>
            <w:tcBorders>
              <w:top w:val="nil"/>
              <w:left w:val="nil"/>
              <w:bottom w:val="single" w:sz="8" w:space="0" w:color="auto"/>
              <w:right w:val="single" w:sz="8" w:space="0" w:color="auto"/>
            </w:tcBorders>
            <w:vAlign w:val="center"/>
            <w:hideMark/>
          </w:tcPr>
          <w:p w14:paraId="1EF948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w:t>
            </w:r>
          </w:p>
        </w:tc>
      </w:tr>
      <w:tr w:rsidR="008468B3" w:rsidRPr="008468B3" w14:paraId="1DB3141A"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03348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129</w:t>
            </w:r>
          </w:p>
        </w:tc>
        <w:tc>
          <w:tcPr>
            <w:tcW w:w="1919" w:type="dxa"/>
            <w:tcBorders>
              <w:top w:val="nil"/>
              <w:left w:val="nil"/>
              <w:bottom w:val="single" w:sz="8" w:space="0" w:color="auto"/>
              <w:right w:val="single" w:sz="8" w:space="0" w:color="auto"/>
            </w:tcBorders>
            <w:vAlign w:val="center"/>
            <w:hideMark/>
          </w:tcPr>
          <w:p w14:paraId="6A6ED2B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ELECTRO INGENIERIA S.A.S.</w:t>
            </w:r>
          </w:p>
        </w:tc>
        <w:tc>
          <w:tcPr>
            <w:tcW w:w="817" w:type="dxa"/>
            <w:tcBorders>
              <w:top w:val="nil"/>
              <w:left w:val="nil"/>
              <w:bottom w:val="single" w:sz="8" w:space="0" w:color="auto"/>
              <w:right w:val="single" w:sz="8" w:space="0" w:color="auto"/>
            </w:tcBorders>
            <w:vAlign w:val="center"/>
            <w:hideMark/>
          </w:tcPr>
          <w:p w14:paraId="3895C0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1,84</w:t>
            </w:r>
          </w:p>
        </w:tc>
        <w:tc>
          <w:tcPr>
            <w:tcW w:w="1271" w:type="dxa"/>
            <w:tcBorders>
              <w:top w:val="nil"/>
              <w:left w:val="nil"/>
              <w:bottom w:val="single" w:sz="8" w:space="0" w:color="auto"/>
              <w:right w:val="single" w:sz="8" w:space="0" w:color="auto"/>
            </w:tcBorders>
            <w:vAlign w:val="center"/>
            <w:hideMark/>
          </w:tcPr>
          <w:p w14:paraId="640B51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w:t>
            </w:r>
          </w:p>
        </w:tc>
        <w:tc>
          <w:tcPr>
            <w:tcW w:w="1190" w:type="dxa"/>
            <w:tcBorders>
              <w:top w:val="nil"/>
              <w:left w:val="nil"/>
              <w:bottom w:val="single" w:sz="8" w:space="0" w:color="auto"/>
              <w:right w:val="single" w:sz="8" w:space="0" w:color="auto"/>
            </w:tcBorders>
            <w:vAlign w:val="center"/>
            <w:hideMark/>
          </w:tcPr>
          <w:p w14:paraId="2153CE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8,71</w:t>
            </w:r>
          </w:p>
        </w:tc>
        <w:tc>
          <w:tcPr>
            <w:tcW w:w="1099" w:type="dxa"/>
            <w:tcBorders>
              <w:top w:val="nil"/>
              <w:left w:val="nil"/>
              <w:bottom w:val="single" w:sz="8" w:space="0" w:color="auto"/>
              <w:right w:val="single" w:sz="8" w:space="0" w:color="auto"/>
            </w:tcBorders>
            <w:vAlign w:val="center"/>
            <w:hideMark/>
          </w:tcPr>
          <w:p w14:paraId="271FAB2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25.182.038</w:t>
            </w:r>
          </w:p>
        </w:tc>
        <w:tc>
          <w:tcPr>
            <w:tcW w:w="1100" w:type="dxa"/>
            <w:tcBorders>
              <w:top w:val="nil"/>
              <w:left w:val="nil"/>
              <w:bottom w:val="single" w:sz="8" w:space="0" w:color="auto"/>
              <w:right w:val="single" w:sz="8" w:space="0" w:color="auto"/>
            </w:tcBorders>
            <w:vAlign w:val="center"/>
            <w:hideMark/>
          </w:tcPr>
          <w:p w14:paraId="04F514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w:t>
            </w:r>
          </w:p>
        </w:tc>
        <w:tc>
          <w:tcPr>
            <w:tcW w:w="1100" w:type="dxa"/>
            <w:tcBorders>
              <w:top w:val="nil"/>
              <w:left w:val="nil"/>
              <w:bottom w:val="single" w:sz="8" w:space="0" w:color="auto"/>
              <w:right w:val="single" w:sz="8" w:space="0" w:color="auto"/>
            </w:tcBorders>
            <w:vAlign w:val="center"/>
            <w:hideMark/>
          </w:tcPr>
          <w:p w14:paraId="492B50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r>
      <w:tr w:rsidR="008468B3" w:rsidRPr="008468B3" w14:paraId="74CBE1D0"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A16E3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130</w:t>
            </w:r>
          </w:p>
        </w:tc>
        <w:tc>
          <w:tcPr>
            <w:tcW w:w="1919" w:type="dxa"/>
            <w:tcBorders>
              <w:top w:val="nil"/>
              <w:left w:val="nil"/>
              <w:bottom w:val="single" w:sz="8" w:space="0" w:color="auto"/>
              <w:right w:val="single" w:sz="8" w:space="0" w:color="auto"/>
            </w:tcBorders>
            <w:vAlign w:val="center"/>
            <w:hideMark/>
          </w:tcPr>
          <w:p w14:paraId="5B1A706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INGESSA SAS</w:t>
            </w:r>
          </w:p>
        </w:tc>
        <w:tc>
          <w:tcPr>
            <w:tcW w:w="817" w:type="dxa"/>
            <w:tcBorders>
              <w:top w:val="nil"/>
              <w:left w:val="nil"/>
              <w:bottom w:val="single" w:sz="8" w:space="0" w:color="auto"/>
              <w:right w:val="single" w:sz="8" w:space="0" w:color="auto"/>
            </w:tcBorders>
            <w:vAlign w:val="center"/>
            <w:hideMark/>
          </w:tcPr>
          <w:p w14:paraId="205766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2,21</w:t>
            </w:r>
          </w:p>
        </w:tc>
        <w:tc>
          <w:tcPr>
            <w:tcW w:w="1271" w:type="dxa"/>
            <w:tcBorders>
              <w:top w:val="nil"/>
              <w:left w:val="nil"/>
              <w:bottom w:val="single" w:sz="8" w:space="0" w:color="auto"/>
              <w:right w:val="single" w:sz="8" w:space="0" w:color="auto"/>
            </w:tcBorders>
            <w:vAlign w:val="center"/>
            <w:hideMark/>
          </w:tcPr>
          <w:p w14:paraId="54156D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550F8BA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06C52B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6.241.707</w:t>
            </w:r>
          </w:p>
        </w:tc>
        <w:tc>
          <w:tcPr>
            <w:tcW w:w="1100" w:type="dxa"/>
            <w:tcBorders>
              <w:top w:val="nil"/>
              <w:left w:val="nil"/>
              <w:bottom w:val="single" w:sz="8" w:space="0" w:color="auto"/>
              <w:right w:val="single" w:sz="8" w:space="0" w:color="auto"/>
            </w:tcBorders>
            <w:vAlign w:val="center"/>
            <w:hideMark/>
          </w:tcPr>
          <w:p w14:paraId="66AEFF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00" w:type="dxa"/>
            <w:tcBorders>
              <w:top w:val="nil"/>
              <w:left w:val="nil"/>
              <w:bottom w:val="single" w:sz="8" w:space="0" w:color="auto"/>
              <w:right w:val="single" w:sz="8" w:space="0" w:color="auto"/>
            </w:tcBorders>
            <w:vAlign w:val="center"/>
            <w:hideMark/>
          </w:tcPr>
          <w:p w14:paraId="6297CE2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r>
      <w:tr w:rsidR="008468B3" w:rsidRPr="008468B3" w14:paraId="43FA5731"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CA2E5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131</w:t>
            </w:r>
          </w:p>
        </w:tc>
        <w:tc>
          <w:tcPr>
            <w:tcW w:w="1919" w:type="dxa"/>
            <w:tcBorders>
              <w:top w:val="nil"/>
              <w:left w:val="nil"/>
              <w:bottom w:val="single" w:sz="8" w:space="0" w:color="auto"/>
              <w:right w:val="single" w:sz="8" w:space="0" w:color="auto"/>
            </w:tcBorders>
            <w:vAlign w:val="center"/>
            <w:hideMark/>
          </w:tcPr>
          <w:p w14:paraId="20415EF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CAMINOS UNIDOS SAS</w:t>
            </w:r>
          </w:p>
        </w:tc>
        <w:tc>
          <w:tcPr>
            <w:tcW w:w="817" w:type="dxa"/>
            <w:tcBorders>
              <w:top w:val="nil"/>
              <w:left w:val="nil"/>
              <w:bottom w:val="single" w:sz="8" w:space="0" w:color="auto"/>
              <w:right w:val="single" w:sz="8" w:space="0" w:color="auto"/>
            </w:tcBorders>
            <w:vAlign w:val="center"/>
            <w:hideMark/>
          </w:tcPr>
          <w:p w14:paraId="06E491E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2,51</w:t>
            </w:r>
          </w:p>
        </w:tc>
        <w:tc>
          <w:tcPr>
            <w:tcW w:w="1271" w:type="dxa"/>
            <w:tcBorders>
              <w:top w:val="nil"/>
              <w:left w:val="nil"/>
              <w:bottom w:val="single" w:sz="8" w:space="0" w:color="auto"/>
              <w:right w:val="single" w:sz="8" w:space="0" w:color="auto"/>
            </w:tcBorders>
            <w:vAlign w:val="center"/>
            <w:hideMark/>
          </w:tcPr>
          <w:p w14:paraId="09BE2D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w:t>
            </w:r>
          </w:p>
        </w:tc>
        <w:tc>
          <w:tcPr>
            <w:tcW w:w="1190" w:type="dxa"/>
            <w:tcBorders>
              <w:top w:val="nil"/>
              <w:left w:val="nil"/>
              <w:bottom w:val="single" w:sz="8" w:space="0" w:color="auto"/>
              <w:right w:val="single" w:sz="8" w:space="0" w:color="auto"/>
            </w:tcBorders>
            <w:vAlign w:val="center"/>
            <w:hideMark/>
          </w:tcPr>
          <w:p w14:paraId="5FF3A8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18F19D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5.206.825</w:t>
            </w:r>
          </w:p>
        </w:tc>
        <w:tc>
          <w:tcPr>
            <w:tcW w:w="1100" w:type="dxa"/>
            <w:tcBorders>
              <w:top w:val="nil"/>
              <w:left w:val="nil"/>
              <w:bottom w:val="single" w:sz="8" w:space="0" w:color="auto"/>
              <w:right w:val="single" w:sz="8" w:space="0" w:color="auto"/>
            </w:tcBorders>
            <w:vAlign w:val="center"/>
            <w:hideMark/>
          </w:tcPr>
          <w:p w14:paraId="09DFBC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674102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3FD2F95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5EFD20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132</w:t>
            </w:r>
          </w:p>
        </w:tc>
        <w:tc>
          <w:tcPr>
            <w:tcW w:w="1919" w:type="dxa"/>
            <w:tcBorders>
              <w:top w:val="nil"/>
              <w:left w:val="nil"/>
              <w:bottom w:val="single" w:sz="8" w:space="0" w:color="auto"/>
              <w:right w:val="single" w:sz="8" w:space="0" w:color="auto"/>
            </w:tcBorders>
            <w:vAlign w:val="center"/>
            <w:hideMark/>
          </w:tcPr>
          <w:p w14:paraId="0C5977F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TELCOS INGENIERIA SA</w:t>
            </w:r>
          </w:p>
        </w:tc>
        <w:tc>
          <w:tcPr>
            <w:tcW w:w="817" w:type="dxa"/>
            <w:tcBorders>
              <w:top w:val="nil"/>
              <w:left w:val="nil"/>
              <w:bottom w:val="single" w:sz="8" w:space="0" w:color="auto"/>
              <w:right w:val="single" w:sz="8" w:space="0" w:color="auto"/>
            </w:tcBorders>
            <w:vAlign w:val="center"/>
            <w:hideMark/>
          </w:tcPr>
          <w:p w14:paraId="5F5B15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1,63</w:t>
            </w:r>
          </w:p>
        </w:tc>
        <w:tc>
          <w:tcPr>
            <w:tcW w:w="1271" w:type="dxa"/>
            <w:tcBorders>
              <w:top w:val="nil"/>
              <w:left w:val="nil"/>
              <w:bottom w:val="single" w:sz="8" w:space="0" w:color="auto"/>
              <w:right w:val="single" w:sz="8" w:space="0" w:color="auto"/>
            </w:tcBorders>
            <w:vAlign w:val="center"/>
            <w:hideMark/>
          </w:tcPr>
          <w:p w14:paraId="4464A9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w:t>
            </w:r>
          </w:p>
        </w:tc>
        <w:tc>
          <w:tcPr>
            <w:tcW w:w="1190" w:type="dxa"/>
            <w:tcBorders>
              <w:top w:val="nil"/>
              <w:left w:val="nil"/>
              <w:bottom w:val="single" w:sz="8" w:space="0" w:color="auto"/>
              <w:right w:val="single" w:sz="8" w:space="0" w:color="auto"/>
            </w:tcBorders>
            <w:vAlign w:val="center"/>
            <w:hideMark/>
          </w:tcPr>
          <w:p w14:paraId="64B9C2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1,25</w:t>
            </w:r>
          </w:p>
        </w:tc>
        <w:tc>
          <w:tcPr>
            <w:tcW w:w="1099" w:type="dxa"/>
            <w:tcBorders>
              <w:top w:val="nil"/>
              <w:left w:val="nil"/>
              <w:bottom w:val="single" w:sz="8" w:space="0" w:color="auto"/>
              <w:right w:val="single" w:sz="8" w:space="0" w:color="auto"/>
            </w:tcBorders>
            <w:vAlign w:val="center"/>
            <w:hideMark/>
          </w:tcPr>
          <w:p w14:paraId="45784A8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22.982.558</w:t>
            </w:r>
          </w:p>
        </w:tc>
        <w:tc>
          <w:tcPr>
            <w:tcW w:w="1100" w:type="dxa"/>
            <w:tcBorders>
              <w:top w:val="nil"/>
              <w:left w:val="nil"/>
              <w:bottom w:val="single" w:sz="8" w:space="0" w:color="auto"/>
              <w:right w:val="single" w:sz="8" w:space="0" w:color="auto"/>
            </w:tcBorders>
            <w:vAlign w:val="center"/>
            <w:hideMark/>
          </w:tcPr>
          <w:p w14:paraId="32CEFE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w:t>
            </w:r>
          </w:p>
        </w:tc>
        <w:tc>
          <w:tcPr>
            <w:tcW w:w="1100" w:type="dxa"/>
            <w:tcBorders>
              <w:top w:val="nil"/>
              <w:left w:val="nil"/>
              <w:bottom w:val="single" w:sz="8" w:space="0" w:color="auto"/>
              <w:right w:val="single" w:sz="8" w:space="0" w:color="auto"/>
            </w:tcBorders>
            <w:vAlign w:val="center"/>
            <w:hideMark/>
          </w:tcPr>
          <w:p w14:paraId="49F7BB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231D92B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BB37C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133</w:t>
            </w:r>
          </w:p>
        </w:tc>
        <w:tc>
          <w:tcPr>
            <w:tcW w:w="1919" w:type="dxa"/>
            <w:tcBorders>
              <w:top w:val="nil"/>
              <w:left w:val="nil"/>
              <w:bottom w:val="single" w:sz="8" w:space="0" w:color="auto"/>
              <w:right w:val="single" w:sz="8" w:space="0" w:color="auto"/>
            </w:tcBorders>
            <w:vAlign w:val="center"/>
            <w:hideMark/>
          </w:tcPr>
          <w:p w14:paraId="4FC8BA24"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ARANGO ROBLEDO CIA S EN C S</w:t>
            </w:r>
          </w:p>
        </w:tc>
        <w:tc>
          <w:tcPr>
            <w:tcW w:w="817" w:type="dxa"/>
            <w:tcBorders>
              <w:top w:val="nil"/>
              <w:left w:val="nil"/>
              <w:bottom w:val="single" w:sz="8" w:space="0" w:color="auto"/>
              <w:right w:val="single" w:sz="8" w:space="0" w:color="auto"/>
            </w:tcBorders>
            <w:vAlign w:val="center"/>
            <w:hideMark/>
          </w:tcPr>
          <w:p w14:paraId="6299CA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85,94</w:t>
            </w:r>
          </w:p>
        </w:tc>
        <w:tc>
          <w:tcPr>
            <w:tcW w:w="1271" w:type="dxa"/>
            <w:tcBorders>
              <w:top w:val="nil"/>
              <w:left w:val="nil"/>
              <w:bottom w:val="single" w:sz="8" w:space="0" w:color="auto"/>
              <w:right w:val="single" w:sz="8" w:space="0" w:color="auto"/>
            </w:tcBorders>
            <w:vAlign w:val="center"/>
            <w:hideMark/>
          </w:tcPr>
          <w:p w14:paraId="4107C38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78%</w:t>
            </w:r>
          </w:p>
        </w:tc>
        <w:tc>
          <w:tcPr>
            <w:tcW w:w="1190" w:type="dxa"/>
            <w:tcBorders>
              <w:top w:val="nil"/>
              <w:left w:val="nil"/>
              <w:bottom w:val="single" w:sz="8" w:space="0" w:color="auto"/>
              <w:right w:val="single" w:sz="8" w:space="0" w:color="auto"/>
            </w:tcBorders>
            <w:vAlign w:val="center"/>
            <w:hideMark/>
          </w:tcPr>
          <w:p w14:paraId="61E4933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0,01</w:t>
            </w:r>
          </w:p>
        </w:tc>
        <w:tc>
          <w:tcPr>
            <w:tcW w:w="1099" w:type="dxa"/>
            <w:tcBorders>
              <w:top w:val="nil"/>
              <w:left w:val="nil"/>
              <w:bottom w:val="single" w:sz="8" w:space="0" w:color="auto"/>
              <w:right w:val="single" w:sz="8" w:space="0" w:color="auto"/>
            </w:tcBorders>
            <w:vAlign w:val="center"/>
            <w:hideMark/>
          </w:tcPr>
          <w:p w14:paraId="18F187C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1.624.143</w:t>
            </w:r>
          </w:p>
        </w:tc>
        <w:tc>
          <w:tcPr>
            <w:tcW w:w="1100" w:type="dxa"/>
            <w:tcBorders>
              <w:top w:val="nil"/>
              <w:left w:val="nil"/>
              <w:bottom w:val="single" w:sz="8" w:space="0" w:color="auto"/>
              <w:right w:val="single" w:sz="8" w:space="0" w:color="auto"/>
            </w:tcBorders>
            <w:vAlign w:val="center"/>
            <w:hideMark/>
          </w:tcPr>
          <w:p w14:paraId="04F246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5D8DC72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7487F83F"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0911E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134</w:t>
            </w:r>
          </w:p>
        </w:tc>
        <w:tc>
          <w:tcPr>
            <w:tcW w:w="1919" w:type="dxa"/>
            <w:tcBorders>
              <w:top w:val="nil"/>
              <w:left w:val="nil"/>
              <w:bottom w:val="single" w:sz="8" w:space="0" w:color="auto"/>
              <w:right w:val="single" w:sz="8" w:space="0" w:color="auto"/>
            </w:tcBorders>
            <w:vAlign w:val="center"/>
            <w:hideMark/>
          </w:tcPr>
          <w:p w14:paraId="1A5BBA9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MOVICONSTRUCCIONES SAS</w:t>
            </w:r>
          </w:p>
        </w:tc>
        <w:tc>
          <w:tcPr>
            <w:tcW w:w="817" w:type="dxa"/>
            <w:tcBorders>
              <w:top w:val="nil"/>
              <w:left w:val="nil"/>
              <w:bottom w:val="single" w:sz="8" w:space="0" w:color="auto"/>
              <w:right w:val="single" w:sz="8" w:space="0" w:color="auto"/>
            </w:tcBorders>
            <w:vAlign w:val="center"/>
            <w:hideMark/>
          </w:tcPr>
          <w:p w14:paraId="4C122C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1,86</w:t>
            </w:r>
          </w:p>
        </w:tc>
        <w:tc>
          <w:tcPr>
            <w:tcW w:w="1271" w:type="dxa"/>
            <w:tcBorders>
              <w:top w:val="nil"/>
              <w:left w:val="nil"/>
              <w:bottom w:val="single" w:sz="8" w:space="0" w:color="auto"/>
              <w:right w:val="single" w:sz="8" w:space="0" w:color="auto"/>
            </w:tcBorders>
            <w:vAlign w:val="center"/>
            <w:hideMark/>
          </w:tcPr>
          <w:p w14:paraId="7051E2B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190" w:type="dxa"/>
            <w:tcBorders>
              <w:top w:val="nil"/>
              <w:left w:val="nil"/>
              <w:bottom w:val="single" w:sz="8" w:space="0" w:color="auto"/>
              <w:right w:val="single" w:sz="8" w:space="0" w:color="auto"/>
            </w:tcBorders>
            <w:vAlign w:val="center"/>
            <w:hideMark/>
          </w:tcPr>
          <w:p w14:paraId="1073CB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22,39</w:t>
            </w:r>
          </w:p>
        </w:tc>
        <w:tc>
          <w:tcPr>
            <w:tcW w:w="1099" w:type="dxa"/>
            <w:tcBorders>
              <w:top w:val="nil"/>
              <w:left w:val="nil"/>
              <w:bottom w:val="single" w:sz="8" w:space="0" w:color="auto"/>
              <w:right w:val="single" w:sz="8" w:space="0" w:color="auto"/>
            </w:tcBorders>
            <w:vAlign w:val="center"/>
            <w:hideMark/>
          </w:tcPr>
          <w:p w14:paraId="4557425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4.219.647</w:t>
            </w:r>
          </w:p>
        </w:tc>
        <w:tc>
          <w:tcPr>
            <w:tcW w:w="1100" w:type="dxa"/>
            <w:tcBorders>
              <w:top w:val="nil"/>
              <w:left w:val="nil"/>
              <w:bottom w:val="single" w:sz="8" w:space="0" w:color="auto"/>
              <w:right w:val="single" w:sz="8" w:space="0" w:color="auto"/>
            </w:tcBorders>
            <w:vAlign w:val="center"/>
            <w:hideMark/>
          </w:tcPr>
          <w:p w14:paraId="3F98EA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00" w:type="dxa"/>
            <w:tcBorders>
              <w:top w:val="nil"/>
              <w:left w:val="nil"/>
              <w:bottom w:val="single" w:sz="8" w:space="0" w:color="auto"/>
              <w:right w:val="single" w:sz="8" w:space="0" w:color="auto"/>
            </w:tcBorders>
            <w:vAlign w:val="center"/>
            <w:hideMark/>
          </w:tcPr>
          <w:p w14:paraId="686B39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2D9605A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F4B72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135</w:t>
            </w:r>
          </w:p>
        </w:tc>
        <w:tc>
          <w:tcPr>
            <w:tcW w:w="1919" w:type="dxa"/>
            <w:tcBorders>
              <w:top w:val="nil"/>
              <w:left w:val="nil"/>
              <w:bottom w:val="single" w:sz="8" w:space="0" w:color="auto"/>
              <w:right w:val="single" w:sz="8" w:space="0" w:color="auto"/>
            </w:tcBorders>
            <w:vAlign w:val="center"/>
            <w:hideMark/>
          </w:tcPr>
          <w:p w14:paraId="2C6D306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ELECTRO GDD SAS</w:t>
            </w:r>
          </w:p>
        </w:tc>
        <w:tc>
          <w:tcPr>
            <w:tcW w:w="817" w:type="dxa"/>
            <w:tcBorders>
              <w:top w:val="nil"/>
              <w:left w:val="nil"/>
              <w:bottom w:val="single" w:sz="8" w:space="0" w:color="auto"/>
              <w:right w:val="single" w:sz="8" w:space="0" w:color="auto"/>
            </w:tcBorders>
            <w:vAlign w:val="center"/>
            <w:hideMark/>
          </w:tcPr>
          <w:p w14:paraId="73E74C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3,36</w:t>
            </w:r>
          </w:p>
        </w:tc>
        <w:tc>
          <w:tcPr>
            <w:tcW w:w="1271" w:type="dxa"/>
            <w:tcBorders>
              <w:top w:val="nil"/>
              <w:left w:val="nil"/>
              <w:bottom w:val="single" w:sz="8" w:space="0" w:color="auto"/>
              <w:right w:val="single" w:sz="8" w:space="0" w:color="auto"/>
            </w:tcBorders>
            <w:vAlign w:val="center"/>
            <w:hideMark/>
          </w:tcPr>
          <w:p w14:paraId="0B5D0D4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90" w:type="dxa"/>
            <w:tcBorders>
              <w:top w:val="nil"/>
              <w:left w:val="nil"/>
              <w:bottom w:val="single" w:sz="8" w:space="0" w:color="auto"/>
              <w:right w:val="single" w:sz="8" w:space="0" w:color="auto"/>
            </w:tcBorders>
            <w:vAlign w:val="center"/>
            <w:hideMark/>
          </w:tcPr>
          <w:p w14:paraId="0BD40B9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42,93</w:t>
            </w:r>
          </w:p>
        </w:tc>
        <w:tc>
          <w:tcPr>
            <w:tcW w:w="1099" w:type="dxa"/>
            <w:tcBorders>
              <w:top w:val="nil"/>
              <w:left w:val="nil"/>
              <w:bottom w:val="single" w:sz="8" w:space="0" w:color="auto"/>
              <w:right w:val="single" w:sz="8" w:space="0" w:color="auto"/>
            </w:tcBorders>
            <w:vAlign w:val="center"/>
            <w:hideMark/>
          </w:tcPr>
          <w:p w14:paraId="60CD06F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4.583.038</w:t>
            </w:r>
          </w:p>
        </w:tc>
        <w:tc>
          <w:tcPr>
            <w:tcW w:w="1100" w:type="dxa"/>
            <w:tcBorders>
              <w:top w:val="nil"/>
              <w:left w:val="nil"/>
              <w:bottom w:val="single" w:sz="8" w:space="0" w:color="auto"/>
              <w:right w:val="single" w:sz="8" w:space="0" w:color="auto"/>
            </w:tcBorders>
            <w:vAlign w:val="center"/>
            <w:hideMark/>
          </w:tcPr>
          <w:p w14:paraId="3491995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w:t>
            </w:r>
          </w:p>
        </w:tc>
        <w:tc>
          <w:tcPr>
            <w:tcW w:w="1100" w:type="dxa"/>
            <w:tcBorders>
              <w:top w:val="nil"/>
              <w:left w:val="nil"/>
              <w:bottom w:val="single" w:sz="8" w:space="0" w:color="auto"/>
              <w:right w:val="single" w:sz="8" w:space="0" w:color="auto"/>
            </w:tcBorders>
            <w:vAlign w:val="center"/>
            <w:hideMark/>
          </w:tcPr>
          <w:p w14:paraId="50B43D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r>
      <w:tr w:rsidR="008468B3" w:rsidRPr="008468B3" w14:paraId="53B2F1E1"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6F63451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136</w:t>
            </w:r>
          </w:p>
        </w:tc>
        <w:tc>
          <w:tcPr>
            <w:tcW w:w="1919" w:type="dxa"/>
            <w:tcBorders>
              <w:top w:val="nil"/>
              <w:left w:val="nil"/>
              <w:bottom w:val="single" w:sz="8" w:space="0" w:color="auto"/>
              <w:right w:val="single" w:sz="8" w:space="0" w:color="auto"/>
            </w:tcBorders>
            <w:vAlign w:val="center"/>
            <w:hideMark/>
          </w:tcPr>
          <w:p w14:paraId="4E5E350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FOUNDRY INTERNATIONAL HOLDINGS, LLC COLOMBIA</w:t>
            </w:r>
          </w:p>
        </w:tc>
        <w:tc>
          <w:tcPr>
            <w:tcW w:w="817" w:type="dxa"/>
            <w:tcBorders>
              <w:top w:val="nil"/>
              <w:left w:val="nil"/>
              <w:bottom w:val="single" w:sz="8" w:space="0" w:color="auto"/>
              <w:right w:val="single" w:sz="8" w:space="0" w:color="auto"/>
            </w:tcBorders>
            <w:vAlign w:val="center"/>
            <w:hideMark/>
          </w:tcPr>
          <w:p w14:paraId="0F255E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3,83</w:t>
            </w:r>
          </w:p>
        </w:tc>
        <w:tc>
          <w:tcPr>
            <w:tcW w:w="1271" w:type="dxa"/>
            <w:tcBorders>
              <w:top w:val="nil"/>
              <w:left w:val="nil"/>
              <w:bottom w:val="single" w:sz="8" w:space="0" w:color="auto"/>
              <w:right w:val="single" w:sz="8" w:space="0" w:color="auto"/>
            </w:tcBorders>
            <w:vAlign w:val="center"/>
            <w:hideMark/>
          </w:tcPr>
          <w:p w14:paraId="279CCD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90" w:type="dxa"/>
            <w:tcBorders>
              <w:top w:val="nil"/>
              <w:left w:val="nil"/>
              <w:bottom w:val="single" w:sz="8" w:space="0" w:color="auto"/>
              <w:right w:val="single" w:sz="8" w:space="0" w:color="auto"/>
            </w:tcBorders>
            <w:vAlign w:val="center"/>
            <w:hideMark/>
          </w:tcPr>
          <w:p w14:paraId="45889A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4A6E4F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722.312</w:t>
            </w:r>
          </w:p>
        </w:tc>
        <w:tc>
          <w:tcPr>
            <w:tcW w:w="1100" w:type="dxa"/>
            <w:tcBorders>
              <w:top w:val="nil"/>
              <w:left w:val="nil"/>
              <w:bottom w:val="single" w:sz="8" w:space="0" w:color="auto"/>
              <w:right w:val="single" w:sz="8" w:space="0" w:color="auto"/>
            </w:tcBorders>
            <w:vAlign w:val="center"/>
            <w:hideMark/>
          </w:tcPr>
          <w:p w14:paraId="31A9B5D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56B0B23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74ABE98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2F61A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137</w:t>
            </w:r>
          </w:p>
        </w:tc>
        <w:tc>
          <w:tcPr>
            <w:tcW w:w="1919" w:type="dxa"/>
            <w:tcBorders>
              <w:top w:val="nil"/>
              <w:left w:val="nil"/>
              <w:bottom w:val="single" w:sz="8" w:space="0" w:color="auto"/>
              <w:right w:val="single" w:sz="8" w:space="0" w:color="auto"/>
            </w:tcBorders>
            <w:vAlign w:val="center"/>
            <w:hideMark/>
          </w:tcPr>
          <w:p w14:paraId="06564D1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CONSTRUGEN S.A.S.</w:t>
            </w:r>
          </w:p>
        </w:tc>
        <w:tc>
          <w:tcPr>
            <w:tcW w:w="817" w:type="dxa"/>
            <w:tcBorders>
              <w:top w:val="nil"/>
              <w:left w:val="nil"/>
              <w:bottom w:val="single" w:sz="8" w:space="0" w:color="auto"/>
              <w:right w:val="single" w:sz="8" w:space="0" w:color="auto"/>
            </w:tcBorders>
            <w:vAlign w:val="center"/>
            <w:hideMark/>
          </w:tcPr>
          <w:p w14:paraId="37D76B8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2,21</w:t>
            </w:r>
          </w:p>
        </w:tc>
        <w:tc>
          <w:tcPr>
            <w:tcW w:w="1271" w:type="dxa"/>
            <w:tcBorders>
              <w:top w:val="nil"/>
              <w:left w:val="nil"/>
              <w:bottom w:val="single" w:sz="8" w:space="0" w:color="auto"/>
              <w:right w:val="single" w:sz="8" w:space="0" w:color="auto"/>
            </w:tcBorders>
            <w:vAlign w:val="center"/>
            <w:hideMark/>
          </w:tcPr>
          <w:p w14:paraId="5E44F88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w:t>
            </w:r>
          </w:p>
        </w:tc>
        <w:tc>
          <w:tcPr>
            <w:tcW w:w="1190" w:type="dxa"/>
            <w:tcBorders>
              <w:top w:val="nil"/>
              <w:left w:val="nil"/>
              <w:bottom w:val="single" w:sz="8" w:space="0" w:color="auto"/>
              <w:right w:val="single" w:sz="8" w:space="0" w:color="auto"/>
            </w:tcBorders>
            <w:vAlign w:val="center"/>
            <w:hideMark/>
          </w:tcPr>
          <w:p w14:paraId="16FF2EC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3,48</w:t>
            </w:r>
          </w:p>
        </w:tc>
        <w:tc>
          <w:tcPr>
            <w:tcW w:w="1099" w:type="dxa"/>
            <w:tcBorders>
              <w:top w:val="nil"/>
              <w:left w:val="nil"/>
              <w:bottom w:val="single" w:sz="8" w:space="0" w:color="auto"/>
              <w:right w:val="single" w:sz="8" w:space="0" w:color="auto"/>
            </w:tcBorders>
            <w:vAlign w:val="center"/>
            <w:hideMark/>
          </w:tcPr>
          <w:p w14:paraId="56B1888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9.415.986</w:t>
            </w:r>
          </w:p>
        </w:tc>
        <w:tc>
          <w:tcPr>
            <w:tcW w:w="1100" w:type="dxa"/>
            <w:tcBorders>
              <w:top w:val="nil"/>
              <w:left w:val="nil"/>
              <w:bottom w:val="single" w:sz="8" w:space="0" w:color="auto"/>
              <w:right w:val="single" w:sz="8" w:space="0" w:color="auto"/>
            </w:tcBorders>
            <w:vAlign w:val="center"/>
            <w:hideMark/>
          </w:tcPr>
          <w:p w14:paraId="73CFFB9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0CF381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6E1F7244" w14:textId="77777777" w:rsidTr="008468B3">
        <w:trPr>
          <w:trHeight w:val="723"/>
        </w:trPr>
        <w:tc>
          <w:tcPr>
            <w:tcW w:w="474" w:type="dxa"/>
            <w:tcBorders>
              <w:top w:val="nil"/>
              <w:left w:val="single" w:sz="8" w:space="0" w:color="auto"/>
              <w:bottom w:val="single" w:sz="8" w:space="0" w:color="auto"/>
              <w:right w:val="single" w:sz="8" w:space="0" w:color="auto"/>
            </w:tcBorders>
            <w:noWrap/>
            <w:vAlign w:val="center"/>
            <w:hideMark/>
          </w:tcPr>
          <w:p w14:paraId="0229E2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138</w:t>
            </w:r>
          </w:p>
        </w:tc>
        <w:tc>
          <w:tcPr>
            <w:tcW w:w="1919" w:type="dxa"/>
            <w:tcBorders>
              <w:top w:val="nil"/>
              <w:left w:val="nil"/>
              <w:bottom w:val="single" w:sz="8" w:space="0" w:color="auto"/>
              <w:right w:val="single" w:sz="8" w:space="0" w:color="auto"/>
            </w:tcBorders>
            <w:vAlign w:val="center"/>
            <w:hideMark/>
          </w:tcPr>
          <w:p w14:paraId="1BED381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GPR CONSTRUCTORA INGENIERIA &amp; ARQUITECTURA SAS</w:t>
            </w:r>
          </w:p>
        </w:tc>
        <w:tc>
          <w:tcPr>
            <w:tcW w:w="817" w:type="dxa"/>
            <w:tcBorders>
              <w:top w:val="nil"/>
              <w:left w:val="nil"/>
              <w:bottom w:val="single" w:sz="8" w:space="0" w:color="auto"/>
              <w:right w:val="single" w:sz="8" w:space="0" w:color="auto"/>
            </w:tcBorders>
            <w:vAlign w:val="center"/>
            <w:hideMark/>
          </w:tcPr>
          <w:p w14:paraId="768CCD3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9,48</w:t>
            </w:r>
          </w:p>
        </w:tc>
        <w:tc>
          <w:tcPr>
            <w:tcW w:w="1271" w:type="dxa"/>
            <w:tcBorders>
              <w:top w:val="nil"/>
              <w:left w:val="nil"/>
              <w:bottom w:val="single" w:sz="8" w:space="0" w:color="auto"/>
              <w:right w:val="single" w:sz="8" w:space="0" w:color="auto"/>
            </w:tcBorders>
            <w:vAlign w:val="center"/>
            <w:hideMark/>
          </w:tcPr>
          <w:p w14:paraId="12AA0D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90" w:type="dxa"/>
            <w:tcBorders>
              <w:top w:val="nil"/>
              <w:left w:val="nil"/>
              <w:bottom w:val="single" w:sz="8" w:space="0" w:color="auto"/>
              <w:right w:val="single" w:sz="8" w:space="0" w:color="auto"/>
            </w:tcBorders>
            <w:vAlign w:val="center"/>
            <w:hideMark/>
          </w:tcPr>
          <w:p w14:paraId="20E322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85,46</w:t>
            </w:r>
          </w:p>
        </w:tc>
        <w:tc>
          <w:tcPr>
            <w:tcW w:w="1099" w:type="dxa"/>
            <w:tcBorders>
              <w:top w:val="nil"/>
              <w:left w:val="nil"/>
              <w:bottom w:val="single" w:sz="8" w:space="0" w:color="auto"/>
              <w:right w:val="single" w:sz="8" w:space="0" w:color="auto"/>
            </w:tcBorders>
            <w:vAlign w:val="center"/>
            <w:hideMark/>
          </w:tcPr>
          <w:p w14:paraId="44A0A74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1.437.498</w:t>
            </w:r>
          </w:p>
        </w:tc>
        <w:tc>
          <w:tcPr>
            <w:tcW w:w="1100" w:type="dxa"/>
            <w:tcBorders>
              <w:top w:val="nil"/>
              <w:left w:val="nil"/>
              <w:bottom w:val="single" w:sz="8" w:space="0" w:color="auto"/>
              <w:right w:val="single" w:sz="8" w:space="0" w:color="auto"/>
            </w:tcBorders>
            <w:vAlign w:val="center"/>
            <w:hideMark/>
          </w:tcPr>
          <w:p w14:paraId="623E02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00" w:type="dxa"/>
            <w:tcBorders>
              <w:top w:val="nil"/>
              <w:left w:val="nil"/>
              <w:bottom w:val="single" w:sz="8" w:space="0" w:color="auto"/>
              <w:right w:val="single" w:sz="8" w:space="0" w:color="auto"/>
            </w:tcBorders>
            <w:vAlign w:val="center"/>
            <w:hideMark/>
          </w:tcPr>
          <w:p w14:paraId="7FE422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r>
      <w:tr w:rsidR="008468B3" w:rsidRPr="008468B3" w14:paraId="28236669"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76F8E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139</w:t>
            </w:r>
          </w:p>
        </w:tc>
        <w:tc>
          <w:tcPr>
            <w:tcW w:w="1919" w:type="dxa"/>
            <w:tcBorders>
              <w:top w:val="nil"/>
              <w:left w:val="nil"/>
              <w:bottom w:val="single" w:sz="8" w:space="0" w:color="auto"/>
              <w:right w:val="single" w:sz="8" w:space="0" w:color="auto"/>
            </w:tcBorders>
            <w:vAlign w:val="center"/>
            <w:hideMark/>
          </w:tcPr>
          <w:p w14:paraId="1DBF1D3D"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RPB SAS ARQUITECTURA E INGENIERIA</w:t>
            </w:r>
          </w:p>
        </w:tc>
        <w:tc>
          <w:tcPr>
            <w:tcW w:w="817" w:type="dxa"/>
            <w:tcBorders>
              <w:top w:val="nil"/>
              <w:left w:val="nil"/>
              <w:bottom w:val="single" w:sz="8" w:space="0" w:color="auto"/>
              <w:right w:val="single" w:sz="8" w:space="0" w:color="auto"/>
            </w:tcBorders>
            <w:vAlign w:val="center"/>
            <w:hideMark/>
          </w:tcPr>
          <w:p w14:paraId="47D17E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2,74</w:t>
            </w:r>
          </w:p>
        </w:tc>
        <w:tc>
          <w:tcPr>
            <w:tcW w:w="1271" w:type="dxa"/>
            <w:tcBorders>
              <w:top w:val="nil"/>
              <w:left w:val="nil"/>
              <w:bottom w:val="single" w:sz="8" w:space="0" w:color="auto"/>
              <w:right w:val="single" w:sz="8" w:space="0" w:color="auto"/>
            </w:tcBorders>
            <w:vAlign w:val="center"/>
            <w:hideMark/>
          </w:tcPr>
          <w:p w14:paraId="4AFB8A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w:t>
            </w:r>
          </w:p>
        </w:tc>
        <w:tc>
          <w:tcPr>
            <w:tcW w:w="1190" w:type="dxa"/>
            <w:tcBorders>
              <w:top w:val="nil"/>
              <w:left w:val="nil"/>
              <w:bottom w:val="single" w:sz="8" w:space="0" w:color="auto"/>
              <w:right w:val="single" w:sz="8" w:space="0" w:color="auto"/>
            </w:tcBorders>
            <w:vAlign w:val="center"/>
            <w:hideMark/>
          </w:tcPr>
          <w:p w14:paraId="2F0775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30,67</w:t>
            </w:r>
          </w:p>
        </w:tc>
        <w:tc>
          <w:tcPr>
            <w:tcW w:w="1099" w:type="dxa"/>
            <w:tcBorders>
              <w:top w:val="nil"/>
              <w:left w:val="nil"/>
              <w:bottom w:val="single" w:sz="8" w:space="0" w:color="auto"/>
              <w:right w:val="single" w:sz="8" w:space="0" w:color="auto"/>
            </w:tcBorders>
            <w:vAlign w:val="center"/>
            <w:hideMark/>
          </w:tcPr>
          <w:p w14:paraId="4C3EB88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3.915.310</w:t>
            </w:r>
          </w:p>
        </w:tc>
        <w:tc>
          <w:tcPr>
            <w:tcW w:w="1100" w:type="dxa"/>
            <w:tcBorders>
              <w:top w:val="nil"/>
              <w:left w:val="nil"/>
              <w:bottom w:val="single" w:sz="8" w:space="0" w:color="auto"/>
              <w:right w:val="single" w:sz="8" w:space="0" w:color="auto"/>
            </w:tcBorders>
            <w:vAlign w:val="center"/>
            <w:hideMark/>
          </w:tcPr>
          <w:p w14:paraId="1D38D2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00" w:type="dxa"/>
            <w:tcBorders>
              <w:top w:val="nil"/>
              <w:left w:val="nil"/>
              <w:bottom w:val="single" w:sz="8" w:space="0" w:color="auto"/>
              <w:right w:val="single" w:sz="8" w:space="0" w:color="auto"/>
            </w:tcBorders>
            <w:vAlign w:val="center"/>
            <w:hideMark/>
          </w:tcPr>
          <w:p w14:paraId="27EF733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32E4DBD1"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11C9F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140</w:t>
            </w:r>
          </w:p>
        </w:tc>
        <w:tc>
          <w:tcPr>
            <w:tcW w:w="1919" w:type="dxa"/>
            <w:tcBorders>
              <w:top w:val="nil"/>
              <w:left w:val="nil"/>
              <w:bottom w:val="single" w:sz="8" w:space="0" w:color="auto"/>
              <w:right w:val="single" w:sz="8" w:space="0" w:color="auto"/>
            </w:tcBorders>
            <w:vAlign w:val="center"/>
            <w:hideMark/>
          </w:tcPr>
          <w:p w14:paraId="722AD37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MARCA CONSTRUCTORES SAS</w:t>
            </w:r>
          </w:p>
        </w:tc>
        <w:tc>
          <w:tcPr>
            <w:tcW w:w="817" w:type="dxa"/>
            <w:tcBorders>
              <w:top w:val="nil"/>
              <w:left w:val="nil"/>
              <w:bottom w:val="single" w:sz="8" w:space="0" w:color="auto"/>
              <w:right w:val="single" w:sz="8" w:space="0" w:color="auto"/>
            </w:tcBorders>
            <w:vAlign w:val="center"/>
            <w:hideMark/>
          </w:tcPr>
          <w:p w14:paraId="6FFF30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10,33</w:t>
            </w:r>
          </w:p>
        </w:tc>
        <w:tc>
          <w:tcPr>
            <w:tcW w:w="1271" w:type="dxa"/>
            <w:tcBorders>
              <w:top w:val="nil"/>
              <w:left w:val="nil"/>
              <w:bottom w:val="single" w:sz="8" w:space="0" w:color="auto"/>
              <w:right w:val="single" w:sz="8" w:space="0" w:color="auto"/>
            </w:tcBorders>
            <w:vAlign w:val="center"/>
            <w:hideMark/>
          </w:tcPr>
          <w:p w14:paraId="2BE183F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w:t>
            </w:r>
          </w:p>
        </w:tc>
        <w:tc>
          <w:tcPr>
            <w:tcW w:w="1190" w:type="dxa"/>
            <w:tcBorders>
              <w:top w:val="nil"/>
              <w:left w:val="nil"/>
              <w:bottom w:val="single" w:sz="8" w:space="0" w:color="auto"/>
              <w:right w:val="single" w:sz="8" w:space="0" w:color="auto"/>
            </w:tcBorders>
            <w:vAlign w:val="center"/>
            <w:hideMark/>
          </w:tcPr>
          <w:p w14:paraId="05912A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D181CB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6.690.211</w:t>
            </w:r>
          </w:p>
        </w:tc>
        <w:tc>
          <w:tcPr>
            <w:tcW w:w="1100" w:type="dxa"/>
            <w:tcBorders>
              <w:top w:val="nil"/>
              <w:left w:val="nil"/>
              <w:bottom w:val="single" w:sz="8" w:space="0" w:color="auto"/>
              <w:right w:val="single" w:sz="8" w:space="0" w:color="auto"/>
            </w:tcBorders>
            <w:vAlign w:val="center"/>
            <w:hideMark/>
          </w:tcPr>
          <w:p w14:paraId="11122C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01303EC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0DE9BDA2" w14:textId="77777777" w:rsidTr="008468B3">
        <w:trPr>
          <w:trHeight w:val="750"/>
        </w:trPr>
        <w:tc>
          <w:tcPr>
            <w:tcW w:w="474" w:type="dxa"/>
            <w:tcBorders>
              <w:top w:val="nil"/>
              <w:left w:val="single" w:sz="8" w:space="0" w:color="auto"/>
              <w:bottom w:val="single" w:sz="8" w:space="0" w:color="auto"/>
              <w:right w:val="single" w:sz="8" w:space="0" w:color="auto"/>
            </w:tcBorders>
            <w:noWrap/>
            <w:vAlign w:val="center"/>
            <w:hideMark/>
          </w:tcPr>
          <w:p w14:paraId="10D1A90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141</w:t>
            </w:r>
          </w:p>
        </w:tc>
        <w:tc>
          <w:tcPr>
            <w:tcW w:w="1919" w:type="dxa"/>
            <w:tcBorders>
              <w:top w:val="nil"/>
              <w:left w:val="nil"/>
              <w:bottom w:val="single" w:sz="8" w:space="0" w:color="auto"/>
              <w:right w:val="single" w:sz="8" w:space="0" w:color="auto"/>
            </w:tcBorders>
            <w:vAlign w:val="center"/>
            <w:hideMark/>
          </w:tcPr>
          <w:p w14:paraId="564D8D0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INSTALACIONES ELECTRICAS Y DE COMUNICACIONES SAS</w:t>
            </w:r>
          </w:p>
        </w:tc>
        <w:tc>
          <w:tcPr>
            <w:tcW w:w="817" w:type="dxa"/>
            <w:tcBorders>
              <w:top w:val="nil"/>
              <w:left w:val="nil"/>
              <w:bottom w:val="single" w:sz="8" w:space="0" w:color="auto"/>
              <w:right w:val="single" w:sz="8" w:space="0" w:color="auto"/>
            </w:tcBorders>
            <w:vAlign w:val="center"/>
            <w:hideMark/>
          </w:tcPr>
          <w:p w14:paraId="782818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7,50</w:t>
            </w:r>
          </w:p>
        </w:tc>
        <w:tc>
          <w:tcPr>
            <w:tcW w:w="1271" w:type="dxa"/>
            <w:tcBorders>
              <w:top w:val="nil"/>
              <w:left w:val="nil"/>
              <w:bottom w:val="single" w:sz="8" w:space="0" w:color="auto"/>
              <w:right w:val="single" w:sz="8" w:space="0" w:color="auto"/>
            </w:tcBorders>
            <w:vAlign w:val="center"/>
            <w:hideMark/>
          </w:tcPr>
          <w:p w14:paraId="354D3F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w:t>
            </w:r>
          </w:p>
        </w:tc>
        <w:tc>
          <w:tcPr>
            <w:tcW w:w="1190" w:type="dxa"/>
            <w:tcBorders>
              <w:top w:val="nil"/>
              <w:left w:val="nil"/>
              <w:bottom w:val="single" w:sz="8" w:space="0" w:color="auto"/>
              <w:right w:val="single" w:sz="8" w:space="0" w:color="auto"/>
            </w:tcBorders>
            <w:vAlign w:val="center"/>
            <w:hideMark/>
          </w:tcPr>
          <w:p w14:paraId="6F8BE9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3,03</w:t>
            </w:r>
          </w:p>
        </w:tc>
        <w:tc>
          <w:tcPr>
            <w:tcW w:w="1099" w:type="dxa"/>
            <w:tcBorders>
              <w:top w:val="nil"/>
              <w:left w:val="nil"/>
              <w:bottom w:val="single" w:sz="8" w:space="0" w:color="auto"/>
              <w:right w:val="single" w:sz="8" w:space="0" w:color="auto"/>
            </w:tcBorders>
            <w:vAlign w:val="center"/>
            <w:hideMark/>
          </w:tcPr>
          <w:p w14:paraId="6587C9D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6.023.225</w:t>
            </w:r>
          </w:p>
        </w:tc>
        <w:tc>
          <w:tcPr>
            <w:tcW w:w="1100" w:type="dxa"/>
            <w:tcBorders>
              <w:top w:val="nil"/>
              <w:left w:val="nil"/>
              <w:bottom w:val="single" w:sz="8" w:space="0" w:color="auto"/>
              <w:right w:val="single" w:sz="8" w:space="0" w:color="auto"/>
            </w:tcBorders>
            <w:vAlign w:val="center"/>
            <w:hideMark/>
          </w:tcPr>
          <w:p w14:paraId="255696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05EA707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4520F652" w14:textId="77777777" w:rsidTr="008468B3">
        <w:trPr>
          <w:trHeight w:val="1164"/>
        </w:trPr>
        <w:tc>
          <w:tcPr>
            <w:tcW w:w="474" w:type="dxa"/>
            <w:tcBorders>
              <w:top w:val="nil"/>
              <w:left w:val="single" w:sz="8" w:space="0" w:color="auto"/>
              <w:bottom w:val="single" w:sz="8" w:space="0" w:color="auto"/>
              <w:right w:val="single" w:sz="8" w:space="0" w:color="auto"/>
            </w:tcBorders>
            <w:noWrap/>
            <w:vAlign w:val="center"/>
            <w:hideMark/>
          </w:tcPr>
          <w:p w14:paraId="5B1CA40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142</w:t>
            </w:r>
          </w:p>
        </w:tc>
        <w:tc>
          <w:tcPr>
            <w:tcW w:w="1919" w:type="dxa"/>
            <w:tcBorders>
              <w:top w:val="nil"/>
              <w:left w:val="nil"/>
              <w:bottom w:val="single" w:sz="8" w:space="0" w:color="auto"/>
              <w:right w:val="single" w:sz="8" w:space="0" w:color="auto"/>
            </w:tcBorders>
            <w:vAlign w:val="center"/>
            <w:hideMark/>
          </w:tcPr>
          <w:p w14:paraId="74CC7E0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STUDIO INGENIERIA Y CONSTRUCTORES Y CONSULTORES SAS</w:t>
            </w:r>
          </w:p>
        </w:tc>
        <w:tc>
          <w:tcPr>
            <w:tcW w:w="817" w:type="dxa"/>
            <w:tcBorders>
              <w:top w:val="nil"/>
              <w:left w:val="nil"/>
              <w:bottom w:val="single" w:sz="8" w:space="0" w:color="auto"/>
              <w:right w:val="single" w:sz="8" w:space="0" w:color="auto"/>
            </w:tcBorders>
            <w:vAlign w:val="center"/>
            <w:hideMark/>
          </w:tcPr>
          <w:p w14:paraId="640B86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2,73</w:t>
            </w:r>
          </w:p>
        </w:tc>
        <w:tc>
          <w:tcPr>
            <w:tcW w:w="1271" w:type="dxa"/>
            <w:tcBorders>
              <w:top w:val="nil"/>
              <w:left w:val="nil"/>
              <w:bottom w:val="single" w:sz="8" w:space="0" w:color="auto"/>
              <w:right w:val="single" w:sz="8" w:space="0" w:color="auto"/>
            </w:tcBorders>
            <w:vAlign w:val="center"/>
            <w:hideMark/>
          </w:tcPr>
          <w:p w14:paraId="2940DE3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83%</w:t>
            </w:r>
          </w:p>
        </w:tc>
        <w:tc>
          <w:tcPr>
            <w:tcW w:w="1190" w:type="dxa"/>
            <w:tcBorders>
              <w:top w:val="nil"/>
              <w:left w:val="nil"/>
              <w:bottom w:val="single" w:sz="8" w:space="0" w:color="auto"/>
              <w:right w:val="single" w:sz="8" w:space="0" w:color="auto"/>
            </w:tcBorders>
            <w:vAlign w:val="center"/>
            <w:hideMark/>
          </w:tcPr>
          <w:p w14:paraId="3899C4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E0E07B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6.416.071</w:t>
            </w:r>
          </w:p>
        </w:tc>
        <w:tc>
          <w:tcPr>
            <w:tcW w:w="1100" w:type="dxa"/>
            <w:tcBorders>
              <w:top w:val="nil"/>
              <w:left w:val="nil"/>
              <w:bottom w:val="single" w:sz="8" w:space="0" w:color="auto"/>
              <w:right w:val="single" w:sz="8" w:space="0" w:color="auto"/>
            </w:tcBorders>
            <w:vAlign w:val="center"/>
            <w:hideMark/>
          </w:tcPr>
          <w:p w14:paraId="7B4A9D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787F42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0AC848F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C96853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143</w:t>
            </w:r>
          </w:p>
        </w:tc>
        <w:tc>
          <w:tcPr>
            <w:tcW w:w="1919" w:type="dxa"/>
            <w:tcBorders>
              <w:top w:val="nil"/>
              <w:left w:val="nil"/>
              <w:bottom w:val="single" w:sz="8" w:space="0" w:color="auto"/>
              <w:right w:val="single" w:sz="8" w:space="0" w:color="auto"/>
            </w:tcBorders>
            <w:vAlign w:val="center"/>
            <w:hideMark/>
          </w:tcPr>
          <w:p w14:paraId="5581C8F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CAMARGO ELECTRICOS LTDA</w:t>
            </w:r>
          </w:p>
        </w:tc>
        <w:tc>
          <w:tcPr>
            <w:tcW w:w="817" w:type="dxa"/>
            <w:tcBorders>
              <w:top w:val="nil"/>
              <w:left w:val="nil"/>
              <w:bottom w:val="single" w:sz="8" w:space="0" w:color="auto"/>
              <w:right w:val="single" w:sz="8" w:space="0" w:color="auto"/>
            </w:tcBorders>
            <w:vAlign w:val="center"/>
            <w:hideMark/>
          </w:tcPr>
          <w:p w14:paraId="6F070C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4,53</w:t>
            </w:r>
          </w:p>
        </w:tc>
        <w:tc>
          <w:tcPr>
            <w:tcW w:w="1271" w:type="dxa"/>
            <w:tcBorders>
              <w:top w:val="nil"/>
              <w:left w:val="nil"/>
              <w:bottom w:val="single" w:sz="8" w:space="0" w:color="auto"/>
              <w:right w:val="single" w:sz="8" w:space="0" w:color="auto"/>
            </w:tcBorders>
            <w:vAlign w:val="center"/>
            <w:hideMark/>
          </w:tcPr>
          <w:p w14:paraId="7C65957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81%</w:t>
            </w:r>
          </w:p>
        </w:tc>
        <w:tc>
          <w:tcPr>
            <w:tcW w:w="1190" w:type="dxa"/>
            <w:tcBorders>
              <w:top w:val="nil"/>
              <w:left w:val="nil"/>
              <w:bottom w:val="single" w:sz="8" w:space="0" w:color="auto"/>
              <w:right w:val="single" w:sz="8" w:space="0" w:color="auto"/>
            </w:tcBorders>
            <w:vAlign w:val="center"/>
            <w:hideMark/>
          </w:tcPr>
          <w:p w14:paraId="60244B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36,42</w:t>
            </w:r>
          </w:p>
        </w:tc>
        <w:tc>
          <w:tcPr>
            <w:tcW w:w="1099" w:type="dxa"/>
            <w:tcBorders>
              <w:top w:val="nil"/>
              <w:left w:val="nil"/>
              <w:bottom w:val="single" w:sz="8" w:space="0" w:color="auto"/>
              <w:right w:val="single" w:sz="8" w:space="0" w:color="auto"/>
            </w:tcBorders>
            <w:vAlign w:val="center"/>
            <w:hideMark/>
          </w:tcPr>
          <w:p w14:paraId="6B7EBEA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2.648.268</w:t>
            </w:r>
          </w:p>
        </w:tc>
        <w:tc>
          <w:tcPr>
            <w:tcW w:w="1100" w:type="dxa"/>
            <w:tcBorders>
              <w:top w:val="nil"/>
              <w:left w:val="nil"/>
              <w:bottom w:val="single" w:sz="8" w:space="0" w:color="auto"/>
              <w:right w:val="single" w:sz="8" w:space="0" w:color="auto"/>
            </w:tcBorders>
            <w:vAlign w:val="center"/>
            <w:hideMark/>
          </w:tcPr>
          <w:p w14:paraId="786468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w:t>
            </w:r>
          </w:p>
        </w:tc>
        <w:tc>
          <w:tcPr>
            <w:tcW w:w="1100" w:type="dxa"/>
            <w:tcBorders>
              <w:top w:val="nil"/>
              <w:left w:val="nil"/>
              <w:bottom w:val="single" w:sz="8" w:space="0" w:color="auto"/>
              <w:right w:val="single" w:sz="8" w:space="0" w:color="auto"/>
            </w:tcBorders>
            <w:vAlign w:val="center"/>
            <w:hideMark/>
          </w:tcPr>
          <w:p w14:paraId="3F0054F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5B0CAD0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0A51A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144</w:t>
            </w:r>
          </w:p>
        </w:tc>
        <w:tc>
          <w:tcPr>
            <w:tcW w:w="1919" w:type="dxa"/>
            <w:tcBorders>
              <w:top w:val="nil"/>
              <w:left w:val="nil"/>
              <w:bottom w:val="single" w:sz="8" w:space="0" w:color="auto"/>
              <w:right w:val="single" w:sz="8" w:space="0" w:color="auto"/>
            </w:tcBorders>
            <w:vAlign w:val="center"/>
            <w:hideMark/>
          </w:tcPr>
          <w:p w14:paraId="18E8465F" w14:textId="77777777" w:rsidR="008468B3" w:rsidRPr="008468B3" w:rsidRDefault="008468B3" w:rsidP="008468B3">
            <w:pPr>
              <w:spacing w:after="0" w:line="240" w:lineRule="auto"/>
              <w:rPr>
                <w:rFonts w:ascii="Arial" w:eastAsia="Times New Roman" w:hAnsi="Arial" w:cs="Arial"/>
                <w:color w:val="000000"/>
                <w:sz w:val="14"/>
                <w:szCs w:val="14"/>
                <w:lang w:eastAsia="es-CO"/>
              </w:rPr>
            </w:pPr>
            <w:proofErr w:type="spellStart"/>
            <w:r w:rsidRPr="008468B3">
              <w:rPr>
                <w:rFonts w:ascii="Arial" w:eastAsia="Times New Roman" w:hAnsi="Arial" w:cs="Arial"/>
                <w:color w:val="000000"/>
                <w:sz w:val="14"/>
                <w:szCs w:val="14"/>
                <w:lang w:eastAsia="es-CO"/>
              </w:rPr>
              <w:t>Ingenieria</w:t>
            </w:r>
            <w:proofErr w:type="spellEnd"/>
            <w:r w:rsidRPr="008468B3">
              <w:rPr>
                <w:rFonts w:ascii="Arial" w:eastAsia="Times New Roman" w:hAnsi="Arial" w:cs="Arial"/>
                <w:color w:val="000000"/>
                <w:sz w:val="14"/>
                <w:szCs w:val="14"/>
                <w:lang w:eastAsia="es-CO"/>
              </w:rPr>
              <w:t xml:space="preserve"> y Soluciones Insol SAS</w:t>
            </w:r>
          </w:p>
        </w:tc>
        <w:tc>
          <w:tcPr>
            <w:tcW w:w="817" w:type="dxa"/>
            <w:tcBorders>
              <w:top w:val="nil"/>
              <w:left w:val="nil"/>
              <w:bottom w:val="single" w:sz="8" w:space="0" w:color="auto"/>
              <w:right w:val="single" w:sz="8" w:space="0" w:color="auto"/>
            </w:tcBorders>
            <w:vAlign w:val="center"/>
            <w:hideMark/>
          </w:tcPr>
          <w:p w14:paraId="21E070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5,88</w:t>
            </w:r>
          </w:p>
        </w:tc>
        <w:tc>
          <w:tcPr>
            <w:tcW w:w="1271" w:type="dxa"/>
            <w:tcBorders>
              <w:top w:val="nil"/>
              <w:left w:val="nil"/>
              <w:bottom w:val="single" w:sz="8" w:space="0" w:color="auto"/>
              <w:right w:val="single" w:sz="8" w:space="0" w:color="auto"/>
            </w:tcBorders>
            <w:vAlign w:val="center"/>
            <w:hideMark/>
          </w:tcPr>
          <w:p w14:paraId="3A59C3D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w:t>
            </w:r>
          </w:p>
        </w:tc>
        <w:tc>
          <w:tcPr>
            <w:tcW w:w="1190" w:type="dxa"/>
            <w:tcBorders>
              <w:top w:val="nil"/>
              <w:left w:val="nil"/>
              <w:bottom w:val="single" w:sz="8" w:space="0" w:color="auto"/>
              <w:right w:val="single" w:sz="8" w:space="0" w:color="auto"/>
            </w:tcBorders>
            <w:vAlign w:val="center"/>
            <w:hideMark/>
          </w:tcPr>
          <w:p w14:paraId="20BBC7D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EEEFCD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7.800.689</w:t>
            </w:r>
          </w:p>
        </w:tc>
        <w:tc>
          <w:tcPr>
            <w:tcW w:w="1100" w:type="dxa"/>
            <w:tcBorders>
              <w:top w:val="nil"/>
              <w:left w:val="nil"/>
              <w:bottom w:val="single" w:sz="8" w:space="0" w:color="auto"/>
              <w:right w:val="single" w:sz="8" w:space="0" w:color="auto"/>
            </w:tcBorders>
            <w:vAlign w:val="center"/>
            <w:hideMark/>
          </w:tcPr>
          <w:p w14:paraId="1166AD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00" w:type="dxa"/>
            <w:tcBorders>
              <w:top w:val="nil"/>
              <w:left w:val="nil"/>
              <w:bottom w:val="single" w:sz="8" w:space="0" w:color="auto"/>
              <w:right w:val="single" w:sz="8" w:space="0" w:color="auto"/>
            </w:tcBorders>
            <w:vAlign w:val="center"/>
            <w:hideMark/>
          </w:tcPr>
          <w:p w14:paraId="2B1EE3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7D00AD4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056DB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145</w:t>
            </w:r>
          </w:p>
        </w:tc>
        <w:tc>
          <w:tcPr>
            <w:tcW w:w="1919" w:type="dxa"/>
            <w:tcBorders>
              <w:top w:val="nil"/>
              <w:left w:val="nil"/>
              <w:bottom w:val="single" w:sz="8" w:space="0" w:color="auto"/>
              <w:right w:val="single" w:sz="8" w:space="0" w:color="auto"/>
            </w:tcBorders>
            <w:vAlign w:val="center"/>
            <w:hideMark/>
          </w:tcPr>
          <w:p w14:paraId="6F37736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PC Y PG SAS</w:t>
            </w:r>
          </w:p>
        </w:tc>
        <w:tc>
          <w:tcPr>
            <w:tcW w:w="817" w:type="dxa"/>
            <w:tcBorders>
              <w:top w:val="nil"/>
              <w:left w:val="nil"/>
              <w:bottom w:val="single" w:sz="8" w:space="0" w:color="auto"/>
              <w:right w:val="single" w:sz="8" w:space="0" w:color="auto"/>
            </w:tcBorders>
            <w:vAlign w:val="center"/>
            <w:hideMark/>
          </w:tcPr>
          <w:p w14:paraId="3D52857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94,91</w:t>
            </w:r>
          </w:p>
        </w:tc>
        <w:tc>
          <w:tcPr>
            <w:tcW w:w="1271" w:type="dxa"/>
            <w:tcBorders>
              <w:top w:val="nil"/>
              <w:left w:val="nil"/>
              <w:bottom w:val="single" w:sz="8" w:space="0" w:color="auto"/>
              <w:right w:val="single" w:sz="8" w:space="0" w:color="auto"/>
            </w:tcBorders>
            <w:vAlign w:val="center"/>
            <w:hideMark/>
          </w:tcPr>
          <w:p w14:paraId="21D7F53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90" w:type="dxa"/>
            <w:tcBorders>
              <w:top w:val="nil"/>
              <w:left w:val="nil"/>
              <w:bottom w:val="single" w:sz="8" w:space="0" w:color="auto"/>
              <w:right w:val="single" w:sz="8" w:space="0" w:color="auto"/>
            </w:tcBorders>
            <w:vAlign w:val="center"/>
            <w:hideMark/>
          </w:tcPr>
          <w:p w14:paraId="74E7DD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E184F4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4.058.034</w:t>
            </w:r>
          </w:p>
        </w:tc>
        <w:tc>
          <w:tcPr>
            <w:tcW w:w="1100" w:type="dxa"/>
            <w:tcBorders>
              <w:top w:val="nil"/>
              <w:left w:val="nil"/>
              <w:bottom w:val="single" w:sz="8" w:space="0" w:color="auto"/>
              <w:right w:val="single" w:sz="8" w:space="0" w:color="auto"/>
            </w:tcBorders>
            <w:vAlign w:val="center"/>
            <w:hideMark/>
          </w:tcPr>
          <w:p w14:paraId="05A563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34E62A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58424FC1"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1E055D7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146</w:t>
            </w:r>
          </w:p>
        </w:tc>
        <w:tc>
          <w:tcPr>
            <w:tcW w:w="1919" w:type="dxa"/>
            <w:tcBorders>
              <w:top w:val="nil"/>
              <w:left w:val="nil"/>
              <w:bottom w:val="single" w:sz="8" w:space="0" w:color="auto"/>
              <w:right w:val="single" w:sz="8" w:space="0" w:color="auto"/>
            </w:tcBorders>
            <w:vAlign w:val="center"/>
            <w:hideMark/>
          </w:tcPr>
          <w:p w14:paraId="4EE010E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VHZ INGENIERIA SAS SOCIEDAD POR ACCIONES SIMPLIFICADA</w:t>
            </w:r>
          </w:p>
        </w:tc>
        <w:tc>
          <w:tcPr>
            <w:tcW w:w="817" w:type="dxa"/>
            <w:tcBorders>
              <w:top w:val="nil"/>
              <w:left w:val="nil"/>
              <w:bottom w:val="single" w:sz="8" w:space="0" w:color="auto"/>
              <w:right w:val="single" w:sz="8" w:space="0" w:color="auto"/>
            </w:tcBorders>
            <w:vAlign w:val="center"/>
            <w:hideMark/>
          </w:tcPr>
          <w:p w14:paraId="04F6146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3,51</w:t>
            </w:r>
          </w:p>
        </w:tc>
        <w:tc>
          <w:tcPr>
            <w:tcW w:w="1271" w:type="dxa"/>
            <w:tcBorders>
              <w:top w:val="nil"/>
              <w:left w:val="nil"/>
              <w:bottom w:val="single" w:sz="8" w:space="0" w:color="auto"/>
              <w:right w:val="single" w:sz="8" w:space="0" w:color="auto"/>
            </w:tcBorders>
            <w:vAlign w:val="center"/>
            <w:hideMark/>
          </w:tcPr>
          <w:p w14:paraId="6F78EDF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90" w:type="dxa"/>
            <w:tcBorders>
              <w:top w:val="nil"/>
              <w:left w:val="nil"/>
              <w:bottom w:val="single" w:sz="8" w:space="0" w:color="auto"/>
              <w:right w:val="single" w:sz="8" w:space="0" w:color="auto"/>
            </w:tcBorders>
            <w:vAlign w:val="center"/>
            <w:hideMark/>
          </w:tcPr>
          <w:p w14:paraId="0D4DC19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1,87</w:t>
            </w:r>
          </w:p>
        </w:tc>
        <w:tc>
          <w:tcPr>
            <w:tcW w:w="1099" w:type="dxa"/>
            <w:tcBorders>
              <w:top w:val="nil"/>
              <w:left w:val="nil"/>
              <w:bottom w:val="single" w:sz="8" w:space="0" w:color="auto"/>
              <w:right w:val="single" w:sz="8" w:space="0" w:color="auto"/>
            </w:tcBorders>
            <w:vAlign w:val="center"/>
            <w:hideMark/>
          </w:tcPr>
          <w:p w14:paraId="7B08CC2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10.708.874</w:t>
            </w:r>
          </w:p>
        </w:tc>
        <w:tc>
          <w:tcPr>
            <w:tcW w:w="1100" w:type="dxa"/>
            <w:tcBorders>
              <w:top w:val="nil"/>
              <w:left w:val="nil"/>
              <w:bottom w:val="single" w:sz="8" w:space="0" w:color="auto"/>
              <w:right w:val="single" w:sz="8" w:space="0" w:color="auto"/>
            </w:tcBorders>
            <w:vAlign w:val="center"/>
            <w:hideMark/>
          </w:tcPr>
          <w:p w14:paraId="1B8C7E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77E99D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7BD6C30F"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2FA7F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147</w:t>
            </w:r>
          </w:p>
        </w:tc>
        <w:tc>
          <w:tcPr>
            <w:tcW w:w="1919" w:type="dxa"/>
            <w:tcBorders>
              <w:top w:val="nil"/>
              <w:left w:val="nil"/>
              <w:bottom w:val="single" w:sz="8" w:space="0" w:color="auto"/>
              <w:right w:val="single" w:sz="8" w:space="0" w:color="auto"/>
            </w:tcBorders>
            <w:vAlign w:val="center"/>
            <w:hideMark/>
          </w:tcPr>
          <w:p w14:paraId="5EF06F7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INVERSORES BERMONT SAS</w:t>
            </w:r>
          </w:p>
        </w:tc>
        <w:tc>
          <w:tcPr>
            <w:tcW w:w="817" w:type="dxa"/>
            <w:tcBorders>
              <w:top w:val="nil"/>
              <w:left w:val="nil"/>
              <w:bottom w:val="single" w:sz="8" w:space="0" w:color="auto"/>
              <w:right w:val="single" w:sz="8" w:space="0" w:color="auto"/>
            </w:tcBorders>
            <w:vAlign w:val="center"/>
            <w:hideMark/>
          </w:tcPr>
          <w:p w14:paraId="48F067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3,93</w:t>
            </w:r>
          </w:p>
        </w:tc>
        <w:tc>
          <w:tcPr>
            <w:tcW w:w="1271" w:type="dxa"/>
            <w:tcBorders>
              <w:top w:val="nil"/>
              <w:left w:val="nil"/>
              <w:bottom w:val="single" w:sz="8" w:space="0" w:color="auto"/>
              <w:right w:val="single" w:sz="8" w:space="0" w:color="auto"/>
            </w:tcBorders>
            <w:vAlign w:val="center"/>
            <w:hideMark/>
          </w:tcPr>
          <w:p w14:paraId="49B6A06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w:t>
            </w:r>
          </w:p>
        </w:tc>
        <w:tc>
          <w:tcPr>
            <w:tcW w:w="1190" w:type="dxa"/>
            <w:tcBorders>
              <w:top w:val="nil"/>
              <w:left w:val="nil"/>
              <w:bottom w:val="single" w:sz="8" w:space="0" w:color="auto"/>
              <w:right w:val="single" w:sz="8" w:space="0" w:color="auto"/>
            </w:tcBorders>
            <w:vAlign w:val="center"/>
            <w:hideMark/>
          </w:tcPr>
          <w:p w14:paraId="7E345D3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39E80F7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17.801.034</w:t>
            </w:r>
          </w:p>
        </w:tc>
        <w:tc>
          <w:tcPr>
            <w:tcW w:w="1100" w:type="dxa"/>
            <w:tcBorders>
              <w:top w:val="nil"/>
              <w:left w:val="nil"/>
              <w:bottom w:val="single" w:sz="8" w:space="0" w:color="auto"/>
              <w:right w:val="single" w:sz="8" w:space="0" w:color="auto"/>
            </w:tcBorders>
            <w:vAlign w:val="center"/>
            <w:hideMark/>
          </w:tcPr>
          <w:p w14:paraId="16A6536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05D949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1F81D5A0" w14:textId="77777777" w:rsidTr="008468B3">
        <w:trPr>
          <w:trHeight w:val="732"/>
        </w:trPr>
        <w:tc>
          <w:tcPr>
            <w:tcW w:w="474" w:type="dxa"/>
            <w:tcBorders>
              <w:top w:val="nil"/>
              <w:left w:val="single" w:sz="8" w:space="0" w:color="auto"/>
              <w:bottom w:val="single" w:sz="8" w:space="0" w:color="auto"/>
              <w:right w:val="single" w:sz="8" w:space="0" w:color="auto"/>
            </w:tcBorders>
            <w:noWrap/>
            <w:vAlign w:val="center"/>
            <w:hideMark/>
          </w:tcPr>
          <w:p w14:paraId="79061B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148</w:t>
            </w:r>
          </w:p>
        </w:tc>
        <w:tc>
          <w:tcPr>
            <w:tcW w:w="1919" w:type="dxa"/>
            <w:tcBorders>
              <w:top w:val="nil"/>
              <w:left w:val="nil"/>
              <w:bottom w:val="single" w:sz="8" w:space="0" w:color="auto"/>
              <w:right w:val="single" w:sz="8" w:space="0" w:color="auto"/>
            </w:tcBorders>
            <w:vAlign w:val="center"/>
            <w:hideMark/>
          </w:tcPr>
          <w:p w14:paraId="7A54EE5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ENERGIZANDENERGIZANDO INGENIERIA Y CONSTRUCCION SAS</w:t>
            </w:r>
          </w:p>
        </w:tc>
        <w:tc>
          <w:tcPr>
            <w:tcW w:w="817" w:type="dxa"/>
            <w:tcBorders>
              <w:top w:val="nil"/>
              <w:left w:val="nil"/>
              <w:bottom w:val="single" w:sz="8" w:space="0" w:color="auto"/>
              <w:right w:val="single" w:sz="8" w:space="0" w:color="auto"/>
            </w:tcBorders>
            <w:vAlign w:val="center"/>
            <w:hideMark/>
          </w:tcPr>
          <w:p w14:paraId="27486FE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3,61</w:t>
            </w:r>
          </w:p>
        </w:tc>
        <w:tc>
          <w:tcPr>
            <w:tcW w:w="1271" w:type="dxa"/>
            <w:tcBorders>
              <w:top w:val="nil"/>
              <w:left w:val="nil"/>
              <w:bottom w:val="single" w:sz="8" w:space="0" w:color="auto"/>
              <w:right w:val="single" w:sz="8" w:space="0" w:color="auto"/>
            </w:tcBorders>
            <w:vAlign w:val="center"/>
            <w:hideMark/>
          </w:tcPr>
          <w:p w14:paraId="20FA95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w:t>
            </w:r>
          </w:p>
        </w:tc>
        <w:tc>
          <w:tcPr>
            <w:tcW w:w="1190" w:type="dxa"/>
            <w:tcBorders>
              <w:top w:val="nil"/>
              <w:left w:val="nil"/>
              <w:bottom w:val="single" w:sz="8" w:space="0" w:color="auto"/>
              <w:right w:val="single" w:sz="8" w:space="0" w:color="auto"/>
            </w:tcBorders>
            <w:vAlign w:val="center"/>
            <w:hideMark/>
          </w:tcPr>
          <w:p w14:paraId="4840E8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3,47</w:t>
            </w:r>
          </w:p>
        </w:tc>
        <w:tc>
          <w:tcPr>
            <w:tcW w:w="1099" w:type="dxa"/>
            <w:tcBorders>
              <w:top w:val="nil"/>
              <w:left w:val="nil"/>
              <w:bottom w:val="single" w:sz="8" w:space="0" w:color="auto"/>
              <w:right w:val="single" w:sz="8" w:space="0" w:color="auto"/>
            </w:tcBorders>
            <w:vAlign w:val="center"/>
            <w:hideMark/>
          </w:tcPr>
          <w:p w14:paraId="7D22718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39.889.565</w:t>
            </w:r>
          </w:p>
        </w:tc>
        <w:tc>
          <w:tcPr>
            <w:tcW w:w="1100" w:type="dxa"/>
            <w:tcBorders>
              <w:top w:val="nil"/>
              <w:left w:val="nil"/>
              <w:bottom w:val="single" w:sz="8" w:space="0" w:color="auto"/>
              <w:right w:val="single" w:sz="8" w:space="0" w:color="auto"/>
            </w:tcBorders>
            <w:vAlign w:val="center"/>
            <w:hideMark/>
          </w:tcPr>
          <w:p w14:paraId="2D6AE5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78F9BA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4407AF8A"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52ED16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149</w:t>
            </w:r>
          </w:p>
        </w:tc>
        <w:tc>
          <w:tcPr>
            <w:tcW w:w="1919" w:type="dxa"/>
            <w:tcBorders>
              <w:top w:val="nil"/>
              <w:left w:val="nil"/>
              <w:bottom w:val="single" w:sz="8" w:space="0" w:color="auto"/>
              <w:right w:val="single" w:sz="8" w:space="0" w:color="auto"/>
            </w:tcBorders>
            <w:vAlign w:val="center"/>
            <w:hideMark/>
          </w:tcPr>
          <w:p w14:paraId="6C97ED2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CONSTRUCCIONES ELECTRICAS DE COLOMBIA SAS</w:t>
            </w:r>
          </w:p>
        </w:tc>
        <w:tc>
          <w:tcPr>
            <w:tcW w:w="817" w:type="dxa"/>
            <w:tcBorders>
              <w:top w:val="nil"/>
              <w:left w:val="nil"/>
              <w:bottom w:val="single" w:sz="8" w:space="0" w:color="auto"/>
              <w:right w:val="single" w:sz="8" w:space="0" w:color="auto"/>
            </w:tcBorders>
            <w:vAlign w:val="center"/>
            <w:hideMark/>
          </w:tcPr>
          <w:p w14:paraId="1B7109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8,46</w:t>
            </w:r>
          </w:p>
        </w:tc>
        <w:tc>
          <w:tcPr>
            <w:tcW w:w="1271" w:type="dxa"/>
            <w:tcBorders>
              <w:top w:val="nil"/>
              <w:left w:val="nil"/>
              <w:bottom w:val="single" w:sz="8" w:space="0" w:color="auto"/>
              <w:right w:val="single" w:sz="8" w:space="0" w:color="auto"/>
            </w:tcBorders>
            <w:vAlign w:val="center"/>
            <w:hideMark/>
          </w:tcPr>
          <w:p w14:paraId="5A87EB6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90" w:type="dxa"/>
            <w:tcBorders>
              <w:top w:val="nil"/>
              <w:left w:val="nil"/>
              <w:bottom w:val="single" w:sz="8" w:space="0" w:color="auto"/>
              <w:right w:val="single" w:sz="8" w:space="0" w:color="auto"/>
            </w:tcBorders>
            <w:vAlign w:val="center"/>
            <w:hideMark/>
          </w:tcPr>
          <w:p w14:paraId="2B5E49A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31,34</w:t>
            </w:r>
          </w:p>
        </w:tc>
        <w:tc>
          <w:tcPr>
            <w:tcW w:w="1099" w:type="dxa"/>
            <w:tcBorders>
              <w:top w:val="nil"/>
              <w:left w:val="nil"/>
              <w:bottom w:val="single" w:sz="8" w:space="0" w:color="auto"/>
              <w:right w:val="single" w:sz="8" w:space="0" w:color="auto"/>
            </w:tcBorders>
            <w:vAlign w:val="center"/>
            <w:hideMark/>
          </w:tcPr>
          <w:p w14:paraId="5B3B40F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3.608.182</w:t>
            </w:r>
          </w:p>
        </w:tc>
        <w:tc>
          <w:tcPr>
            <w:tcW w:w="1100" w:type="dxa"/>
            <w:tcBorders>
              <w:top w:val="nil"/>
              <w:left w:val="nil"/>
              <w:bottom w:val="single" w:sz="8" w:space="0" w:color="auto"/>
              <w:right w:val="single" w:sz="8" w:space="0" w:color="auto"/>
            </w:tcBorders>
            <w:vAlign w:val="center"/>
            <w:hideMark/>
          </w:tcPr>
          <w:p w14:paraId="0B38F6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100" w:type="dxa"/>
            <w:tcBorders>
              <w:top w:val="nil"/>
              <w:left w:val="nil"/>
              <w:bottom w:val="single" w:sz="8" w:space="0" w:color="auto"/>
              <w:right w:val="single" w:sz="8" w:space="0" w:color="auto"/>
            </w:tcBorders>
            <w:vAlign w:val="center"/>
            <w:hideMark/>
          </w:tcPr>
          <w:p w14:paraId="236064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26F39943"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5E61B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150</w:t>
            </w:r>
          </w:p>
        </w:tc>
        <w:tc>
          <w:tcPr>
            <w:tcW w:w="1919" w:type="dxa"/>
            <w:tcBorders>
              <w:top w:val="nil"/>
              <w:left w:val="nil"/>
              <w:bottom w:val="single" w:sz="8" w:space="0" w:color="auto"/>
              <w:right w:val="single" w:sz="8" w:space="0" w:color="auto"/>
            </w:tcBorders>
            <w:vAlign w:val="center"/>
            <w:hideMark/>
          </w:tcPr>
          <w:p w14:paraId="17B1139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INGELET SAS</w:t>
            </w:r>
          </w:p>
        </w:tc>
        <w:tc>
          <w:tcPr>
            <w:tcW w:w="817" w:type="dxa"/>
            <w:tcBorders>
              <w:top w:val="nil"/>
              <w:left w:val="nil"/>
              <w:bottom w:val="single" w:sz="8" w:space="0" w:color="auto"/>
              <w:right w:val="single" w:sz="8" w:space="0" w:color="auto"/>
            </w:tcBorders>
            <w:vAlign w:val="center"/>
            <w:hideMark/>
          </w:tcPr>
          <w:p w14:paraId="7F4A37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5,95</w:t>
            </w:r>
          </w:p>
        </w:tc>
        <w:tc>
          <w:tcPr>
            <w:tcW w:w="1271" w:type="dxa"/>
            <w:tcBorders>
              <w:top w:val="nil"/>
              <w:left w:val="nil"/>
              <w:bottom w:val="single" w:sz="8" w:space="0" w:color="auto"/>
              <w:right w:val="single" w:sz="8" w:space="0" w:color="auto"/>
            </w:tcBorders>
            <w:vAlign w:val="center"/>
            <w:hideMark/>
          </w:tcPr>
          <w:p w14:paraId="5D304B0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190" w:type="dxa"/>
            <w:tcBorders>
              <w:top w:val="nil"/>
              <w:left w:val="nil"/>
              <w:bottom w:val="single" w:sz="8" w:space="0" w:color="auto"/>
              <w:right w:val="single" w:sz="8" w:space="0" w:color="auto"/>
            </w:tcBorders>
            <w:vAlign w:val="center"/>
            <w:hideMark/>
          </w:tcPr>
          <w:p w14:paraId="20BAB46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7,72</w:t>
            </w:r>
          </w:p>
        </w:tc>
        <w:tc>
          <w:tcPr>
            <w:tcW w:w="1099" w:type="dxa"/>
            <w:tcBorders>
              <w:top w:val="nil"/>
              <w:left w:val="nil"/>
              <w:bottom w:val="single" w:sz="8" w:space="0" w:color="auto"/>
              <w:right w:val="single" w:sz="8" w:space="0" w:color="auto"/>
            </w:tcBorders>
            <w:vAlign w:val="center"/>
            <w:hideMark/>
          </w:tcPr>
          <w:p w14:paraId="35A7354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5.190.293</w:t>
            </w:r>
          </w:p>
        </w:tc>
        <w:tc>
          <w:tcPr>
            <w:tcW w:w="1100" w:type="dxa"/>
            <w:tcBorders>
              <w:top w:val="nil"/>
              <w:left w:val="nil"/>
              <w:bottom w:val="single" w:sz="8" w:space="0" w:color="auto"/>
              <w:right w:val="single" w:sz="8" w:space="0" w:color="auto"/>
            </w:tcBorders>
            <w:vAlign w:val="center"/>
            <w:hideMark/>
          </w:tcPr>
          <w:p w14:paraId="6AB47D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294714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65AC5E0"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A4B69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151</w:t>
            </w:r>
          </w:p>
        </w:tc>
        <w:tc>
          <w:tcPr>
            <w:tcW w:w="1919" w:type="dxa"/>
            <w:tcBorders>
              <w:top w:val="nil"/>
              <w:left w:val="nil"/>
              <w:bottom w:val="single" w:sz="8" w:space="0" w:color="auto"/>
              <w:right w:val="single" w:sz="8" w:space="0" w:color="auto"/>
            </w:tcBorders>
            <w:vAlign w:val="center"/>
            <w:hideMark/>
          </w:tcPr>
          <w:p w14:paraId="6A2765E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ENERGIZETT SA ESP</w:t>
            </w:r>
          </w:p>
        </w:tc>
        <w:tc>
          <w:tcPr>
            <w:tcW w:w="817" w:type="dxa"/>
            <w:tcBorders>
              <w:top w:val="nil"/>
              <w:left w:val="nil"/>
              <w:bottom w:val="single" w:sz="8" w:space="0" w:color="auto"/>
              <w:right w:val="single" w:sz="8" w:space="0" w:color="auto"/>
            </w:tcBorders>
            <w:vAlign w:val="center"/>
            <w:hideMark/>
          </w:tcPr>
          <w:p w14:paraId="047CDC6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62,42</w:t>
            </w:r>
          </w:p>
        </w:tc>
        <w:tc>
          <w:tcPr>
            <w:tcW w:w="1271" w:type="dxa"/>
            <w:tcBorders>
              <w:top w:val="nil"/>
              <w:left w:val="nil"/>
              <w:bottom w:val="single" w:sz="8" w:space="0" w:color="auto"/>
              <w:right w:val="single" w:sz="8" w:space="0" w:color="auto"/>
            </w:tcBorders>
            <w:vAlign w:val="center"/>
            <w:hideMark/>
          </w:tcPr>
          <w:p w14:paraId="45204F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90" w:type="dxa"/>
            <w:tcBorders>
              <w:top w:val="nil"/>
              <w:left w:val="nil"/>
              <w:bottom w:val="single" w:sz="8" w:space="0" w:color="auto"/>
              <w:right w:val="single" w:sz="8" w:space="0" w:color="auto"/>
            </w:tcBorders>
            <w:vAlign w:val="center"/>
            <w:hideMark/>
          </w:tcPr>
          <w:p w14:paraId="03A748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39958C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37.187.283</w:t>
            </w:r>
          </w:p>
        </w:tc>
        <w:tc>
          <w:tcPr>
            <w:tcW w:w="1100" w:type="dxa"/>
            <w:tcBorders>
              <w:top w:val="nil"/>
              <w:left w:val="nil"/>
              <w:bottom w:val="single" w:sz="8" w:space="0" w:color="auto"/>
              <w:right w:val="single" w:sz="8" w:space="0" w:color="auto"/>
            </w:tcBorders>
            <w:vAlign w:val="center"/>
            <w:hideMark/>
          </w:tcPr>
          <w:p w14:paraId="6CEF5E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35F8D6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35ECD67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365F2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152</w:t>
            </w:r>
          </w:p>
        </w:tc>
        <w:tc>
          <w:tcPr>
            <w:tcW w:w="1919" w:type="dxa"/>
            <w:tcBorders>
              <w:top w:val="nil"/>
              <w:left w:val="nil"/>
              <w:bottom w:val="single" w:sz="8" w:space="0" w:color="auto"/>
              <w:right w:val="single" w:sz="8" w:space="0" w:color="auto"/>
            </w:tcBorders>
            <w:vAlign w:val="center"/>
            <w:hideMark/>
          </w:tcPr>
          <w:p w14:paraId="7916CC5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JARCO SAS</w:t>
            </w:r>
          </w:p>
        </w:tc>
        <w:tc>
          <w:tcPr>
            <w:tcW w:w="817" w:type="dxa"/>
            <w:tcBorders>
              <w:top w:val="nil"/>
              <w:left w:val="nil"/>
              <w:bottom w:val="single" w:sz="8" w:space="0" w:color="auto"/>
              <w:right w:val="single" w:sz="8" w:space="0" w:color="auto"/>
            </w:tcBorders>
            <w:vAlign w:val="center"/>
            <w:hideMark/>
          </w:tcPr>
          <w:p w14:paraId="7AA9D3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2,37</w:t>
            </w:r>
          </w:p>
        </w:tc>
        <w:tc>
          <w:tcPr>
            <w:tcW w:w="1271" w:type="dxa"/>
            <w:tcBorders>
              <w:top w:val="nil"/>
              <w:left w:val="nil"/>
              <w:bottom w:val="single" w:sz="8" w:space="0" w:color="auto"/>
              <w:right w:val="single" w:sz="8" w:space="0" w:color="auto"/>
            </w:tcBorders>
            <w:vAlign w:val="center"/>
            <w:hideMark/>
          </w:tcPr>
          <w:p w14:paraId="6016B6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w:t>
            </w:r>
          </w:p>
        </w:tc>
        <w:tc>
          <w:tcPr>
            <w:tcW w:w="1190" w:type="dxa"/>
            <w:tcBorders>
              <w:top w:val="nil"/>
              <w:left w:val="nil"/>
              <w:bottom w:val="single" w:sz="8" w:space="0" w:color="auto"/>
              <w:right w:val="single" w:sz="8" w:space="0" w:color="auto"/>
            </w:tcBorders>
            <w:vAlign w:val="center"/>
            <w:hideMark/>
          </w:tcPr>
          <w:p w14:paraId="6264D2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0DC00D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1.495.948</w:t>
            </w:r>
          </w:p>
        </w:tc>
        <w:tc>
          <w:tcPr>
            <w:tcW w:w="1100" w:type="dxa"/>
            <w:tcBorders>
              <w:top w:val="nil"/>
              <w:left w:val="nil"/>
              <w:bottom w:val="single" w:sz="8" w:space="0" w:color="auto"/>
              <w:right w:val="single" w:sz="8" w:space="0" w:color="auto"/>
            </w:tcBorders>
            <w:vAlign w:val="center"/>
            <w:hideMark/>
          </w:tcPr>
          <w:p w14:paraId="2319EF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00" w:type="dxa"/>
            <w:tcBorders>
              <w:top w:val="nil"/>
              <w:left w:val="nil"/>
              <w:bottom w:val="single" w:sz="8" w:space="0" w:color="auto"/>
              <w:right w:val="single" w:sz="8" w:space="0" w:color="auto"/>
            </w:tcBorders>
            <w:vAlign w:val="center"/>
            <w:hideMark/>
          </w:tcPr>
          <w:p w14:paraId="350904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54136D5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9EC5D1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153</w:t>
            </w:r>
          </w:p>
        </w:tc>
        <w:tc>
          <w:tcPr>
            <w:tcW w:w="1919" w:type="dxa"/>
            <w:tcBorders>
              <w:top w:val="nil"/>
              <w:left w:val="nil"/>
              <w:bottom w:val="single" w:sz="8" w:space="0" w:color="auto"/>
              <w:right w:val="single" w:sz="8" w:space="0" w:color="auto"/>
            </w:tcBorders>
            <w:vAlign w:val="center"/>
            <w:hideMark/>
          </w:tcPr>
          <w:p w14:paraId="5BBCD8C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NUEVA CARTAGENA DE INDIAS</w:t>
            </w:r>
          </w:p>
        </w:tc>
        <w:tc>
          <w:tcPr>
            <w:tcW w:w="817" w:type="dxa"/>
            <w:tcBorders>
              <w:top w:val="nil"/>
              <w:left w:val="nil"/>
              <w:bottom w:val="single" w:sz="8" w:space="0" w:color="auto"/>
              <w:right w:val="single" w:sz="8" w:space="0" w:color="auto"/>
            </w:tcBorders>
            <w:vAlign w:val="center"/>
            <w:hideMark/>
          </w:tcPr>
          <w:p w14:paraId="76D45F4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39,20</w:t>
            </w:r>
          </w:p>
        </w:tc>
        <w:tc>
          <w:tcPr>
            <w:tcW w:w="1271" w:type="dxa"/>
            <w:tcBorders>
              <w:top w:val="nil"/>
              <w:left w:val="nil"/>
              <w:bottom w:val="single" w:sz="8" w:space="0" w:color="auto"/>
              <w:right w:val="single" w:sz="8" w:space="0" w:color="auto"/>
            </w:tcBorders>
            <w:vAlign w:val="center"/>
            <w:hideMark/>
          </w:tcPr>
          <w:p w14:paraId="4C58B1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190" w:type="dxa"/>
            <w:tcBorders>
              <w:top w:val="nil"/>
              <w:left w:val="nil"/>
              <w:bottom w:val="single" w:sz="8" w:space="0" w:color="auto"/>
              <w:right w:val="single" w:sz="8" w:space="0" w:color="auto"/>
            </w:tcBorders>
            <w:vAlign w:val="center"/>
            <w:hideMark/>
          </w:tcPr>
          <w:p w14:paraId="01A866E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-16,13</w:t>
            </w:r>
          </w:p>
        </w:tc>
        <w:tc>
          <w:tcPr>
            <w:tcW w:w="1099" w:type="dxa"/>
            <w:tcBorders>
              <w:top w:val="nil"/>
              <w:left w:val="nil"/>
              <w:bottom w:val="single" w:sz="8" w:space="0" w:color="auto"/>
              <w:right w:val="single" w:sz="8" w:space="0" w:color="auto"/>
            </w:tcBorders>
            <w:vAlign w:val="center"/>
            <w:hideMark/>
          </w:tcPr>
          <w:p w14:paraId="347F5B7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52.727.333</w:t>
            </w:r>
          </w:p>
        </w:tc>
        <w:tc>
          <w:tcPr>
            <w:tcW w:w="1100" w:type="dxa"/>
            <w:tcBorders>
              <w:top w:val="nil"/>
              <w:left w:val="nil"/>
              <w:bottom w:val="single" w:sz="8" w:space="0" w:color="auto"/>
              <w:right w:val="single" w:sz="8" w:space="0" w:color="auto"/>
            </w:tcBorders>
            <w:vAlign w:val="center"/>
            <w:hideMark/>
          </w:tcPr>
          <w:p w14:paraId="14E4D80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2A3F28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2680FD2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855E65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154</w:t>
            </w:r>
          </w:p>
        </w:tc>
        <w:tc>
          <w:tcPr>
            <w:tcW w:w="1919" w:type="dxa"/>
            <w:tcBorders>
              <w:top w:val="nil"/>
              <w:left w:val="nil"/>
              <w:bottom w:val="single" w:sz="8" w:space="0" w:color="auto"/>
              <w:right w:val="single" w:sz="8" w:space="0" w:color="auto"/>
            </w:tcBorders>
            <w:vAlign w:val="center"/>
            <w:hideMark/>
          </w:tcPr>
          <w:p w14:paraId="6271E62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UNINGECOL SA</w:t>
            </w:r>
          </w:p>
        </w:tc>
        <w:tc>
          <w:tcPr>
            <w:tcW w:w="817" w:type="dxa"/>
            <w:tcBorders>
              <w:top w:val="nil"/>
              <w:left w:val="nil"/>
              <w:bottom w:val="single" w:sz="8" w:space="0" w:color="auto"/>
              <w:right w:val="single" w:sz="8" w:space="0" w:color="auto"/>
            </w:tcBorders>
            <w:vAlign w:val="center"/>
            <w:hideMark/>
          </w:tcPr>
          <w:p w14:paraId="469744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7,46</w:t>
            </w:r>
          </w:p>
        </w:tc>
        <w:tc>
          <w:tcPr>
            <w:tcW w:w="1271" w:type="dxa"/>
            <w:tcBorders>
              <w:top w:val="nil"/>
              <w:left w:val="nil"/>
              <w:bottom w:val="single" w:sz="8" w:space="0" w:color="auto"/>
              <w:right w:val="single" w:sz="8" w:space="0" w:color="auto"/>
            </w:tcBorders>
            <w:vAlign w:val="center"/>
            <w:hideMark/>
          </w:tcPr>
          <w:p w14:paraId="342BD6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90" w:type="dxa"/>
            <w:tcBorders>
              <w:top w:val="nil"/>
              <w:left w:val="nil"/>
              <w:bottom w:val="single" w:sz="8" w:space="0" w:color="auto"/>
              <w:right w:val="single" w:sz="8" w:space="0" w:color="auto"/>
            </w:tcBorders>
            <w:vAlign w:val="center"/>
            <w:hideMark/>
          </w:tcPr>
          <w:p w14:paraId="10D619E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0ABD7C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9.226.936</w:t>
            </w:r>
          </w:p>
        </w:tc>
        <w:tc>
          <w:tcPr>
            <w:tcW w:w="1100" w:type="dxa"/>
            <w:tcBorders>
              <w:top w:val="nil"/>
              <w:left w:val="nil"/>
              <w:bottom w:val="single" w:sz="8" w:space="0" w:color="auto"/>
              <w:right w:val="single" w:sz="8" w:space="0" w:color="auto"/>
            </w:tcBorders>
            <w:vAlign w:val="center"/>
            <w:hideMark/>
          </w:tcPr>
          <w:p w14:paraId="5B82D87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45B75D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r>
      <w:tr w:rsidR="008468B3" w:rsidRPr="008468B3" w14:paraId="07364B9B"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D7D5F2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155</w:t>
            </w:r>
          </w:p>
        </w:tc>
        <w:tc>
          <w:tcPr>
            <w:tcW w:w="1919" w:type="dxa"/>
            <w:tcBorders>
              <w:top w:val="nil"/>
              <w:left w:val="nil"/>
              <w:bottom w:val="single" w:sz="8" w:space="0" w:color="auto"/>
              <w:right w:val="single" w:sz="8" w:space="0" w:color="auto"/>
            </w:tcBorders>
            <w:vAlign w:val="center"/>
            <w:hideMark/>
          </w:tcPr>
          <w:p w14:paraId="0DB8DAD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GESTION CONSCRUCTIVA JM SAS</w:t>
            </w:r>
          </w:p>
        </w:tc>
        <w:tc>
          <w:tcPr>
            <w:tcW w:w="817" w:type="dxa"/>
            <w:tcBorders>
              <w:top w:val="nil"/>
              <w:left w:val="nil"/>
              <w:bottom w:val="single" w:sz="8" w:space="0" w:color="auto"/>
              <w:right w:val="single" w:sz="8" w:space="0" w:color="auto"/>
            </w:tcBorders>
            <w:vAlign w:val="center"/>
            <w:hideMark/>
          </w:tcPr>
          <w:p w14:paraId="07AFA13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w:t>
            </w:r>
          </w:p>
        </w:tc>
        <w:tc>
          <w:tcPr>
            <w:tcW w:w="1271" w:type="dxa"/>
            <w:tcBorders>
              <w:top w:val="nil"/>
              <w:left w:val="nil"/>
              <w:bottom w:val="single" w:sz="8" w:space="0" w:color="auto"/>
              <w:right w:val="single" w:sz="8" w:space="0" w:color="auto"/>
            </w:tcBorders>
            <w:vAlign w:val="center"/>
            <w:hideMark/>
          </w:tcPr>
          <w:p w14:paraId="77C805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87%</w:t>
            </w:r>
          </w:p>
        </w:tc>
        <w:tc>
          <w:tcPr>
            <w:tcW w:w="1190" w:type="dxa"/>
            <w:tcBorders>
              <w:top w:val="nil"/>
              <w:left w:val="nil"/>
              <w:bottom w:val="single" w:sz="8" w:space="0" w:color="auto"/>
              <w:right w:val="single" w:sz="8" w:space="0" w:color="auto"/>
            </w:tcBorders>
            <w:vAlign w:val="center"/>
            <w:hideMark/>
          </w:tcPr>
          <w:p w14:paraId="4F8725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EB126F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230.982</w:t>
            </w:r>
          </w:p>
        </w:tc>
        <w:tc>
          <w:tcPr>
            <w:tcW w:w="1100" w:type="dxa"/>
            <w:tcBorders>
              <w:top w:val="nil"/>
              <w:left w:val="nil"/>
              <w:bottom w:val="single" w:sz="8" w:space="0" w:color="auto"/>
              <w:right w:val="single" w:sz="8" w:space="0" w:color="auto"/>
            </w:tcBorders>
            <w:vAlign w:val="center"/>
            <w:hideMark/>
          </w:tcPr>
          <w:p w14:paraId="3D31BF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w:t>
            </w:r>
          </w:p>
        </w:tc>
        <w:tc>
          <w:tcPr>
            <w:tcW w:w="1100" w:type="dxa"/>
            <w:tcBorders>
              <w:top w:val="nil"/>
              <w:left w:val="nil"/>
              <w:bottom w:val="single" w:sz="8" w:space="0" w:color="auto"/>
              <w:right w:val="single" w:sz="8" w:space="0" w:color="auto"/>
            </w:tcBorders>
            <w:vAlign w:val="center"/>
            <w:hideMark/>
          </w:tcPr>
          <w:p w14:paraId="389355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6ACD5E7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8FF20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156</w:t>
            </w:r>
          </w:p>
        </w:tc>
        <w:tc>
          <w:tcPr>
            <w:tcW w:w="1919" w:type="dxa"/>
            <w:tcBorders>
              <w:top w:val="nil"/>
              <w:left w:val="nil"/>
              <w:bottom w:val="single" w:sz="8" w:space="0" w:color="auto"/>
              <w:right w:val="single" w:sz="8" w:space="0" w:color="auto"/>
            </w:tcBorders>
            <w:vAlign w:val="center"/>
            <w:hideMark/>
          </w:tcPr>
          <w:p w14:paraId="7E9441A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 &amp; L EQUIPOS S.A.S.</w:t>
            </w:r>
          </w:p>
        </w:tc>
        <w:tc>
          <w:tcPr>
            <w:tcW w:w="817" w:type="dxa"/>
            <w:tcBorders>
              <w:top w:val="nil"/>
              <w:left w:val="nil"/>
              <w:bottom w:val="single" w:sz="8" w:space="0" w:color="auto"/>
              <w:right w:val="single" w:sz="8" w:space="0" w:color="auto"/>
            </w:tcBorders>
            <w:vAlign w:val="center"/>
            <w:hideMark/>
          </w:tcPr>
          <w:p w14:paraId="18A7196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3,26</w:t>
            </w:r>
          </w:p>
        </w:tc>
        <w:tc>
          <w:tcPr>
            <w:tcW w:w="1271" w:type="dxa"/>
            <w:tcBorders>
              <w:top w:val="nil"/>
              <w:left w:val="nil"/>
              <w:bottom w:val="single" w:sz="8" w:space="0" w:color="auto"/>
              <w:right w:val="single" w:sz="8" w:space="0" w:color="auto"/>
            </w:tcBorders>
            <w:vAlign w:val="center"/>
            <w:hideMark/>
          </w:tcPr>
          <w:p w14:paraId="5D8662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078753E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0,31</w:t>
            </w:r>
          </w:p>
        </w:tc>
        <w:tc>
          <w:tcPr>
            <w:tcW w:w="1099" w:type="dxa"/>
            <w:tcBorders>
              <w:top w:val="nil"/>
              <w:left w:val="nil"/>
              <w:bottom w:val="single" w:sz="8" w:space="0" w:color="auto"/>
              <w:right w:val="single" w:sz="8" w:space="0" w:color="auto"/>
            </w:tcBorders>
            <w:vAlign w:val="center"/>
            <w:hideMark/>
          </w:tcPr>
          <w:p w14:paraId="6DAA1A2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769.721</w:t>
            </w:r>
          </w:p>
        </w:tc>
        <w:tc>
          <w:tcPr>
            <w:tcW w:w="1100" w:type="dxa"/>
            <w:tcBorders>
              <w:top w:val="nil"/>
              <w:left w:val="nil"/>
              <w:bottom w:val="single" w:sz="8" w:space="0" w:color="auto"/>
              <w:right w:val="single" w:sz="8" w:space="0" w:color="auto"/>
            </w:tcBorders>
            <w:vAlign w:val="center"/>
            <w:hideMark/>
          </w:tcPr>
          <w:p w14:paraId="31B96F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31E64AB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7013DD6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3AEE5F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157</w:t>
            </w:r>
          </w:p>
        </w:tc>
        <w:tc>
          <w:tcPr>
            <w:tcW w:w="1919" w:type="dxa"/>
            <w:tcBorders>
              <w:top w:val="nil"/>
              <w:left w:val="nil"/>
              <w:bottom w:val="single" w:sz="8" w:space="0" w:color="auto"/>
              <w:right w:val="single" w:sz="8" w:space="0" w:color="auto"/>
            </w:tcBorders>
            <w:vAlign w:val="center"/>
            <w:hideMark/>
          </w:tcPr>
          <w:p w14:paraId="47B8CE4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SERVICIOS AVANZADOS E INGENIERIA SAS</w:t>
            </w:r>
          </w:p>
        </w:tc>
        <w:tc>
          <w:tcPr>
            <w:tcW w:w="817" w:type="dxa"/>
            <w:tcBorders>
              <w:top w:val="nil"/>
              <w:left w:val="nil"/>
              <w:bottom w:val="single" w:sz="8" w:space="0" w:color="auto"/>
              <w:right w:val="single" w:sz="8" w:space="0" w:color="auto"/>
            </w:tcBorders>
            <w:vAlign w:val="center"/>
            <w:hideMark/>
          </w:tcPr>
          <w:p w14:paraId="17CE77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3,07</w:t>
            </w:r>
          </w:p>
        </w:tc>
        <w:tc>
          <w:tcPr>
            <w:tcW w:w="1271" w:type="dxa"/>
            <w:tcBorders>
              <w:top w:val="nil"/>
              <w:left w:val="nil"/>
              <w:bottom w:val="single" w:sz="8" w:space="0" w:color="auto"/>
              <w:right w:val="single" w:sz="8" w:space="0" w:color="auto"/>
            </w:tcBorders>
            <w:vAlign w:val="center"/>
            <w:hideMark/>
          </w:tcPr>
          <w:p w14:paraId="66D1E1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w:t>
            </w:r>
          </w:p>
        </w:tc>
        <w:tc>
          <w:tcPr>
            <w:tcW w:w="1190" w:type="dxa"/>
            <w:tcBorders>
              <w:top w:val="nil"/>
              <w:left w:val="nil"/>
              <w:bottom w:val="single" w:sz="8" w:space="0" w:color="auto"/>
              <w:right w:val="single" w:sz="8" w:space="0" w:color="auto"/>
            </w:tcBorders>
            <w:vAlign w:val="center"/>
            <w:hideMark/>
          </w:tcPr>
          <w:p w14:paraId="1CBDC6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44,53</w:t>
            </w:r>
          </w:p>
        </w:tc>
        <w:tc>
          <w:tcPr>
            <w:tcW w:w="1099" w:type="dxa"/>
            <w:tcBorders>
              <w:top w:val="nil"/>
              <w:left w:val="nil"/>
              <w:bottom w:val="single" w:sz="8" w:space="0" w:color="auto"/>
              <w:right w:val="single" w:sz="8" w:space="0" w:color="auto"/>
            </w:tcBorders>
            <w:vAlign w:val="center"/>
            <w:hideMark/>
          </w:tcPr>
          <w:p w14:paraId="37741F4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3.359.727</w:t>
            </w:r>
          </w:p>
        </w:tc>
        <w:tc>
          <w:tcPr>
            <w:tcW w:w="1100" w:type="dxa"/>
            <w:tcBorders>
              <w:top w:val="nil"/>
              <w:left w:val="nil"/>
              <w:bottom w:val="single" w:sz="8" w:space="0" w:color="auto"/>
              <w:right w:val="single" w:sz="8" w:space="0" w:color="auto"/>
            </w:tcBorders>
            <w:vAlign w:val="center"/>
            <w:hideMark/>
          </w:tcPr>
          <w:p w14:paraId="7CE16C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00" w:type="dxa"/>
            <w:tcBorders>
              <w:top w:val="nil"/>
              <w:left w:val="nil"/>
              <w:bottom w:val="single" w:sz="8" w:space="0" w:color="auto"/>
              <w:right w:val="single" w:sz="8" w:space="0" w:color="auto"/>
            </w:tcBorders>
            <w:vAlign w:val="center"/>
            <w:hideMark/>
          </w:tcPr>
          <w:p w14:paraId="6F0A0FF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r>
      <w:tr w:rsidR="008468B3" w:rsidRPr="008468B3" w14:paraId="7EBB8C74"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4522CF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158</w:t>
            </w:r>
          </w:p>
        </w:tc>
        <w:tc>
          <w:tcPr>
            <w:tcW w:w="1919" w:type="dxa"/>
            <w:tcBorders>
              <w:top w:val="nil"/>
              <w:left w:val="nil"/>
              <w:bottom w:val="single" w:sz="8" w:space="0" w:color="auto"/>
              <w:right w:val="single" w:sz="8" w:space="0" w:color="auto"/>
            </w:tcBorders>
            <w:vAlign w:val="center"/>
            <w:hideMark/>
          </w:tcPr>
          <w:p w14:paraId="63851BE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ARRENDAMIENTO DE EQUIPOS Y CONSTRUCCIONES SAS</w:t>
            </w:r>
          </w:p>
        </w:tc>
        <w:tc>
          <w:tcPr>
            <w:tcW w:w="817" w:type="dxa"/>
            <w:tcBorders>
              <w:top w:val="nil"/>
              <w:left w:val="nil"/>
              <w:bottom w:val="single" w:sz="8" w:space="0" w:color="auto"/>
              <w:right w:val="single" w:sz="8" w:space="0" w:color="auto"/>
            </w:tcBorders>
            <w:vAlign w:val="center"/>
            <w:hideMark/>
          </w:tcPr>
          <w:p w14:paraId="048C25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8,41</w:t>
            </w:r>
          </w:p>
        </w:tc>
        <w:tc>
          <w:tcPr>
            <w:tcW w:w="1271" w:type="dxa"/>
            <w:tcBorders>
              <w:top w:val="nil"/>
              <w:left w:val="nil"/>
              <w:bottom w:val="single" w:sz="8" w:space="0" w:color="auto"/>
              <w:right w:val="single" w:sz="8" w:space="0" w:color="auto"/>
            </w:tcBorders>
            <w:vAlign w:val="center"/>
            <w:hideMark/>
          </w:tcPr>
          <w:p w14:paraId="0F842B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5C8D43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21,04</w:t>
            </w:r>
          </w:p>
        </w:tc>
        <w:tc>
          <w:tcPr>
            <w:tcW w:w="1099" w:type="dxa"/>
            <w:tcBorders>
              <w:top w:val="nil"/>
              <w:left w:val="nil"/>
              <w:bottom w:val="single" w:sz="8" w:space="0" w:color="auto"/>
              <w:right w:val="single" w:sz="8" w:space="0" w:color="auto"/>
            </w:tcBorders>
            <w:vAlign w:val="center"/>
            <w:hideMark/>
          </w:tcPr>
          <w:p w14:paraId="3270C32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6.931.882</w:t>
            </w:r>
          </w:p>
        </w:tc>
        <w:tc>
          <w:tcPr>
            <w:tcW w:w="1100" w:type="dxa"/>
            <w:tcBorders>
              <w:top w:val="nil"/>
              <w:left w:val="nil"/>
              <w:bottom w:val="single" w:sz="8" w:space="0" w:color="auto"/>
              <w:right w:val="single" w:sz="8" w:space="0" w:color="auto"/>
            </w:tcBorders>
            <w:vAlign w:val="center"/>
            <w:hideMark/>
          </w:tcPr>
          <w:p w14:paraId="2AFBC1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00" w:type="dxa"/>
            <w:tcBorders>
              <w:top w:val="nil"/>
              <w:left w:val="nil"/>
              <w:bottom w:val="single" w:sz="8" w:space="0" w:color="auto"/>
              <w:right w:val="single" w:sz="8" w:space="0" w:color="auto"/>
            </w:tcBorders>
            <w:vAlign w:val="center"/>
            <w:hideMark/>
          </w:tcPr>
          <w:p w14:paraId="1749A1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52E2EB86"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C0842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159</w:t>
            </w:r>
          </w:p>
        </w:tc>
        <w:tc>
          <w:tcPr>
            <w:tcW w:w="1919" w:type="dxa"/>
            <w:tcBorders>
              <w:top w:val="nil"/>
              <w:left w:val="nil"/>
              <w:bottom w:val="single" w:sz="8" w:space="0" w:color="auto"/>
              <w:right w:val="single" w:sz="8" w:space="0" w:color="auto"/>
            </w:tcBorders>
            <w:vAlign w:val="center"/>
            <w:hideMark/>
          </w:tcPr>
          <w:p w14:paraId="63ED807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KUBRIR INVERNADEROS S.A.S</w:t>
            </w:r>
          </w:p>
        </w:tc>
        <w:tc>
          <w:tcPr>
            <w:tcW w:w="817" w:type="dxa"/>
            <w:tcBorders>
              <w:top w:val="nil"/>
              <w:left w:val="nil"/>
              <w:bottom w:val="single" w:sz="8" w:space="0" w:color="auto"/>
              <w:right w:val="single" w:sz="8" w:space="0" w:color="auto"/>
            </w:tcBorders>
            <w:vAlign w:val="center"/>
            <w:hideMark/>
          </w:tcPr>
          <w:p w14:paraId="296681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5,56</w:t>
            </w:r>
          </w:p>
        </w:tc>
        <w:tc>
          <w:tcPr>
            <w:tcW w:w="1271" w:type="dxa"/>
            <w:tcBorders>
              <w:top w:val="nil"/>
              <w:left w:val="nil"/>
              <w:bottom w:val="single" w:sz="8" w:space="0" w:color="auto"/>
              <w:right w:val="single" w:sz="8" w:space="0" w:color="auto"/>
            </w:tcBorders>
            <w:vAlign w:val="center"/>
            <w:hideMark/>
          </w:tcPr>
          <w:p w14:paraId="5C8E086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90" w:type="dxa"/>
            <w:tcBorders>
              <w:top w:val="nil"/>
              <w:left w:val="nil"/>
              <w:bottom w:val="single" w:sz="8" w:space="0" w:color="auto"/>
              <w:right w:val="single" w:sz="8" w:space="0" w:color="auto"/>
            </w:tcBorders>
            <w:vAlign w:val="center"/>
            <w:hideMark/>
          </w:tcPr>
          <w:p w14:paraId="4FE673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6E216C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2.009.041</w:t>
            </w:r>
          </w:p>
        </w:tc>
        <w:tc>
          <w:tcPr>
            <w:tcW w:w="1100" w:type="dxa"/>
            <w:tcBorders>
              <w:top w:val="nil"/>
              <w:left w:val="nil"/>
              <w:bottom w:val="single" w:sz="8" w:space="0" w:color="auto"/>
              <w:right w:val="single" w:sz="8" w:space="0" w:color="auto"/>
            </w:tcBorders>
            <w:vAlign w:val="center"/>
            <w:hideMark/>
          </w:tcPr>
          <w:p w14:paraId="3A91C1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04C349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4E10444F"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667252F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160</w:t>
            </w:r>
          </w:p>
        </w:tc>
        <w:tc>
          <w:tcPr>
            <w:tcW w:w="1919" w:type="dxa"/>
            <w:tcBorders>
              <w:top w:val="nil"/>
              <w:left w:val="nil"/>
              <w:bottom w:val="single" w:sz="8" w:space="0" w:color="auto"/>
              <w:right w:val="single" w:sz="8" w:space="0" w:color="auto"/>
            </w:tcBorders>
            <w:vAlign w:val="center"/>
            <w:hideMark/>
          </w:tcPr>
          <w:p w14:paraId="4AE68F8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RETCOM SAS</w:t>
            </w:r>
          </w:p>
        </w:tc>
        <w:tc>
          <w:tcPr>
            <w:tcW w:w="817" w:type="dxa"/>
            <w:tcBorders>
              <w:top w:val="nil"/>
              <w:left w:val="nil"/>
              <w:bottom w:val="single" w:sz="8" w:space="0" w:color="auto"/>
              <w:right w:val="single" w:sz="8" w:space="0" w:color="auto"/>
            </w:tcBorders>
            <w:vAlign w:val="center"/>
            <w:hideMark/>
          </w:tcPr>
          <w:p w14:paraId="0A1DCD5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0,93</w:t>
            </w:r>
          </w:p>
        </w:tc>
        <w:tc>
          <w:tcPr>
            <w:tcW w:w="1271" w:type="dxa"/>
            <w:tcBorders>
              <w:top w:val="nil"/>
              <w:left w:val="nil"/>
              <w:bottom w:val="single" w:sz="8" w:space="0" w:color="auto"/>
              <w:right w:val="single" w:sz="8" w:space="0" w:color="auto"/>
            </w:tcBorders>
            <w:vAlign w:val="center"/>
            <w:hideMark/>
          </w:tcPr>
          <w:p w14:paraId="345A860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81%</w:t>
            </w:r>
          </w:p>
        </w:tc>
        <w:tc>
          <w:tcPr>
            <w:tcW w:w="1190" w:type="dxa"/>
            <w:tcBorders>
              <w:top w:val="nil"/>
              <w:left w:val="nil"/>
              <w:bottom w:val="single" w:sz="8" w:space="0" w:color="auto"/>
              <w:right w:val="single" w:sz="8" w:space="0" w:color="auto"/>
            </w:tcBorders>
            <w:vAlign w:val="center"/>
            <w:hideMark/>
          </w:tcPr>
          <w:p w14:paraId="0FD3853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1,14</w:t>
            </w:r>
          </w:p>
        </w:tc>
        <w:tc>
          <w:tcPr>
            <w:tcW w:w="1099" w:type="dxa"/>
            <w:tcBorders>
              <w:top w:val="nil"/>
              <w:left w:val="nil"/>
              <w:bottom w:val="single" w:sz="8" w:space="0" w:color="auto"/>
              <w:right w:val="single" w:sz="8" w:space="0" w:color="auto"/>
            </w:tcBorders>
            <w:vAlign w:val="center"/>
            <w:hideMark/>
          </w:tcPr>
          <w:p w14:paraId="40AA794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-364.627</w:t>
            </w:r>
          </w:p>
        </w:tc>
        <w:tc>
          <w:tcPr>
            <w:tcW w:w="1100" w:type="dxa"/>
            <w:tcBorders>
              <w:top w:val="nil"/>
              <w:left w:val="nil"/>
              <w:bottom w:val="single" w:sz="8" w:space="0" w:color="auto"/>
              <w:right w:val="single" w:sz="8" w:space="0" w:color="auto"/>
            </w:tcBorders>
            <w:vAlign w:val="center"/>
            <w:hideMark/>
          </w:tcPr>
          <w:p w14:paraId="66FC758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7E34E3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671A81ED"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6119755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161</w:t>
            </w:r>
          </w:p>
        </w:tc>
        <w:tc>
          <w:tcPr>
            <w:tcW w:w="1919" w:type="dxa"/>
            <w:tcBorders>
              <w:top w:val="nil"/>
              <w:left w:val="nil"/>
              <w:bottom w:val="single" w:sz="8" w:space="0" w:color="auto"/>
              <w:right w:val="single" w:sz="8" w:space="0" w:color="auto"/>
            </w:tcBorders>
            <w:vAlign w:val="center"/>
            <w:hideMark/>
          </w:tcPr>
          <w:p w14:paraId="28B6B6D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IVALVAN S.A.S.</w:t>
            </w:r>
          </w:p>
        </w:tc>
        <w:tc>
          <w:tcPr>
            <w:tcW w:w="817" w:type="dxa"/>
            <w:tcBorders>
              <w:top w:val="nil"/>
              <w:left w:val="nil"/>
              <w:bottom w:val="single" w:sz="8" w:space="0" w:color="auto"/>
              <w:right w:val="single" w:sz="8" w:space="0" w:color="auto"/>
            </w:tcBorders>
            <w:vAlign w:val="center"/>
            <w:hideMark/>
          </w:tcPr>
          <w:p w14:paraId="049106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1,58</w:t>
            </w:r>
          </w:p>
        </w:tc>
        <w:tc>
          <w:tcPr>
            <w:tcW w:w="1271" w:type="dxa"/>
            <w:tcBorders>
              <w:top w:val="nil"/>
              <w:left w:val="nil"/>
              <w:bottom w:val="single" w:sz="8" w:space="0" w:color="auto"/>
              <w:right w:val="single" w:sz="8" w:space="0" w:color="auto"/>
            </w:tcBorders>
            <w:vAlign w:val="center"/>
            <w:hideMark/>
          </w:tcPr>
          <w:p w14:paraId="4ABC2F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190" w:type="dxa"/>
            <w:tcBorders>
              <w:top w:val="nil"/>
              <w:left w:val="nil"/>
              <w:bottom w:val="single" w:sz="8" w:space="0" w:color="auto"/>
              <w:right w:val="single" w:sz="8" w:space="0" w:color="auto"/>
            </w:tcBorders>
            <w:vAlign w:val="center"/>
            <w:hideMark/>
          </w:tcPr>
          <w:p w14:paraId="307F5C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1,68</w:t>
            </w:r>
          </w:p>
        </w:tc>
        <w:tc>
          <w:tcPr>
            <w:tcW w:w="1099" w:type="dxa"/>
            <w:tcBorders>
              <w:top w:val="nil"/>
              <w:left w:val="nil"/>
              <w:bottom w:val="single" w:sz="8" w:space="0" w:color="auto"/>
              <w:right w:val="single" w:sz="8" w:space="0" w:color="auto"/>
            </w:tcBorders>
            <w:vAlign w:val="center"/>
            <w:hideMark/>
          </w:tcPr>
          <w:p w14:paraId="20F9EBC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744.228</w:t>
            </w:r>
          </w:p>
        </w:tc>
        <w:tc>
          <w:tcPr>
            <w:tcW w:w="1100" w:type="dxa"/>
            <w:tcBorders>
              <w:top w:val="nil"/>
              <w:left w:val="nil"/>
              <w:bottom w:val="single" w:sz="8" w:space="0" w:color="auto"/>
              <w:right w:val="single" w:sz="8" w:space="0" w:color="auto"/>
            </w:tcBorders>
            <w:vAlign w:val="center"/>
            <w:hideMark/>
          </w:tcPr>
          <w:p w14:paraId="2ED81C5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33C351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790C527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EF746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162</w:t>
            </w:r>
          </w:p>
        </w:tc>
        <w:tc>
          <w:tcPr>
            <w:tcW w:w="1919" w:type="dxa"/>
            <w:tcBorders>
              <w:top w:val="nil"/>
              <w:left w:val="nil"/>
              <w:bottom w:val="single" w:sz="8" w:space="0" w:color="auto"/>
              <w:right w:val="single" w:sz="8" w:space="0" w:color="auto"/>
            </w:tcBorders>
            <w:vAlign w:val="center"/>
            <w:hideMark/>
          </w:tcPr>
          <w:p w14:paraId="6F5A66D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ACUSTICA INTEGRADA SAS</w:t>
            </w:r>
          </w:p>
        </w:tc>
        <w:tc>
          <w:tcPr>
            <w:tcW w:w="817" w:type="dxa"/>
            <w:tcBorders>
              <w:top w:val="nil"/>
              <w:left w:val="nil"/>
              <w:bottom w:val="single" w:sz="8" w:space="0" w:color="auto"/>
              <w:right w:val="single" w:sz="8" w:space="0" w:color="auto"/>
            </w:tcBorders>
            <w:vAlign w:val="center"/>
            <w:hideMark/>
          </w:tcPr>
          <w:p w14:paraId="7A2720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5,92</w:t>
            </w:r>
          </w:p>
        </w:tc>
        <w:tc>
          <w:tcPr>
            <w:tcW w:w="1271" w:type="dxa"/>
            <w:tcBorders>
              <w:top w:val="nil"/>
              <w:left w:val="nil"/>
              <w:bottom w:val="single" w:sz="8" w:space="0" w:color="auto"/>
              <w:right w:val="single" w:sz="8" w:space="0" w:color="auto"/>
            </w:tcBorders>
            <w:vAlign w:val="center"/>
            <w:hideMark/>
          </w:tcPr>
          <w:p w14:paraId="4A1451A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088DAC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24,08</w:t>
            </w:r>
          </w:p>
        </w:tc>
        <w:tc>
          <w:tcPr>
            <w:tcW w:w="1099" w:type="dxa"/>
            <w:tcBorders>
              <w:top w:val="nil"/>
              <w:left w:val="nil"/>
              <w:bottom w:val="single" w:sz="8" w:space="0" w:color="auto"/>
              <w:right w:val="single" w:sz="8" w:space="0" w:color="auto"/>
            </w:tcBorders>
            <w:vAlign w:val="center"/>
            <w:hideMark/>
          </w:tcPr>
          <w:p w14:paraId="3E25E1A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5.107.861</w:t>
            </w:r>
          </w:p>
        </w:tc>
        <w:tc>
          <w:tcPr>
            <w:tcW w:w="1100" w:type="dxa"/>
            <w:tcBorders>
              <w:top w:val="nil"/>
              <w:left w:val="nil"/>
              <w:bottom w:val="single" w:sz="8" w:space="0" w:color="auto"/>
              <w:right w:val="single" w:sz="8" w:space="0" w:color="auto"/>
            </w:tcBorders>
            <w:vAlign w:val="center"/>
            <w:hideMark/>
          </w:tcPr>
          <w:p w14:paraId="4E4EB3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100" w:type="dxa"/>
            <w:tcBorders>
              <w:top w:val="nil"/>
              <w:left w:val="nil"/>
              <w:bottom w:val="single" w:sz="8" w:space="0" w:color="auto"/>
              <w:right w:val="single" w:sz="8" w:space="0" w:color="auto"/>
            </w:tcBorders>
            <w:vAlign w:val="center"/>
            <w:hideMark/>
          </w:tcPr>
          <w:p w14:paraId="3C3930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r>
      <w:tr w:rsidR="008468B3" w:rsidRPr="008468B3" w14:paraId="065D5842"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68C419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163</w:t>
            </w:r>
          </w:p>
        </w:tc>
        <w:tc>
          <w:tcPr>
            <w:tcW w:w="1919" w:type="dxa"/>
            <w:tcBorders>
              <w:top w:val="nil"/>
              <w:left w:val="nil"/>
              <w:bottom w:val="single" w:sz="8" w:space="0" w:color="auto"/>
              <w:right w:val="single" w:sz="8" w:space="0" w:color="auto"/>
            </w:tcBorders>
            <w:vAlign w:val="center"/>
            <w:hideMark/>
          </w:tcPr>
          <w:p w14:paraId="46147E1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GIGA INGENIERIA Y CONSTRUCCIONES SAS</w:t>
            </w:r>
          </w:p>
        </w:tc>
        <w:tc>
          <w:tcPr>
            <w:tcW w:w="817" w:type="dxa"/>
            <w:tcBorders>
              <w:top w:val="nil"/>
              <w:left w:val="nil"/>
              <w:bottom w:val="single" w:sz="8" w:space="0" w:color="auto"/>
              <w:right w:val="single" w:sz="8" w:space="0" w:color="auto"/>
            </w:tcBorders>
            <w:vAlign w:val="center"/>
            <w:hideMark/>
          </w:tcPr>
          <w:p w14:paraId="1B36836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32,83</w:t>
            </w:r>
          </w:p>
        </w:tc>
        <w:tc>
          <w:tcPr>
            <w:tcW w:w="1271" w:type="dxa"/>
            <w:tcBorders>
              <w:top w:val="nil"/>
              <w:left w:val="nil"/>
              <w:bottom w:val="single" w:sz="8" w:space="0" w:color="auto"/>
              <w:right w:val="single" w:sz="8" w:space="0" w:color="auto"/>
            </w:tcBorders>
            <w:vAlign w:val="center"/>
            <w:hideMark/>
          </w:tcPr>
          <w:p w14:paraId="155C366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90" w:type="dxa"/>
            <w:tcBorders>
              <w:top w:val="nil"/>
              <w:left w:val="nil"/>
              <w:bottom w:val="single" w:sz="8" w:space="0" w:color="auto"/>
              <w:right w:val="single" w:sz="8" w:space="0" w:color="auto"/>
            </w:tcBorders>
            <w:vAlign w:val="center"/>
            <w:hideMark/>
          </w:tcPr>
          <w:p w14:paraId="0DA0C0E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B1608F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9.159.156</w:t>
            </w:r>
          </w:p>
        </w:tc>
        <w:tc>
          <w:tcPr>
            <w:tcW w:w="1100" w:type="dxa"/>
            <w:tcBorders>
              <w:top w:val="nil"/>
              <w:left w:val="nil"/>
              <w:bottom w:val="single" w:sz="8" w:space="0" w:color="auto"/>
              <w:right w:val="single" w:sz="8" w:space="0" w:color="auto"/>
            </w:tcBorders>
            <w:vAlign w:val="center"/>
            <w:hideMark/>
          </w:tcPr>
          <w:p w14:paraId="476276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27586D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70B183FD"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460F94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164</w:t>
            </w:r>
          </w:p>
        </w:tc>
        <w:tc>
          <w:tcPr>
            <w:tcW w:w="1919" w:type="dxa"/>
            <w:tcBorders>
              <w:top w:val="nil"/>
              <w:left w:val="nil"/>
              <w:bottom w:val="single" w:sz="8" w:space="0" w:color="auto"/>
              <w:right w:val="single" w:sz="8" w:space="0" w:color="auto"/>
            </w:tcBorders>
            <w:vAlign w:val="center"/>
            <w:hideMark/>
          </w:tcPr>
          <w:p w14:paraId="5EB15EC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CERMONT SAS</w:t>
            </w:r>
          </w:p>
        </w:tc>
        <w:tc>
          <w:tcPr>
            <w:tcW w:w="817" w:type="dxa"/>
            <w:tcBorders>
              <w:top w:val="nil"/>
              <w:left w:val="nil"/>
              <w:bottom w:val="single" w:sz="8" w:space="0" w:color="auto"/>
              <w:right w:val="single" w:sz="8" w:space="0" w:color="auto"/>
            </w:tcBorders>
            <w:vAlign w:val="center"/>
            <w:hideMark/>
          </w:tcPr>
          <w:p w14:paraId="558E78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1,32</w:t>
            </w:r>
          </w:p>
        </w:tc>
        <w:tc>
          <w:tcPr>
            <w:tcW w:w="1271" w:type="dxa"/>
            <w:tcBorders>
              <w:top w:val="nil"/>
              <w:left w:val="nil"/>
              <w:bottom w:val="single" w:sz="8" w:space="0" w:color="auto"/>
              <w:right w:val="single" w:sz="8" w:space="0" w:color="auto"/>
            </w:tcBorders>
            <w:vAlign w:val="center"/>
            <w:hideMark/>
          </w:tcPr>
          <w:p w14:paraId="55A515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w:t>
            </w:r>
          </w:p>
        </w:tc>
        <w:tc>
          <w:tcPr>
            <w:tcW w:w="1190" w:type="dxa"/>
            <w:tcBorders>
              <w:top w:val="nil"/>
              <w:left w:val="nil"/>
              <w:bottom w:val="single" w:sz="8" w:space="0" w:color="auto"/>
              <w:right w:val="single" w:sz="8" w:space="0" w:color="auto"/>
            </w:tcBorders>
            <w:vAlign w:val="center"/>
            <w:hideMark/>
          </w:tcPr>
          <w:p w14:paraId="393441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15,10</w:t>
            </w:r>
          </w:p>
        </w:tc>
        <w:tc>
          <w:tcPr>
            <w:tcW w:w="1099" w:type="dxa"/>
            <w:tcBorders>
              <w:top w:val="nil"/>
              <w:left w:val="nil"/>
              <w:bottom w:val="single" w:sz="8" w:space="0" w:color="auto"/>
              <w:right w:val="single" w:sz="8" w:space="0" w:color="auto"/>
            </w:tcBorders>
            <w:vAlign w:val="center"/>
            <w:hideMark/>
          </w:tcPr>
          <w:p w14:paraId="24B9279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208.579</w:t>
            </w:r>
          </w:p>
        </w:tc>
        <w:tc>
          <w:tcPr>
            <w:tcW w:w="1100" w:type="dxa"/>
            <w:tcBorders>
              <w:top w:val="nil"/>
              <w:left w:val="nil"/>
              <w:bottom w:val="single" w:sz="8" w:space="0" w:color="auto"/>
              <w:right w:val="single" w:sz="8" w:space="0" w:color="auto"/>
            </w:tcBorders>
            <w:vAlign w:val="center"/>
            <w:hideMark/>
          </w:tcPr>
          <w:p w14:paraId="6E30D42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00" w:type="dxa"/>
            <w:tcBorders>
              <w:top w:val="nil"/>
              <w:left w:val="nil"/>
              <w:bottom w:val="single" w:sz="8" w:space="0" w:color="auto"/>
              <w:right w:val="single" w:sz="8" w:space="0" w:color="auto"/>
            </w:tcBorders>
            <w:vAlign w:val="center"/>
            <w:hideMark/>
          </w:tcPr>
          <w:p w14:paraId="62479F2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66B07F52"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52185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165</w:t>
            </w:r>
          </w:p>
        </w:tc>
        <w:tc>
          <w:tcPr>
            <w:tcW w:w="1919" w:type="dxa"/>
            <w:tcBorders>
              <w:top w:val="nil"/>
              <w:left w:val="nil"/>
              <w:bottom w:val="single" w:sz="8" w:space="0" w:color="auto"/>
              <w:right w:val="single" w:sz="8" w:space="0" w:color="auto"/>
            </w:tcBorders>
            <w:vAlign w:val="center"/>
            <w:hideMark/>
          </w:tcPr>
          <w:p w14:paraId="520C9FB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GYM SAS</w:t>
            </w:r>
          </w:p>
        </w:tc>
        <w:tc>
          <w:tcPr>
            <w:tcW w:w="817" w:type="dxa"/>
            <w:tcBorders>
              <w:top w:val="nil"/>
              <w:left w:val="nil"/>
              <w:bottom w:val="single" w:sz="8" w:space="0" w:color="auto"/>
              <w:right w:val="single" w:sz="8" w:space="0" w:color="auto"/>
            </w:tcBorders>
            <w:vAlign w:val="center"/>
            <w:hideMark/>
          </w:tcPr>
          <w:p w14:paraId="49587C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42,92</w:t>
            </w:r>
          </w:p>
        </w:tc>
        <w:tc>
          <w:tcPr>
            <w:tcW w:w="1271" w:type="dxa"/>
            <w:tcBorders>
              <w:top w:val="nil"/>
              <w:left w:val="nil"/>
              <w:bottom w:val="single" w:sz="8" w:space="0" w:color="auto"/>
              <w:right w:val="single" w:sz="8" w:space="0" w:color="auto"/>
            </w:tcBorders>
            <w:vAlign w:val="center"/>
            <w:hideMark/>
          </w:tcPr>
          <w:p w14:paraId="62BDB8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190" w:type="dxa"/>
            <w:tcBorders>
              <w:top w:val="nil"/>
              <w:left w:val="nil"/>
              <w:bottom w:val="single" w:sz="8" w:space="0" w:color="auto"/>
              <w:right w:val="single" w:sz="8" w:space="0" w:color="auto"/>
            </w:tcBorders>
            <w:vAlign w:val="center"/>
            <w:hideMark/>
          </w:tcPr>
          <w:p w14:paraId="236BA5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3BAE31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2.166.113</w:t>
            </w:r>
          </w:p>
        </w:tc>
        <w:tc>
          <w:tcPr>
            <w:tcW w:w="1100" w:type="dxa"/>
            <w:tcBorders>
              <w:top w:val="nil"/>
              <w:left w:val="nil"/>
              <w:bottom w:val="single" w:sz="8" w:space="0" w:color="auto"/>
              <w:right w:val="single" w:sz="8" w:space="0" w:color="auto"/>
            </w:tcBorders>
            <w:vAlign w:val="center"/>
            <w:hideMark/>
          </w:tcPr>
          <w:p w14:paraId="63A6030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00" w:type="dxa"/>
            <w:tcBorders>
              <w:top w:val="nil"/>
              <w:left w:val="nil"/>
              <w:bottom w:val="single" w:sz="8" w:space="0" w:color="auto"/>
              <w:right w:val="single" w:sz="8" w:space="0" w:color="auto"/>
            </w:tcBorders>
            <w:vAlign w:val="center"/>
            <w:hideMark/>
          </w:tcPr>
          <w:p w14:paraId="72CE12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06C21A65"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1C11576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166</w:t>
            </w:r>
          </w:p>
        </w:tc>
        <w:tc>
          <w:tcPr>
            <w:tcW w:w="1919" w:type="dxa"/>
            <w:tcBorders>
              <w:top w:val="nil"/>
              <w:left w:val="nil"/>
              <w:bottom w:val="single" w:sz="8" w:space="0" w:color="auto"/>
              <w:right w:val="single" w:sz="8" w:space="0" w:color="auto"/>
            </w:tcBorders>
            <w:vAlign w:val="center"/>
            <w:hideMark/>
          </w:tcPr>
          <w:p w14:paraId="6053433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SIMEDT S.A.S.</w:t>
            </w:r>
          </w:p>
        </w:tc>
        <w:tc>
          <w:tcPr>
            <w:tcW w:w="817" w:type="dxa"/>
            <w:tcBorders>
              <w:top w:val="nil"/>
              <w:left w:val="nil"/>
              <w:bottom w:val="single" w:sz="8" w:space="0" w:color="auto"/>
              <w:right w:val="single" w:sz="8" w:space="0" w:color="auto"/>
            </w:tcBorders>
            <w:vAlign w:val="center"/>
            <w:hideMark/>
          </w:tcPr>
          <w:p w14:paraId="754585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1,63</w:t>
            </w:r>
          </w:p>
        </w:tc>
        <w:tc>
          <w:tcPr>
            <w:tcW w:w="1271" w:type="dxa"/>
            <w:tcBorders>
              <w:top w:val="nil"/>
              <w:left w:val="nil"/>
              <w:bottom w:val="single" w:sz="8" w:space="0" w:color="auto"/>
              <w:right w:val="single" w:sz="8" w:space="0" w:color="auto"/>
            </w:tcBorders>
            <w:vAlign w:val="center"/>
            <w:hideMark/>
          </w:tcPr>
          <w:p w14:paraId="072A922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93%</w:t>
            </w:r>
          </w:p>
        </w:tc>
        <w:tc>
          <w:tcPr>
            <w:tcW w:w="1190" w:type="dxa"/>
            <w:tcBorders>
              <w:top w:val="nil"/>
              <w:left w:val="nil"/>
              <w:bottom w:val="single" w:sz="8" w:space="0" w:color="auto"/>
              <w:right w:val="single" w:sz="8" w:space="0" w:color="auto"/>
            </w:tcBorders>
            <w:vAlign w:val="center"/>
            <w:hideMark/>
          </w:tcPr>
          <w:p w14:paraId="073631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0,20</w:t>
            </w:r>
          </w:p>
        </w:tc>
        <w:tc>
          <w:tcPr>
            <w:tcW w:w="1099" w:type="dxa"/>
            <w:tcBorders>
              <w:top w:val="nil"/>
              <w:left w:val="nil"/>
              <w:bottom w:val="single" w:sz="8" w:space="0" w:color="auto"/>
              <w:right w:val="single" w:sz="8" w:space="0" w:color="auto"/>
            </w:tcBorders>
            <w:vAlign w:val="center"/>
            <w:hideMark/>
          </w:tcPr>
          <w:p w14:paraId="45211F1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646.545</w:t>
            </w:r>
          </w:p>
        </w:tc>
        <w:tc>
          <w:tcPr>
            <w:tcW w:w="1100" w:type="dxa"/>
            <w:tcBorders>
              <w:top w:val="nil"/>
              <w:left w:val="nil"/>
              <w:bottom w:val="single" w:sz="8" w:space="0" w:color="auto"/>
              <w:right w:val="single" w:sz="8" w:space="0" w:color="auto"/>
            </w:tcBorders>
            <w:vAlign w:val="center"/>
            <w:hideMark/>
          </w:tcPr>
          <w:p w14:paraId="22B2E0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435DF6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4A1A8EB7"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5F7B53C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167</w:t>
            </w:r>
          </w:p>
        </w:tc>
        <w:tc>
          <w:tcPr>
            <w:tcW w:w="1919" w:type="dxa"/>
            <w:tcBorders>
              <w:top w:val="nil"/>
              <w:left w:val="nil"/>
              <w:bottom w:val="single" w:sz="8" w:space="0" w:color="auto"/>
              <w:right w:val="single" w:sz="8" w:space="0" w:color="auto"/>
            </w:tcBorders>
            <w:vAlign w:val="center"/>
            <w:hideMark/>
          </w:tcPr>
          <w:p w14:paraId="1949F74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THEKA LTDA</w:t>
            </w:r>
          </w:p>
        </w:tc>
        <w:tc>
          <w:tcPr>
            <w:tcW w:w="817" w:type="dxa"/>
            <w:tcBorders>
              <w:top w:val="nil"/>
              <w:left w:val="nil"/>
              <w:bottom w:val="single" w:sz="8" w:space="0" w:color="auto"/>
              <w:right w:val="single" w:sz="8" w:space="0" w:color="auto"/>
            </w:tcBorders>
            <w:vAlign w:val="center"/>
            <w:hideMark/>
          </w:tcPr>
          <w:p w14:paraId="459F12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8,00</w:t>
            </w:r>
          </w:p>
        </w:tc>
        <w:tc>
          <w:tcPr>
            <w:tcW w:w="1271" w:type="dxa"/>
            <w:tcBorders>
              <w:top w:val="nil"/>
              <w:left w:val="nil"/>
              <w:bottom w:val="single" w:sz="8" w:space="0" w:color="auto"/>
              <w:right w:val="single" w:sz="8" w:space="0" w:color="auto"/>
            </w:tcBorders>
            <w:vAlign w:val="center"/>
            <w:hideMark/>
          </w:tcPr>
          <w:p w14:paraId="029CCBD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c>
          <w:tcPr>
            <w:tcW w:w="1190" w:type="dxa"/>
            <w:tcBorders>
              <w:top w:val="nil"/>
              <w:left w:val="nil"/>
              <w:bottom w:val="single" w:sz="8" w:space="0" w:color="auto"/>
              <w:right w:val="single" w:sz="8" w:space="0" w:color="auto"/>
            </w:tcBorders>
            <w:vAlign w:val="center"/>
            <w:hideMark/>
          </w:tcPr>
          <w:p w14:paraId="5445EC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3,26</w:t>
            </w:r>
          </w:p>
        </w:tc>
        <w:tc>
          <w:tcPr>
            <w:tcW w:w="1099" w:type="dxa"/>
            <w:tcBorders>
              <w:top w:val="nil"/>
              <w:left w:val="nil"/>
              <w:bottom w:val="single" w:sz="8" w:space="0" w:color="auto"/>
              <w:right w:val="single" w:sz="8" w:space="0" w:color="auto"/>
            </w:tcBorders>
            <w:vAlign w:val="center"/>
            <w:hideMark/>
          </w:tcPr>
          <w:p w14:paraId="19A1DB5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1.787.541</w:t>
            </w:r>
          </w:p>
        </w:tc>
        <w:tc>
          <w:tcPr>
            <w:tcW w:w="1100" w:type="dxa"/>
            <w:tcBorders>
              <w:top w:val="nil"/>
              <w:left w:val="nil"/>
              <w:bottom w:val="single" w:sz="8" w:space="0" w:color="auto"/>
              <w:right w:val="single" w:sz="8" w:space="0" w:color="auto"/>
            </w:tcBorders>
            <w:vAlign w:val="center"/>
            <w:hideMark/>
          </w:tcPr>
          <w:p w14:paraId="716773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w:t>
            </w:r>
          </w:p>
        </w:tc>
        <w:tc>
          <w:tcPr>
            <w:tcW w:w="1100" w:type="dxa"/>
            <w:tcBorders>
              <w:top w:val="nil"/>
              <w:left w:val="nil"/>
              <w:bottom w:val="single" w:sz="8" w:space="0" w:color="auto"/>
              <w:right w:val="single" w:sz="8" w:space="0" w:color="auto"/>
            </w:tcBorders>
            <w:vAlign w:val="center"/>
            <w:hideMark/>
          </w:tcPr>
          <w:p w14:paraId="28C289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0CD5A8D4"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7E1D5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168</w:t>
            </w:r>
          </w:p>
        </w:tc>
        <w:tc>
          <w:tcPr>
            <w:tcW w:w="1919" w:type="dxa"/>
            <w:tcBorders>
              <w:top w:val="nil"/>
              <w:left w:val="nil"/>
              <w:bottom w:val="single" w:sz="8" w:space="0" w:color="auto"/>
              <w:right w:val="single" w:sz="8" w:space="0" w:color="auto"/>
            </w:tcBorders>
            <w:vAlign w:val="center"/>
            <w:hideMark/>
          </w:tcPr>
          <w:p w14:paraId="2DC2B37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BARRERA 2000 S EN C A</w:t>
            </w:r>
          </w:p>
        </w:tc>
        <w:tc>
          <w:tcPr>
            <w:tcW w:w="817" w:type="dxa"/>
            <w:tcBorders>
              <w:top w:val="nil"/>
              <w:left w:val="nil"/>
              <w:bottom w:val="single" w:sz="8" w:space="0" w:color="auto"/>
              <w:right w:val="single" w:sz="8" w:space="0" w:color="auto"/>
            </w:tcBorders>
            <w:vAlign w:val="center"/>
            <w:hideMark/>
          </w:tcPr>
          <w:p w14:paraId="216C9B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1,27</w:t>
            </w:r>
          </w:p>
        </w:tc>
        <w:tc>
          <w:tcPr>
            <w:tcW w:w="1271" w:type="dxa"/>
            <w:tcBorders>
              <w:top w:val="nil"/>
              <w:left w:val="nil"/>
              <w:bottom w:val="single" w:sz="8" w:space="0" w:color="auto"/>
              <w:right w:val="single" w:sz="8" w:space="0" w:color="auto"/>
            </w:tcBorders>
            <w:vAlign w:val="center"/>
            <w:hideMark/>
          </w:tcPr>
          <w:p w14:paraId="5E96563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4876583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-43,90</w:t>
            </w:r>
          </w:p>
        </w:tc>
        <w:tc>
          <w:tcPr>
            <w:tcW w:w="1099" w:type="dxa"/>
            <w:tcBorders>
              <w:top w:val="nil"/>
              <w:left w:val="nil"/>
              <w:bottom w:val="single" w:sz="8" w:space="0" w:color="auto"/>
              <w:right w:val="single" w:sz="8" w:space="0" w:color="auto"/>
            </w:tcBorders>
            <w:vAlign w:val="center"/>
            <w:hideMark/>
          </w:tcPr>
          <w:p w14:paraId="7F2326D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1.137.038</w:t>
            </w:r>
          </w:p>
        </w:tc>
        <w:tc>
          <w:tcPr>
            <w:tcW w:w="1100" w:type="dxa"/>
            <w:tcBorders>
              <w:top w:val="nil"/>
              <w:left w:val="nil"/>
              <w:bottom w:val="single" w:sz="8" w:space="0" w:color="auto"/>
              <w:right w:val="single" w:sz="8" w:space="0" w:color="auto"/>
            </w:tcBorders>
            <w:vAlign w:val="center"/>
            <w:hideMark/>
          </w:tcPr>
          <w:p w14:paraId="0295354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3128FF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23E74AD2"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BBA7E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169</w:t>
            </w:r>
          </w:p>
        </w:tc>
        <w:tc>
          <w:tcPr>
            <w:tcW w:w="1919" w:type="dxa"/>
            <w:tcBorders>
              <w:top w:val="nil"/>
              <w:left w:val="nil"/>
              <w:bottom w:val="single" w:sz="8" w:space="0" w:color="auto"/>
              <w:right w:val="single" w:sz="8" w:space="0" w:color="auto"/>
            </w:tcBorders>
            <w:vAlign w:val="center"/>
            <w:hideMark/>
          </w:tcPr>
          <w:p w14:paraId="3C8CD73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CEDRO SAS</w:t>
            </w:r>
          </w:p>
        </w:tc>
        <w:tc>
          <w:tcPr>
            <w:tcW w:w="817" w:type="dxa"/>
            <w:tcBorders>
              <w:top w:val="nil"/>
              <w:left w:val="nil"/>
              <w:bottom w:val="single" w:sz="8" w:space="0" w:color="auto"/>
              <w:right w:val="single" w:sz="8" w:space="0" w:color="auto"/>
            </w:tcBorders>
            <w:vAlign w:val="center"/>
            <w:hideMark/>
          </w:tcPr>
          <w:p w14:paraId="022877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3,97</w:t>
            </w:r>
          </w:p>
        </w:tc>
        <w:tc>
          <w:tcPr>
            <w:tcW w:w="1271" w:type="dxa"/>
            <w:tcBorders>
              <w:top w:val="nil"/>
              <w:left w:val="nil"/>
              <w:bottom w:val="single" w:sz="8" w:space="0" w:color="auto"/>
              <w:right w:val="single" w:sz="8" w:space="0" w:color="auto"/>
            </w:tcBorders>
            <w:vAlign w:val="center"/>
            <w:hideMark/>
          </w:tcPr>
          <w:p w14:paraId="656BF80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c>
          <w:tcPr>
            <w:tcW w:w="1190" w:type="dxa"/>
            <w:tcBorders>
              <w:top w:val="nil"/>
              <w:left w:val="nil"/>
              <w:bottom w:val="single" w:sz="8" w:space="0" w:color="auto"/>
              <w:right w:val="single" w:sz="8" w:space="0" w:color="auto"/>
            </w:tcBorders>
            <w:vAlign w:val="center"/>
            <w:hideMark/>
          </w:tcPr>
          <w:p w14:paraId="7A17EBC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-6,51</w:t>
            </w:r>
          </w:p>
        </w:tc>
        <w:tc>
          <w:tcPr>
            <w:tcW w:w="1099" w:type="dxa"/>
            <w:tcBorders>
              <w:top w:val="nil"/>
              <w:left w:val="nil"/>
              <w:bottom w:val="single" w:sz="8" w:space="0" w:color="auto"/>
              <w:right w:val="single" w:sz="8" w:space="0" w:color="auto"/>
            </w:tcBorders>
            <w:vAlign w:val="center"/>
            <w:hideMark/>
          </w:tcPr>
          <w:p w14:paraId="02BC449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567.147</w:t>
            </w:r>
          </w:p>
        </w:tc>
        <w:tc>
          <w:tcPr>
            <w:tcW w:w="1100" w:type="dxa"/>
            <w:tcBorders>
              <w:top w:val="nil"/>
              <w:left w:val="nil"/>
              <w:bottom w:val="single" w:sz="8" w:space="0" w:color="auto"/>
              <w:right w:val="single" w:sz="8" w:space="0" w:color="auto"/>
            </w:tcBorders>
            <w:vAlign w:val="center"/>
            <w:hideMark/>
          </w:tcPr>
          <w:p w14:paraId="0B9F7F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00F722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45E3A861"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7B2E182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170</w:t>
            </w:r>
          </w:p>
        </w:tc>
        <w:tc>
          <w:tcPr>
            <w:tcW w:w="1919" w:type="dxa"/>
            <w:tcBorders>
              <w:top w:val="nil"/>
              <w:left w:val="nil"/>
              <w:bottom w:val="single" w:sz="8" w:space="0" w:color="auto"/>
              <w:right w:val="single" w:sz="8" w:space="0" w:color="auto"/>
            </w:tcBorders>
            <w:vAlign w:val="center"/>
            <w:hideMark/>
          </w:tcPr>
          <w:p w14:paraId="3260B77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COSERING SAS COMPAÑIA DE SERVICIOS DE INGENIERIA</w:t>
            </w:r>
          </w:p>
        </w:tc>
        <w:tc>
          <w:tcPr>
            <w:tcW w:w="817" w:type="dxa"/>
            <w:tcBorders>
              <w:top w:val="nil"/>
              <w:left w:val="nil"/>
              <w:bottom w:val="single" w:sz="8" w:space="0" w:color="auto"/>
              <w:right w:val="single" w:sz="8" w:space="0" w:color="auto"/>
            </w:tcBorders>
            <w:vAlign w:val="center"/>
            <w:hideMark/>
          </w:tcPr>
          <w:p w14:paraId="436C24A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0,71</w:t>
            </w:r>
          </w:p>
        </w:tc>
        <w:tc>
          <w:tcPr>
            <w:tcW w:w="1271" w:type="dxa"/>
            <w:tcBorders>
              <w:top w:val="nil"/>
              <w:left w:val="nil"/>
              <w:bottom w:val="single" w:sz="8" w:space="0" w:color="auto"/>
              <w:right w:val="single" w:sz="8" w:space="0" w:color="auto"/>
            </w:tcBorders>
            <w:vAlign w:val="center"/>
            <w:hideMark/>
          </w:tcPr>
          <w:p w14:paraId="26C615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w:t>
            </w:r>
          </w:p>
        </w:tc>
        <w:tc>
          <w:tcPr>
            <w:tcW w:w="1190" w:type="dxa"/>
            <w:tcBorders>
              <w:top w:val="nil"/>
              <w:left w:val="nil"/>
              <w:bottom w:val="single" w:sz="8" w:space="0" w:color="auto"/>
              <w:right w:val="single" w:sz="8" w:space="0" w:color="auto"/>
            </w:tcBorders>
            <w:vAlign w:val="center"/>
            <w:hideMark/>
          </w:tcPr>
          <w:p w14:paraId="183D11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9D0C40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-3.583.712</w:t>
            </w:r>
          </w:p>
        </w:tc>
        <w:tc>
          <w:tcPr>
            <w:tcW w:w="1100" w:type="dxa"/>
            <w:tcBorders>
              <w:top w:val="nil"/>
              <w:left w:val="nil"/>
              <w:bottom w:val="single" w:sz="8" w:space="0" w:color="auto"/>
              <w:right w:val="single" w:sz="8" w:space="0" w:color="auto"/>
            </w:tcBorders>
            <w:vAlign w:val="center"/>
            <w:hideMark/>
          </w:tcPr>
          <w:p w14:paraId="58FC27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5C7D16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089B6B6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9BF67A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171</w:t>
            </w:r>
          </w:p>
        </w:tc>
        <w:tc>
          <w:tcPr>
            <w:tcW w:w="1919" w:type="dxa"/>
            <w:tcBorders>
              <w:top w:val="nil"/>
              <w:left w:val="nil"/>
              <w:bottom w:val="single" w:sz="8" w:space="0" w:color="auto"/>
              <w:right w:val="single" w:sz="8" w:space="0" w:color="auto"/>
            </w:tcBorders>
            <w:vAlign w:val="center"/>
            <w:hideMark/>
          </w:tcPr>
          <w:p w14:paraId="4EF775E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HL GAS SAS</w:t>
            </w:r>
          </w:p>
        </w:tc>
        <w:tc>
          <w:tcPr>
            <w:tcW w:w="817" w:type="dxa"/>
            <w:tcBorders>
              <w:top w:val="nil"/>
              <w:left w:val="nil"/>
              <w:bottom w:val="single" w:sz="8" w:space="0" w:color="auto"/>
              <w:right w:val="single" w:sz="8" w:space="0" w:color="auto"/>
            </w:tcBorders>
            <w:vAlign w:val="center"/>
            <w:hideMark/>
          </w:tcPr>
          <w:p w14:paraId="06725C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1,99</w:t>
            </w:r>
          </w:p>
        </w:tc>
        <w:tc>
          <w:tcPr>
            <w:tcW w:w="1271" w:type="dxa"/>
            <w:tcBorders>
              <w:top w:val="nil"/>
              <w:left w:val="nil"/>
              <w:bottom w:val="single" w:sz="8" w:space="0" w:color="auto"/>
              <w:right w:val="single" w:sz="8" w:space="0" w:color="auto"/>
            </w:tcBorders>
            <w:vAlign w:val="center"/>
            <w:hideMark/>
          </w:tcPr>
          <w:p w14:paraId="6C5789A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7549130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F6CC0E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1.090.586</w:t>
            </w:r>
          </w:p>
        </w:tc>
        <w:tc>
          <w:tcPr>
            <w:tcW w:w="1100" w:type="dxa"/>
            <w:tcBorders>
              <w:top w:val="nil"/>
              <w:left w:val="nil"/>
              <w:bottom w:val="single" w:sz="8" w:space="0" w:color="auto"/>
              <w:right w:val="single" w:sz="8" w:space="0" w:color="auto"/>
            </w:tcBorders>
            <w:vAlign w:val="center"/>
            <w:hideMark/>
          </w:tcPr>
          <w:p w14:paraId="5A3116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w:t>
            </w:r>
          </w:p>
        </w:tc>
        <w:tc>
          <w:tcPr>
            <w:tcW w:w="1100" w:type="dxa"/>
            <w:tcBorders>
              <w:top w:val="nil"/>
              <w:left w:val="nil"/>
              <w:bottom w:val="single" w:sz="8" w:space="0" w:color="auto"/>
              <w:right w:val="single" w:sz="8" w:space="0" w:color="auto"/>
            </w:tcBorders>
            <w:vAlign w:val="center"/>
            <w:hideMark/>
          </w:tcPr>
          <w:p w14:paraId="282759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r>
      <w:tr w:rsidR="008468B3" w:rsidRPr="008468B3" w14:paraId="5DF02182"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4D73E7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172</w:t>
            </w:r>
          </w:p>
        </w:tc>
        <w:tc>
          <w:tcPr>
            <w:tcW w:w="1919" w:type="dxa"/>
            <w:tcBorders>
              <w:top w:val="nil"/>
              <w:left w:val="nil"/>
              <w:bottom w:val="single" w:sz="8" w:space="0" w:color="auto"/>
              <w:right w:val="single" w:sz="8" w:space="0" w:color="auto"/>
            </w:tcBorders>
            <w:vAlign w:val="center"/>
            <w:hideMark/>
          </w:tcPr>
          <w:p w14:paraId="72774E0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DEMCA S.A.S.</w:t>
            </w:r>
          </w:p>
        </w:tc>
        <w:tc>
          <w:tcPr>
            <w:tcW w:w="817" w:type="dxa"/>
            <w:tcBorders>
              <w:top w:val="nil"/>
              <w:left w:val="nil"/>
              <w:bottom w:val="single" w:sz="8" w:space="0" w:color="auto"/>
              <w:right w:val="single" w:sz="8" w:space="0" w:color="auto"/>
            </w:tcBorders>
            <w:vAlign w:val="center"/>
            <w:hideMark/>
          </w:tcPr>
          <w:p w14:paraId="65F96F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5,55</w:t>
            </w:r>
          </w:p>
        </w:tc>
        <w:tc>
          <w:tcPr>
            <w:tcW w:w="1271" w:type="dxa"/>
            <w:tcBorders>
              <w:top w:val="nil"/>
              <w:left w:val="nil"/>
              <w:bottom w:val="single" w:sz="8" w:space="0" w:color="auto"/>
              <w:right w:val="single" w:sz="8" w:space="0" w:color="auto"/>
            </w:tcBorders>
            <w:vAlign w:val="center"/>
            <w:hideMark/>
          </w:tcPr>
          <w:p w14:paraId="2D3F54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w:t>
            </w:r>
          </w:p>
        </w:tc>
        <w:tc>
          <w:tcPr>
            <w:tcW w:w="1190" w:type="dxa"/>
            <w:tcBorders>
              <w:top w:val="nil"/>
              <w:left w:val="nil"/>
              <w:bottom w:val="single" w:sz="8" w:space="0" w:color="auto"/>
              <w:right w:val="single" w:sz="8" w:space="0" w:color="auto"/>
            </w:tcBorders>
            <w:vAlign w:val="center"/>
            <w:hideMark/>
          </w:tcPr>
          <w:p w14:paraId="71A0A6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5,62</w:t>
            </w:r>
          </w:p>
        </w:tc>
        <w:tc>
          <w:tcPr>
            <w:tcW w:w="1099" w:type="dxa"/>
            <w:tcBorders>
              <w:top w:val="nil"/>
              <w:left w:val="nil"/>
              <w:bottom w:val="single" w:sz="8" w:space="0" w:color="auto"/>
              <w:right w:val="single" w:sz="8" w:space="0" w:color="auto"/>
            </w:tcBorders>
            <w:vAlign w:val="center"/>
            <w:hideMark/>
          </w:tcPr>
          <w:p w14:paraId="3B30946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24.544.360</w:t>
            </w:r>
          </w:p>
        </w:tc>
        <w:tc>
          <w:tcPr>
            <w:tcW w:w="1100" w:type="dxa"/>
            <w:tcBorders>
              <w:top w:val="nil"/>
              <w:left w:val="nil"/>
              <w:bottom w:val="single" w:sz="8" w:space="0" w:color="auto"/>
              <w:right w:val="single" w:sz="8" w:space="0" w:color="auto"/>
            </w:tcBorders>
            <w:vAlign w:val="center"/>
            <w:hideMark/>
          </w:tcPr>
          <w:p w14:paraId="51BA50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00" w:type="dxa"/>
            <w:tcBorders>
              <w:top w:val="nil"/>
              <w:left w:val="nil"/>
              <w:bottom w:val="single" w:sz="8" w:space="0" w:color="auto"/>
              <w:right w:val="single" w:sz="8" w:space="0" w:color="auto"/>
            </w:tcBorders>
            <w:vAlign w:val="center"/>
            <w:hideMark/>
          </w:tcPr>
          <w:p w14:paraId="73B0BA8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r>
      <w:tr w:rsidR="008468B3" w:rsidRPr="008468B3" w14:paraId="11ABD56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042640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173</w:t>
            </w:r>
          </w:p>
        </w:tc>
        <w:tc>
          <w:tcPr>
            <w:tcW w:w="1919" w:type="dxa"/>
            <w:tcBorders>
              <w:top w:val="nil"/>
              <w:left w:val="nil"/>
              <w:bottom w:val="single" w:sz="8" w:space="0" w:color="auto"/>
              <w:right w:val="single" w:sz="8" w:space="0" w:color="auto"/>
            </w:tcBorders>
            <w:vAlign w:val="center"/>
            <w:hideMark/>
          </w:tcPr>
          <w:p w14:paraId="6E0508C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JM SAS BIC</w:t>
            </w:r>
          </w:p>
        </w:tc>
        <w:tc>
          <w:tcPr>
            <w:tcW w:w="817" w:type="dxa"/>
            <w:tcBorders>
              <w:top w:val="nil"/>
              <w:left w:val="nil"/>
              <w:bottom w:val="single" w:sz="8" w:space="0" w:color="auto"/>
              <w:right w:val="single" w:sz="8" w:space="0" w:color="auto"/>
            </w:tcBorders>
            <w:vAlign w:val="center"/>
            <w:hideMark/>
          </w:tcPr>
          <w:p w14:paraId="522FCEF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2,97</w:t>
            </w:r>
          </w:p>
        </w:tc>
        <w:tc>
          <w:tcPr>
            <w:tcW w:w="1271" w:type="dxa"/>
            <w:tcBorders>
              <w:top w:val="nil"/>
              <w:left w:val="nil"/>
              <w:bottom w:val="single" w:sz="8" w:space="0" w:color="auto"/>
              <w:right w:val="single" w:sz="8" w:space="0" w:color="auto"/>
            </w:tcBorders>
            <w:vAlign w:val="center"/>
            <w:hideMark/>
          </w:tcPr>
          <w:p w14:paraId="0F244E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90" w:type="dxa"/>
            <w:tcBorders>
              <w:top w:val="nil"/>
              <w:left w:val="nil"/>
              <w:bottom w:val="single" w:sz="8" w:space="0" w:color="auto"/>
              <w:right w:val="single" w:sz="8" w:space="0" w:color="auto"/>
            </w:tcBorders>
            <w:vAlign w:val="center"/>
            <w:hideMark/>
          </w:tcPr>
          <w:p w14:paraId="7EEAEE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3,62</w:t>
            </w:r>
          </w:p>
        </w:tc>
        <w:tc>
          <w:tcPr>
            <w:tcW w:w="1099" w:type="dxa"/>
            <w:tcBorders>
              <w:top w:val="nil"/>
              <w:left w:val="nil"/>
              <w:bottom w:val="single" w:sz="8" w:space="0" w:color="auto"/>
              <w:right w:val="single" w:sz="8" w:space="0" w:color="auto"/>
            </w:tcBorders>
            <w:vAlign w:val="center"/>
            <w:hideMark/>
          </w:tcPr>
          <w:p w14:paraId="15B98E2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1.675.437</w:t>
            </w:r>
          </w:p>
        </w:tc>
        <w:tc>
          <w:tcPr>
            <w:tcW w:w="1100" w:type="dxa"/>
            <w:tcBorders>
              <w:top w:val="nil"/>
              <w:left w:val="nil"/>
              <w:bottom w:val="single" w:sz="8" w:space="0" w:color="auto"/>
              <w:right w:val="single" w:sz="8" w:space="0" w:color="auto"/>
            </w:tcBorders>
            <w:vAlign w:val="center"/>
            <w:hideMark/>
          </w:tcPr>
          <w:p w14:paraId="0A9051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5D89FC9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3FEA902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82641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174</w:t>
            </w:r>
          </w:p>
        </w:tc>
        <w:tc>
          <w:tcPr>
            <w:tcW w:w="1919" w:type="dxa"/>
            <w:tcBorders>
              <w:top w:val="nil"/>
              <w:left w:val="nil"/>
              <w:bottom w:val="single" w:sz="8" w:space="0" w:color="auto"/>
              <w:right w:val="single" w:sz="8" w:space="0" w:color="auto"/>
            </w:tcBorders>
            <w:vAlign w:val="center"/>
            <w:hideMark/>
          </w:tcPr>
          <w:p w14:paraId="3EA90C9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FARIAS SAS ARIQUITECTOS</w:t>
            </w:r>
          </w:p>
        </w:tc>
        <w:tc>
          <w:tcPr>
            <w:tcW w:w="817" w:type="dxa"/>
            <w:tcBorders>
              <w:top w:val="nil"/>
              <w:left w:val="nil"/>
              <w:bottom w:val="single" w:sz="8" w:space="0" w:color="auto"/>
              <w:right w:val="single" w:sz="8" w:space="0" w:color="auto"/>
            </w:tcBorders>
            <w:vAlign w:val="center"/>
            <w:hideMark/>
          </w:tcPr>
          <w:p w14:paraId="765447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1,05</w:t>
            </w:r>
          </w:p>
        </w:tc>
        <w:tc>
          <w:tcPr>
            <w:tcW w:w="1271" w:type="dxa"/>
            <w:tcBorders>
              <w:top w:val="nil"/>
              <w:left w:val="nil"/>
              <w:bottom w:val="single" w:sz="8" w:space="0" w:color="auto"/>
              <w:right w:val="single" w:sz="8" w:space="0" w:color="auto"/>
            </w:tcBorders>
            <w:vAlign w:val="center"/>
            <w:hideMark/>
          </w:tcPr>
          <w:p w14:paraId="1A4DD33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190" w:type="dxa"/>
            <w:tcBorders>
              <w:top w:val="nil"/>
              <w:left w:val="nil"/>
              <w:bottom w:val="single" w:sz="8" w:space="0" w:color="auto"/>
              <w:right w:val="single" w:sz="8" w:space="0" w:color="auto"/>
            </w:tcBorders>
            <w:vAlign w:val="center"/>
            <w:hideMark/>
          </w:tcPr>
          <w:p w14:paraId="36ACE76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23749D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494.588</w:t>
            </w:r>
          </w:p>
        </w:tc>
        <w:tc>
          <w:tcPr>
            <w:tcW w:w="1100" w:type="dxa"/>
            <w:tcBorders>
              <w:top w:val="nil"/>
              <w:left w:val="nil"/>
              <w:bottom w:val="single" w:sz="8" w:space="0" w:color="auto"/>
              <w:right w:val="single" w:sz="8" w:space="0" w:color="auto"/>
            </w:tcBorders>
            <w:vAlign w:val="center"/>
            <w:hideMark/>
          </w:tcPr>
          <w:p w14:paraId="3E199A7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7748D39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0ECA0059" w14:textId="77777777" w:rsidTr="008468B3">
        <w:trPr>
          <w:trHeight w:val="1224"/>
        </w:trPr>
        <w:tc>
          <w:tcPr>
            <w:tcW w:w="474" w:type="dxa"/>
            <w:tcBorders>
              <w:top w:val="nil"/>
              <w:left w:val="single" w:sz="8" w:space="0" w:color="auto"/>
              <w:bottom w:val="single" w:sz="8" w:space="0" w:color="auto"/>
              <w:right w:val="single" w:sz="8" w:space="0" w:color="auto"/>
            </w:tcBorders>
            <w:noWrap/>
            <w:vAlign w:val="center"/>
            <w:hideMark/>
          </w:tcPr>
          <w:p w14:paraId="24A87C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175</w:t>
            </w:r>
          </w:p>
        </w:tc>
        <w:tc>
          <w:tcPr>
            <w:tcW w:w="1919" w:type="dxa"/>
            <w:tcBorders>
              <w:top w:val="nil"/>
              <w:left w:val="nil"/>
              <w:bottom w:val="single" w:sz="8" w:space="0" w:color="auto"/>
              <w:right w:val="single" w:sz="8" w:space="0" w:color="auto"/>
            </w:tcBorders>
            <w:vAlign w:val="center"/>
            <w:hideMark/>
          </w:tcPr>
          <w:p w14:paraId="6EC7FE5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TECNOLOGIA DE LA INFORMACION Y LAS TELECOMUNICACIONES DE COLOMBIA SAS EN PROCESO DE REORGANIZACION</w:t>
            </w:r>
          </w:p>
        </w:tc>
        <w:tc>
          <w:tcPr>
            <w:tcW w:w="817" w:type="dxa"/>
            <w:tcBorders>
              <w:top w:val="nil"/>
              <w:left w:val="nil"/>
              <w:bottom w:val="single" w:sz="8" w:space="0" w:color="auto"/>
              <w:right w:val="single" w:sz="8" w:space="0" w:color="auto"/>
            </w:tcBorders>
            <w:vAlign w:val="center"/>
            <w:hideMark/>
          </w:tcPr>
          <w:p w14:paraId="097528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3,13</w:t>
            </w:r>
          </w:p>
        </w:tc>
        <w:tc>
          <w:tcPr>
            <w:tcW w:w="1271" w:type="dxa"/>
            <w:tcBorders>
              <w:top w:val="nil"/>
              <w:left w:val="nil"/>
              <w:bottom w:val="single" w:sz="8" w:space="0" w:color="auto"/>
              <w:right w:val="single" w:sz="8" w:space="0" w:color="auto"/>
            </w:tcBorders>
            <w:vAlign w:val="center"/>
            <w:hideMark/>
          </w:tcPr>
          <w:p w14:paraId="6EACCD3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w:t>
            </w:r>
          </w:p>
        </w:tc>
        <w:tc>
          <w:tcPr>
            <w:tcW w:w="1190" w:type="dxa"/>
            <w:tcBorders>
              <w:top w:val="nil"/>
              <w:left w:val="nil"/>
              <w:bottom w:val="single" w:sz="8" w:space="0" w:color="auto"/>
              <w:right w:val="single" w:sz="8" w:space="0" w:color="auto"/>
            </w:tcBorders>
            <w:vAlign w:val="center"/>
            <w:hideMark/>
          </w:tcPr>
          <w:p w14:paraId="7648D2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4,29</w:t>
            </w:r>
          </w:p>
        </w:tc>
        <w:tc>
          <w:tcPr>
            <w:tcW w:w="1099" w:type="dxa"/>
            <w:tcBorders>
              <w:top w:val="nil"/>
              <w:left w:val="nil"/>
              <w:bottom w:val="single" w:sz="8" w:space="0" w:color="auto"/>
              <w:right w:val="single" w:sz="8" w:space="0" w:color="auto"/>
            </w:tcBorders>
            <w:vAlign w:val="center"/>
            <w:hideMark/>
          </w:tcPr>
          <w:p w14:paraId="62B2033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2.209.492</w:t>
            </w:r>
          </w:p>
        </w:tc>
        <w:tc>
          <w:tcPr>
            <w:tcW w:w="1100" w:type="dxa"/>
            <w:tcBorders>
              <w:top w:val="nil"/>
              <w:left w:val="nil"/>
              <w:bottom w:val="single" w:sz="8" w:space="0" w:color="auto"/>
              <w:right w:val="single" w:sz="8" w:space="0" w:color="auto"/>
            </w:tcBorders>
            <w:vAlign w:val="center"/>
            <w:hideMark/>
          </w:tcPr>
          <w:p w14:paraId="623357D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66BD7F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7339D360" w14:textId="77777777" w:rsidTr="008468B3">
        <w:trPr>
          <w:trHeight w:val="830"/>
        </w:trPr>
        <w:tc>
          <w:tcPr>
            <w:tcW w:w="474" w:type="dxa"/>
            <w:tcBorders>
              <w:top w:val="nil"/>
              <w:left w:val="single" w:sz="8" w:space="0" w:color="auto"/>
              <w:bottom w:val="single" w:sz="8" w:space="0" w:color="auto"/>
              <w:right w:val="single" w:sz="8" w:space="0" w:color="auto"/>
            </w:tcBorders>
            <w:noWrap/>
            <w:vAlign w:val="center"/>
            <w:hideMark/>
          </w:tcPr>
          <w:p w14:paraId="767C197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176</w:t>
            </w:r>
          </w:p>
        </w:tc>
        <w:tc>
          <w:tcPr>
            <w:tcW w:w="1919" w:type="dxa"/>
            <w:tcBorders>
              <w:top w:val="nil"/>
              <w:left w:val="nil"/>
              <w:bottom w:val="single" w:sz="8" w:space="0" w:color="auto"/>
              <w:right w:val="single" w:sz="8" w:space="0" w:color="auto"/>
            </w:tcBorders>
            <w:vAlign w:val="center"/>
            <w:hideMark/>
          </w:tcPr>
          <w:p w14:paraId="11E9E0D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ALUMBRADO PUBLICO DE PUERTO COLOMBIA S.A. SOCIEDAD DE ECONOMIA MIXTA</w:t>
            </w:r>
          </w:p>
        </w:tc>
        <w:tc>
          <w:tcPr>
            <w:tcW w:w="817" w:type="dxa"/>
            <w:tcBorders>
              <w:top w:val="nil"/>
              <w:left w:val="nil"/>
              <w:bottom w:val="single" w:sz="8" w:space="0" w:color="auto"/>
              <w:right w:val="single" w:sz="8" w:space="0" w:color="auto"/>
            </w:tcBorders>
            <w:vAlign w:val="center"/>
            <w:hideMark/>
          </w:tcPr>
          <w:p w14:paraId="546386A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1,16</w:t>
            </w:r>
          </w:p>
        </w:tc>
        <w:tc>
          <w:tcPr>
            <w:tcW w:w="1271" w:type="dxa"/>
            <w:tcBorders>
              <w:top w:val="nil"/>
              <w:left w:val="nil"/>
              <w:bottom w:val="single" w:sz="8" w:space="0" w:color="auto"/>
              <w:right w:val="single" w:sz="8" w:space="0" w:color="auto"/>
            </w:tcBorders>
            <w:vAlign w:val="center"/>
            <w:hideMark/>
          </w:tcPr>
          <w:p w14:paraId="09307EE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2480D7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6,81</w:t>
            </w:r>
          </w:p>
        </w:tc>
        <w:tc>
          <w:tcPr>
            <w:tcW w:w="1099" w:type="dxa"/>
            <w:tcBorders>
              <w:top w:val="nil"/>
              <w:left w:val="nil"/>
              <w:bottom w:val="single" w:sz="8" w:space="0" w:color="auto"/>
              <w:right w:val="single" w:sz="8" w:space="0" w:color="auto"/>
            </w:tcBorders>
            <w:vAlign w:val="center"/>
            <w:hideMark/>
          </w:tcPr>
          <w:p w14:paraId="7DDFFD4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1.210.416</w:t>
            </w:r>
          </w:p>
        </w:tc>
        <w:tc>
          <w:tcPr>
            <w:tcW w:w="1100" w:type="dxa"/>
            <w:tcBorders>
              <w:top w:val="nil"/>
              <w:left w:val="nil"/>
              <w:bottom w:val="single" w:sz="8" w:space="0" w:color="auto"/>
              <w:right w:val="single" w:sz="8" w:space="0" w:color="auto"/>
            </w:tcBorders>
            <w:vAlign w:val="center"/>
            <w:hideMark/>
          </w:tcPr>
          <w:p w14:paraId="1504E51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77D64C4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76E88FD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C6F0D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177</w:t>
            </w:r>
          </w:p>
        </w:tc>
        <w:tc>
          <w:tcPr>
            <w:tcW w:w="1919" w:type="dxa"/>
            <w:tcBorders>
              <w:top w:val="nil"/>
              <w:left w:val="nil"/>
              <w:bottom w:val="single" w:sz="8" w:space="0" w:color="auto"/>
              <w:right w:val="single" w:sz="8" w:space="0" w:color="auto"/>
            </w:tcBorders>
            <w:vAlign w:val="center"/>
            <w:hideMark/>
          </w:tcPr>
          <w:p w14:paraId="1B556DD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EXCAVAMOS JP SAS</w:t>
            </w:r>
          </w:p>
        </w:tc>
        <w:tc>
          <w:tcPr>
            <w:tcW w:w="817" w:type="dxa"/>
            <w:tcBorders>
              <w:top w:val="nil"/>
              <w:left w:val="nil"/>
              <w:bottom w:val="single" w:sz="8" w:space="0" w:color="auto"/>
              <w:right w:val="single" w:sz="8" w:space="0" w:color="auto"/>
            </w:tcBorders>
            <w:vAlign w:val="center"/>
            <w:hideMark/>
          </w:tcPr>
          <w:p w14:paraId="3763A6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2,88</w:t>
            </w:r>
          </w:p>
        </w:tc>
        <w:tc>
          <w:tcPr>
            <w:tcW w:w="1271" w:type="dxa"/>
            <w:tcBorders>
              <w:top w:val="nil"/>
              <w:left w:val="nil"/>
              <w:bottom w:val="single" w:sz="8" w:space="0" w:color="auto"/>
              <w:right w:val="single" w:sz="8" w:space="0" w:color="auto"/>
            </w:tcBorders>
            <w:vAlign w:val="center"/>
            <w:hideMark/>
          </w:tcPr>
          <w:p w14:paraId="04E6FF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90" w:type="dxa"/>
            <w:tcBorders>
              <w:top w:val="nil"/>
              <w:left w:val="nil"/>
              <w:bottom w:val="single" w:sz="8" w:space="0" w:color="auto"/>
              <w:right w:val="single" w:sz="8" w:space="0" w:color="auto"/>
            </w:tcBorders>
            <w:vAlign w:val="center"/>
            <w:hideMark/>
          </w:tcPr>
          <w:p w14:paraId="2CF78BF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1,90</w:t>
            </w:r>
          </w:p>
        </w:tc>
        <w:tc>
          <w:tcPr>
            <w:tcW w:w="1099" w:type="dxa"/>
            <w:tcBorders>
              <w:top w:val="nil"/>
              <w:left w:val="nil"/>
              <w:bottom w:val="single" w:sz="8" w:space="0" w:color="auto"/>
              <w:right w:val="single" w:sz="8" w:space="0" w:color="auto"/>
            </w:tcBorders>
            <w:vAlign w:val="center"/>
            <w:hideMark/>
          </w:tcPr>
          <w:p w14:paraId="2FC2452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893.339</w:t>
            </w:r>
          </w:p>
        </w:tc>
        <w:tc>
          <w:tcPr>
            <w:tcW w:w="1100" w:type="dxa"/>
            <w:tcBorders>
              <w:top w:val="nil"/>
              <w:left w:val="nil"/>
              <w:bottom w:val="single" w:sz="8" w:space="0" w:color="auto"/>
              <w:right w:val="single" w:sz="8" w:space="0" w:color="auto"/>
            </w:tcBorders>
            <w:vAlign w:val="center"/>
            <w:hideMark/>
          </w:tcPr>
          <w:p w14:paraId="4AE38D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16AFF2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1392B51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2E2F94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w:t>
            </w:r>
          </w:p>
        </w:tc>
        <w:tc>
          <w:tcPr>
            <w:tcW w:w="1919" w:type="dxa"/>
            <w:tcBorders>
              <w:top w:val="nil"/>
              <w:left w:val="nil"/>
              <w:bottom w:val="single" w:sz="8" w:space="0" w:color="auto"/>
              <w:right w:val="single" w:sz="8" w:space="0" w:color="auto"/>
            </w:tcBorders>
            <w:vAlign w:val="center"/>
            <w:hideMark/>
          </w:tcPr>
          <w:p w14:paraId="68811DD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ECOCIUDADES SAS</w:t>
            </w:r>
          </w:p>
        </w:tc>
        <w:tc>
          <w:tcPr>
            <w:tcW w:w="817" w:type="dxa"/>
            <w:tcBorders>
              <w:top w:val="nil"/>
              <w:left w:val="nil"/>
              <w:bottom w:val="single" w:sz="8" w:space="0" w:color="auto"/>
              <w:right w:val="single" w:sz="8" w:space="0" w:color="auto"/>
            </w:tcBorders>
            <w:vAlign w:val="center"/>
            <w:hideMark/>
          </w:tcPr>
          <w:p w14:paraId="3C6271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10,10</w:t>
            </w:r>
          </w:p>
        </w:tc>
        <w:tc>
          <w:tcPr>
            <w:tcW w:w="1271" w:type="dxa"/>
            <w:tcBorders>
              <w:top w:val="nil"/>
              <w:left w:val="nil"/>
              <w:bottom w:val="single" w:sz="8" w:space="0" w:color="auto"/>
              <w:right w:val="single" w:sz="8" w:space="0" w:color="auto"/>
            </w:tcBorders>
            <w:vAlign w:val="center"/>
            <w:hideMark/>
          </w:tcPr>
          <w:p w14:paraId="27B4EE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c>
          <w:tcPr>
            <w:tcW w:w="1190" w:type="dxa"/>
            <w:tcBorders>
              <w:top w:val="nil"/>
              <w:left w:val="nil"/>
              <w:bottom w:val="single" w:sz="8" w:space="0" w:color="auto"/>
              <w:right w:val="single" w:sz="8" w:space="0" w:color="auto"/>
            </w:tcBorders>
            <w:vAlign w:val="center"/>
            <w:hideMark/>
          </w:tcPr>
          <w:p w14:paraId="6331C8E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7F5530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6.348.414</w:t>
            </w:r>
          </w:p>
        </w:tc>
        <w:tc>
          <w:tcPr>
            <w:tcW w:w="1100" w:type="dxa"/>
            <w:tcBorders>
              <w:top w:val="nil"/>
              <w:left w:val="nil"/>
              <w:bottom w:val="single" w:sz="8" w:space="0" w:color="auto"/>
              <w:right w:val="single" w:sz="8" w:space="0" w:color="auto"/>
            </w:tcBorders>
            <w:vAlign w:val="center"/>
            <w:hideMark/>
          </w:tcPr>
          <w:p w14:paraId="697E4E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2D9DA36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559BC06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E39BA7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179</w:t>
            </w:r>
          </w:p>
        </w:tc>
        <w:tc>
          <w:tcPr>
            <w:tcW w:w="1919" w:type="dxa"/>
            <w:tcBorders>
              <w:top w:val="nil"/>
              <w:left w:val="nil"/>
              <w:bottom w:val="single" w:sz="8" w:space="0" w:color="auto"/>
              <w:right w:val="single" w:sz="8" w:space="0" w:color="auto"/>
            </w:tcBorders>
            <w:vAlign w:val="center"/>
            <w:hideMark/>
          </w:tcPr>
          <w:p w14:paraId="07B3979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LYD PROYECTOS SAS</w:t>
            </w:r>
          </w:p>
        </w:tc>
        <w:tc>
          <w:tcPr>
            <w:tcW w:w="817" w:type="dxa"/>
            <w:tcBorders>
              <w:top w:val="nil"/>
              <w:left w:val="nil"/>
              <w:bottom w:val="single" w:sz="8" w:space="0" w:color="auto"/>
              <w:right w:val="single" w:sz="8" w:space="0" w:color="auto"/>
            </w:tcBorders>
            <w:vAlign w:val="center"/>
            <w:hideMark/>
          </w:tcPr>
          <w:p w14:paraId="0FCC2B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3,44</w:t>
            </w:r>
          </w:p>
        </w:tc>
        <w:tc>
          <w:tcPr>
            <w:tcW w:w="1271" w:type="dxa"/>
            <w:tcBorders>
              <w:top w:val="nil"/>
              <w:left w:val="nil"/>
              <w:bottom w:val="single" w:sz="8" w:space="0" w:color="auto"/>
              <w:right w:val="single" w:sz="8" w:space="0" w:color="auto"/>
            </w:tcBorders>
            <w:vAlign w:val="center"/>
            <w:hideMark/>
          </w:tcPr>
          <w:p w14:paraId="26C06D7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w:t>
            </w:r>
          </w:p>
        </w:tc>
        <w:tc>
          <w:tcPr>
            <w:tcW w:w="1190" w:type="dxa"/>
            <w:tcBorders>
              <w:top w:val="nil"/>
              <w:left w:val="nil"/>
              <w:bottom w:val="single" w:sz="8" w:space="0" w:color="auto"/>
              <w:right w:val="single" w:sz="8" w:space="0" w:color="auto"/>
            </w:tcBorders>
            <w:vAlign w:val="center"/>
            <w:hideMark/>
          </w:tcPr>
          <w:p w14:paraId="3F343E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25EFBF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10.419.340</w:t>
            </w:r>
          </w:p>
        </w:tc>
        <w:tc>
          <w:tcPr>
            <w:tcW w:w="1100" w:type="dxa"/>
            <w:tcBorders>
              <w:top w:val="nil"/>
              <w:left w:val="nil"/>
              <w:bottom w:val="single" w:sz="8" w:space="0" w:color="auto"/>
              <w:right w:val="single" w:sz="8" w:space="0" w:color="auto"/>
            </w:tcBorders>
            <w:vAlign w:val="center"/>
            <w:hideMark/>
          </w:tcPr>
          <w:p w14:paraId="20F5F6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16F87B3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68B6EE24"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330031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180</w:t>
            </w:r>
          </w:p>
        </w:tc>
        <w:tc>
          <w:tcPr>
            <w:tcW w:w="1919" w:type="dxa"/>
            <w:tcBorders>
              <w:top w:val="nil"/>
              <w:left w:val="nil"/>
              <w:bottom w:val="single" w:sz="8" w:space="0" w:color="auto"/>
              <w:right w:val="single" w:sz="8" w:space="0" w:color="auto"/>
            </w:tcBorders>
            <w:vAlign w:val="center"/>
            <w:hideMark/>
          </w:tcPr>
          <w:p w14:paraId="73F31F2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SERVICIOS INSDUSTRIALES SAN LUIS SAS</w:t>
            </w:r>
          </w:p>
        </w:tc>
        <w:tc>
          <w:tcPr>
            <w:tcW w:w="817" w:type="dxa"/>
            <w:tcBorders>
              <w:top w:val="nil"/>
              <w:left w:val="nil"/>
              <w:bottom w:val="single" w:sz="8" w:space="0" w:color="auto"/>
              <w:right w:val="single" w:sz="8" w:space="0" w:color="auto"/>
            </w:tcBorders>
            <w:vAlign w:val="center"/>
            <w:hideMark/>
          </w:tcPr>
          <w:p w14:paraId="50FF3C4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1,26</w:t>
            </w:r>
          </w:p>
        </w:tc>
        <w:tc>
          <w:tcPr>
            <w:tcW w:w="1271" w:type="dxa"/>
            <w:tcBorders>
              <w:top w:val="nil"/>
              <w:left w:val="nil"/>
              <w:bottom w:val="single" w:sz="8" w:space="0" w:color="auto"/>
              <w:right w:val="single" w:sz="8" w:space="0" w:color="auto"/>
            </w:tcBorders>
            <w:vAlign w:val="center"/>
            <w:hideMark/>
          </w:tcPr>
          <w:p w14:paraId="6AB7C4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w:t>
            </w:r>
          </w:p>
        </w:tc>
        <w:tc>
          <w:tcPr>
            <w:tcW w:w="1190" w:type="dxa"/>
            <w:tcBorders>
              <w:top w:val="nil"/>
              <w:left w:val="nil"/>
              <w:bottom w:val="single" w:sz="8" w:space="0" w:color="auto"/>
              <w:right w:val="single" w:sz="8" w:space="0" w:color="auto"/>
            </w:tcBorders>
            <w:vAlign w:val="center"/>
            <w:hideMark/>
          </w:tcPr>
          <w:p w14:paraId="26FC833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042594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871.153</w:t>
            </w:r>
          </w:p>
        </w:tc>
        <w:tc>
          <w:tcPr>
            <w:tcW w:w="1100" w:type="dxa"/>
            <w:tcBorders>
              <w:top w:val="nil"/>
              <w:left w:val="nil"/>
              <w:bottom w:val="single" w:sz="8" w:space="0" w:color="auto"/>
              <w:right w:val="single" w:sz="8" w:space="0" w:color="auto"/>
            </w:tcBorders>
            <w:vAlign w:val="center"/>
            <w:hideMark/>
          </w:tcPr>
          <w:p w14:paraId="4C66D3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1FD27A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03A6954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CDAC6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181</w:t>
            </w:r>
          </w:p>
        </w:tc>
        <w:tc>
          <w:tcPr>
            <w:tcW w:w="1919" w:type="dxa"/>
            <w:tcBorders>
              <w:top w:val="nil"/>
              <w:left w:val="nil"/>
              <w:bottom w:val="single" w:sz="8" w:space="0" w:color="auto"/>
              <w:right w:val="single" w:sz="8" w:space="0" w:color="auto"/>
            </w:tcBorders>
            <w:vAlign w:val="center"/>
            <w:hideMark/>
          </w:tcPr>
          <w:p w14:paraId="00078E4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HACIENDA LA RIVERA SAS</w:t>
            </w:r>
          </w:p>
        </w:tc>
        <w:tc>
          <w:tcPr>
            <w:tcW w:w="817" w:type="dxa"/>
            <w:tcBorders>
              <w:top w:val="nil"/>
              <w:left w:val="nil"/>
              <w:bottom w:val="single" w:sz="8" w:space="0" w:color="auto"/>
              <w:right w:val="single" w:sz="8" w:space="0" w:color="auto"/>
            </w:tcBorders>
            <w:vAlign w:val="center"/>
            <w:hideMark/>
          </w:tcPr>
          <w:p w14:paraId="3CE98A5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1,49</w:t>
            </w:r>
          </w:p>
        </w:tc>
        <w:tc>
          <w:tcPr>
            <w:tcW w:w="1271" w:type="dxa"/>
            <w:tcBorders>
              <w:top w:val="nil"/>
              <w:left w:val="nil"/>
              <w:bottom w:val="single" w:sz="8" w:space="0" w:color="auto"/>
              <w:right w:val="single" w:sz="8" w:space="0" w:color="auto"/>
            </w:tcBorders>
            <w:vAlign w:val="center"/>
            <w:hideMark/>
          </w:tcPr>
          <w:p w14:paraId="666DEC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c>
          <w:tcPr>
            <w:tcW w:w="1190" w:type="dxa"/>
            <w:tcBorders>
              <w:top w:val="nil"/>
              <w:left w:val="nil"/>
              <w:bottom w:val="single" w:sz="8" w:space="0" w:color="auto"/>
              <w:right w:val="single" w:sz="8" w:space="0" w:color="auto"/>
            </w:tcBorders>
            <w:vAlign w:val="center"/>
            <w:hideMark/>
          </w:tcPr>
          <w:p w14:paraId="2214D70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112,99</w:t>
            </w:r>
          </w:p>
        </w:tc>
        <w:tc>
          <w:tcPr>
            <w:tcW w:w="1099" w:type="dxa"/>
            <w:tcBorders>
              <w:top w:val="nil"/>
              <w:left w:val="nil"/>
              <w:bottom w:val="single" w:sz="8" w:space="0" w:color="auto"/>
              <w:right w:val="single" w:sz="8" w:space="0" w:color="auto"/>
            </w:tcBorders>
            <w:vAlign w:val="center"/>
            <w:hideMark/>
          </w:tcPr>
          <w:p w14:paraId="148962C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576.627</w:t>
            </w:r>
          </w:p>
        </w:tc>
        <w:tc>
          <w:tcPr>
            <w:tcW w:w="1100" w:type="dxa"/>
            <w:tcBorders>
              <w:top w:val="nil"/>
              <w:left w:val="nil"/>
              <w:bottom w:val="single" w:sz="8" w:space="0" w:color="auto"/>
              <w:right w:val="single" w:sz="8" w:space="0" w:color="auto"/>
            </w:tcBorders>
            <w:vAlign w:val="center"/>
            <w:hideMark/>
          </w:tcPr>
          <w:p w14:paraId="759E90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5F0952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2DCCFB6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8B8DD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182</w:t>
            </w:r>
          </w:p>
        </w:tc>
        <w:tc>
          <w:tcPr>
            <w:tcW w:w="1919" w:type="dxa"/>
            <w:tcBorders>
              <w:top w:val="nil"/>
              <w:left w:val="nil"/>
              <w:bottom w:val="single" w:sz="8" w:space="0" w:color="auto"/>
              <w:right w:val="single" w:sz="8" w:space="0" w:color="auto"/>
            </w:tcBorders>
            <w:vAlign w:val="center"/>
            <w:hideMark/>
          </w:tcPr>
          <w:p w14:paraId="5717EBC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PERFOTECNICA SAS</w:t>
            </w:r>
          </w:p>
        </w:tc>
        <w:tc>
          <w:tcPr>
            <w:tcW w:w="817" w:type="dxa"/>
            <w:tcBorders>
              <w:top w:val="nil"/>
              <w:left w:val="nil"/>
              <w:bottom w:val="single" w:sz="8" w:space="0" w:color="auto"/>
              <w:right w:val="single" w:sz="8" w:space="0" w:color="auto"/>
            </w:tcBorders>
            <w:vAlign w:val="center"/>
            <w:hideMark/>
          </w:tcPr>
          <w:p w14:paraId="4BBDC3D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1,86</w:t>
            </w:r>
          </w:p>
        </w:tc>
        <w:tc>
          <w:tcPr>
            <w:tcW w:w="1271" w:type="dxa"/>
            <w:tcBorders>
              <w:top w:val="nil"/>
              <w:left w:val="nil"/>
              <w:bottom w:val="single" w:sz="8" w:space="0" w:color="auto"/>
              <w:right w:val="single" w:sz="8" w:space="0" w:color="auto"/>
            </w:tcBorders>
            <w:vAlign w:val="center"/>
            <w:hideMark/>
          </w:tcPr>
          <w:p w14:paraId="4A0E8A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w:t>
            </w:r>
          </w:p>
        </w:tc>
        <w:tc>
          <w:tcPr>
            <w:tcW w:w="1190" w:type="dxa"/>
            <w:tcBorders>
              <w:top w:val="nil"/>
              <w:left w:val="nil"/>
              <w:bottom w:val="single" w:sz="8" w:space="0" w:color="auto"/>
              <w:right w:val="single" w:sz="8" w:space="0" w:color="auto"/>
            </w:tcBorders>
            <w:vAlign w:val="center"/>
            <w:hideMark/>
          </w:tcPr>
          <w:p w14:paraId="2ADA01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5,70</w:t>
            </w:r>
          </w:p>
        </w:tc>
        <w:tc>
          <w:tcPr>
            <w:tcW w:w="1099" w:type="dxa"/>
            <w:tcBorders>
              <w:top w:val="nil"/>
              <w:left w:val="nil"/>
              <w:bottom w:val="single" w:sz="8" w:space="0" w:color="auto"/>
              <w:right w:val="single" w:sz="8" w:space="0" w:color="auto"/>
            </w:tcBorders>
            <w:vAlign w:val="center"/>
            <w:hideMark/>
          </w:tcPr>
          <w:p w14:paraId="0867471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7.056.932</w:t>
            </w:r>
          </w:p>
        </w:tc>
        <w:tc>
          <w:tcPr>
            <w:tcW w:w="1100" w:type="dxa"/>
            <w:tcBorders>
              <w:top w:val="nil"/>
              <w:left w:val="nil"/>
              <w:bottom w:val="single" w:sz="8" w:space="0" w:color="auto"/>
              <w:right w:val="single" w:sz="8" w:space="0" w:color="auto"/>
            </w:tcBorders>
            <w:vAlign w:val="center"/>
            <w:hideMark/>
          </w:tcPr>
          <w:p w14:paraId="7D1ED8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00" w:type="dxa"/>
            <w:tcBorders>
              <w:top w:val="nil"/>
              <w:left w:val="nil"/>
              <w:bottom w:val="single" w:sz="8" w:space="0" w:color="auto"/>
              <w:right w:val="single" w:sz="8" w:space="0" w:color="auto"/>
            </w:tcBorders>
            <w:vAlign w:val="center"/>
            <w:hideMark/>
          </w:tcPr>
          <w:p w14:paraId="235277D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4387737C"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BD484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183</w:t>
            </w:r>
          </w:p>
        </w:tc>
        <w:tc>
          <w:tcPr>
            <w:tcW w:w="1919" w:type="dxa"/>
            <w:tcBorders>
              <w:top w:val="nil"/>
              <w:left w:val="nil"/>
              <w:bottom w:val="single" w:sz="8" w:space="0" w:color="auto"/>
              <w:right w:val="single" w:sz="8" w:space="0" w:color="auto"/>
            </w:tcBorders>
            <w:vAlign w:val="center"/>
            <w:hideMark/>
          </w:tcPr>
          <w:p w14:paraId="12EC925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Y EQUIPOS INGEQUIPOS SAS</w:t>
            </w:r>
          </w:p>
        </w:tc>
        <w:tc>
          <w:tcPr>
            <w:tcW w:w="817" w:type="dxa"/>
            <w:tcBorders>
              <w:top w:val="nil"/>
              <w:left w:val="nil"/>
              <w:bottom w:val="single" w:sz="8" w:space="0" w:color="auto"/>
              <w:right w:val="single" w:sz="8" w:space="0" w:color="auto"/>
            </w:tcBorders>
            <w:vAlign w:val="center"/>
            <w:hideMark/>
          </w:tcPr>
          <w:p w14:paraId="18B724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1,40</w:t>
            </w:r>
          </w:p>
        </w:tc>
        <w:tc>
          <w:tcPr>
            <w:tcW w:w="1271" w:type="dxa"/>
            <w:tcBorders>
              <w:top w:val="nil"/>
              <w:left w:val="nil"/>
              <w:bottom w:val="single" w:sz="8" w:space="0" w:color="auto"/>
              <w:right w:val="single" w:sz="8" w:space="0" w:color="auto"/>
            </w:tcBorders>
            <w:vAlign w:val="center"/>
            <w:hideMark/>
          </w:tcPr>
          <w:p w14:paraId="44FB01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6C6D57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2,29</w:t>
            </w:r>
          </w:p>
        </w:tc>
        <w:tc>
          <w:tcPr>
            <w:tcW w:w="1099" w:type="dxa"/>
            <w:tcBorders>
              <w:top w:val="nil"/>
              <w:left w:val="nil"/>
              <w:bottom w:val="single" w:sz="8" w:space="0" w:color="auto"/>
              <w:right w:val="single" w:sz="8" w:space="0" w:color="auto"/>
            </w:tcBorders>
            <w:vAlign w:val="center"/>
            <w:hideMark/>
          </w:tcPr>
          <w:p w14:paraId="39B8937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2.431.746</w:t>
            </w:r>
          </w:p>
        </w:tc>
        <w:tc>
          <w:tcPr>
            <w:tcW w:w="1100" w:type="dxa"/>
            <w:tcBorders>
              <w:top w:val="nil"/>
              <w:left w:val="nil"/>
              <w:bottom w:val="single" w:sz="8" w:space="0" w:color="auto"/>
              <w:right w:val="single" w:sz="8" w:space="0" w:color="auto"/>
            </w:tcBorders>
            <w:vAlign w:val="center"/>
            <w:hideMark/>
          </w:tcPr>
          <w:p w14:paraId="78FDB0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00" w:type="dxa"/>
            <w:tcBorders>
              <w:top w:val="nil"/>
              <w:left w:val="nil"/>
              <w:bottom w:val="single" w:sz="8" w:space="0" w:color="auto"/>
              <w:right w:val="single" w:sz="8" w:space="0" w:color="auto"/>
            </w:tcBorders>
            <w:vAlign w:val="center"/>
            <w:hideMark/>
          </w:tcPr>
          <w:p w14:paraId="3761F1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3ECF084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E6646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184</w:t>
            </w:r>
          </w:p>
        </w:tc>
        <w:tc>
          <w:tcPr>
            <w:tcW w:w="1919" w:type="dxa"/>
            <w:tcBorders>
              <w:top w:val="nil"/>
              <w:left w:val="nil"/>
              <w:bottom w:val="single" w:sz="8" w:space="0" w:color="auto"/>
              <w:right w:val="single" w:sz="8" w:space="0" w:color="auto"/>
            </w:tcBorders>
            <w:vAlign w:val="center"/>
            <w:hideMark/>
          </w:tcPr>
          <w:p w14:paraId="74AF1A4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AVIATEK SAS</w:t>
            </w:r>
          </w:p>
        </w:tc>
        <w:tc>
          <w:tcPr>
            <w:tcW w:w="817" w:type="dxa"/>
            <w:tcBorders>
              <w:top w:val="nil"/>
              <w:left w:val="nil"/>
              <w:bottom w:val="single" w:sz="8" w:space="0" w:color="auto"/>
              <w:right w:val="single" w:sz="8" w:space="0" w:color="auto"/>
            </w:tcBorders>
            <w:vAlign w:val="center"/>
            <w:hideMark/>
          </w:tcPr>
          <w:p w14:paraId="7C90B0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1,36</w:t>
            </w:r>
          </w:p>
        </w:tc>
        <w:tc>
          <w:tcPr>
            <w:tcW w:w="1271" w:type="dxa"/>
            <w:tcBorders>
              <w:top w:val="nil"/>
              <w:left w:val="nil"/>
              <w:bottom w:val="single" w:sz="8" w:space="0" w:color="auto"/>
              <w:right w:val="single" w:sz="8" w:space="0" w:color="auto"/>
            </w:tcBorders>
            <w:vAlign w:val="center"/>
            <w:hideMark/>
          </w:tcPr>
          <w:p w14:paraId="55D87E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87%</w:t>
            </w:r>
          </w:p>
        </w:tc>
        <w:tc>
          <w:tcPr>
            <w:tcW w:w="1190" w:type="dxa"/>
            <w:tcBorders>
              <w:top w:val="nil"/>
              <w:left w:val="nil"/>
              <w:bottom w:val="single" w:sz="8" w:space="0" w:color="auto"/>
              <w:right w:val="single" w:sz="8" w:space="0" w:color="auto"/>
            </w:tcBorders>
            <w:vAlign w:val="center"/>
            <w:hideMark/>
          </w:tcPr>
          <w:p w14:paraId="6D703D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5EFB42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43.262.127</w:t>
            </w:r>
          </w:p>
        </w:tc>
        <w:tc>
          <w:tcPr>
            <w:tcW w:w="1100" w:type="dxa"/>
            <w:tcBorders>
              <w:top w:val="nil"/>
              <w:left w:val="nil"/>
              <w:bottom w:val="single" w:sz="8" w:space="0" w:color="auto"/>
              <w:right w:val="single" w:sz="8" w:space="0" w:color="auto"/>
            </w:tcBorders>
            <w:vAlign w:val="center"/>
            <w:hideMark/>
          </w:tcPr>
          <w:p w14:paraId="57DF87E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00" w:type="dxa"/>
            <w:tcBorders>
              <w:top w:val="nil"/>
              <w:left w:val="nil"/>
              <w:bottom w:val="single" w:sz="8" w:space="0" w:color="auto"/>
              <w:right w:val="single" w:sz="8" w:space="0" w:color="auto"/>
            </w:tcBorders>
            <w:vAlign w:val="center"/>
            <w:hideMark/>
          </w:tcPr>
          <w:p w14:paraId="356D57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5DBA5FB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77C6D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185</w:t>
            </w:r>
          </w:p>
        </w:tc>
        <w:tc>
          <w:tcPr>
            <w:tcW w:w="1919" w:type="dxa"/>
            <w:tcBorders>
              <w:top w:val="nil"/>
              <w:left w:val="nil"/>
              <w:bottom w:val="single" w:sz="8" w:space="0" w:color="auto"/>
              <w:right w:val="single" w:sz="8" w:space="0" w:color="auto"/>
            </w:tcBorders>
            <w:vAlign w:val="center"/>
            <w:hideMark/>
          </w:tcPr>
          <w:p w14:paraId="6B8ED53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PLANICONST SAS</w:t>
            </w:r>
          </w:p>
        </w:tc>
        <w:tc>
          <w:tcPr>
            <w:tcW w:w="817" w:type="dxa"/>
            <w:tcBorders>
              <w:top w:val="nil"/>
              <w:left w:val="nil"/>
              <w:bottom w:val="single" w:sz="8" w:space="0" w:color="auto"/>
              <w:right w:val="single" w:sz="8" w:space="0" w:color="auto"/>
            </w:tcBorders>
            <w:vAlign w:val="center"/>
            <w:hideMark/>
          </w:tcPr>
          <w:p w14:paraId="61960E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2,72</w:t>
            </w:r>
          </w:p>
        </w:tc>
        <w:tc>
          <w:tcPr>
            <w:tcW w:w="1271" w:type="dxa"/>
            <w:tcBorders>
              <w:top w:val="nil"/>
              <w:left w:val="nil"/>
              <w:bottom w:val="single" w:sz="8" w:space="0" w:color="auto"/>
              <w:right w:val="single" w:sz="8" w:space="0" w:color="auto"/>
            </w:tcBorders>
            <w:vAlign w:val="center"/>
            <w:hideMark/>
          </w:tcPr>
          <w:p w14:paraId="54BCB95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190" w:type="dxa"/>
            <w:tcBorders>
              <w:top w:val="nil"/>
              <w:left w:val="nil"/>
              <w:bottom w:val="single" w:sz="8" w:space="0" w:color="auto"/>
              <w:right w:val="single" w:sz="8" w:space="0" w:color="auto"/>
            </w:tcBorders>
            <w:vAlign w:val="center"/>
            <w:hideMark/>
          </w:tcPr>
          <w:p w14:paraId="6720146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12,85</w:t>
            </w:r>
          </w:p>
        </w:tc>
        <w:tc>
          <w:tcPr>
            <w:tcW w:w="1099" w:type="dxa"/>
            <w:tcBorders>
              <w:top w:val="nil"/>
              <w:left w:val="nil"/>
              <w:bottom w:val="single" w:sz="8" w:space="0" w:color="auto"/>
              <w:right w:val="single" w:sz="8" w:space="0" w:color="auto"/>
            </w:tcBorders>
            <w:vAlign w:val="center"/>
            <w:hideMark/>
          </w:tcPr>
          <w:p w14:paraId="54BC8C2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4.726.964</w:t>
            </w:r>
          </w:p>
        </w:tc>
        <w:tc>
          <w:tcPr>
            <w:tcW w:w="1100" w:type="dxa"/>
            <w:tcBorders>
              <w:top w:val="nil"/>
              <w:left w:val="nil"/>
              <w:bottom w:val="single" w:sz="8" w:space="0" w:color="auto"/>
              <w:right w:val="single" w:sz="8" w:space="0" w:color="auto"/>
            </w:tcBorders>
            <w:vAlign w:val="center"/>
            <w:hideMark/>
          </w:tcPr>
          <w:p w14:paraId="6059F6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76595F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40B46E5E"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51F63D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186</w:t>
            </w:r>
          </w:p>
        </w:tc>
        <w:tc>
          <w:tcPr>
            <w:tcW w:w="1919" w:type="dxa"/>
            <w:tcBorders>
              <w:top w:val="nil"/>
              <w:left w:val="nil"/>
              <w:bottom w:val="single" w:sz="8" w:space="0" w:color="auto"/>
              <w:right w:val="single" w:sz="8" w:space="0" w:color="auto"/>
            </w:tcBorders>
            <w:vAlign w:val="center"/>
            <w:hideMark/>
          </w:tcPr>
          <w:p w14:paraId="6E91128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KUBIK LAB SAS</w:t>
            </w:r>
          </w:p>
        </w:tc>
        <w:tc>
          <w:tcPr>
            <w:tcW w:w="817" w:type="dxa"/>
            <w:tcBorders>
              <w:top w:val="nil"/>
              <w:left w:val="nil"/>
              <w:bottom w:val="single" w:sz="8" w:space="0" w:color="auto"/>
              <w:right w:val="single" w:sz="8" w:space="0" w:color="auto"/>
            </w:tcBorders>
            <w:vAlign w:val="center"/>
            <w:hideMark/>
          </w:tcPr>
          <w:p w14:paraId="4E81D4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11,71</w:t>
            </w:r>
          </w:p>
        </w:tc>
        <w:tc>
          <w:tcPr>
            <w:tcW w:w="1271" w:type="dxa"/>
            <w:tcBorders>
              <w:top w:val="nil"/>
              <w:left w:val="nil"/>
              <w:bottom w:val="single" w:sz="8" w:space="0" w:color="auto"/>
              <w:right w:val="single" w:sz="8" w:space="0" w:color="auto"/>
            </w:tcBorders>
            <w:vAlign w:val="center"/>
            <w:hideMark/>
          </w:tcPr>
          <w:p w14:paraId="65D2BE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c>
          <w:tcPr>
            <w:tcW w:w="1190" w:type="dxa"/>
            <w:tcBorders>
              <w:top w:val="nil"/>
              <w:left w:val="nil"/>
              <w:bottom w:val="single" w:sz="8" w:space="0" w:color="auto"/>
              <w:right w:val="single" w:sz="8" w:space="0" w:color="auto"/>
            </w:tcBorders>
            <w:vAlign w:val="center"/>
            <w:hideMark/>
          </w:tcPr>
          <w:p w14:paraId="60EAA5C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9,70</w:t>
            </w:r>
          </w:p>
        </w:tc>
        <w:tc>
          <w:tcPr>
            <w:tcW w:w="1099" w:type="dxa"/>
            <w:tcBorders>
              <w:top w:val="nil"/>
              <w:left w:val="nil"/>
              <w:bottom w:val="single" w:sz="8" w:space="0" w:color="auto"/>
              <w:right w:val="single" w:sz="8" w:space="0" w:color="auto"/>
            </w:tcBorders>
            <w:vAlign w:val="center"/>
            <w:hideMark/>
          </w:tcPr>
          <w:p w14:paraId="24E5B6F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9.929.491</w:t>
            </w:r>
          </w:p>
        </w:tc>
        <w:tc>
          <w:tcPr>
            <w:tcW w:w="1100" w:type="dxa"/>
            <w:tcBorders>
              <w:top w:val="nil"/>
              <w:left w:val="nil"/>
              <w:bottom w:val="single" w:sz="8" w:space="0" w:color="auto"/>
              <w:right w:val="single" w:sz="8" w:space="0" w:color="auto"/>
            </w:tcBorders>
            <w:vAlign w:val="center"/>
            <w:hideMark/>
          </w:tcPr>
          <w:p w14:paraId="1BA880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2A4F56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55A1FE6A"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4FAD7E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187</w:t>
            </w:r>
          </w:p>
        </w:tc>
        <w:tc>
          <w:tcPr>
            <w:tcW w:w="1919" w:type="dxa"/>
            <w:tcBorders>
              <w:top w:val="nil"/>
              <w:left w:val="nil"/>
              <w:bottom w:val="single" w:sz="8" w:space="0" w:color="auto"/>
              <w:right w:val="single" w:sz="8" w:space="0" w:color="auto"/>
            </w:tcBorders>
            <w:vAlign w:val="center"/>
            <w:hideMark/>
          </w:tcPr>
          <w:p w14:paraId="063984E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CONSTRUCCIONES RICARDO CARO SAS</w:t>
            </w:r>
          </w:p>
        </w:tc>
        <w:tc>
          <w:tcPr>
            <w:tcW w:w="817" w:type="dxa"/>
            <w:tcBorders>
              <w:top w:val="nil"/>
              <w:left w:val="nil"/>
              <w:bottom w:val="single" w:sz="8" w:space="0" w:color="auto"/>
              <w:right w:val="single" w:sz="8" w:space="0" w:color="auto"/>
            </w:tcBorders>
            <w:vAlign w:val="center"/>
            <w:hideMark/>
          </w:tcPr>
          <w:p w14:paraId="67AC26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8,25</w:t>
            </w:r>
          </w:p>
        </w:tc>
        <w:tc>
          <w:tcPr>
            <w:tcW w:w="1271" w:type="dxa"/>
            <w:tcBorders>
              <w:top w:val="nil"/>
              <w:left w:val="nil"/>
              <w:bottom w:val="single" w:sz="8" w:space="0" w:color="auto"/>
              <w:right w:val="single" w:sz="8" w:space="0" w:color="auto"/>
            </w:tcBorders>
            <w:vAlign w:val="center"/>
            <w:hideMark/>
          </w:tcPr>
          <w:p w14:paraId="523D7B6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c>
          <w:tcPr>
            <w:tcW w:w="1190" w:type="dxa"/>
            <w:tcBorders>
              <w:top w:val="nil"/>
              <w:left w:val="nil"/>
              <w:bottom w:val="single" w:sz="8" w:space="0" w:color="auto"/>
              <w:right w:val="single" w:sz="8" w:space="0" w:color="auto"/>
            </w:tcBorders>
            <w:vAlign w:val="center"/>
            <w:hideMark/>
          </w:tcPr>
          <w:p w14:paraId="1BB4B3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8,37</w:t>
            </w:r>
          </w:p>
        </w:tc>
        <w:tc>
          <w:tcPr>
            <w:tcW w:w="1099" w:type="dxa"/>
            <w:tcBorders>
              <w:top w:val="nil"/>
              <w:left w:val="nil"/>
              <w:bottom w:val="single" w:sz="8" w:space="0" w:color="auto"/>
              <w:right w:val="single" w:sz="8" w:space="0" w:color="auto"/>
            </w:tcBorders>
            <w:vAlign w:val="center"/>
            <w:hideMark/>
          </w:tcPr>
          <w:p w14:paraId="7E6589D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2.776.752</w:t>
            </w:r>
          </w:p>
        </w:tc>
        <w:tc>
          <w:tcPr>
            <w:tcW w:w="1100" w:type="dxa"/>
            <w:tcBorders>
              <w:top w:val="nil"/>
              <w:left w:val="nil"/>
              <w:bottom w:val="single" w:sz="8" w:space="0" w:color="auto"/>
              <w:right w:val="single" w:sz="8" w:space="0" w:color="auto"/>
            </w:tcBorders>
            <w:vAlign w:val="center"/>
            <w:hideMark/>
          </w:tcPr>
          <w:p w14:paraId="1864F0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00" w:type="dxa"/>
            <w:tcBorders>
              <w:top w:val="nil"/>
              <w:left w:val="nil"/>
              <w:bottom w:val="single" w:sz="8" w:space="0" w:color="auto"/>
              <w:right w:val="single" w:sz="8" w:space="0" w:color="auto"/>
            </w:tcBorders>
            <w:vAlign w:val="center"/>
            <w:hideMark/>
          </w:tcPr>
          <w:p w14:paraId="737B20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161A675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2AA19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188</w:t>
            </w:r>
          </w:p>
        </w:tc>
        <w:tc>
          <w:tcPr>
            <w:tcW w:w="1919" w:type="dxa"/>
            <w:tcBorders>
              <w:top w:val="nil"/>
              <w:left w:val="nil"/>
              <w:bottom w:val="single" w:sz="8" w:space="0" w:color="auto"/>
              <w:right w:val="single" w:sz="8" w:space="0" w:color="auto"/>
            </w:tcBorders>
            <w:vAlign w:val="center"/>
            <w:hideMark/>
          </w:tcPr>
          <w:p w14:paraId="12A9B9A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TOBON INGENIERIA SAS</w:t>
            </w:r>
          </w:p>
        </w:tc>
        <w:tc>
          <w:tcPr>
            <w:tcW w:w="817" w:type="dxa"/>
            <w:tcBorders>
              <w:top w:val="nil"/>
              <w:left w:val="nil"/>
              <w:bottom w:val="single" w:sz="8" w:space="0" w:color="auto"/>
              <w:right w:val="single" w:sz="8" w:space="0" w:color="auto"/>
            </w:tcBorders>
            <w:vAlign w:val="center"/>
            <w:hideMark/>
          </w:tcPr>
          <w:p w14:paraId="144427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6,28</w:t>
            </w:r>
          </w:p>
        </w:tc>
        <w:tc>
          <w:tcPr>
            <w:tcW w:w="1271" w:type="dxa"/>
            <w:tcBorders>
              <w:top w:val="nil"/>
              <w:left w:val="nil"/>
              <w:bottom w:val="single" w:sz="8" w:space="0" w:color="auto"/>
              <w:right w:val="single" w:sz="8" w:space="0" w:color="auto"/>
            </w:tcBorders>
            <w:vAlign w:val="center"/>
            <w:hideMark/>
          </w:tcPr>
          <w:p w14:paraId="15B18E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57B8837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20,94</w:t>
            </w:r>
          </w:p>
        </w:tc>
        <w:tc>
          <w:tcPr>
            <w:tcW w:w="1099" w:type="dxa"/>
            <w:tcBorders>
              <w:top w:val="nil"/>
              <w:left w:val="nil"/>
              <w:bottom w:val="single" w:sz="8" w:space="0" w:color="auto"/>
              <w:right w:val="single" w:sz="8" w:space="0" w:color="auto"/>
            </w:tcBorders>
            <w:vAlign w:val="center"/>
            <w:hideMark/>
          </w:tcPr>
          <w:p w14:paraId="5C99083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6.828.036</w:t>
            </w:r>
          </w:p>
        </w:tc>
        <w:tc>
          <w:tcPr>
            <w:tcW w:w="1100" w:type="dxa"/>
            <w:tcBorders>
              <w:top w:val="nil"/>
              <w:left w:val="nil"/>
              <w:bottom w:val="single" w:sz="8" w:space="0" w:color="auto"/>
              <w:right w:val="single" w:sz="8" w:space="0" w:color="auto"/>
            </w:tcBorders>
            <w:vAlign w:val="center"/>
            <w:hideMark/>
          </w:tcPr>
          <w:p w14:paraId="75DCC3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c>
          <w:tcPr>
            <w:tcW w:w="1100" w:type="dxa"/>
            <w:tcBorders>
              <w:top w:val="nil"/>
              <w:left w:val="nil"/>
              <w:bottom w:val="single" w:sz="8" w:space="0" w:color="auto"/>
              <w:right w:val="single" w:sz="8" w:space="0" w:color="auto"/>
            </w:tcBorders>
            <w:vAlign w:val="center"/>
            <w:hideMark/>
          </w:tcPr>
          <w:p w14:paraId="313695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566177B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DFA867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189</w:t>
            </w:r>
          </w:p>
        </w:tc>
        <w:tc>
          <w:tcPr>
            <w:tcW w:w="1919" w:type="dxa"/>
            <w:tcBorders>
              <w:top w:val="nil"/>
              <w:left w:val="nil"/>
              <w:bottom w:val="single" w:sz="8" w:space="0" w:color="auto"/>
              <w:right w:val="single" w:sz="8" w:space="0" w:color="auto"/>
            </w:tcBorders>
            <w:vAlign w:val="center"/>
            <w:hideMark/>
          </w:tcPr>
          <w:p w14:paraId="5F05364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STONER SAS</w:t>
            </w:r>
          </w:p>
        </w:tc>
        <w:tc>
          <w:tcPr>
            <w:tcW w:w="817" w:type="dxa"/>
            <w:tcBorders>
              <w:top w:val="nil"/>
              <w:left w:val="nil"/>
              <w:bottom w:val="single" w:sz="8" w:space="0" w:color="auto"/>
              <w:right w:val="single" w:sz="8" w:space="0" w:color="auto"/>
            </w:tcBorders>
            <w:vAlign w:val="center"/>
            <w:hideMark/>
          </w:tcPr>
          <w:p w14:paraId="65FF50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1,40</w:t>
            </w:r>
          </w:p>
        </w:tc>
        <w:tc>
          <w:tcPr>
            <w:tcW w:w="1271" w:type="dxa"/>
            <w:tcBorders>
              <w:top w:val="nil"/>
              <w:left w:val="nil"/>
              <w:bottom w:val="single" w:sz="8" w:space="0" w:color="auto"/>
              <w:right w:val="single" w:sz="8" w:space="0" w:color="auto"/>
            </w:tcBorders>
            <w:vAlign w:val="center"/>
            <w:hideMark/>
          </w:tcPr>
          <w:p w14:paraId="0EB4A6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w:t>
            </w:r>
          </w:p>
        </w:tc>
        <w:tc>
          <w:tcPr>
            <w:tcW w:w="1190" w:type="dxa"/>
            <w:tcBorders>
              <w:top w:val="nil"/>
              <w:left w:val="nil"/>
              <w:bottom w:val="single" w:sz="8" w:space="0" w:color="auto"/>
              <w:right w:val="single" w:sz="8" w:space="0" w:color="auto"/>
            </w:tcBorders>
            <w:vAlign w:val="center"/>
            <w:hideMark/>
          </w:tcPr>
          <w:p w14:paraId="4369D3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DF3BF4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1.102.878</w:t>
            </w:r>
          </w:p>
        </w:tc>
        <w:tc>
          <w:tcPr>
            <w:tcW w:w="1100" w:type="dxa"/>
            <w:tcBorders>
              <w:top w:val="nil"/>
              <w:left w:val="nil"/>
              <w:bottom w:val="single" w:sz="8" w:space="0" w:color="auto"/>
              <w:right w:val="single" w:sz="8" w:space="0" w:color="auto"/>
            </w:tcBorders>
            <w:vAlign w:val="center"/>
            <w:hideMark/>
          </w:tcPr>
          <w:p w14:paraId="1AFCF5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w:t>
            </w:r>
          </w:p>
        </w:tc>
        <w:tc>
          <w:tcPr>
            <w:tcW w:w="1100" w:type="dxa"/>
            <w:tcBorders>
              <w:top w:val="nil"/>
              <w:left w:val="nil"/>
              <w:bottom w:val="single" w:sz="8" w:space="0" w:color="auto"/>
              <w:right w:val="single" w:sz="8" w:space="0" w:color="auto"/>
            </w:tcBorders>
            <w:vAlign w:val="center"/>
            <w:hideMark/>
          </w:tcPr>
          <w:p w14:paraId="7554EE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1F12607F"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43A81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190</w:t>
            </w:r>
          </w:p>
        </w:tc>
        <w:tc>
          <w:tcPr>
            <w:tcW w:w="1919" w:type="dxa"/>
            <w:tcBorders>
              <w:top w:val="nil"/>
              <w:left w:val="nil"/>
              <w:bottom w:val="single" w:sz="8" w:space="0" w:color="auto"/>
              <w:right w:val="single" w:sz="8" w:space="0" w:color="auto"/>
            </w:tcBorders>
            <w:vAlign w:val="center"/>
            <w:hideMark/>
          </w:tcPr>
          <w:p w14:paraId="038B77F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900353952</w:t>
            </w:r>
          </w:p>
        </w:tc>
        <w:tc>
          <w:tcPr>
            <w:tcW w:w="817" w:type="dxa"/>
            <w:tcBorders>
              <w:top w:val="nil"/>
              <w:left w:val="nil"/>
              <w:bottom w:val="single" w:sz="8" w:space="0" w:color="auto"/>
              <w:right w:val="single" w:sz="8" w:space="0" w:color="auto"/>
            </w:tcBorders>
            <w:vAlign w:val="center"/>
            <w:hideMark/>
          </w:tcPr>
          <w:p w14:paraId="188547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86,50</w:t>
            </w:r>
          </w:p>
        </w:tc>
        <w:tc>
          <w:tcPr>
            <w:tcW w:w="1271" w:type="dxa"/>
            <w:tcBorders>
              <w:top w:val="nil"/>
              <w:left w:val="nil"/>
              <w:bottom w:val="single" w:sz="8" w:space="0" w:color="auto"/>
              <w:right w:val="single" w:sz="8" w:space="0" w:color="auto"/>
            </w:tcBorders>
            <w:vAlign w:val="center"/>
            <w:hideMark/>
          </w:tcPr>
          <w:p w14:paraId="4C26D2C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90" w:type="dxa"/>
            <w:tcBorders>
              <w:top w:val="nil"/>
              <w:left w:val="nil"/>
              <w:bottom w:val="single" w:sz="8" w:space="0" w:color="auto"/>
              <w:right w:val="single" w:sz="8" w:space="0" w:color="auto"/>
            </w:tcBorders>
            <w:vAlign w:val="center"/>
            <w:hideMark/>
          </w:tcPr>
          <w:p w14:paraId="087011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-39,57</w:t>
            </w:r>
          </w:p>
        </w:tc>
        <w:tc>
          <w:tcPr>
            <w:tcW w:w="1099" w:type="dxa"/>
            <w:tcBorders>
              <w:top w:val="nil"/>
              <w:left w:val="nil"/>
              <w:bottom w:val="single" w:sz="8" w:space="0" w:color="auto"/>
              <w:right w:val="single" w:sz="8" w:space="0" w:color="auto"/>
            </w:tcBorders>
            <w:vAlign w:val="center"/>
            <w:hideMark/>
          </w:tcPr>
          <w:p w14:paraId="4E6B91F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669.822</w:t>
            </w:r>
          </w:p>
        </w:tc>
        <w:tc>
          <w:tcPr>
            <w:tcW w:w="1100" w:type="dxa"/>
            <w:tcBorders>
              <w:top w:val="nil"/>
              <w:left w:val="nil"/>
              <w:bottom w:val="single" w:sz="8" w:space="0" w:color="auto"/>
              <w:right w:val="single" w:sz="8" w:space="0" w:color="auto"/>
            </w:tcBorders>
            <w:vAlign w:val="center"/>
            <w:hideMark/>
          </w:tcPr>
          <w:p w14:paraId="0FCAF8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c>
          <w:tcPr>
            <w:tcW w:w="1100" w:type="dxa"/>
            <w:tcBorders>
              <w:top w:val="nil"/>
              <w:left w:val="nil"/>
              <w:bottom w:val="single" w:sz="8" w:space="0" w:color="auto"/>
              <w:right w:val="single" w:sz="8" w:space="0" w:color="auto"/>
            </w:tcBorders>
            <w:vAlign w:val="center"/>
            <w:hideMark/>
          </w:tcPr>
          <w:p w14:paraId="78B050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2268B03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F0CB5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191</w:t>
            </w:r>
          </w:p>
        </w:tc>
        <w:tc>
          <w:tcPr>
            <w:tcW w:w="1919" w:type="dxa"/>
            <w:tcBorders>
              <w:top w:val="nil"/>
              <w:left w:val="nil"/>
              <w:bottom w:val="single" w:sz="8" w:space="0" w:color="auto"/>
              <w:right w:val="single" w:sz="8" w:space="0" w:color="auto"/>
            </w:tcBorders>
            <w:vAlign w:val="center"/>
            <w:hideMark/>
          </w:tcPr>
          <w:p w14:paraId="459D3AF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HBS SAS</w:t>
            </w:r>
          </w:p>
        </w:tc>
        <w:tc>
          <w:tcPr>
            <w:tcW w:w="817" w:type="dxa"/>
            <w:tcBorders>
              <w:top w:val="nil"/>
              <w:left w:val="nil"/>
              <w:bottom w:val="single" w:sz="8" w:space="0" w:color="auto"/>
              <w:right w:val="single" w:sz="8" w:space="0" w:color="auto"/>
            </w:tcBorders>
            <w:vAlign w:val="center"/>
            <w:hideMark/>
          </w:tcPr>
          <w:p w14:paraId="3BEBC2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2,03</w:t>
            </w:r>
          </w:p>
        </w:tc>
        <w:tc>
          <w:tcPr>
            <w:tcW w:w="1271" w:type="dxa"/>
            <w:tcBorders>
              <w:top w:val="nil"/>
              <w:left w:val="nil"/>
              <w:bottom w:val="single" w:sz="8" w:space="0" w:color="auto"/>
              <w:right w:val="single" w:sz="8" w:space="0" w:color="auto"/>
            </w:tcBorders>
            <w:vAlign w:val="center"/>
            <w:hideMark/>
          </w:tcPr>
          <w:p w14:paraId="5E8A53D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w:t>
            </w:r>
          </w:p>
        </w:tc>
        <w:tc>
          <w:tcPr>
            <w:tcW w:w="1190" w:type="dxa"/>
            <w:tcBorders>
              <w:top w:val="nil"/>
              <w:left w:val="nil"/>
              <w:bottom w:val="single" w:sz="8" w:space="0" w:color="auto"/>
              <w:right w:val="single" w:sz="8" w:space="0" w:color="auto"/>
            </w:tcBorders>
            <w:vAlign w:val="center"/>
            <w:hideMark/>
          </w:tcPr>
          <w:p w14:paraId="7BBE9A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-5,59</w:t>
            </w:r>
          </w:p>
        </w:tc>
        <w:tc>
          <w:tcPr>
            <w:tcW w:w="1099" w:type="dxa"/>
            <w:tcBorders>
              <w:top w:val="nil"/>
              <w:left w:val="nil"/>
              <w:bottom w:val="single" w:sz="8" w:space="0" w:color="auto"/>
              <w:right w:val="single" w:sz="8" w:space="0" w:color="auto"/>
            </w:tcBorders>
            <w:vAlign w:val="center"/>
            <w:hideMark/>
          </w:tcPr>
          <w:p w14:paraId="5A3BBEF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8.803.013</w:t>
            </w:r>
          </w:p>
        </w:tc>
        <w:tc>
          <w:tcPr>
            <w:tcW w:w="1100" w:type="dxa"/>
            <w:tcBorders>
              <w:top w:val="nil"/>
              <w:left w:val="nil"/>
              <w:bottom w:val="single" w:sz="8" w:space="0" w:color="auto"/>
              <w:right w:val="single" w:sz="8" w:space="0" w:color="auto"/>
            </w:tcBorders>
            <w:vAlign w:val="center"/>
            <w:hideMark/>
          </w:tcPr>
          <w:p w14:paraId="411A80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-140%</w:t>
            </w:r>
          </w:p>
        </w:tc>
        <w:tc>
          <w:tcPr>
            <w:tcW w:w="1100" w:type="dxa"/>
            <w:tcBorders>
              <w:top w:val="nil"/>
              <w:left w:val="nil"/>
              <w:bottom w:val="single" w:sz="8" w:space="0" w:color="auto"/>
              <w:right w:val="single" w:sz="8" w:space="0" w:color="auto"/>
            </w:tcBorders>
            <w:vAlign w:val="center"/>
            <w:hideMark/>
          </w:tcPr>
          <w:p w14:paraId="30AE1B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0C90ABE9"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53CE4D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192</w:t>
            </w:r>
          </w:p>
        </w:tc>
        <w:tc>
          <w:tcPr>
            <w:tcW w:w="1919" w:type="dxa"/>
            <w:tcBorders>
              <w:top w:val="nil"/>
              <w:left w:val="nil"/>
              <w:bottom w:val="single" w:sz="8" w:space="0" w:color="auto"/>
              <w:right w:val="single" w:sz="8" w:space="0" w:color="auto"/>
            </w:tcBorders>
            <w:vAlign w:val="center"/>
            <w:hideMark/>
          </w:tcPr>
          <w:p w14:paraId="2C23715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GSS E INGENIEROS ASOCIADOS SAS</w:t>
            </w:r>
          </w:p>
        </w:tc>
        <w:tc>
          <w:tcPr>
            <w:tcW w:w="817" w:type="dxa"/>
            <w:tcBorders>
              <w:top w:val="nil"/>
              <w:left w:val="nil"/>
              <w:bottom w:val="single" w:sz="8" w:space="0" w:color="auto"/>
              <w:right w:val="single" w:sz="8" w:space="0" w:color="auto"/>
            </w:tcBorders>
            <w:vAlign w:val="center"/>
            <w:hideMark/>
          </w:tcPr>
          <w:p w14:paraId="66C08F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5,59</w:t>
            </w:r>
          </w:p>
        </w:tc>
        <w:tc>
          <w:tcPr>
            <w:tcW w:w="1271" w:type="dxa"/>
            <w:tcBorders>
              <w:top w:val="nil"/>
              <w:left w:val="nil"/>
              <w:bottom w:val="single" w:sz="8" w:space="0" w:color="auto"/>
              <w:right w:val="single" w:sz="8" w:space="0" w:color="auto"/>
            </w:tcBorders>
            <w:vAlign w:val="center"/>
            <w:hideMark/>
          </w:tcPr>
          <w:p w14:paraId="045A240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11244D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4,95</w:t>
            </w:r>
          </w:p>
        </w:tc>
        <w:tc>
          <w:tcPr>
            <w:tcW w:w="1099" w:type="dxa"/>
            <w:tcBorders>
              <w:top w:val="nil"/>
              <w:left w:val="nil"/>
              <w:bottom w:val="single" w:sz="8" w:space="0" w:color="auto"/>
              <w:right w:val="single" w:sz="8" w:space="0" w:color="auto"/>
            </w:tcBorders>
            <w:vAlign w:val="center"/>
            <w:hideMark/>
          </w:tcPr>
          <w:p w14:paraId="38CA5D1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3.783.162</w:t>
            </w:r>
          </w:p>
        </w:tc>
        <w:tc>
          <w:tcPr>
            <w:tcW w:w="1100" w:type="dxa"/>
            <w:tcBorders>
              <w:top w:val="nil"/>
              <w:left w:val="nil"/>
              <w:bottom w:val="single" w:sz="8" w:space="0" w:color="auto"/>
              <w:right w:val="single" w:sz="8" w:space="0" w:color="auto"/>
            </w:tcBorders>
            <w:vAlign w:val="center"/>
            <w:hideMark/>
          </w:tcPr>
          <w:p w14:paraId="4662E3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5AC32C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5F1E56A6"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51FD4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193</w:t>
            </w:r>
          </w:p>
        </w:tc>
        <w:tc>
          <w:tcPr>
            <w:tcW w:w="1919" w:type="dxa"/>
            <w:tcBorders>
              <w:top w:val="nil"/>
              <w:left w:val="nil"/>
              <w:bottom w:val="single" w:sz="8" w:space="0" w:color="auto"/>
              <w:right w:val="single" w:sz="8" w:space="0" w:color="auto"/>
            </w:tcBorders>
            <w:vAlign w:val="center"/>
            <w:hideMark/>
          </w:tcPr>
          <w:p w14:paraId="511C781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CARA NGENERA SAS EN REORGANIZACION</w:t>
            </w:r>
          </w:p>
        </w:tc>
        <w:tc>
          <w:tcPr>
            <w:tcW w:w="817" w:type="dxa"/>
            <w:tcBorders>
              <w:top w:val="nil"/>
              <w:left w:val="nil"/>
              <w:bottom w:val="single" w:sz="8" w:space="0" w:color="auto"/>
              <w:right w:val="single" w:sz="8" w:space="0" w:color="auto"/>
            </w:tcBorders>
            <w:vAlign w:val="center"/>
            <w:hideMark/>
          </w:tcPr>
          <w:p w14:paraId="4C3853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0,88</w:t>
            </w:r>
          </w:p>
        </w:tc>
        <w:tc>
          <w:tcPr>
            <w:tcW w:w="1271" w:type="dxa"/>
            <w:tcBorders>
              <w:top w:val="nil"/>
              <w:left w:val="nil"/>
              <w:bottom w:val="single" w:sz="8" w:space="0" w:color="auto"/>
              <w:right w:val="single" w:sz="8" w:space="0" w:color="auto"/>
            </w:tcBorders>
            <w:vAlign w:val="center"/>
            <w:hideMark/>
          </w:tcPr>
          <w:p w14:paraId="27E9A3A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c>
          <w:tcPr>
            <w:tcW w:w="1190" w:type="dxa"/>
            <w:tcBorders>
              <w:top w:val="nil"/>
              <w:left w:val="nil"/>
              <w:bottom w:val="single" w:sz="8" w:space="0" w:color="auto"/>
              <w:right w:val="single" w:sz="8" w:space="0" w:color="auto"/>
            </w:tcBorders>
            <w:vAlign w:val="center"/>
            <w:hideMark/>
          </w:tcPr>
          <w:p w14:paraId="49384BA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1,25</w:t>
            </w:r>
          </w:p>
        </w:tc>
        <w:tc>
          <w:tcPr>
            <w:tcW w:w="1099" w:type="dxa"/>
            <w:tcBorders>
              <w:top w:val="nil"/>
              <w:left w:val="nil"/>
              <w:bottom w:val="single" w:sz="8" w:space="0" w:color="auto"/>
              <w:right w:val="single" w:sz="8" w:space="0" w:color="auto"/>
            </w:tcBorders>
            <w:vAlign w:val="center"/>
            <w:hideMark/>
          </w:tcPr>
          <w:p w14:paraId="0FBB4DE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-828.513</w:t>
            </w:r>
          </w:p>
        </w:tc>
        <w:tc>
          <w:tcPr>
            <w:tcW w:w="1100" w:type="dxa"/>
            <w:tcBorders>
              <w:top w:val="nil"/>
              <w:left w:val="nil"/>
              <w:bottom w:val="single" w:sz="8" w:space="0" w:color="auto"/>
              <w:right w:val="single" w:sz="8" w:space="0" w:color="auto"/>
            </w:tcBorders>
            <w:vAlign w:val="center"/>
            <w:hideMark/>
          </w:tcPr>
          <w:p w14:paraId="1FA7DF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06434E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33C2323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9EF17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194</w:t>
            </w:r>
          </w:p>
        </w:tc>
        <w:tc>
          <w:tcPr>
            <w:tcW w:w="1919" w:type="dxa"/>
            <w:tcBorders>
              <w:top w:val="nil"/>
              <w:left w:val="nil"/>
              <w:bottom w:val="single" w:sz="8" w:space="0" w:color="auto"/>
              <w:right w:val="single" w:sz="8" w:space="0" w:color="auto"/>
            </w:tcBorders>
            <w:vAlign w:val="center"/>
            <w:hideMark/>
          </w:tcPr>
          <w:p w14:paraId="545B5F7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DRV CONSTRUCCIONES SAS</w:t>
            </w:r>
          </w:p>
        </w:tc>
        <w:tc>
          <w:tcPr>
            <w:tcW w:w="817" w:type="dxa"/>
            <w:tcBorders>
              <w:top w:val="nil"/>
              <w:left w:val="nil"/>
              <w:bottom w:val="single" w:sz="8" w:space="0" w:color="auto"/>
              <w:right w:val="single" w:sz="8" w:space="0" w:color="auto"/>
            </w:tcBorders>
            <w:vAlign w:val="center"/>
            <w:hideMark/>
          </w:tcPr>
          <w:p w14:paraId="50695B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1,86</w:t>
            </w:r>
          </w:p>
        </w:tc>
        <w:tc>
          <w:tcPr>
            <w:tcW w:w="1271" w:type="dxa"/>
            <w:tcBorders>
              <w:top w:val="nil"/>
              <w:left w:val="nil"/>
              <w:bottom w:val="single" w:sz="8" w:space="0" w:color="auto"/>
              <w:right w:val="single" w:sz="8" w:space="0" w:color="auto"/>
            </w:tcBorders>
            <w:vAlign w:val="center"/>
            <w:hideMark/>
          </w:tcPr>
          <w:p w14:paraId="74EA007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w:t>
            </w:r>
          </w:p>
        </w:tc>
        <w:tc>
          <w:tcPr>
            <w:tcW w:w="1190" w:type="dxa"/>
            <w:tcBorders>
              <w:top w:val="nil"/>
              <w:left w:val="nil"/>
              <w:bottom w:val="single" w:sz="8" w:space="0" w:color="auto"/>
              <w:right w:val="single" w:sz="8" w:space="0" w:color="auto"/>
            </w:tcBorders>
            <w:vAlign w:val="center"/>
            <w:hideMark/>
          </w:tcPr>
          <w:p w14:paraId="5020EA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8,33</w:t>
            </w:r>
          </w:p>
        </w:tc>
        <w:tc>
          <w:tcPr>
            <w:tcW w:w="1099" w:type="dxa"/>
            <w:tcBorders>
              <w:top w:val="nil"/>
              <w:left w:val="nil"/>
              <w:bottom w:val="single" w:sz="8" w:space="0" w:color="auto"/>
              <w:right w:val="single" w:sz="8" w:space="0" w:color="auto"/>
            </w:tcBorders>
            <w:vAlign w:val="center"/>
            <w:hideMark/>
          </w:tcPr>
          <w:p w14:paraId="19BF519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640.902</w:t>
            </w:r>
          </w:p>
        </w:tc>
        <w:tc>
          <w:tcPr>
            <w:tcW w:w="1100" w:type="dxa"/>
            <w:tcBorders>
              <w:top w:val="nil"/>
              <w:left w:val="nil"/>
              <w:bottom w:val="single" w:sz="8" w:space="0" w:color="auto"/>
              <w:right w:val="single" w:sz="8" w:space="0" w:color="auto"/>
            </w:tcBorders>
            <w:vAlign w:val="center"/>
            <w:hideMark/>
          </w:tcPr>
          <w:p w14:paraId="5BA993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00" w:type="dxa"/>
            <w:tcBorders>
              <w:top w:val="nil"/>
              <w:left w:val="nil"/>
              <w:bottom w:val="single" w:sz="8" w:space="0" w:color="auto"/>
              <w:right w:val="single" w:sz="8" w:space="0" w:color="auto"/>
            </w:tcBorders>
            <w:vAlign w:val="center"/>
            <w:hideMark/>
          </w:tcPr>
          <w:p w14:paraId="13941A5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0DDDCB84" w14:textId="77777777" w:rsidTr="008468B3">
        <w:trPr>
          <w:trHeight w:val="783"/>
        </w:trPr>
        <w:tc>
          <w:tcPr>
            <w:tcW w:w="474" w:type="dxa"/>
            <w:tcBorders>
              <w:top w:val="nil"/>
              <w:left w:val="single" w:sz="8" w:space="0" w:color="auto"/>
              <w:bottom w:val="single" w:sz="8" w:space="0" w:color="auto"/>
              <w:right w:val="single" w:sz="8" w:space="0" w:color="auto"/>
            </w:tcBorders>
            <w:noWrap/>
            <w:vAlign w:val="center"/>
            <w:hideMark/>
          </w:tcPr>
          <w:p w14:paraId="3C0C9EC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195</w:t>
            </w:r>
          </w:p>
        </w:tc>
        <w:tc>
          <w:tcPr>
            <w:tcW w:w="1919" w:type="dxa"/>
            <w:tcBorders>
              <w:top w:val="nil"/>
              <w:left w:val="nil"/>
              <w:bottom w:val="single" w:sz="8" w:space="0" w:color="auto"/>
              <w:right w:val="single" w:sz="8" w:space="0" w:color="auto"/>
            </w:tcBorders>
            <w:vAlign w:val="center"/>
            <w:hideMark/>
          </w:tcPr>
          <w:p w14:paraId="4B34006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GRUPO SOLUCIONES Y SERVICIOS DE INGENIERIA S.A.S.</w:t>
            </w:r>
          </w:p>
        </w:tc>
        <w:tc>
          <w:tcPr>
            <w:tcW w:w="817" w:type="dxa"/>
            <w:tcBorders>
              <w:top w:val="nil"/>
              <w:left w:val="nil"/>
              <w:bottom w:val="single" w:sz="8" w:space="0" w:color="auto"/>
              <w:right w:val="single" w:sz="8" w:space="0" w:color="auto"/>
            </w:tcBorders>
            <w:vAlign w:val="center"/>
            <w:hideMark/>
          </w:tcPr>
          <w:p w14:paraId="24FF32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9,56</w:t>
            </w:r>
          </w:p>
        </w:tc>
        <w:tc>
          <w:tcPr>
            <w:tcW w:w="1271" w:type="dxa"/>
            <w:tcBorders>
              <w:top w:val="nil"/>
              <w:left w:val="nil"/>
              <w:bottom w:val="single" w:sz="8" w:space="0" w:color="auto"/>
              <w:right w:val="single" w:sz="8" w:space="0" w:color="auto"/>
            </w:tcBorders>
            <w:vAlign w:val="center"/>
            <w:hideMark/>
          </w:tcPr>
          <w:p w14:paraId="6D47DB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w:t>
            </w:r>
          </w:p>
        </w:tc>
        <w:tc>
          <w:tcPr>
            <w:tcW w:w="1190" w:type="dxa"/>
            <w:tcBorders>
              <w:top w:val="nil"/>
              <w:left w:val="nil"/>
              <w:bottom w:val="single" w:sz="8" w:space="0" w:color="auto"/>
              <w:right w:val="single" w:sz="8" w:space="0" w:color="auto"/>
            </w:tcBorders>
            <w:vAlign w:val="center"/>
            <w:hideMark/>
          </w:tcPr>
          <w:p w14:paraId="78BBE63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0,53</w:t>
            </w:r>
          </w:p>
        </w:tc>
        <w:tc>
          <w:tcPr>
            <w:tcW w:w="1099" w:type="dxa"/>
            <w:tcBorders>
              <w:top w:val="nil"/>
              <w:left w:val="nil"/>
              <w:bottom w:val="single" w:sz="8" w:space="0" w:color="auto"/>
              <w:right w:val="single" w:sz="8" w:space="0" w:color="auto"/>
            </w:tcBorders>
            <w:vAlign w:val="center"/>
            <w:hideMark/>
          </w:tcPr>
          <w:p w14:paraId="5B7B681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3.177.108</w:t>
            </w:r>
          </w:p>
        </w:tc>
        <w:tc>
          <w:tcPr>
            <w:tcW w:w="1100" w:type="dxa"/>
            <w:tcBorders>
              <w:top w:val="nil"/>
              <w:left w:val="nil"/>
              <w:bottom w:val="single" w:sz="8" w:space="0" w:color="auto"/>
              <w:right w:val="single" w:sz="8" w:space="0" w:color="auto"/>
            </w:tcBorders>
            <w:vAlign w:val="center"/>
            <w:hideMark/>
          </w:tcPr>
          <w:p w14:paraId="2854A5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5261D2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5C4D7C4A"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0D545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196</w:t>
            </w:r>
          </w:p>
        </w:tc>
        <w:tc>
          <w:tcPr>
            <w:tcW w:w="1919" w:type="dxa"/>
            <w:tcBorders>
              <w:top w:val="nil"/>
              <w:left w:val="nil"/>
              <w:bottom w:val="single" w:sz="8" w:space="0" w:color="auto"/>
              <w:right w:val="single" w:sz="8" w:space="0" w:color="auto"/>
            </w:tcBorders>
            <w:vAlign w:val="center"/>
            <w:hideMark/>
          </w:tcPr>
          <w:p w14:paraId="60D02CE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URBANIZADORA MONTELEON SAS</w:t>
            </w:r>
          </w:p>
        </w:tc>
        <w:tc>
          <w:tcPr>
            <w:tcW w:w="817" w:type="dxa"/>
            <w:tcBorders>
              <w:top w:val="nil"/>
              <w:left w:val="nil"/>
              <w:bottom w:val="single" w:sz="8" w:space="0" w:color="auto"/>
              <w:right w:val="single" w:sz="8" w:space="0" w:color="auto"/>
            </w:tcBorders>
            <w:vAlign w:val="center"/>
            <w:hideMark/>
          </w:tcPr>
          <w:p w14:paraId="2D569D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3,18</w:t>
            </w:r>
          </w:p>
        </w:tc>
        <w:tc>
          <w:tcPr>
            <w:tcW w:w="1271" w:type="dxa"/>
            <w:tcBorders>
              <w:top w:val="nil"/>
              <w:left w:val="nil"/>
              <w:bottom w:val="single" w:sz="8" w:space="0" w:color="auto"/>
              <w:right w:val="single" w:sz="8" w:space="0" w:color="auto"/>
            </w:tcBorders>
            <w:vAlign w:val="center"/>
            <w:hideMark/>
          </w:tcPr>
          <w:p w14:paraId="6EE0BD2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90" w:type="dxa"/>
            <w:tcBorders>
              <w:top w:val="nil"/>
              <w:left w:val="nil"/>
              <w:bottom w:val="single" w:sz="8" w:space="0" w:color="auto"/>
              <w:right w:val="single" w:sz="8" w:space="0" w:color="auto"/>
            </w:tcBorders>
            <w:vAlign w:val="center"/>
            <w:hideMark/>
          </w:tcPr>
          <w:p w14:paraId="3EC541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267,14</w:t>
            </w:r>
          </w:p>
        </w:tc>
        <w:tc>
          <w:tcPr>
            <w:tcW w:w="1099" w:type="dxa"/>
            <w:tcBorders>
              <w:top w:val="nil"/>
              <w:left w:val="nil"/>
              <w:bottom w:val="single" w:sz="8" w:space="0" w:color="auto"/>
              <w:right w:val="single" w:sz="8" w:space="0" w:color="auto"/>
            </w:tcBorders>
            <w:vAlign w:val="center"/>
            <w:hideMark/>
          </w:tcPr>
          <w:p w14:paraId="305BBA4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944.961</w:t>
            </w:r>
          </w:p>
        </w:tc>
        <w:tc>
          <w:tcPr>
            <w:tcW w:w="1100" w:type="dxa"/>
            <w:tcBorders>
              <w:top w:val="nil"/>
              <w:left w:val="nil"/>
              <w:bottom w:val="single" w:sz="8" w:space="0" w:color="auto"/>
              <w:right w:val="single" w:sz="8" w:space="0" w:color="auto"/>
            </w:tcBorders>
            <w:vAlign w:val="center"/>
            <w:hideMark/>
          </w:tcPr>
          <w:p w14:paraId="4A05F36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6156DC4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6CE2FB2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3A5FD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197</w:t>
            </w:r>
          </w:p>
        </w:tc>
        <w:tc>
          <w:tcPr>
            <w:tcW w:w="1919" w:type="dxa"/>
            <w:tcBorders>
              <w:top w:val="nil"/>
              <w:left w:val="nil"/>
              <w:bottom w:val="single" w:sz="8" w:space="0" w:color="auto"/>
              <w:right w:val="single" w:sz="8" w:space="0" w:color="auto"/>
            </w:tcBorders>
            <w:vAlign w:val="center"/>
            <w:hideMark/>
          </w:tcPr>
          <w:p w14:paraId="31F415D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COMERCIALIZADORA CARBAS SAS</w:t>
            </w:r>
          </w:p>
        </w:tc>
        <w:tc>
          <w:tcPr>
            <w:tcW w:w="817" w:type="dxa"/>
            <w:tcBorders>
              <w:top w:val="nil"/>
              <w:left w:val="nil"/>
              <w:bottom w:val="single" w:sz="8" w:space="0" w:color="auto"/>
              <w:right w:val="single" w:sz="8" w:space="0" w:color="auto"/>
            </w:tcBorders>
            <w:vAlign w:val="center"/>
            <w:hideMark/>
          </w:tcPr>
          <w:p w14:paraId="7BF6DE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34,65</w:t>
            </w:r>
          </w:p>
        </w:tc>
        <w:tc>
          <w:tcPr>
            <w:tcW w:w="1271" w:type="dxa"/>
            <w:tcBorders>
              <w:top w:val="nil"/>
              <w:left w:val="nil"/>
              <w:bottom w:val="single" w:sz="8" w:space="0" w:color="auto"/>
              <w:right w:val="single" w:sz="8" w:space="0" w:color="auto"/>
            </w:tcBorders>
            <w:vAlign w:val="center"/>
            <w:hideMark/>
          </w:tcPr>
          <w:p w14:paraId="48B934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90" w:type="dxa"/>
            <w:tcBorders>
              <w:top w:val="nil"/>
              <w:left w:val="nil"/>
              <w:bottom w:val="single" w:sz="8" w:space="0" w:color="auto"/>
              <w:right w:val="single" w:sz="8" w:space="0" w:color="auto"/>
            </w:tcBorders>
            <w:vAlign w:val="center"/>
            <w:hideMark/>
          </w:tcPr>
          <w:p w14:paraId="042CCB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2,14</w:t>
            </w:r>
          </w:p>
        </w:tc>
        <w:tc>
          <w:tcPr>
            <w:tcW w:w="1099" w:type="dxa"/>
            <w:tcBorders>
              <w:top w:val="nil"/>
              <w:left w:val="nil"/>
              <w:bottom w:val="single" w:sz="8" w:space="0" w:color="auto"/>
              <w:right w:val="single" w:sz="8" w:space="0" w:color="auto"/>
            </w:tcBorders>
            <w:vAlign w:val="center"/>
            <w:hideMark/>
          </w:tcPr>
          <w:p w14:paraId="458EDF8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616.113</w:t>
            </w:r>
          </w:p>
        </w:tc>
        <w:tc>
          <w:tcPr>
            <w:tcW w:w="1100" w:type="dxa"/>
            <w:tcBorders>
              <w:top w:val="nil"/>
              <w:left w:val="nil"/>
              <w:bottom w:val="single" w:sz="8" w:space="0" w:color="auto"/>
              <w:right w:val="single" w:sz="8" w:space="0" w:color="auto"/>
            </w:tcBorders>
            <w:vAlign w:val="center"/>
            <w:hideMark/>
          </w:tcPr>
          <w:p w14:paraId="152207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558866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2632AF58"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AC9F6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198</w:t>
            </w:r>
          </w:p>
        </w:tc>
        <w:tc>
          <w:tcPr>
            <w:tcW w:w="1919" w:type="dxa"/>
            <w:tcBorders>
              <w:top w:val="nil"/>
              <w:left w:val="nil"/>
              <w:bottom w:val="single" w:sz="8" w:space="0" w:color="auto"/>
              <w:right w:val="single" w:sz="8" w:space="0" w:color="auto"/>
            </w:tcBorders>
            <w:vAlign w:val="center"/>
            <w:hideMark/>
          </w:tcPr>
          <w:p w14:paraId="110E55E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COSAPI SA SUCURSALCOLOMBIA</w:t>
            </w:r>
          </w:p>
        </w:tc>
        <w:tc>
          <w:tcPr>
            <w:tcW w:w="817" w:type="dxa"/>
            <w:tcBorders>
              <w:top w:val="nil"/>
              <w:left w:val="nil"/>
              <w:bottom w:val="single" w:sz="8" w:space="0" w:color="auto"/>
              <w:right w:val="single" w:sz="8" w:space="0" w:color="auto"/>
            </w:tcBorders>
            <w:vAlign w:val="center"/>
            <w:hideMark/>
          </w:tcPr>
          <w:p w14:paraId="6E02CF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0,93</w:t>
            </w:r>
          </w:p>
        </w:tc>
        <w:tc>
          <w:tcPr>
            <w:tcW w:w="1271" w:type="dxa"/>
            <w:tcBorders>
              <w:top w:val="nil"/>
              <w:left w:val="nil"/>
              <w:bottom w:val="single" w:sz="8" w:space="0" w:color="auto"/>
              <w:right w:val="single" w:sz="8" w:space="0" w:color="auto"/>
            </w:tcBorders>
            <w:vAlign w:val="center"/>
            <w:hideMark/>
          </w:tcPr>
          <w:p w14:paraId="7CDA2F6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96%</w:t>
            </w:r>
          </w:p>
        </w:tc>
        <w:tc>
          <w:tcPr>
            <w:tcW w:w="1190" w:type="dxa"/>
            <w:tcBorders>
              <w:top w:val="nil"/>
              <w:left w:val="nil"/>
              <w:bottom w:val="single" w:sz="8" w:space="0" w:color="auto"/>
              <w:right w:val="single" w:sz="8" w:space="0" w:color="auto"/>
            </w:tcBorders>
            <w:vAlign w:val="center"/>
            <w:hideMark/>
          </w:tcPr>
          <w:p w14:paraId="595A40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65D585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-3.015.914</w:t>
            </w:r>
          </w:p>
        </w:tc>
        <w:tc>
          <w:tcPr>
            <w:tcW w:w="1100" w:type="dxa"/>
            <w:tcBorders>
              <w:top w:val="nil"/>
              <w:left w:val="nil"/>
              <w:bottom w:val="single" w:sz="8" w:space="0" w:color="auto"/>
              <w:right w:val="single" w:sz="8" w:space="0" w:color="auto"/>
            </w:tcBorders>
            <w:vAlign w:val="center"/>
            <w:hideMark/>
          </w:tcPr>
          <w:p w14:paraId="7611DDF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w:t>
            </w:r>
          </w:p>
        </w:tc>
        <w:tc>
          <w:tcPr>
            <w:tcW w:w="1100" w:type="dxa"/>
            <w:tcBorders>
              <w:top w:val="nil"/>
              <w:left w:val="nil"/>
              <w:bottom w:val="single" w:sz="8" w:space="0" w:color="auto"/>
              <w:right w:val="single" w:sz="8" w:space="0" w:color="auto"/>
            </w:tcBorders>
            <w:vAlign w:val="center"/>
            <w:hideMark/>
          </w:tcPr>
          <w:p w14:paraId="267D0B9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7F0951AA"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17D96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199</w:t>
            </w:r>
          </w:p>
        </w:tc>
        <w:tc>
          <w:tcPr>
            <w:tcW w:w="1919" w:type="dxa"/>
            <w:tcBorders>
              <w:top w:val="nil"/>
              <w:left w:val="nil"/>
              <w:bottom w:val="single" w:sz="8" w:space="0" w:color="auto"/>
              <w:right w:val="single" w:sz="8" w:space="0" w:color="auto"/>
            </w:tcBorders>
            <w:vAlign w:val="center"/>
            <w:hideMark/>
          </w:tcPr>
          <w:p w14:paraId="4A0CAD5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LA SAMARIA GRANDE SAS</w:t>
            </w:r>
          </w:p>
        </w:tc>
        <w:tc>
          <w:tcPr>
            <w:tcW w:w="817" w:type="dxa"/>
            <w:tcBorders>
              <w:top w:val="nil"/>
              <w:left w:val="nil"/>
              <w:bottom w:val="single" w:sz="8" w:space="0" w:color="auto"/>
              <w:right w:val="single" w:sz="8" w:space="0" w:color="auto"/>
            </w:tcBorders>
            <w:vAlign w:val="center"/>
            <w:hideMark/>
          </w:tcPr>
          <w:p w14:paraId="6362FD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50,71</w:t>
            </w:r>
          </w:p>
        </w:tc>
        <w:tc>
          <w:tcPr>
            <w:tcW w:w="1271" w:type="dxa"/>
            <w:tcBorders>
              <w:top w:val="nil"/>
              <w:left w:val="nil"/>
              <w:bottom w:val="single" w:sz="8" w:space="0" w:color="auto"/>
              <w:right w:val="single" w:sz="8" w:space="0" w:color="auto"/>
            </w:tcBorders>
            <w:vAlign w:val="center"/>
            <w:hideMark/>
          </w:tcPr>
          <w:p w14:paraId="679AAE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90" w:type="dxa"/>
            <w:tcBorders>
              <w:top w:val="nil"/>
              <w:left w:val="nil"/>
              <w:bottom w:val="single" w:sz="8" w:space="0" w:color="auto"/>
              <w:right w:val="single" w:sz="8" w:space="0" w:color="auto"/>
            </w:tcBorders>
            <w:vAlign w:val="center"/>
            <w:hideMark/>
          </w:tcPr>
          <w:p w14:paraId="342C44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0,57</w:t>
            </w:r>
          </w:p>
        </w:tc>
        <w:tc>
          <w:tcPr>
            <w:tcW w:w="1099" w:type="dxa"/>
            <w:tcBorders>
              <w:top w:val="nil"/>
              <w:left w:val="nil"/>
              <w:bottom w:val="single" w:sz="8" w:space="0" w:color="auto"/>
              <w:right w:val="single" w:sz="8" w:space="0" w:color="auto"/>
            </w:tcBorders>
            <w:vAlign w:val="center"/>
            <w:hideMark/>
          </w:tcPr>
          <w:p w14:paraId="213A427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7.662.328</w:t>
            </w:r>
          </w:p>
        </w:tc>
        <w:tc>
          <w:tcPr>
            <w:tcW w:w="1100" w:type="dxa"/>
            <w:tcBorders>
              <w:top w:val="nil"/>
              <w:left w:val="nil"/>
              <w:bottom w:val="single" w:sz="8" w:space="0" w:color="auto"/>
              <w:right w:val="single" w:sz="8" w:space="0" w:color="auto"/>
            </w:tcBorders>
            <w:vAlign w:val="center"/>
            <w:hideMark/>
          </w:tcPr>
          <w:p w14:paraId="5315AA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014CEC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3C70552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38EF2E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200</w:t>
            </w:r>
          </w:p>
        </w:tc>
        <w:tc>
          <w:tcPr>
            <w:tcW w:w="1919" w:type="dxa"/>
            <w:tcBorders>
              <w:top w:val="nil"/>
              <w:left w:val="nil"/>
              <w:bottom w:val="single" w:sz="8" w:space="0" w:color="auto"/>
              <w:right w:val="single" w:sz="8" w:space="0" w:color="auto"/>
            </w:tcBorders>
            <w:vAlign w:val="center"/>
            <w:hideMark/>
          </w:tcPr>
          <w:p w14:paraId="3E08540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MAYORAL SAS</w:t>
            </w:r>
          </w:p>
        </w:tc>
        <w:tc>
          <w:tcPr>
            <w:tcW w:w="817" w:type="dxa"/>
            <w:tcBorders>
              <w:top w:val="nil"/>
              <w:left w:val="nil"/>
              <w:bottom w:val="single" w:sz="8" w:space="0" w:color="auto"/>
              <w:right w:val="single" w:sz="8" w:space="0" w:color="auto"/>
            </w:tcBorders>
            <w:vAlign w:val="center"/>
            <w:hideMark/>
          </w:tcPr>
          <w:p w14:paraId="608BF2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0,00</w:t>
            </w:r>
          </w:p>
        </w:tc>
        <w:tc>
          <w:tcPr>
            <w:tcW w:w="1271" w:type="dxa"/>
            <w:tcBorders>
              <w:top w:val="nil"/>
              <w:left w:val="nil"/>
              <w:bottom w:val="single" w:sz="8" w:space="0" w:color="auto"/>
              <w:right w:val="single" w:sz="8" w:space="0" w:color="auto"/>
            </w:tcBorders>
            <w:vAlign w:val="center"/>
            <w:hideMark/>
          </w:tcPr>
          <w:p w14:paraId="73EB71C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98%</w:t>
            </w:r>
          </w:p>
        </w:tc>
        <w:tc>
          <w:tcPr>
            <w:tcW w:w="1190" w:type="dxa"/>
            <w:tcBorders>
              <w:top w:val="nil"/>
              <w:left w:val="nil"/>
              <w:bottom w:val="single" w:sz="8" w:space="0" w:color="auto"/>
              <w:right w:val="single" w:sz="8" w:space="0" w:color="auto"/>
            </w:tcBorders>
            <w:vAlign w:val="center"/>
            <w:hideMark/>
          </w:tcPr>
          <w:p w14:paraId="2A79DA6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FBD8BB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-6.072.016</w:t>
            </w:r>
          </w:p>
        </w:tc>
        <w:tc>
          <w:tcPr>
            <w:tcW w:w="1100" w:type="dxa"/>
            <w:tcBorders>
              <w:top w:val="nil"/>
              <w:left w:val="nil"/>
              <w:bottom w:val="single" w:sz="8" w:space="0" w:color="auto"/>
              <w:right w:val="single" w:sz="8" w:space="0" w:color="auto"/>
            </w:tcBorders>
            <w:vAlign w:val="center"/>
            <w:hideMark/>
          </w:tcPr>
          <w:p w14:paraId="45A50E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682708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C7BF1BC"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3C7F67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201</w:t>
            </w:r>
          </w:p>
        </w:tc>
        <w:tc>
          <w:tcPr>
            <w:tcW w:w="1919" w:type="dxa"/>
            <w:tcBorders>
              <w:top w:val="nil"/>
              <w:left w:val="nil"/>
              <w:bottom w:val="single" w:sz="8" w:space="0" w:color="auto"/>
              <w:right w:val="single" w:sz="8" w:space="0" w:color="auto"/>
            </w:tcBorders>
            <w:vAlign w:val="center"/>
            <w:hideMark/>
          </w:tcPr>
          <w:p w14:paraId="7EA8D0E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OCTANTE SAS</w:t>
            </w:r>
          </w:p>
        </w:tc>
        <w:tc>
          <w:tcPr>
            <w:tcW w:w="817" w:type="dxa"/>
            <w:tcBorders>
              <w:top w:val="nil"/>
              <w:left w:val="nil"/>
              <w:bottom w:val="single" w:sz="8" w:space="0" w:color="auto"/>
              <w:right w:val="single" w:sz="8" w:space="0" w:color="auto"/>
            </w:tcBorders>
            <w:vAlign w:val="center"/>
            <w:hideMark/>
          </w:tcPr>
          <w:p w14:paraId="2D63E3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1,33</w:t>
            </w:r>
          </w:p>
        </w:tc>
        <w:tc>
          <w:tcPr>
            <w:tcW w:w="1271" w:type="dxa"/>
            <w:tcBorders>
              <w:top w:val="nil"/>
              <w:left w:val="nil"/>
              <w:bottom w:val="single" w:sz="8" w:space="0" w:color="auto"/>
              <w:right w:val="single" w:sz="8" w:space="0" w:color="auto"/>
            </w:tcBorders>
            <w:vAlign w:val="center"/>
            <w:hideMark/>
          </w:tcPr>
          <w:p w14:paraId="6C13B4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4AF8B1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3,94</w:t>
            </w:r>
          </w:p>
        </w:tc>
        <w:tc>
          <w:tcPr>
            <w:tcW w:w="1099" w:type="dxa"/>
            <w:tcBorders>
              <w:top w:val="nil"/>
              <w:left w:val="nil"/>
              <w:bottom w:val="single" w:sz="8" w:space="0" w:color="auto"/>
              <w:right w:val="single" w:sz="8" w:space="0" w:color="auto"/>
            </w:tcBorders>
            <w:vAlign w:val="center"/>
            <w:hideMark/>
          </w:tcPr>
          <w:p w14:paraId="41C64E6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2.009.151</w:t>
            </w:r>
          </w:p>
        </w:tc>
        <w:tc>
          <w:tcPr>
            <w:tcW w:w="1100" w:type="dxa"/>
            <w:tcBorders>
              <w:top w:val="nil"/>
              <w:left w:val="nil"/>
              <w:bottom w:val="single" w:sz="8" w:space="0" w:color="auto"/>
              <w:right w:val="single" w:sz="8" w:space="0" w:color="auto"/>
            </w:tcBorders>
            <w:vAlign w:val="center"/>
            <w:hideMark/>
          </w:tcPr>
          <w:p w14:paraId="6FB9F9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4CA336D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E3C6580"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9F577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202</w:t>
            </w:r>
          </w:p>
        </w:tc>
        <w:tc>
          <w:tcPr>
            <w:tcW w:w="1919" w:type="dxa"/>
            <w:tcBorders>
              <w:top w:val="nil"/>
              <w:left w:val="nil"/>
              <w:bottom w:val="single" w:sz="8" w:space="0" w:color="auto"/>
              <w:right w:val="single" w:sz="8" w:space="0" w:color="auto"/>
            </w:tcBorders>
            <w:vAlign w:val="center"/>
            <w:hideMark/>
          </w:tcPr>
          <w:p w14:paraId="48E487E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FLEISCHMANN COLOMBIA SAS</w:t>
            </w:r>
          </w:p>
        </w:tc>
        <w:tc>
          <w:tcPr>
            <w:tcW w:w="817" w:type="dxa"/>
            <w:tcBorders>
              <w:top w:val="nil"/>
              <w:left w:val="nil"/>
              <w:bottom w:val="single" w:sz="8" w:space="0" w:color="auto"/>
              <w:right w:val="single" w:sz="8" w:space="0" w:color="auto"/>
            </w:tcBorders>
            <w:vAlign w:val="center"/>
            <w:hideMark/>
          </w:tcPr>
          <w:p w14:paraId="023DCD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1,53</w:t>
            </w:r>
          </w:p>
        </w:tc>
        <w:tc>
          <w:tcPr>
            <w:tcW w:w="1271" w:type="dxa"/>
            <w:tcBorders>
              <w:top w:val="nil"/>
              <w:left w:val="nil"/>
              <w:bottom w:val="single" w:sz="8" w:space="0" w:color="auto"/>
              <w:right w:val="single" w:sz="8" w:space="0" w:color="auto"/>
            </w:tcBorders>
            <w:vAlign w:val="center"/>
            <w:hideMark/>
          </w:tcPr>
          <w:p w14:paraId="17FBF7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384907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8,69</w:t>
            </w:r>
          </w:p>
        </w:tc>
        <w:tc>
          <w:tcPr>
            <w:tcW w:w="1099" w:type="dxa"/>
            <w:tcBorders>
              <w:top w:val="nil"/>
              <w:left w:val="nil"/>
              <w:bottom w:val="single" w:sz="8" w:space="0" w:color="auto"/>
              <w:right w:val="single" w:sz="8" w:space="0" w:color="auto"/>
            </w:tcBorders>
            <w:vAlign w:val="center"/>
            <w:hideMark/>
          </w:tcPr>
          <w:p w14:paraId="64C0F57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13.035.561</w:t>
            </w:r>
          </w:p>
        </w:tc>
        <w:tc>
          <w:tcPr>
            <w:tcW w:w="1100" w:type="dxa"/>
            <w:tcBorders>
              <w:top w:val="nil"/>
              <w:left w:val="nil"/>
              <w:bottom w:val="single" w:sz="8" w:space="0" w:color="auto"/>
              <w:right w:val="single" w:sz="8" w:space="0" w:color="auto"/>
            </w:tcBorders>
            <w:vAlign w:val="center"/>
            <w:hideMark/>
          </w:tcPr>
          <w:p w14:paraId="5996D5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00" w:type="dxa"/>
            <w:tcBorders>
              <w:top w:val="nil"/>
              <w:left w:val="nil"/>
              <w:bottom w:val="single" w:sz="8" w:space="0" w:color="auto"/>
              <w:right w:val="single" w:sz="8" w:space="0" w:color="auto"/>
            </w:tcBorders>
            <w:vAlign w:val="center"/>
            <w:hideMark/>
          </w:tcPr>
          <w:p w14:paraId="0A77BA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2BCAFA79"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E0EB4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203</w:t>
            </w:r>
          </w:p>
        </w:tc>
        <w:tc>
          <w:tcPr>
            <w:tcW w:w="1919" w:type="dxa"/>
            <w:tcBorders>
              <w:top w:val="nil"/>
              <w:left w:val="nil"/>
              <w:bottom w:val="single" w:sz="8" w:space="0" w:color="auto"/>
              <w:right w:val="single" w:sz="8" w:space="0" w:color="auto"/>
            </w:tcBorders>
            <w:vAlign w:val="center"/>
            <w:hideMark/>
          </w:tcPr>
          <w:p w14:paraId="7539B82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METROCOL S.A.S.</w:t>
            </w:r>
          </w:p>
        </w:tc>
        <w:tc>
          <w:tcPr>
            <w:tcW w:w="817" w:type="dxa"/>
            <w:tcBorders>
              <w:top w:val="nil"/>
              <w:left w:val="nil"/>
              <w:bottom w:val="single" w:sz="8" w:space="0" w:color="auto"/>
              <w:right w:val="single" w:sz="8" w:space="0" w:color="auto"/>
            </w:tcBorders>
            <w:vAlign w:val="center"/>
            <w:hideMark/>
          </w:tcPr>
          <w:p w14:paraId="425B11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4,97</w:t>
            </w:r>
          </w:p>
        </w:tc>
        <w:tc>
          <w:tcPr>
            <w:tcW w:w="1271" w:type="dxa"/>
            <w:tcBorders>
              <w:top w:val="nil"/>
              <w:left w:val="nil"/>
              <w:bottom w:val="single" w:sz="8" w:space="0" w:color="auto"/>
              <w:right w:val="single" w:sz="8" w:space="0" w:color="auto"/>
            </w:tcBorders>
            <w:vAlign w:val="center"/>
            <w:hideMark/>
          </w:tcPr>
          <w:p w14:paraId="3AC8B5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90" w:type="dxa"/>
            <w:tcBorders>
              <w:top w:val="nil"/>
              <w:left w:val="nil"/>
              <w:bottom w:val="single" w:sz="8" w:space="0" w:color="auto"/>
              <w:right w:val="single" w:sz="8" w:space="0" w:color="auto"/>
            </w:tcBorders>
            <w:vAlign w:val="center"/>
            <w:hideMark/>
          </w:tcPr>
          <w:p w14:paraId="40F84E3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0DD7D4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1.525.817</w:t>
            </w:r>
          </w:p>
        </w:tc>
        <w:tc>
          <w:tcPr>
            <w:tcW w:w="1100" w:type="dxa"/>
            <w:tcBorders>
              <w:top w:val="nil"/>
              <w:left w:val="nil"/>
              <w:bottom w:val="single" w:sz="8" w:space="0" w:color="auto"/>
              <w:right w:val="single" w:sz="8" w:space="0" w:color="auto"/>
            </w:tcBorders>
            <w:vAlign w:val="center"/>
            <w:hideMark/>
          </w:tcPr>
          <w:p w14:paraId="1C1B08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w:t>
            </w:r>
          </w:p>
        </w:tc>
        <w:tc>
          <w:tcPr>
            <w:tcW w:w="1100" w:type="dxa"/>
            <w:tcBorders>
              <w:top w:val="nil"/>
              <w:left w:val="nil"/>
              <w:bottom w:val="single" w:sz="8" w:space="0" w:color="auto"/>
              <w:right w:val="single" w:sz="8" w:space="0" w:color="auto"/>
            </w:tcBorders>
            <w:vAlign w:val="center"/>
            <w:hideMark/>
          </w:tcPr>
          <w:p w14:paraId="541B063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r>
      <w:tr w:rsidR="008468B3" w:rsidRPr="008468B3" w14:paraId="3E5CD6DD"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4F7C3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204</w:t>
            </w:r>
          </w:p>
        </w:tc>
        <w:tc>
          <w:tcPr>
            <w:tcW w:w="1919" w:type="dxa"/>
            <w:tcBorders>
              <w:top w:val="nil"/>
              <w:left w:val="nil"/>
              <w:bottom w:val="single" w:sz="8" w:space="0" w:color="auto"/>
              <w:right w:val="single" w:sz="8" w:space="0" w:color="auto"/>
            </w:tcBorders>
            <w:vAlign w:val="center"/>
            <w:hideMark/>
          </w:tcPr>
          <w:p w14:paraId="5006AF2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RAG CONSTRUCCIONES Y EQUIPOS S.A.S.</w:t>
            </w:r>
          </w:p>
        </w:tc>
        <w:tc>
          <w:tcPr>
            <w:tcW w:w="817" w:type="dxa"/>
            <w:tcBorders>
              <w:top w:val="nil"/>
              <w:left w:val="nil"/>
              <w:bottom w:val="single" w:sz="8" w:space="0" w:color="auto"/>
              <w:right w:val="single" w:sz="8" w:space="0" w:color="auto"/>
            </w:tcBorders>
            <w:vAlign w:val="center"/>
            <w:hideMark/>
          </w:tcPr>
          <w:p w14:paraId="2B7A019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1,50</w:t>
            </w:r>
          </w:p>
        </w:tc>
        <w:tc>
          <w:tcPr>
            <w:tcW w:w="1271" w:type="dxa"/>
            <w:tcBorders>
              <w:top w:val="nil"/>
              <w:left w:val="nil"/>
              <w:bottom w:val="single" w:sz="8" w:space="0" w:color="auto"/>
              <w:right w:val="single" w:sz="8" w:space="0" w:color="auto"/>
            </w:tcBorders>
            <w:vAlign w:val="center"/>
            <w:hideMark/>
          </w:tcPr>
          <w:p w14:paraId="029B23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14B8EF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w:t>
            </w:r>
          </w:p>
        </w:tc>
        <w:tc>
          <w:tcPr>
            <w:tcW w:w="1099" w:type="dxa"/>
            <w:tcBorders>
              <w:top w:val="nil"/>
              <w:left w:val="nil"/>
              <w:bottom w:val="single" w:sz="8" w:space="0" w:color="auto"/>
              <w:right w:val="single" w:sz="8" w:space="0" w:color="auto"/>
            </w:tcBorders>
            <w:vAlign w:val="center"/>
            <w:hideMark/>
          </w:tcPr>
          <w:p w14:paraId="15D62E2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382.429</w:t>
            </w:r>
          </w:p>
        </w:tc>
        <w:tc>
          <w:tcPr>
            <w:tcW w:w="1100" w:type="dxa"/>
            <w:tcBorders>
              <w:top w:val="nil"/>
              <w:left w:val="nil"/>
              <w:bottom w:val="single" w:sz="8" w:space="0" w:color="auto"/>
              <w:right w:val="single" w:sz="8" w:space="0" w:color="auto"/>
            </w:tcBorders>
            <w:vAlign w:val="center"/>
            <w:hideMark/>
          </w:tcPr>
          <w:p w14:paraId="54B5623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4D86905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5EFD96B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AABB40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205</w:t>
            </w:r>
          </w:p>
        </w:tc>
        <w:tc>
          <w:tcPr>
            <w:tcW w:w="1919" w:type="dxa"/>
            <w:tcBorders>
              <w:top w:val="nil"/>
              <w:left w:val="nil"/>
              <w:bottom w:val="single" w:sz="8" w:space="0" w:color="auto"/>
              <w:right w:val="single" w:sz="8" w:space="0" w:color="auto"/>
            </w:tcBorders>
            <w:vAlign w:val="center"/>
            <w:hideMark/>
          </w:tcPr>
          <w:p w14:paraId="78263EEA"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RYR SUMINISTROS E INGENIERIA SAS</w:t>
            </w:r>
          </w:p>
        </w:tc>
        <w:tc>
          <w:tcPr>
            <w:tcW w:w="817" w:type="dxa"/>
            <w:tcBorders>
              <w:top w:val="nil"/>
              <w:left w:val="nil"/>
              <w:bottom w:val="single" w:sz="8" w:space="0" w:color="auto"/>
              <w:right w:val="single" w:sz="8" w:space="0" w:color="auto"/>
            </w:tcBorders>
            <w:vAlign w:val="center"/>
            <w:hideMark/>
          </w:tcPr>
          <w:p w14:paraId="6E4897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137,81</w:t>
            </w:r>
          </w:p>
        </w:tc>
        <w:tc>
          <w:tcPr>
            <w:tcW w:w="1271" w:type="dxa"/>
            <w:tcBorders>
              <w:top w:val="nil"/>
              <w:left w:val="nil"/>
              <w:bottom w:val="single" w:sz="8" w:space="0" w:color="auto"/>
              <w:right w:val="single" w:sz="8" w:space="0" w:color="auto"/>
            </w:tcBorders>
            <w:vAlign w:val="center"/>
            <w:hideMark/>
          </w:tcPr>
          <w:p w14:paraId="71D804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90" w:type="dxa"/>
            <w:tcBorders>
              <w:top w:val="nil"/>
              <w:left w:val="nil"/>
              <w:bottom w:val="single" w:sz="8" w:space="0" w:color="auto"/>
              <w:right w:val="single" w:sz="8" w:space="0" w:color="auto"/>
            </w:tcBorders>
            <w:vAlign w:val="center"/>
            <w:hideMark/>
          </w:tcPr>
          <w:p w14:paraId="073630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4ED091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5.184.366</w:t>
            </w:r>
          </w:p>
        </w:tc>
        <w:tc>
          <w:tcPr>
            <w:tcW w:w="1100" w:type="dxa"/>
            <w:tcBorders>
              <w:top w:val="nil"/>
              <w:left w:val="nil"/>
              <w:bottom w:val="single" w:sz="8" w:space="0" w:color="auto"/>
              <w:right w:val="single" w:sz="8" w:space="0" w:color="auto"/>
            </w:tcBorders>
            <w:vAlign w:val="center"/>
            <w:hideMark/>
          </w:tcPr>
          <w:p w14:paraId="548267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29B6A5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566D163C"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18ABF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206</w:t>
            </w:r>
          </w:p>
        </w:tc>
        <w:tc>
          <w:tcPr>
            <w:tcW w:w="1919" w:type="dxa"/>
            <w:tcBorders>
              <w:top w:val="nil"/>
              <w:left w:val="nil"/>
              <w:bottom w:val="single" w:sz="8" w:space="0" w:color="auto"/>
              <w:right w:val="single" w:sz="8" w:space="0" w:color="auto"/>
            </w:tcBorders>
            <w:vAlign w:val="center"/>
            <w:hideMark/>
          </w:tcPr>
          <w:p w14:paraId="02DE51C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J&amp;A INGENIERIA ELECTRICA LTDA</w:t>
            </w:r>
          </w:p>
        </w:tc>
        <w:tc>
          <w:tcPr>
            <w:tcW w:w="817" w:type="dxa"/>
            <w:tcBorders>
              <w:top w:val="nil"/>
              <w:left w:val="nil"/>
              <w:bottom w:val="single" w:sz="8" w:space="0" w:color="auto"/>
              <w:right w:val="single" w:sz="8" w:space="0" w:color="auto"/>
            </w:tcBorders>
            <w:vAlign w:val="center"/>
            <w:hideMark/>
          </w:tcPr>
          <w:p w14:paraId="25F3F3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1,05</w:t>
            </w:r>
          </w:p>
        </w:tc>
        <w:tc>
          <w:tcPr>
            <w:tcW w:w="1271" w:type="dxa"/>
            <w:tcBorders>
              <w:top w:val="nil"/>
              <w:left w:val="nil"/>
              <w:bottom w:val="single" w:sz="8" w:space="0" w:color="auto"/>
              <w:right w:val="single" w:sz="8" w:space="0" w:color="auto"/>
            </w:tcBorders>
            <w:vAlign w:val="center"/>
            <w:hideMark/>
          </w:tcPr>
          <w:p w14:paraId="1AE33F2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w:t>
            </w:r>
          </w:p>
        </w:tc>
        <w:tc>
          <w:tcPr>
            <w:tcW w:w="1190" w:type="dxa"/>
            <w:tcBorders>
              <w:top w:val="nil"/>
              <w:left w:val="nil"/>
              <w:bottom w:val="single" w:sz="8" w:space="0" w:color="auto"/>
              <w:right w:val="single" w:sz="8" w:space="0" w:color="auto"/>
            </w:tcBorders>
            <w:vAlign w:val="center"/>
            <w:hideMark/>
          </w:tcPr>
          <w:p w14:paraId="1AFB4FC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7,19</w:t>
            </w:r>
          </w:p>
        </w:tc>
        <w:tc>
          <w:tcPr>
            <w:tcW w:w="1099" w:type="dxa"/>
            <w:tcBorders>
              <w:top w:val="nil"/>
              <w:left w:val="nil"/>
              <w:bottom w:val="single" w:sz="8" w:space="0" w:color="auto"/>
              <w:right w:val="single" w:sz="8" w:space="0" w:color="auto"/>
            </w:tcBorders>
            <w:vAlign w:val="center"/>
            <w:hideMark/>
          </w:tcPr>
          <w:p w14:paraId="36315CF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52.538</w:t>
            </w:r>
          </w:p>
        </w:tc>
        <w:tc>
          <w:tcPr>
            <w:tcW w:w="1100" w:type="dxa"/>
            <w:tcBorders>
              <w:top w:val="nil"/>
              <w:left w:val="nil"/>
              <w:bottom w:val="single" w:sz="8" w:space="0" w:color="auto"/>
              <w:right w:val="single" w:sz="8" w:space="0" w:color="auto"/>
            </w:tcBorders>
            <w:vAlign w:val="center"/>
            <w:hideMark/>
          </w:tcPr>
          <w:p w14:paraId="1EC936D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w:t>
            </w:r>
          </w:p>
        </w:tc>
        <w:tc>
          <w:tcPr>
            <w:tcW w:w="1100" w:type="dxa"/>
            <w:tcBorders>
              <w:top w:val="nil"/>
              <w:left w:val="nil"/>
              <w:bottom w:val="single" w:sz="8" w:space="0" w:color="auto"/>
              <w:right w:val="single" w:sz="8" w:space="0" w:color="auto"/>
            </w:tcBorders>
            <w:vAlign w:val="center"/>
            <w:hideMark/>
          </w:tcPr>
          <w:p w14:paraId="284ABE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59027748"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1FAED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207</w:t>
            </w:r>
          </w:p>
        </w:tc>
        <w:tc>
          <w:tcPr>
            <w:tcW w:w="1919" w:type="dxa"/>
            <w:tcBorders>
              <w:top w:val="nil"/>
              <w:left w:val="nil"/>
              <w:bottom w:val="single" w:sz="8" w:space="0" w:color="auto"/>
              <w:right w:val="single" w:sz="8" w:space="0" w:color="auto"/>
            </w:tcBorders>
            <w:vAlign w:val="center"/>
            <w:hideMark/>
          </w:tcPr>
          <w:p w14:paraId="027A768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INMOBILIARA ER E HIJOS Y CIA SCA</w:t>
            </w:r>
          </w:p>
        </w:tc>
        <w:tc>
          <w:tcPr>
            <w:tcW w:w="817" w:type="dxa"/>
            <w:tcBorders>
              <w:top w:val="nil"/>
              <w:left w:val="nil"/>
              <w:bottom w:val="single" w:sz="8" w:space="0" w:color="auto"/>
              <w:right w:val="single" w:sz="8" w:space="0" w:color="auto"/>
            </w:tcBorders>
            <w:vAlign w:val="center"/>
            <w:hideMark/>
          </w:tcPr>
          <w:p w14:paraId="2F20FDD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424,27</w:t>
            </w:r>
          </w:p>
        </w:tc>
        <w:tc>
          <w:tcPr>
            <w:tcW w:w="1271" w:type="dxa"/>
            <w:tcBorders>
              <w:top w:val="nil"/>
              <w:left w:val="nil"/>
              <w:bottom w:val="single" w:sz="8" w:space="0" w:color="auto"/>
              <w:right w:val="single" w:sz="8" w:space="0" w:color="auto"/>
            </w:tcBorders>
            <w:vAlign w:val="center"/>
            <w:hideMark/>
          </w:tcPr>
          <w:p w14:paraId="1FB800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69%</w:t>
            </w:r>
          </w:p>
        </w:tc>
        <w:tc>
          <w:tcPr>
            <w:tcW w:w="1190" w:type="dxa"/>
            <w:tcBorders>
              <w:top w:val="nil"/>
              <w:left w:val="nil"/>
              <w:bottom w:val="single" w:sz="8" w:space="0" w:color="auto"/>
              <w:right w:val="single" w:sz="8" w:space="0" w:color="auto"/>
            </w:tcBorders>
            <w:vAlign w:val="center"/>
            <w:hideMark/>
          </w:tcPr>
          <w:p w14:paraId="70FE9A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5,53</w:t>
            </w:r>
          </w:p>
        </w:tc>
        <w:tc>
          <w:tcPr>
            <w:tcW w:w="1099" w:type="dxa"/>
            <w:tcBorders>
              <w:top w:val="nil"/>
              <w:left w:val="nil"/>
              <w:bottom w:val="single" w:sz="8" w:space="0" w:color="auto"/>
              <w:right w:val="single" w:sz="8" w:space="0" w:color="auto"/>
            </w:tcBorders>
            <w:vAlign w:val="center"/>
            <w:hideMark/>
          </w:tcPr>
          <w:p w14:paraId="72878B4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23.828.652</w:t>
            </w:r>
          </w:p>
        </w:tc>
        <w:tc>
          <w:tcPr>
            <w:tcW w:w="1100" w:type="dxa"/>
            <w:tcBorders>
              <w:top w:val="nil"/>
              <w:left w:val="nil"/>
              <w:bottom w:val="single" w:sz="8" w:space="0" w:color="auto"/>
              <w:right w:val="single" w:sz="8" w:space="0" w:color="auto"/>
            </w:tcBorders>
            <w:vAlign w:val="center"/>
            <w:hideMark/>
          </w:tcPr>
          <w:p w14:paraId="54F683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101036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6C8A2011"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EA6FB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208</w:t>
            </w:r>
          </w:p>
        </w:tc>
        <w:tc>
          <w:tcPr>
            <w:tcW w:w="1919" w:type="dxa"/>
            <w:tcBorders>
              <w:top w:val="nil"/>
              <w:left w:val="nil"/>
              <w:bottom w:val="single" w:sz="8" w:space="0" w:color="auto"/>
              <w:right w:val="single" w:sz="8" w:space="0" w:color="auto"/>
            </w:tcBorders>
            <w:vAlign w:val="center"/>
            <w:hideMark/>
          </w:tcPr>
          <w:p w14:paraId="77157CA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ELEVACION Y CONSTRUCCIÓN RENTAL SAS</w:t>
            </w:r>
          </w:p>
        </w:tc>
        <w:tc>
          <w:tcPr>
            <w:tcW w:w="817" w:type="dxa"/>
            <w:tcBorders>
              <w:top w:val="nil"/>
              <w:left w:val="nil"/>
              <w:bottom w:val="single" w:sz="8" w:space="0" w:color="auto"/>
              <w:right w:val="single" w:sz="8" w:space="0" w:color="auto"/>
            </w:tcBorders>
            <w:vAlign w:val="center"/>
            <w:hideMark/>
          </w:tcPr>
          <w:p w14:paraId="0E5BBC1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2,80</w:t>
            </w:r>
          </w:p>
        </w:tc>
        <w:tc>
          <w:tcPr>
            <w:tcW w:w="1271" w:type="dxa"/>
            <w:tcBorders>
              <w:top w:val="nil"/>
              <w:left w:val="nil"/>
              <w:bottom w:val="single" w:sz="8" w:space="0" w:color="auto"/>
              <w:right w:val="single" w:sz="8" w:space="0" w:color="auto"/>
            </w:tcBorders>
            <w:vAlign w:val="center"/>
            <w:hideMark/>
          </w:tcPr>
          <w:p w14:paraId="704C1C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190" w:type="dxa"/>
            <w:tcBorders>
              <w:top w:val="nil"/>
              <w:left w:val="nil"/>
              <w:bottom w:val="single" w:sz="8" w:space="0" w:color="auto"/>
              <w:right w:val="single" w:sz="8" w:space="0" w:color="auto"/>
            </w:tcBorders>
            <w:vAlign w:val="center"/>
            <w:hideMark/>
          </w:tcPr>
          <w:p w14:paraId="32EEE3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10,93</w:t>
            </w:r>
          </w:p>
        </w:tc>
        <w:tc>
          <w:tcPr>
            <w:tcW w:w="1099" w:type="dxa"/>
            <w:tcBorders>
              <w:top w:val="nil"/>
              <w:left w:val="nil"/>
              <w:bottom w:val="single" w:sz="8" w:space="0" w:color="auto"/>
              <w:right w:val="single" w:sz="8" w:space="0" w:color="auto"/>
            </w:tcBorders>
            <w:vAlign w:val="center"/>
            <w:hideMark/>
          </w:tcPr>
          <w:p w14:paraId="1198710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10.136.887</w:t>
            </w:r>
          </w:p>
        </w:tc>
        <w:tc>
          <w:tcPr>
            <w:tcW w:w="1100" w:type="dxa"/>
            <w:tcBorders>
              <w:top w:val="nil"/>
              <w:left w:val="nil"/>
              <w:bottom w:val="single" w:sz="8" w:space="0" w:color="auto"/>
              <w:right w:val="single" w:sz="8" w:space="0" w:color="auto"/>
            </w:tcBorders>
            <w:vAlign w:val="center"/>
            <w:hideMark/>
          </w:tcPr>
          <w:p w14:paraId="20358AA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00" w:type="dxa"/>
            <w:tcBorders>
              <w:top w:val="nil"/>
              <w:left w:val="nil"/>
              <w:bottom w:val="single" w:sz="8" w:space="0" w:color="auto"/>
              <w:right w:val="single" w:sz="8" w:space="0" w:color="auto"/>
            </w:tcBorders>
            <w:vAlign w:val="center"/>
            <w:hideMark/>
          </w:tcPr>
          <w:p w14:paraId="4115632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3EA0FE02"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09FD15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209</w:t>
            </w:r>
          </w:p>
        </w:tc>
        <w:tc>
          <w:tcPr>
            <w:tcW w:w="1919" w:type="dxa"/>
            <w:tcBorders>
              <w:top w:val="nil"/>
              <w:left w:val="nil"/>
              <w:bottom w:val="single" w:sz="8" w:space="0" w:color="auto"/>
              <w:right w:val="single" w:sz="8" w:space="0" w:color="auto"/>
            </w:tcBorders>
            <w:vAlign w:val="center"/>
            <w:hideMark/>
          </w:tcPr>
          <w:p w14:paraId="4D3DFDC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MOGACON SAS</w:t>
            </w:r>
          </w:p>
        </w:tc>
        <w:tc>
          <w:tcPr>
            <w:tcW w:w="817" w:type="dxa"/>
            <w:tcBorders>
              <w:top w:val="nil"/>
              <w:left w:val="nil"/>
              <w:bottom w:val="single" w:sz="8" w:space="0" w:color="auto"/>
              <w:right w:val="single" w:sz="8" w:space="0" w:color="auto"/>
            </w:tcBorders>
            <w:vAlign w:val="center"/>
            <w:hideMark/>
          </w:tcPr>
          <w:p w14:paraId="5E3DCA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1,67</w:t>
            </w:r>
          </w:p>
        </w:tc>
        <w:tc>
          <w:tcPr>
            <w:tcW w:w="1271" w:type="dxa"/>
            <w:tcBorders>
              <w:top w:val="nil"/>
              <w:left w:val="nil"/>
              <w:bottom w:val="single" w:sz="8" w:space="0" w:color="auto"/>
              <w:right w:val="single" w:sz="8" w:space="0" w:color="auto"/>
            </w:tcBorders>
            <w:vAlign w:val="center"/>
            <w:hideMark/>
          </w:tcPr>
          <w:p w14:paraId="03964E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38507E6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2,69</w:t>
            </w:r>
          </w:p>
        </w:tc>
        <w:tc>
          <w:tcPr>
            <w:tcW w:w="1099" w:type="dxa"/>
            <w:tcBorders>
              <w:top w:val="nil"/>
              <w:left w:val="nil"/>
              <w:bottom w:val="single" w:sz="8" w:space="0" w:color="auto"/>
              <w:right w:val="single" w:sz="8" w:space="0" w:color="auto"/>
            </w:tcBorders>
            <w:vAlign w:val="center"/>
            <w:hideMark/>
          </w:tcPr>
          <w:p w14:paraId="030DB63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7.573.903</w:t>
            </w:r>
          </w:p>
        </w:tc>
        <w:tc>
          <w:tcPr>
            <w:tcW w:w="1100" w:type="dxa"/>
            <w:tcBorders>
              <w:top w:val="nil"/>
              <w:left w:val="nil"/>
              <w:bottom w:val="single" w:sz="8" w:space="0" w:color="auto"/>
              <w:right w:val="single" w:sz="8" w:space="0" w:color="auto"/>
            </w:tcBorders>
            <w:vAlign w:val="center"/>
            <w:hideMark/>
          </w:tcPr>
          <w:p w14:paraId="401542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100" w:type="dxa"/>
            <w:tcBorders>
              <w:top w:val="nil"/>
              <w:left w:val="nil"/>
              <w:bottom w:val="single" w:sz="8" w:space="0" w:color="auto"/>
              <w:right w:val="single" w:sz="8" w:space="0" w:color="auto"/>
            </w:tcBorders>
            <w:vAlign w:val="center"/>
            <w:hideMark/>
          </w:tcPr>
          <w:p w14:paraId="0A9CDB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58B73D6D"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413D578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210</w:t>
            </w:r>
          </w:p>
        </w:tc>
        <w:tc>
          <w:tcPr>
            <w:tcW w:w="1919" w:type="dxa"/>
            <w:tcBorders>
              <w:top w:val="nil"/>
              <w:left w:val="nil"/>
              <w:bottom w:val="single" w:sz="8" w:space="0" w:color="auto"/>
              <w:right w:val="single" w:sz="8" w:space="0" w:color="auto"/>
            </w:tcBorders>
            <w:vAlign w:val="center"/>
            <w:hideMark/>
          </w:tcPr>
          <w:p w14:paraId="69530CB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DYT PROYECTOS SAS</w:t>
            </w:r>
          </w:p>
        </w:tc>
        <w:tc>
          <w:tcPr>
            <w:tcW w:w="817" w:type="dxa"/>
            <w:tcBorders>
              <w:top w:val="nil"/>
              <w:left w:val="nil"/>
              <w:bottom w:val="single" w:sz="8" w:space="0" w:color="auto"/>
              <w:right w:val="single" w:sz="8" w:space="0" w:color="auto"/>
            </w:tcBorders>
            <w:vAlign w:val="center"/>
            <w:hideMark/>
          </w:tcPr>
          <w:p w14:paraId="321A9C7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4,38</w:t>
            </w:r>
          </w:p>
        </w:tc>
        <w:tc>
          <w:tcPr>
            <w:tcW w:w="1271" w:type="dxa"/>
            <w:tcBorders>
              <w:top w:val="nil"/>
              <w:left w:val="nil"/>
              <w:bottom w:val="single" w:sz="8" w:space="0" w:color="auto"/>
              <w:right w:val="single" w:sz="8" w:space="0" w:color="auto"/>
            </w:tcBorders>
            <w:vAlign w:val="center"/>
            <w:hideMark/>
          </w:tcPr>
          <w:p w14:paraId="41F099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w:t>
            </w:r>
          </w:p>
        </w:tc>
        <w:tc>
          <w:tcPr>
            <w:tcW w:w="1190" w:type="dxa"/>
            <w:tcBorders>
              <w:top w:val="nil"/>
              <w:left w:val="nil"/>
              <w:bottom w:val="single" w:sz="8" w:space="0" w:color="auto"/>
              <w:right w:val="single" w:sz="8" w:space="0" w:color="auto"/>
            </w:tcBorders>
            <w:vAlign w:val="center"/>
            <w:hideMark/>
          </w:tcPr>
          <w:p w14:paraId="463BE16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242828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9.719.692</w:t>
            </w:r>
          </w:p>
        </w:tc>
        <w:tc>
          <w:tcPr>
            <w:tcW w:w="1100" w:type="dxa"/>
            <w:tcBorders>
              <w:top w:val="nil"/>
              <w:left w:val="nil"/>
              <w:bottom w:val="single" w:sz="8" w:space="0" w:color="auto"/>
              <w:right w:val="single" w:sz="8" w:space="0" w:color="auto"/>
            </w:tcBorders>
            <w:vAlign w:val="center"/>
            <w:hideMark/>
          </w:tcPr>
          <w:p w14:paraId="4C9687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100" w:type="dxa"/>
            <w:tcBorders>
              <w:top w:val="nil"/>
              <w:left w:val="nil"/>
              <w:bottom w:val="single" w:sz="8" w:space="0" w:color="auto"/>
              <w:right w:val="single" w:sz="8" w:space="0" w:color="auto"/>
            </w:tcBorders>
            <w:vAlign w:val="center"/>
            <w:hideMark/>
          </w:tcPr>
          <w:p w14:paraId="45C604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74BE17F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8BC76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211</w:t>
            </w:r>
          </w:p>
        </w:tc>
        <w:tc>
          <w:tcPr>
            <w:tcW w:w="1919" w:type="dxa"/>
            <w:tcBorders>
              <w:top w:val="nil"/>
              <w:left w:val="nil"/>
              <w:bottom w:val="single" w:sz="8" w:space="0" w:color="auto"/>
              <w:right w:val="single" w:sz="8" w:space="0" w:color="auto"/>
            </w:tcBorders>
            <w:vAlign w:val="center"/>
            <w:hideMark/>
          </w:tcPr>
          <w:p w14:paraId="410EBF0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ME REALTY INVESTMENTS SAS</w:t>
            </w:r>
          </w:p>
        </w:tc>
        <w:tc>
          <w:tcPr>
            <w:tcW w:w="817" w:type="dxa"/>
            <w:tcBorders>
              <w:top w:val="nil"/>
              <w:left w:val="nil"/>
              <w:bottom w:val="single" w:sz="8" w:space="0" w:color="auto"/>
              <w:right w:val="single" w:sz="8" w:space="0" w:color="auto"/>
            </w:tcBorders>
            <w:vAlign w:val="center"/>
            <w:hideMark/>
          </w:tcPr>
          <w:p w14:paraId="6DC2E36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70,04</w:t>
            </w:r>
          </w:p>
        </w:tc>
        <w:tc>
          <w:tcPr>
            <w:tcW w:w="1271" w:type="dxa"/>
            <w:tcBorders>
              <w:top w:val="nil"/>
              <w:left w:val="nil"/>
              <w:bottom w:val="single" w:sz="8" w:space="0" w:color="auto"/>
              <w:right w:val="single" w:sz="8" w:space="0" w:color="auto"/>
            </w:tcBorders>
            <w:vAlign w:val="center"/>
            <w:hideMark/>
          </w:tcPr>
          <w:p w14:paraId="689AD6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90" w:type="dxa"/>
            <w:tcBorders>
              <w:top w:val="nil"/>
              <w:left w:val="nil"/>
              <w:bottom w:val="single" w:sz="8" w:space="0" w:color="auto"/>
              <w:right w:val="single" w:sz="8" w:space="0" w:color="auto"/>
            </w:tcBorders>
            <w:vAlign w:val="center"/>
            <w:hideMark/>
          </w:tcPr>
          <w:p w14:paraId="171B8F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764B66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601.925</w:t>
            </w:r>
          </w:p>
        </w:tc>
        <w:tc>
          <w:tcPr>
            <w:tcW w:w="1100" w:type="dxa"/>
            <w:tcBorders>
              <w:top w:val="nil"/>
              <w:left w:val="nil"/>
              <w:bottom w:val="single" w:sz="8" w:space="0" w:color="auto"/>
              <w:right w:val="single" w:sz="8" w:space="0" w:color="auto"/>
            </w:tcBorders>
            <w:vAlign w:val="center"/>
            <w:hideMark/>
          </w:tcPr>
          <w:p w14:paraId="0DB712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434979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3EBE0688"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BAA5F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212</w:t>
            </w:r>
          </w:p>
        </w:tc>
        <w:tc>
          <w:tcPr>
            <w:tcW w:w="1919" w:type="dxa"/>
            <w:tcBorders>
              <w:top w:val="nil"/>
              <w:left w:val="nil"/>
              <w:bottom w:val="single" w:sz="8" w:space="0" w:color="auto"/>
              <w:right w:val="single" w:sz="8" w:space="0" w:color="auto"/>
            </w:tcBorders>
            <w:vAlign w:val="center"/>
            <w:hideMark/>
          </w:tcPr>
          <w:p w14:paraId="120BA85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LR INGENIERIA SAS</w:t>
            </w:r>
          </w:p>
        </w:tc>
        <w:tc>
          <w:tcPr>
            <w:tcW w:w="817" w:type="dxa"/>
            <w:tcBorders>
              <w:top w:val="nil"/>
              <w:left w:val="nil"/>
              <w:bottom w:val="single" w:sz="8" w:space="0" w:color="auto"/>
              <w:right w:val="single" w:sz="8" w:space="0" w:color="auto"/>
            </w:tcBorders>
            <w:vAlign w:val="center"/>
            <w:hideMark/>
          </w:tcPr>
          <w:p w14:paraId="6446F36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1284,59</w:t>
            </w:r>
          </w:p>
        </w:tc>
        <w:tc>
          <w:tcPr>
            <w:tcW w:w="1271" w:type="dxa"/>
            <w:tcBorders>
              <w:top w:val="nil"/>
              <w:left w:val="nil"/>
              <w:bottom w:val="single" w:sz="8" w:space="0" w:color="auto"/>
              <w:right w:val="single" w:sz="8" w:space="0" w:color="auto"/>
            </w:tcBorders>
            <w:vAlign w:val="center"/>
            <w:hideMark/>
          </w:tcPr>
          <w:p w14:paraId="10F51E7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c>
          <w:tcPr>
            <w:tcW w:w="1190" w:type="dxa"/>
            <w:tcBorders>
              <w:top w:val="nil"/>
              <w:left w:val="nil"/>
              <w:bottom w:val="single" w:sz="8" w:space="0" w:color="auto"/>
              <w:right w:val="single" w:sz="8" w:space="0" w:color="auto"/>
            </w:tcBorders>
            <w:vAlign w:val="center"/>
            <w:hideMark/>
          </w:tcPr>
          <w:p w14:paraId="269ED03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1,82</w:t>
            </w:r>
          </w:p>
        </w:tc>
        <w:tc>
          <w:tcPr>
            <w:tcW w:w="1099" w:type="dxa"/>
            <w:tcBorders>
              <w:top w:val="nil"/>
              <w:left w:val="nil"/>
              <w:bottom w:val="single" w:sz="8" w:space="0" w:color="auto"/>
              <w:right w:val="single" w:sz="8" w:space="0" w:color="auto"/>
            </w:tcBorders>
            <w:vAlign w:val="center"/>
            <w:hideMark/>
          </w:tcPr>
          <w:p w14:paraId="35A59F2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3.443.880</w:t>
            </w:r>
          </w:p>
        </w:tc>
        <w:tc>
          <w:tcPr>
            <w:tcW w:w="1100" w:type="dxa"/>
            <w:tcBorders>
              <w:top w:val="nil"/>
              <w:left w:val="nil"/>
              <w:bottom w:val="single" w:sz="8" w:space="0" w:color="auto"/>
              <w:right w:val="single" w:sz="8" w:space="0" w:color="auto"/>
            </w:tcBorders>
            <w:vAlign w:val="center"/>
            <w:hideMark/>
          </w:tcPr>
          <w:p w14:paraId="2DD83D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5BC564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56BA288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B0D63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213</w:t>
            </w:r>
          </w:p>
        </w:tc>
        <w:tc>
          <w:tcPr>
            <w:tcW w:w="1919" w:type="dxa"/>
            <w:tcBorders>
              <w:top w:val="nil"/>
              <w:left w:val="nil"/>
              <w:bottom w:val="single" w:sz="8" w:space="0" w:color="auto"/>
              <w:right w:val="single" w:sz="8" w:space="0" w:color="auto"/>
            </w:tcBorders>
            <w:vAlign w:val="center"/>
            <w:hideMark/>
          </w:tcPr>
          <w:p w14:paraId="6BBC70D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 PROJECT URBANISMO SAS</w:t>
            </w:r>
          </w:p>
        </w:tc>
        <w:tc>
          <w:tcPr>
            <w:tcW w:w="817" w:type="dxa"/>
            <w:tcBorders>
              <w:top w:val="nil"/>
              <w:left w:val="nil"/>
              <w:bottom w:val="single" w:sz="8" w:space="0" w:color="auto"/>
              <w:right w:val="single" w:sz="8" w:space="0" w:color="auto"/>
            </w:tcBorders>
            <w:vAlign w:val="center"/>
            <w:hideMark/>
          </w:tcPr>
          <w:p w14:paraId="3742EA3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2,17</w:t>
            </w:r>
          </w:p>
        </w:tc>
        <w:tc>
          <w:tcPr>
            <w:tcW w:w="1271" w:type="dxa"/>
            <w:tcBorders>
              <w:top w:val="nil"/>
              <w:left w:val="nil"/>
              <w:bottom w:val="single" w:sz="8" w:space="0" w:color="auto"/>
              <w:right w:val="single" w:sz="8" w:space="0" w:color="auto"/>
            </w:tcBorders>
            <w:vAlign w:val="center"/>
            <w:hideMark/>
          </w:tcPr>
          <w:p w14:paraId="1D1FF3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90" w:type="dxa"/>
            <w:tcBorders>
              <w:top w:val="nil"/>
              <w:left w:val="nil"/>
              <w:bottom w:val="single" w:sz="8" w:space="0" w:color="auto"/>
              <w:right w:val="single" w:sz="8" w:space="0" w:color="auto"/>
            </w:tcBorders>
            <w:vAlign w:val="center"/>
            <w:hideMark/>
          </w:tcPr>
          <w:p w14:paraId="6DC5E16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B6640F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281.757</w:t>
            </w:r>
          </w:p>
        </w:tc>
        <w:tc>
          <w:tcPr>
            <w:tcW w:w="1100" w:type="dxa"/>
            <w:tcBorders>
              <w:top w:val="nil"/>
              <w:left w:val="nil"/>
              <w:bottom w:val="single" w:sz="8" w:space="0" w:color="auto"/>
              <w:right w:val="single" w:sz="8" w:space="0" w:color="auto"/>
            </w:tcBorders>
            <w:vAlign w:val="center"/>
            <w:hideMark/>
          </w:tcPr>
          <w:p w14:paraId="7CD6C48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563F55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EF00B9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EB26E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214</w:t>
            </w:r>
          </w:p>
        </w:tc>
        <w:tc>
          <w:tcPr>
            <w:tcW w:w="1919" w:type="dxa"/>
            <w:tcBorders>
              <w:top w:val="nil"/>
              <w:left w:val="nil"/>
              <w:bottom w:val="single" w:sz="8" w:space="0" w:color="auto"/>
              <w:right w:val="single" w:sz="8" w:space="0" w:color="auto"/>
            </w:tcBorders>
            <w:vAlign w:val="center"/>
            <w:hideMark/>
          </w:tcPr>
          <w:p w14:paraId="5E3E924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AGREGADOS LA PAZ SAS</w:t>
            </w:r>
          </w:p>
        </w:tc>
        <w:tc>
          <w:tcPr>
            <w:tcW w:w="817" w:type="dxa"/>
            <w:tcBorders>
              <w:top w:val="nil"/>
              <w:left w:val="nil"/>
              <w:bottom w:val="single" w:sz="8" w:space="0" w:color="auto"/>
              <w:right w:val="single" w:sz="8" w:space="0" w:color="auto"/>
            </w:tcBorders>
            <w:vAlign w:val="center"/>
            <w:hideMark/>
          </w:tcPr>
          <w:p w14:paraId="217FB0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3,09</w:t>
            </w:r>
          </w:p>
        </w:tc>
        <w:tc>
          <w:tcPr>
            <w:tcW w:w="1271" w:type="dxa"/>
            <w:tcBorders>
              <w:top w:val="nil"/>
              <w:left w:val="nil"/>
              <w:bottom w:val="single" w:sz="8" w:space="0" w:color="auto"/>
              <w:right w:val="single" w:sz="8" w:space="0" w:color="auto"/>
            </w:tcBorders>
            <w:vAlign w:val="center"/>
            <w:hideMark/>
          </w:tcPr>
          <w:p w14:paraId="3AAB82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80%</w:t>
            </w:r>
          </w:p>
        </w:tc>
        <w:tc>
          <w:tcPr>
            <w:tcW w:w="1190" w:type="dxa"/>
            <w:tcBorders>
              <w:top w:val="nil"/>
              <w:left w:val="nil"/>
              <w:bottom w:val="single" w:sz="8" w:space="0" w:color="auto"/>
              <w:right w:val="single" w:sz="8" w:space="0" w:color="auto"/>
            </w:tcBorders>
            <w:vAlign w:val="center"/>
            <w:hideMark/>
          </w:tcPr>
          <w:p w14:paraId="60C3B5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-33,85</w:t>
            </w:r>
          </w:p>
        </w:tc>
        <w:tc>
          <w:tcPr>
            <w:tcW w:w="1099" w:type="dxa"/>
            <w:tcBorders>
              <w:top w:val="nil"/>
              <w:left w:val="nil"/>
              <w:bottom w:val="single" w:sz="8" w:space="0" w:color="auto"/>
              <w:right w:val="single" w:sz="8" w:space="0" w:color="auto"/>
            </w:tcBorders>
            <w:vAlign w:val="center"/>
            <w:hideMark/>
          </w:tcPr>
          <w:p w14:paraId="4F18A5B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4.669.772</w:t>
            </w:r>
          </w:p>
        </w:tc>
        <w:tc>
          <w:tcPr>
            <w:tcW w:w="1100" w:type="dxa"/>
            <w:tcBorders>
              <w:top w:val="nil"/>
              <w:left w:val="nil"/>
              <w:bottom w:val="single" w:sz="8" w:space="0" w:color="auto"/>
              <w:right w:val="single" w:sz="8" w:space="0" w:color="auto"/>
            </w:tcBorders>
            <w:vAlign w:val="center"/>
            <w:hideMark/>
          </w:tcPr>
          <w:p w14:paraId="7F9AEA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7510C20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4107D078" w14:textId="77777777" w:rsidTr="008468B3">
        <w:trPr>
          <w:trHeight w:val="972"/>
        </w:trPr>
        <w:tc>
          <w:tcPr>
            <w:tcW w:w="474" w:type="dxa"/>
            <w:tcBorders>
              <w:top w:val="nil"/>
              <w:left w:val="single" w:sz="8" w:space="0" w:color="auto"/>
              <w:bottom w:val="single" w:sz="8" w:space="0" w:color="auto"/>
              <w:right w:val="single" w:sz="8" w:space="0" w:color="auto"/>
            </w:tcBorders>
            <w:noWrap/>
            <w:vAlign w:val="center"/>
            <w:hideMark/>
          </w:tcPr>
          <w:p w14:paraId="79F873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215</w:t>
            </w:r>
          </w:p>
        </w:tc>
        <w:tc>
          <w:tcPr>
            <w:tcW w:w="1919" w:type="dxa"/>
            <w:tcBorders>
              <w:top w:val="nil"/>
              <w:left w:val="nil"/>
              <w:bottom w:val="single" w:sz="8" w:space="0" w:color="auto"/>
              <w:right w:val="single" w:sz="8" w:space="0" w:color="auto"/>
            </w:tcBorders>
            <w:vAlign w:val="center"/>
            <w:hideMark/>
          </w:tcPr>
          <w:p w14:paraId="4B7D3775" w14:textId="14D23858"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 Y PETREOS MOSQUERA INPEMOS SAS EN REESTRUCTURACIÓN</w:t>
            </w:r>
          </w:p>
        </w:tc>
        <w:tc>
          <w:tcPr>
            <w:tcW w:w="817" w:type="dxa"/>
            <w:tcBorders>
              <w:top w:val="nil"/>
              <w:left w:val="nil"/>
              <w:bottom w:val="single" w:sz="8" w:space="0" w:color="auto"/>
              <w:right w:val="single" w:sz="8" w:space="0" w:color="auto"/>
            </w:tcBorders>
            <w:vAlign w:val="center"/>
            <w:hideMark/>
          </w:tcPr>
          <w:p w14:paraId="1DC572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2,45</w:t>
            </w:r>
          </w:p>
        </w:tc>
        <w:tc>
          <w:tcPr>
            <w:tcW w:w="1271" w:type="dxa"/>
            <w:tcBorders>
              <w:top w:val="nil"/>
              <w:left w:val="nil"/>
              <w:bottom w:val="single" w:sz="8" w:space="0" w:color="auto"/>
              <w:right w:val="single" w:sz="8" w:space="0" w:color="auto"/>
            </w:tcBorders>
            <w:vAlign w:val="center"/>
            <w:hideMark/>
          </w:tcPr>
          <w:p w14:paraId="3AB426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39%</w:t>
            </w:r>
          </w:p>
        </w:tc>
        <w:tc>
          <w:tcPr>
            <w:tcW w:w="1190" w:type="dxa"/>
            <w:tcBorders>
              <w:top w:val="nil"/>
              <w:left w:val="nil"/>
              <w:bottom w:val="single" w:sz="8" w:space="0" w:color="auto"/>
              <w:right w:val="single" w:sz="8" w:space="0" w:color="auto"/>
            </w:tcBorders>
            <w:vAlign w:val="center"/>
            <w:hideMark/>
          </w:tcPr>
          <w:p w14:paraId="2C46F8C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39C3464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114.900</w:t>
            </w:r>
          </w:p>
        </w:tc>
        <w:tc>
          <w:tcPr>
            <w:tcW w:w="1100" w:type="dxa"/>
            <w:tcBorders>
              <w:top w:val="nil"/>
              <w:left w:val="nil"/>
              <w:bottom w:val="single" w:sz="8" w:space="0" w:color="auto"/>
              <w:right w:val="single" w:sz="8" w:space="0" w:color="auto"/>
            </w:tcBorders>
            <w:vAlign w:val="center"/>
            <w:hideMark/>
          </w:tcPr>
          <w:p w14:paraId="136C1D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35B021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19F8EBD"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63D56C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216</w:t>
            </w:r>
          </w:p>
        </w:tc>
        <w:tc>
          <w:tcPr>
            <w:tcW w:w="1919" w:type="dxa"/>
            <w:tcBorders>
              <w:top w:val="nil"/>
              <w:left w:val="nil"/>
              <w:bottom w:val="single" w:sz="8" w:space="0" w:color="auto"/>
              <w:right w:val="single" w:sz="8" w:space="0" w:color="auto"/>
            </w:tcBorders>
            <w:vAlign w:val="center"/>
            <w:hideMark/>
          </w:tcPr>
          <w:p w14:paraId="0DAC78F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UNIFORCE SAS</w:t>
            </w:r>
          </w:p>
        </w:tc>
        <w:tc>
          <w:tcPr>
            <w:tcW w:w="817" w:type="dxa"/>
            <w:tcBorders>
              <w:top w:val="nil"/>
              <w:left w:val="nil"/>
              <w:bottom w:val="single" w:sz="8" w:space="0" w:color="auto"/>
              <w:right w:val="single" w:sz="8" w:space="0" w:color="auto"/>
            </w:tcBorders>
            <w:vAlign w:val="center"/>
            <w:hideMark/>
          </w:tcPr>
          <w:p w14:paraId="2CA99BD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4,25</w:t>
            </w:r>
          </w:p>
        </w:tc>
        <w:tc>
          <w:tcPr>
            <w:tcW w:w="1271" w:type="dxa"/>
            <w:tcBorders>
              <w:top w:val="nil"/>
              <w:left w:val="nil"/>
              <w:bottom w:val="single" w:sz="8" w:space="0" w:color="auto"/>
              <w:right w:val="single" w:sz="8" w:space="0" w:color="auto"/>
            </w:tcBorders>
            <w:vAlign w:val="center"/>
            <w:hideMark/>
          </w:tcPr>
          <w:p w14:paraId="01CD11A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w:t>
            </w:r>
          </w:p>
        </w:tc>
        <w:tc>
          <w:tcPr>
            <w:tcW w:w="1190" w:type="dxa"/>
            <w:tcBorders>
              <w:top w:val="nil"/>
              <w:left w:val="nil"/>
              <w:bottom w:val="single" w:sz="8" w:space="0" w:color="auto"/>
              <w:right w:val="single" w:sz="8" w:space="0" w:color="auto"/>
            </w:tcBorders>
            <w:vAlign w:val="center"/>
            <w:hideMark/>
          </w:tcPr>
          <w:p w14:paraId="332A04A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9,21</w:t>
            </w:r>
          </w:p>
        </w:tc>
        <w:tc>
          <w:tcPr>
            <w:tcW w:w="1099" w:type="dxa"/>
            <w:tcBorders>
              <w:top w:val="nil"/>
              <w:left w:val="nil"/>
              <w:bottom w:val="single" w:sz="8" w:space="0" w:color="auto"/>
              <w:right w:val="single" w:sz="8" w:space="0" w:color="auto"/>
            </w:tcBorders>
            <w:vAlign w:val="center"/>
            <w:hideMark/>
          </w:tcPr>
          <w:p w14:paraId="6E00AF1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13.791.716</w:t>
            </w:r>
          </w:p>
        </w:tc>
        <w:tc>
          <w:tcPr>
            <w:tcW w:w="1100" w:type="dxa"/>
            <w:tcBorders>
              <w:top w:val="nil"/>
              <w:left w:val="nil"/>
              <w:bottom w:val="single" w:sz="8" w:space="0" w:color="auto"/>
              <w:right w:val="single" w:sz="8" w:space="0" w:color="auto"/>
            </w:tcBorders>
            <w:vAlign w:val="center"/>
            <w:hideMark/>
          </w:tcPr>
          <w:p w14:paraId="2B49057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c>
          <w:tcPr>
            <w:tcW w:w="1100" w:type="dxa"/>
            <w:tcBorders>
              <w:top w:val="nil"/>
              <w:left w:val="nil"/>
              <w:bottom w:val="single" w:sz="8" w:space="0" w:color="auto"/>
              <w:right w:val="single" w:sz="8" w:space="0" w:color="auto"/>
            </w:tcBorders>
            <w:vAlign w:val="center"/>
            <w:hideMark/>
          </w:tcPr>
          <w:p w14:paraId="2B630AB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r>
      <w:tr w:rsidR="008468B3" w:rsidRPr="008468B3" w14:paraId="3799709A"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3133A43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217</w:t>
            </w:r>
          </w:p>
        </w:tc>
        <w:tc>
          <w:tcPr>
            <w:tcW w:w="1919" w:type="dxa"/>
            <w:tcBorders>
              <w:top w:val="nil"/>
              <w:left w:val="nil"/>
              <w:bottom w:val="single" w:sz="8" w:space="0" w:color="auto"/>
              <w:right w:val="single" w:sz="8" w:space="0" w:color="auto"/>
            </w:tcBorders>
            <w:vAlign w:val="center"/>
            <w:hideMark/>
          </w:tcPr>
          <w:p w14:paraId="25302E6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HC CONSTRUCCIONES Y MONTAJES SAS</w:t>
            </w:r>
          </w:p>
        </w:tc>
        <w:tc>
          <w:tcPr>
            <w:tcW w:w="817" w:type="dxa"/>
            <w:tcBorders>
              <w:top w:val="nil"/>
              <w:left w:val="nil"/>
              <w:bottom w:val="single" w:sz="8" w:space="0" w:color="auto"/>
              <w:right w:val="single" w:sz="8" w:space="0" w:color="auto"/>
            </w:tcBorders>
            <w:vAlign w:val="center"/>
            <w:hideMark/>
          </w:tcPr>
          <w:p w14:paraId="4471A7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2,42</w:t>
            </w:r>
          </w:p>
        </w:tc>
        <w:tc>
          <w:tcPr>
            <w:tcW w:w="1271" w:type="dxa"/>
            <w:tcBorders>
              <w:top w:val="nil"/>
              <w:left w:val="nil"/>
              <w:bottom w:val="single" w:sz="8" w:space="0" w:color="auto"/>
              <w:right w:val="single" w:sz="8" w:space="0" w:color="auto"/>
            </w:tcBorders>
            <w:vAlign w:val="center"/>
            <w:hideMark/>
          </w:tcPr>
          <w:p w14:paraId="5735762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w:t>
            </w:r>
          </w:p>
        </w:tc>
        <w:tc>
          <w:tcPr>
            <w:tcW w:w="1190" w:type="dxa"/>
            <w:tcBorders>
              <w:top w:val="nil"/>
              <w:left w:val="nil"/>
              <w:bottom w:val="single" w:sz="8" w:space="0" w:color="auto"/>
              <w:right w:val="single" w:sz="8" w:space="0" w:color="auto"/>
            </w:tcBorders>
            <w:vAlign w:val="center"/>
            <w:hideMark/>
          </w:tcPr>
          <w:p w14:paraId="3903B82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EBB6F4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5.996.403</w:t>
            </w:r>
          </w:p>
        </w:tc>
        <w:tc>
          <w:tcPr>
            <w:tcW w:w="1100" w:type="dxa"/>
            <w:tcBorders>
              <w:top w:val="nil"/>
              <w:left w:val="nil"/>
              <w:bottom w:val="single" w:sz="8" w:space="0" w:color="auto"/>
              <w:right w:val="single" w:sz="8" w:space="0" w:color="auto"/>
            </w:tcBorders>
            <w:vAlign w:val="center"/>
            <w:hideMark/>
          </w:tcPr>
          <w:p w14:paraId="57A9C85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w:t>
            </w:r>
          </w:p>
        </w:tc>
        <w:tc>
          <w:tcPr>
            <w:tcW w:w="1100" w:type="dxa"/>
            <w:tcBorders>
              <w:top w:val="nil"/>
              <w:left w:val="nil"/>
              <w:bottom w:val="single" w:sz="8" w:space="0" w:color="auto"/>
              <w:right w:val="single" w:sz="8" w:space="0" w:color="auto"/>
            </w:tcBorders>
            <w:vAlign w:val="center"/>
            <w:hideMark/>
          </w:tcPr>
          <w:p w14:paraId="2777BC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r>
      <w:tr w:rsidR="008468B3" w:rsidRPr="008468B3" w14:paraId="074D83A8"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4819D1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218</w:t>
            </w:r>
          </w:p>
        </w:tc>
        <w:tc>
          <w:tcPr>
            <w:tcW w:w="1919" w:type="dxa"/>
            <w:tcBorders>
              <w:top w:val="nil"/>
              <w:left w:val="nil"/>
              <w:bottom w:val="single" w:sz="8" w:space="0" w:color="auto"/>
              <w:right w:val="single" w:sz="8" w:space="0" w:color="auto"/>
            </w:tcBorders>
            <w:vAlign w:val="center"/>
            <w:hideMark/>
          </w:tcPr>
          <w:p w14:paraId="4B751AD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PROMOTORA ALTOS DE PLAN PAREJO SAS</w:t>
            </w:r>
          </w:p>
        </w:tc>
        <w:tc>
          <w:tcPr>
            <w:tcW w:w="817" w:type="dxa"/>
            <w:tcBorders>
              <w:top w:val="nil"/>
              <w:left w:val="nil"/>
              <w:bottom w:val="single" w:sz="8" w:space="0" w:color="auto"/>
              <w:right w:val="single" w:sz="8" w:space="0" w:color="auto"/>
            </w:tcBorders>
            <w:vAlign w:val="center"/>
            <w:hideMark/>
          </w:tcPr>
          <w:p w14:paraId="66941B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1,45</w:t>
            </w:r>
          </w:p>
        </w:tc>
        <w:tc>
          <w:tcPr>
            <w:tcW w:w="1271" w:type="dxa"/>
            <w:tcBorders>
              <w:top w:val="nil"/>
              <w:left w:val="nil"/>
              <w:bottom w:val="single" w:sz="8" w:space="0" w:color="auto"/>
              <w:right w:val="single" w:sz="8" w:space="0" w:color="auto"/>
            </w:tcBorders>
            <w:vAlign w:val="center"/>
            <w:hideMark/>
          </w:tcPr>
          <w:p w14:paraId="5AF686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73%</w:t>
            </w:r>
          </w:p>
        </w:tc>
        <w:tc>
          <w:tcPr>
            <w:tcW w:w="1190" w:type="dxa"/>
            <w:tcBorders>
              <w:top w:val="nil"/>
              <w:left w:val="nil"/>
              <w:bottom w:val="single" w:sz="8" w:space="0" w:color="auto"/>
              <w:right w:val="single" w:sz="8" w:space="0" w:color="auto"/>
            </w:tcBorders>
            <w:vAlign w:val="center"/>
            <w:hideMark/>
          </w:tcPr>
          <w:p w14:paraId="3E9A6C7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54049E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24.997.702</w:t>
            </w:r>
          </w:p>
        </w:tc>
        <w:tc>
          <w:tcPr>
            <w:tcW w:w="1100" w:type="dxa"/>
            <w:tcBorders>
              <w:top w:val="nil"/>
              <w:left w:val="nil"/>
              <w:bottom w:val="single" w:sz="8" w:space="0" w:color="auto"/>
              <w:right w:val="single" w:sz="8" w:space="0" w:color="auto"/>
            </w:tcBorders>
            <w:vAlign w:val="center"/>
            <w:hideMark/>
          </w:tcPr>
          <w:p w14:paraId="4E60FF7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7A36119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477F818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3C087B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219</w:t>
            </w:r>
          </w:p>
        </w:tc>
        <w:tc>
          <w:tcPr>
            <w:tcW w:w="1919" w:type="dxa"/>
            <w:tcBorders>
              <w:top w:val="nil"/>
              <w:left w:val="nil"/>
              <w:bottom w:val="single" w:sz="8" w:space="0" w:color="auto"/>
              <w:right w:val="single" w:sz="8" w:space="0" w:color="auto"/>
            </w:tcBorders>
            <w:vAlign w:val="center"/>
            <w:hideMark/>
          </w:tcPr>
          <w:p w14:paraId="4C226BF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SALAZAR LMA S.A.S</w:t>
            </w:r>
          </w:p>
        </w:tc>
        <w:tc>
          <w:tcPr>
            <w:tcW w:w="817" w:type="dxa"/>
            <w:tcBorders>
              <w:top w:val="nil"/>
              <w:left w:val="nil"/>
              <w:bottom w:val="single" w:sz="8" w:space="0" w:color="auto"/>
              <w:right w:val="single" w:sz="8" w:space="0" w:color="auto"/>
            </w:tcBorders>
            <w:vAlign w:val="center"/>
            <w:hideMark/>
          </w:tcPr>
          <w:p w14:paraId="5F94B4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2,26</w:t>
            </w:r>
          </w:p>
        </w:tc>
        <w:tc>
          <w:tcPr>
            <w:tcW w:w="1271" w:type="dxa"/>
            <w:tcBorders>
              <w:top w:val="nil"/>
              <w:left w:val="nil"/>
              <w:bottom w:val="single" w:sz="8" w:space="0" w:color="auto"/>
              <w:right w:val="single" w:sz="8" w:space="0" w:color="auto"/>
            </w:tcBorders>
            <w:vAlign w:val="center"/>
            <w:hideMark/>
          </w:tcPr>
          <w:p w14:paraId="66D6CC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190" w:type="dxa"/>
            <w:tcBorders>
              <w:top w:val="nil"/>
              <w:left w:val="nil"/>
              <w:bottom w:val="single" w:sz="8" w:space="0" w:color="auto"/>
              <w:right w:val="single" w:sz="8" w:space="0" w:color="auto"/>
            </w:tcBorders>
            <w:vAlign w:val="center"/>
            <w:hideMark/>
          </w:tcPr>
          <w:p w14:paraId="5980E5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2,95</w:t>
            </w:r>
          </w:p>
        </w:tc>
        <w:tc>
          <w:tcPr>
            <w:tcW w:w="1099" w:type="dxa"/>
            <w:tcBorders>
              <w:top w:val="nil"/>
              <w:left w:val="nil"/>
              <w:bottom w:val="single" w:sz="8" w:space="0" w:color="auto"/>
              <w:right w:val="single" w:sz="8" w:space="0" w:color="auto"/>
            </w:tcBorders>
            <w:vAlign w:val="center"/>
            <w:hideMark/>
          </w:tcPr>
          <w:p w14:paraId="40F2842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1.809.209</w:t>
            </w:r>
          </w:p>
        </w:tc>
        <w:tc>
          <w:tcPr>
            <w:tcW w:w="1100" w:type="dxa"/>
            <w:tcBorders>
              <w:top w:val="nil"/>
              <w:left w:val="nil"/>
              <w:bottom w:val="single" w:sz="8" w:space="0" w:color="auto"/>
              <w:right w:val="single" w:sz="8" w:space="0" w:color="auto"/>
            </w:tcBorders>
            <w:vAlign w:val="center"/>
            <w:hideMark/>
          </w:tcPr>
          <w:p w14:paraId="32C4754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00" w:type="dxa"/>
            <w:tcBorders>
              <w:top w:val="nil"/>
              <w:left w:val="nil"/>
              <w:bottom w:val="single" w:sz="8" w:space="0" w:color="auto"/>
              <w:right w:val="single" w:sz="8" w:space="0" w:color="auto"/>
            </w:tcBorders>
            <w:vAlign w:val="center"/>
            <w:hideMark/>
          </w:tcPr>
          <w:p w14:paraId="35D5007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3454AFE2"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19865D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w:t>
            </w:r>
          </w:p>
        </w:tc>
        <w:tc>
          <w:tcPr>
            <w:tcW w:w="1919" w:type="dxa"/>
            <w:tcBorders>
              <w:top w:val="nil"/>
              <w:left w:val="nil"/>
              <w:bottom w:val="single" w:sz="8" w:space="0" w:color="auto"/>
              <w:right w:val="single" w:sz="8" w:space="0" w:color="auto"/>
            </w:tcBorders>
            <w:vAlign w:val="center"/>
            <w:hideMark/>
          </w:tcPr>
          <w:p w14:paraId="4E87CE7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DE LAVALLE TCHERASSI SAS</w:t>
            </w:r>
          </w:p>
        </w:tc>
        <w:tc>
          <w:tcPr>
            <w:tcW w:w="817" w:type="dxa"/>
            <w:tcBorders>
              <w:top w:val="nil"/>
              <w:left w:val="nil"/>
              <w:bottom w:val="single" w:sz="8" w:space="0" w:color="auto"/>
              <w:right w:val="single" w:sz="8" w:space="0" w:color="auto"/>
            </w:tcBorders>
            <w:vAlign w:val="center"/>
            <w:hideMark/>
          </w:tcPr>
          <w:p w14:paraId="4B093B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0,61</w:t>
            </w:r>
          </w:p>
        </w:tc>
        <w:tc>
          <w:tcPr>
            <w:tcW w:w="1271" w:type="dxa"/>
            <w:tcBorders>
              <w:top w:val="nil"/>
              <w:left w:val="nil"/>
              <w:bottom w:val="single" w:sz="8" w:space="0" w:color="auto"/>
              <w:right w:val="single" w:sz="8" w:space="0" w:color="auto"/>
            </w:tcBorders>
            <w:vAlign w:val="center"/>
            <w:hideMark/>
          </w:tcPr>
          <w:p w14:paraId="3C43058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338%</w:t>
            </w:r>
          </w:p>
        </w:tc>
        <w:tc>
          <w:tcPr>
            <w:tcW w:w="1190" w:type="dxa"/>
            <w:tcBorders>
              <w:top w:val="nil"/>
              <w:left w:val="nil"/>
              <w:bottom w:val="single" w:sz="8" w:space="0" w:color="auto"/>
              <w:right w:val="single" w:sz="8" w:space="0" w:color="auto"/>
            </w:tcBorders>
            <w:vAlign w:val="center"/>
            <w:hideMark/>
          </w:tcPr>
          <w:p w14:paraId="723725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8B0AC5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-239.642</w:t>
            </w:r>
          </w:p>
        </w:tc>
        <w:tc>
          <w:tcPr>
            <w:tcW w:w="1100" w:type="dxa"/>
            <w:tcBorders>
              <w:top w:val="nil"/>
              <w:left w:val="nil"/>
              <w:bottom w:val="single" w:sz="8" w:space="0" w:color="auto"/>
              <w:right w:val="single" w:sz="8" w:space="0" w:color="auto"/>
            </w:tcBorders>
            <w:vAlign w:val="center"/>
            <w:hideMark/>
          </w:tcPr>
          <w:p w14:paraId="3CD155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261%</w:t>
            </w:r>
          </w:p>
        </w:tc>
        <w:tc>
          <w:tcPr>
            <w:tcW w:w="1100" w:type="dxa"/>
            <w:tcBorders>
              <w:top w:val="nil"/>
              <w:left w:val="nil"/>
              <w:bottom w:val="single" w:sz="8" w:space="0" w:color="auto"/>
              <w:right w:val="single" w:sz="8" w:space="0" w:color="auto"/>
            </w:tcBorders>
            <w:vAlign w:val="center"/>
            <w:hideMark/>
          </w:tcPr>
          <w:p w14:paraId="45D5C0D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-620%</w:t>
            </w:r>
          </w:p>
        </w:tc>
      </w:tr>
      <w:tr w:rsidR="008468B3" w:rsidRPr="008468B3" w14:paraId="41BD6002" w14:textId="77777777" w:rsidTr="008468B3">
        <w:trPr>
          <w:trHeight w:val="619"/>
        </w:trPr>
        <w:tc>
          <w:tcPr>
            <w:tcW w:w="474" w:type="dxa"/>
            <w:tcBorders>
              <w:top w:val="nil"/>
              <w:left w:val="single" w:sz="8" w:space="0" w:color="auto"/>
              <w:bottom w:val="single" w:sz="8" w:space="0" w:color="auto"/>
              <w:right w:val="single" w:sz="8" w:space="0" w:color="auto"/>
            </w:tcBorders>
            <w:noWrap/>
            <w:vAlign w:val="center"/>
            <w:hideMark/>
          </w:tcPr>
          <w:p w14:paraId="2FEC43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221</w:t>
            </w:r>
          </w:p>
        </w:tc>
        <w:tc>
          <w:tcPr>
            <w:tcW w:w="1919" w:type="dxa"/>
            <w:tcBorders>
              <w:top w:val="nil"/>
              <w:left w:val="nil"/>
              <w:bottom w:val="single" w:sz="8" w:space="0" w:color="auto"/>
              <w:right w:val="single" w:sz="8" w:space="0" w:color="auto"/>
            </w:tcBorders>
            <w:vAlign w:val="center"/>
            <w:hideMark/>
          </w:tcPr>
          <w:p w14:paraId="15E73E0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EMPRESA DE SERVICIOS PUBLICOS DE SEGOVIA S.A. E.S.P.</w:t>
            </w:r>
          </w:p>
        </w:tc>
        <w:tc>
          <w:tcPr>
            <w:tcW w:w="817" w:type="dxa"/>
            <w:tcBorders>
              <w:top w:val="nil"/>
              <w:left w:val="nil"/>
              <w:bottom w:val="single" w:sz="8" w:space="0" w:color="auto"/>
              <w:right w:val="single" w:sz="8" w:space="0" w:color="auto"/>
            </w:tcBorders>
            <w:vAlign w:val="center"/>
            <w:hideMark/>
          </w:tcPr>
          <w:p w14:paraId="63435D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1,79</w:t>
            </w:r>
          </w:p>
        </w:tc>
        <w:tc>
          <w:tcPr>
            <w:tcW w:w="1271" w:type="dxa"/>
            <w:tcBorders>
              <w:top w:val="nil"/>
              <w:left w:val="nil"/>
              <w:bottom w:val="single" w:sz="8" w:space="0" w:color="auto"/>
              <w:right w:val="single" w:sz="8" w:space="0" w:color="auto"/>
            </w:tcBorders>
            <w:vAlign w:val="center"/>
            <w:hideMark/>
          </w:tcPr>
          <w:p w14:paraId="2A76F6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w:t>
            </w:r>
          </w:p>
        </w:tc>
        <w:tc>
          <w:tcPr>
            <w:tcW w:w="1190" w:type="dxa"/>
            <w:tcBorders>
              <w:top w:val="nil"/>
              <w:left w:val="nil"/>
              <w:bottom w:val="single" w:sz="8" w:space="0" w:color="auto"/>
              <w:right w:val="single" w:sz="8" w:space="0" w:color="auto"/>
            </w:tcBorders>
            <w:vAlign w:val="center"/>
            <w:hideMark/>
          </w:tcPr>
          <w:p w14:paraId="30D12A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4,50</w:t>
            </w:r>
          </w:p>
        </w:tc>
        <w:tc>
          <w:tcPr>
            <w:tcW w:w="1099" w:type="dxa"/>
            <w:tcBorders>
              <w:top w:val="nil"/>
              <w:left w:val="nil"/>
              <w:bottom w:val="single" w:sz="8" w:space="0" w:color="auto"/>
              <w:right w:val="single" w:sz="8" w:space="0" w:color="auto"/>
            </w:tcBorders>
            <w:vAlign w:val="center"/>
            <w:hideMark/>
          </w:tcPr>
          <w:p w14:paraId="6368726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386.548</w:t>
            </w:r>
          </w:p>
        </w:tc>
        <w:tc>
          <w:tcPr>
            <w:tcW w:w="1100" w:type="dxa"/>
            <w:tcBorders>
              <w:top w:val="nil"/>
              <w:left w:val="nil"/>
              <w:bottom w:val="single" w:sz="8" w:space="0" w:color="auto"/>
              <w:right w:val="single" w:sz="8" w:space="0" w:color="auto"/>
            </w:tcBorders>
            <w:vAlign w:val="center"/>
            <w:hideMark/>
          </w:tcPr>
          <w:p w14:paraId="38F8DA7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70%</w:t>
            </w:r>
          </w:p>
        </w:tc>
        <w:tc>
          <w:tcPr>
            <w:tcW w:w="1100" w:type="dxa"/>
            <w:tcBorders>
              <w:top w:val="nil"/>
              <w:left w:val="nil"/>
              <w:bottom w:val="single" w:sz="8" w:space="0" w:color="auto"/>
              <w:right w:val="single" w:sz="8" w:space="0" w:color="auto"/>
            </w:tcBorders>
            <w:vAlign w:val="center"/>
            <w:hideMark/>
          </w:tcPr>
          <w:p w14:paraId="3DE2D2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6D1291F0"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1918F1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222</w:t>
            </w:r>
          </w:p>
        </w:tc>
        <w:tc>
          <w:tcPr>
            <w:tcW w:w="1919" w:type="dxa"/>
            <w:tcBorders>
              <w:top w:val="nil"/>
              <w:left w:val="nil"/>
              <w:bottom w:val="single" w:sz="8" w:space="0" w:color="auto"/>
              <w:right w:val="single" w:sz="8" w:space="0" w:color="auto"/>
            </w:tcBorders>
            <w:vAlign w:val="center"/>
            <w:hideMark/>
          </w:tcPr>
          <w:p w14:paraId="6CED5F13"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MEC MEDIDAS ELECTRONICAS CENTRALIZADAS SAS</w:t>
            </w:r>
          </w:p>
        </w:tc>
        <w:tc>
          <w:tcPr>
            <w:tcW w:w="817" w:type="dxa"/>
            <w:tcBorders>
              <w:top w:val="nil"/>
              <w:left w:val="nil"/>
              <w:bottom w:val="single" w:sz="8" w:space="0" w:color="auto"/>
              <w:right w:val="single" w:sz="8" w:space="0" w:color="auto"/>
            </w:tcBorders>
            <w:vAlign w:val="center"/>
            <w:hideMark/>
          </w:tcPr>
          <w:p w14:paraId="696548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2,84</w:t>
            </w:r>
          </w:p>
        </w:tc>
        <w:tc>
          <w:tcPr>
            <w:tcW w:w="1271" w:type="dxa"/>
            <w:tcBorders>
              <w:top w:val="nil"/>
              <w:left w:val="nil"/>
              <w:bottom w:val="single" w:sz="8" w:space="0" w:color="auto"/>
              <w:right w:val="single" w:sz="8" w:space="0" w:color="auto"/>
            </w:tcBorders>
            <w:vAlign w:val="center"/>
            <w:hideMark/>
          </w:tcPr>
          <w:p w14:paraId="6DA5AA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190" w:type="dxa"/>
            <w:tcBorders>
              <w:top w:val="nil"/>
              <w:left w:val="nil"/>
              <w:bottom w:val="single" w:sz="8" w:space="0" w:color="auto"/>
              <w:right w:val="single" w:sz="8" w:space="0" w:color="auto"/>
            </w:tcBorders>
            <w:vAlign w:val="center"/>
            <w:hideMark/>
          </w:tcPr>
          <w:p w14:paraId="079AF52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-5,32</w:t>
            </w:r>
          </w:p>
        </w:tc>
        <w:tc>
          <w:tcPr>
            <w:tcW w:w="1099" w:type="dxa"/>
            <w:tcBorders>
              <w:top w:val="nil"/>
              <w:left w:val="nil"/>
              <w:bottom w:val="single" w:sz="8" w:space="0" w:color="auto"/>
              <w:right w:val="single" w:sz="8" w:space="0" w:color="auto"/>
            </w:tcBorders>
            <w:vAlign w:val="center"/>
            <w:hideMark/>
          </w:tcPr>
          <w:p w14:paraId="5EBBB5B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1.667.644</w:t>
            </w:r>
          </w:p>
        </w:tc>
        <w:tc>
          <w:tcPr>
            <w:tcW w:w="1100" w:type="dxa"/>
            <w:tcBorders>
              <w:top w:val="nil"/>
              <w:left w:val="nil"/>
              <w:bottom w:val="single" w:sz="8" w:space="0" w:color="auto"/>
              <w:right w:val="single" w:sz="8" w:space="0" w:color="auto"/>
            </w:tcBorders>
            <w:vAlign w:val="center"/>
            <w:hideMark/>
          </w:tcPr>
          <w:p w14:paraId="6236A0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w:t>
            </w:r>
          </w:p>
        </w:tc>
        <w:tc>
          <w:tcPr>
            <w:tcW w:w="1100" w:type="dxa"/>
            <w:tcBorders>
              <w:top w:val="nil"/>
              <w:left w:val="nil"/>
              <w:bottom w:val="single" w:sz="8" w:space="0" w:color="auto"/>
              <w:right w:val="single" w:sz="8" w:space="0" w:color="auto"/>
            </w:tcBorders>
            <w:vAlign w:val="center"/>
            <w:hideMark/>
          </w:tcPr>
          <w:p w14:paraId="64C1778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r>
      <w:tr w:rsidR="008468B3" w:rsidRPr="008468B3" w14:paraId="42CF2A1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C758A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223</w:t>
            </w:r>
          </w:p>
        </w:tc>
        <w:tc>
          <w:tcPr>
            <w:tcW w:w="1919" w:type="dxa"/>
            <w:tcBorders>
              <w:top w:val="nil"/>
              <w:left w:val="nil"/>
              <w:bottom w:val="single" w:sz="8" w:space="0" w:color="auto"/>
              <w:right w:val="single" w:sz="8" w:space="0" w:color="auto"/>
            </w:tcBorders>
            <w:vAlign w:val="center"/>
            <w:hideMark/>
          </w:tcPr>
          <w:p w14:paraId="44538E9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INGNIERIA ELECTRICA RAULINEAS SAS</w:t>
            </w:r>
          </w:p>
        </w:tc>
        <w:tc>
          <w:tcPr>
            <w:tcW w:w="817" w:type="dxa"/>
            <w:tcBorders>
              <w:top w:val="nil"/>
              <w:left w:val="nil"/>
              <w:bottom w:val="single" w:sz="8" w:space="0" w:color="auto"/>
              <w:right w:val="single" w:sz="8" w:space="0" w:color="auto"/>
            </w:tcBorders>
            <w:vAlign w:val="center"/>
            <w:hideMark/>
          </w:tcPr>
          <w:p w14:paraId="549108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8,12</w:t>
            </w:r>
          </w:p>
        </w:tc>
        <w:tc>
          <w:tcPr>
            <w:tcW w:w="1271" w:type="dxa"/>
            <w:tcBorders>
              <w:top w:val="nil"/>
              <w:left w:val="nil"/>
              <w:bottom w:val="single" w:sz="8" w:space="0" w:color="auto"/>
              <w:right w:val="single" w:sz="8" w:space="0" w:color="auto"/>
            </w:tcBorders>
            <w:vAlign w:val="center"/>
            <w:hideMark/>
          </w:tcPr>
          <w:p w14:paraId="5B11159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90" w:type="dxa"/>
            <w:tcBorders>
              <w:top w:val="nil"/>
              <w:left w:val="nil"/>
              <w:bottom w:val="single" w:sz="8" w:space="0" w:color="auto"/>
              <w:right w:val="single" w:sz="8" w:space="0" w:color="auto"/>
            </w:tcBorders>
            <w:vAlign w:val="center"/>
            <w:hideMark/>
          </w:tcPr>
          <w:p w14:paraId="397513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32,27</w:t>
            </w:r>
          </w:p>
        </w:tc>
        <w:tc>
          <w:tcPr>
            <w:tcW w:w="1099" w:type="dxa"/>
            <w:tcBorders>
              <w:top w:val="nil"/>
              <w:left w:val="nil"/>
              <w:bottom w:val="single" w:sz="8" w:space="0" w:color="auto"/>
              <w:right w:val="single" w:sz="8" w:space="0" w:color="auto"/>
            </w:tcBorders>
            <w:vAlign w:val="center"/>
            <w:hideMark/>
          </w:tcPr>
          <w:p w14:paraId="5B79D55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1.396.336</w:t>
            </w:r>
          </w:p>
        </w:tc>
        <w:tc>
          <w:tcPr>
            <w:tcW w:w="1100" w:type="dxa"/>
            <w:tcBorders>
              <w:top w:val="nil"/>
              <w:left w:val="nil"/>
              <w:bottom w:val="single" w:sz="8" w:space="0" w:color="auto"/>
              <w:right w:val="single" w:sz="8" w:space="0" w:color="auto"/>
            </w:tcBorders>
            <w:vAlign w:val="center"/>
            <w:hideMark/>
          </w:tcPr>
          <w:p w14:paraId="6BFA3B2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00" w:type="dxa"/>
            <w:tcBorders>
              <w:top w:val="nil"/>
              <w:left w:val="nil"/>
              <w:bottom w:val="single" w:sz="8" w:space="0" w:color="auto"/>
              <w:right w:val="single" w:sz="8" w:space="0" w:color="auto"/>
            </w:tcBorders>
            <w:vAlign w:val="center"/>
            <w:hideMark/>
          </w:tcPr>
          <w:p w14:paraId="79BC2B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717A293B"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08E88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224</w:t>
            </w:r>
          </w:p>
        </w:tc>
        <w:tc>
          <w:tcPr>
            <w:tcW w:w="1919" w:type="dxa"/>
            <w:tcBorders>
              <w:top w:val="nil"/>
              <w:left w:val="nil"/>
              <w:bottom w:val="single" w:sz="8" w:space="0" w:color="auto"/>
              <w:right w:val="single" w:sz="8" w:space="0" w:color="auto"/>
            </w:tcBorders>
            <w:vAlign w:val="center"/>
            <w:hideMark/>
          </w:tcPr>
          <w:p w14:paraId="17176FA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FRANCO CONSTRUCIONES E INGENIERIA SAS</w:t>
            </w:r>
          </w:p>
        </w:tc>
        <w:tc>
          <w:tcPr>
            <w:tcW w:w="817" w:type="dxa"/>
            <w:tcBorders>
              <w:top w:val="nil"/>
              <w:left w:val="nil"/>
              <w:bottom w:val="single" w:sz="8" w:space="0" w:color="auto"/>
              <w:right w:val="single" w:sz="8" w:space="0" w:color="auto"/>
            </w:tcBorders>
            <w:vAlign w:val="center"/>
            <w:hideMark/>
          </w:tcPr>
          <w:p w14:paraId="7923AC7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3,46</w:t>
            </w:r>
          </w:p>
        </w:tc>
        <w:tc>
          <w:tcPr>
            <w:tcW w:w="1271" w:type="dxa"/>
            <w:tcBorders>
              <w:top w:val="nil"/>
              <w:left w:val="nil"/>
              <w:bottom w:val="single" w:sz="8" w:space="0" w:color="auto"/>
              <w:right w:val="single" w:sz="8" w:space="0" w:color="auto"/>
            </w:tcBorders>
            <w:vAlign w:val="center"/>
            <w:hideMark/>
          </w:tcPr>
          <w:p w14:paraId="689B432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276C937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1,93</w:t>
            </w:r>
          </w:p>
        </w:tc>
        <w:tc>
          <w:tcPr>
            <w:tcW w:w="1099" w:type="dxa"/>
            <w:tcBorders>
              <w:top w:val="nil"/>
              <w:left w:val="nil"/>
              <w:bottom w:val="single" w:sz="8" w:space="0" w:color="auto"/>
              <w:right w:val="single" w:sz="8" w:space="0" w:color="auto"/>
            </w:tcBorders>
            <w:vAlign w:val="center"/>
            <w:hideMark/>
          </w:tcPr>
          <w:p w14:paraId="0B62746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1.007.537</w:t>
            </w:r>
          </w:p>
        </w:tc>
        <w:tc>
          <w:tcPr>
            <w:tcW w:w="1100" w:type="dxa"/>
            <w:tcBorders>
              <w:top w:val="nil"/>
              <w:left w:val="nil"/>
              <w:bottom w:val="single" w:sz="8" w:space="0" w:color="auto"/>
              <w:right w:val="single" w:sz="8" w:space="0" w:color="auto"/>
            </w:tcBorders>
            <w:vAlign w:val="center"/>
            <w:hideMark/>
          </w:tcPr>
          <w:p w14:paraId="5B187F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55DBEF5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036896C4"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768CBEF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225</w:t>
            </w:r>
          </w:p>
        </w:tc>
        <w:tc>
          <w:tcPr>
            <w:tcW w:w="1919" w:type="dxa"/>
            <w:tcBorders>
              <w:top w:val="nil"/>
              <w:left w:val="nil"/>
              <w:bottom w:val="single" w:sz="8" w:space="0" w:color="auto"/>
              <w:right w:val="single" w:sz="8" w:space="0" w:color="auto"/>
            </w:tcBorders>
            <w:vAlign w:val="center"/>
            <w:hideMark/>
          </w:tcPr>
          <w:p w14:paraId="1086A708" w14:textId="77777777" w:rsidR="008468B3" w:rsidRPr="008468B3" w:rsidRDefault="008468B3" w:rsidP="008468B3">
            <w:pPr>
              <w:spacing w:after="0" w:line="240" w:lineRule="auto"/>
              <w:rPr>
                <w:rFonts w:ascii="Arial" w:eastAsia="Times New Roman" w:hAnsi="Arial" w:cs="Arial"/>
                <w:color w:val="000000"/>
                <w:sz w:val="14"/>
                <w:szCs w:val="14"/>
                <w:lang w:eastAsia="es-CO"/>
              </w:rPr>
            </w:pPr>
            <w:proofErr w:type="spellStart"/>
            <w:r w:rsidRPr="008468B3">
              <w:rPr>
                <w:rFonts w:ascii="Arial" w:eastAsia="Times New Roman" w:hAnsi="Arial" w:cs="Arial"/>
                <w:color w:val="000000"/>
                <w:sz w:val="14"/>
                <w:szCs w:val="14"/>
                <w:lang w:eastAsia="es-CO"/>
              </w:rPr>
              <w:t>jJGH</w:t>
            </w:r>
            <w:proofErr w:type="spellEnd"/>
            <w:r w:rsidRPr="008468B3">
              <w:rPr>
                <w:rFonts w:ascii="Arial" w:eastAsia="Times New Roman" w:hAnsi="Arial" w:cs="Arial"/>
                <w:color w:val="000000"/>
                <w:sz w:val="14"/>
                <w:szCs w:val="14"/>
                <w:lang w:eastAsia="es-CO"/>
              </w:rPr>
              <w:t xml:space="preserve"> PROYECTOS Y SERVICIOS SAS BIC</w:t>
            </w:r>
          </w:p>
        </w:tc>
        <w:tc>
          <w:tcPr>
            <w:tcW w:w="817" w:type="dxa"/>
            <w:tcBorders>
              <w:top w:val="nil"/>
              <w:left w:val="nil"/>
              <w:bottom w:val="single" w:sz="8" w:space="0" w:color="auto"/>
              <w:right w:val="single" w:sz="8" w:space="0" w:color="auto"/>
            </w:tcBorders>
            <w:vAlign w:val="center"/>
            <w:hideMark/>
          </w:tcPr>
          <w:p w14:paraId="18C292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1,02</w:t>
            </w:r>
          </w:p>
        </w:tc>
        <w:tc>
          <w:tcPr>
            <w:tcW w:w="1271" w:type="dxa"/>
            <w:tcBorders>
              <w:top w:val="nil"/>
              <w:left w:val="nil"/>
              <w:bottom w:val="single" w:sz="8" w:space="0" w:color="auto"/>
              <w:right w:val="single" w:sz="8" w:space="0" w:color="auto"/>
            </w:tcBorders>
            <w:vAlign w:val="center"/>
            <w:hideMark/>
          </w:tcPr>
          <w:p w14:paraId="7B72AC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62%</w:t>
            </w:r>
          </w:p>
        </w:tc>
        <w:tc>
          <w:tcPr>
            <w:tcW w:w="1190" w:type="dxa"/>
            <w:tcBorders>
              <w:top w:val="nil"/>
              <w:left w:val="nil"/>
              <w:bottom w:val="single" w:sz="8" w:space="0" w:color="auto"/>
              <w:right w:val="single" w:sz="8" w:space="0" w:color="auto"/>
            </w:tcBorders>
            <w:vAlign w:val="center"/>
            <w:hideMark/>
          </w:tcPr>
          <w:p w14:paraId="795903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6E8650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54.081</w:t>
            </w:r>
          </w:p>
        </w:tc>
        <w:tc>
          <w:tcPr>
            <w:tcW w:w="1100" w:type="dxa"/>
            <w:tcBorders>
              <w:top w:val="nil"/>
              <w:left w:val="nil"/>
              <w:bottom w:val="single" w:sz="8" w:space="0" w:color="auto"/>
              <w:right w:val="single" w:sz="8" w:space="0" w:color="auto"/>
            </w:tcBorders>
            <w:vAlign w:val="center"/>
            <w:hideMark/>
          </w:tcPr>
          <w:p w14:paraId="7C7866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100" w:type="dxa"/>
            <w:tcBorders>
              <w:top w:val="nil"/>
              <w:left w:val="nil"/>
              <w:bottom w:val="single" w:sz="8" w:space="0" w:color="auto"/>
              <w:right w:val="single" w:sz="8" w:space="0" w:color="auto"/>
            </w:tcBorders>
            <w:vAlign w:val="center"/>
            <w:hideMark/>
          </w:tcPr>
          <w:p w14:paraId="31F0F15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r>
      <w:tr w:rsidR="008468B3" w:rsidRPr="008468B3" w14:paraId="035357C2"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E6C9B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226</w:t>
            </w:r>
          </w:p>
        </w:tc>
        <w:tc>
          <w:tcPr>
            <w:tcW w:w="1919" w:type="dxa"/>
            <w:tcBorders>
              <w:top w:val="nil"/>
              <w:left w:val="nil"/>
              <w:bottom w:val="single" w:sz="8" w:space="0" w:color="auto"/>
              <w:right w:val="single" w:sz="8" w:space="0" w:color="auto"/>
            </w:tcBorders>
            <w:vAlign w:val="center"/>
            <w:hideMark/>
          </w:tcPr>
          <w:p w14:paraId="0786C2E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DEEP SOUTH AMERICAS LLC</w:t>
            </w:r>
          </w:p>
        </w:tc>
        <w:tc>
          <w:tcPr>
            <w:tcW w:w="817" w:type="dxa"/>
            <w:tcBorders>
              <w:top w:val="nil"/>
              <w:left w:val="nil"/>
              <w:bottom w:val="single" w:sz="8" w:space="0" w:color="auto"/>
              <w:right w:val="single" w:sz="8" w:space="0" w:color="auto"/>
            </w:tcBorders>
            <w:vAlign w:val="center"/>
            <w:hideMark/>
          </w:tcPr>
          <w:p w14:paraId="57F01A4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13,02</w:t>
            </w:r>
          </w:p>
        </w:tc>
        <w:tc>
          <w:tcPr>
            <w:tcW w:w="1271" w:type="dxa"/>
            <w:tcBorders>
              <w:top w:val="nil"/>
              <w:left w:val="nil"/>
              <w:bottom w:val="single" w:sz="8" w:space="0" w:color="auto"/>
              <w:right w:val="single" w:sz="8" w:space="0" w:color="auto"/>
            </w:tcBorders>
            <w:vAlign w:val="center"/>
            <w:hideMark/>
          </w:tcPr>
          <w:p w14:paraId="312D8B2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90" w:type="dxa"/>
            <w:tcBorders>
              <w:top w:val="nil"/>
              <w:left w:val="nil"/>
              <w:bottom w:val="single" w:sz="8" w:space="0" w:color="auto"/>
              <w:right w:val="single" w:sz="8" w:space="0" w:color="auto"/>
            </w:tcBorders>
            <w:vAlign w:val="center"/>
            <w:hideMark/>
          </w:tcPr>
          <w:p w14:paraId="3B415F0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9,31</w:t>
            </w:r>
          </w:p>
        </w:tc>
        <w:tc>
          <w:tcPr>
            <w:tcW w:w="1099" w:type="dxa"/>
            <w:tcBorders>
              <w:top w:val="nil"/>
              <w:left w:val="nil"/>
              <w:bottom w:val="single" w:sz="8" w:space="0" w:color="auto"/>
              <w:right w:val="single" w:sz="8" w:space="0" w:color="auto"/>
            </w:tcBorders>
            <w:vAlign w:val="center"/>
            <w:hideMark/>
          </w:tcPr>
          <w:p w14:paraId="55E8021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5.257.194</w:t>
            </w:r>
          </w:p>
        </w:tc>
        <w:tc>
          <w:tcPr>
            <w:tcW w:w="1100" w:type="dxa"/>
            <w:tcBorders>
              <w:top w:val="nil"/>
              <w:left w:val="nil"/>
              <w:bottom w:val="single" w:sz="8" w:space="0" w:color="auto"/>
              <w:right w:val="single" w:sz="8" w:space="0" w:color="auto"/>
            </w:tcBorders>
            <w:vAlign w:val="center"/>
            <w:hideMark/>
          </w:tcPr>
          <w:p w14:paraId="40A4DE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1000A1F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6EEF97CB"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2F5A4FB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227</w:t>
            </w:r>
          </w:p>
        </w:tc>
        <w:tc>
          <w:tcPr>
            <w:tcW w:w="1919" w:type="dxa"/>
            <w:tcBorders>
              <w:top w:val="nil"/>
              <w:left w:val="nil"/>
              <w:bottom w:val="single" w:sz="8" w:space="0" w:color="auto"/>
              <w:right w:val="single" w:sz="8" w:space="0" w:color="auto"/>
            </w:tcBorders>
            <w:vAlign w:val="center"/>
            <w:hideMark/>
          </w:tcPr>
          <w:p w14:paraId="36B12010" w14:textId="77777777" w:rsidR="008468B3" w:rsidRPr="008468B3" w:rsidRDefault="008468B3" w:rsidP="008468B3">
            <w:pPr>
              <w:spacing w:after="0" w:line="240" w:lineRule="auto"/>
              <w:rPr>
                <w:rFonts w:ascii="Arial" w:eastAsia="Times New Roman" w:hAnsi="Arial" w:cs="Arial"/>
                <w:color w:val="000000"/>
                <w:sz w:val="14"/>
                <w:szCs w:val="14"/>
                <w:lang w:eastAsia="es-CO"/>
              </w:rPr>
            </w:pPr>
            <w:proofErr w:type="spellStart"/>
            <w:r w:rsidRPr="008468B3">
              <w:rPr>
                <w:rFonts w:ascii="Arial" w:eastAsia="Times New Roman" w:hAnsi="Arial" w:cs="Arial"/>
                <w:color w:val="000000"/>
                <w:sz w:val="14"/>
                <w:szCs w:val="14"/>
                <w:lang w:eastAsia="es-CO"/>
              </w:rPr>
              <w:t>jHEZA</w:t>
            </w:r>
            <w:proofErr w:type="spellEnd"/>
            <w:r w:rsidRPr="008468B3">
              <w:rPr>
                <w:rFonts w:ascii="Arial" w:eastAsia="Times New Roman" w:hAnsi="Arial" w:cs="Arial"/>
                <w:color w:val="000000"/>
                <w:sz w:val="14"/>
                <w:szCs w:val="14"/>
                <w:lang w:eastAsia="es-CO"/>
              </w:rPr>
              <w:t xml:space="preserve"> SAS</w:t>
            </w:r>
          </w:p>
        </w:tc>
        <w:tc>
          <w:tcPr>
            <w:tcW w:w="817" w:type="dxa"/>
            <w:tcBorders>
              <w:top w:val="nil"/>
              <w:left w:val="nil"/>
              <w:bottom w:val="single" w:sz="8" w:space="0" w:color="auto"/>
              <w:right w:val="single" w:sz="8" w:space="0" w:color="auto"/>
            </w:tcBorders>
            <w:vAlign w:val="center"/>
            <w:hideMark/>
          </w:tcPr>
          <w:p w14:paraId="4427C4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4,75</w:t>
            </w:r>
          </w:p>
        </w:tc>
        <w:tc>
          <w:tcPr>
            <w:tcW w:w="1271" w:type="dxa"/>
            <w:tcBorders>
              <w:top w:val="nil"/>
              <w:left w:val="nil"/>
              <w:bottom w:val="single" w:sz="8" w:space="0" w:color="auto"/>
              <w:right w:val="single" w:sz="8" w:space="0" w:color="auto"/>
            </w:tcBorders>
            <w:vAlign w:val="center"/>
            <w:hideMark/>
          </w:tcPr>
          <w:p w14:paraId="44AE2A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90" w:type="dxa"/>
            <w:tcBorders>
              <w:top w:val="nil"/>
              <w:left w:val="nil"/>
              <w:bottom w:val="single" w:sz="8" w:space="0" w:color="auto"/>
              <w:right w:val="single" w:sz="8" w:space="0" w:color="auto"/>
            </w:tcBorders>
            <w:vAlign w:val="center"/>
            <w:hideMark/>
          </w:tcPr>
          <w:p w14:paraId="688F1F7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31,18</w:t>
            </w:r>
          </w:p>
        </w:tc>
        <w:tc>
          <w:tcPr>
            <w:tcW w:w="1099" w:type="dxa"/>
            <w:tcBorders>
              <w:top w:val="nil"/>
              <w:left w:val="nil"/>
              <w:bottom w:val="single" w:sz="8" w:space="0" w:color="auto"/>
              <w:right w:val="single" w:sz="8" w:space="0" w:color="auto"/>
            </w:tcBorders>
            <w:vAlign w:val="center"/>
            <w:hideMark/>
          </w:tcPr>
          <w:p w14:paraId="55B6F8A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2.903.751</w:t>
            </w:r>
          </w:p>
        </w:tc>
        <w:tc>
          <w:tcPr>
            <w:tcW w:w="1100" w:type="dxa"/>
            <w:tcBorders>
              <w:top w:val="nil"/>
              <w:left w:val="nil"/>
              <w:bottom w:val="single" w:sz="8" w:space="0" w:color="auto"/>
              <w:right w:val="single" w:sz="8" w:space="0" w:color="auto"/>
            </w:tcBorders>
            <w:vAlign w:val="center"/>
            <w:hideMark/>
          </w:tcPr>
          <w:p w14:paraId="676E62D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00" w:type="dxa"/>
            <w:tcBorders>
              <w:top w:val="nil"/>
              <w:left w:val="nil"/>
              <w:bottom w:val="single" w:sz="8" w:space="0" w:color="auto"/>
              <w:right w:val="single" w:sz="8" w:space="0" w:color="auto"/>
            </w:tcBorders>
            <w:vAlign w:val="center"/>
            <w:hideMark/>
          </w:tcPr>
          <w:p w14:paraId="10D24D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w:t>
            </w:r>
          </w:p>
        </w:tc>
      </w:tr>
      <w:tr w:rsidR="008468B3" w:rsidRPr="008468B3" w14:paraId="5C427E9F"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89F35D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228</w:t>
            </w:r>
          </w:p>
        </w:tc>
        <w:tc>
          <w:tcPr>
            <w:tcW w:w="1919" w:type="dxa"/>
            <w:tcBorders>
              <w:top w:val="nil"/>
              <w:left w:val="nil"/>
              <w:bottom w:val="single" w:sz="8" w:space="0" w:color="auto"/>
              <w:right w:val="single" w:sz="8" w:space="0" w:color="auto"/>
            </w:tcBorders>
            <w:vAlign w:val="center"/>
            <w:hideMark/>
          </w:tcPr>
          <w:p w14:paraId="0EE2478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AYA CONSTRUCTORES SAS</w:t>
            </w:r>
          </w:p>
        </w:tc>
        <w:tc>
          <w:tcPr>
            <w:tcW w:w="817" w:type="dxa"/>
            <w:tcBorders>
              <w:top w:val="nil"/>
              <w:left w:val="nil"/>
              <w:bottom w:val="single" w:sz="8" w:space="0" w:color="auto"/>
              <w:right w:val="single" w:sz="8" w:space="0" w:color="auto"/>
            </w:tcBorders>
            <w:vAlign w:val="center"/>
            <w:hideMark/>
          </w:tcPr>
          <w:p w14:paraId="19DE398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1,41</w:t>
            </w:r>
          </w:p>
        </w:tc>
        <w:tc>
          <w:tcPr>
            <w:tcW w:w="1271" w:type="dxa"/>
            <w:tcBorders>
              <w:top w:val="nil"/>
              <w:left w:val="nil"/>
              <w:bottom w:val="single" w:sz="8" w:space="0" w:color="auto"/>
              <w:right w:val="single" w:sz="8" w:space="0" w:color="auto"/>
            </w:tcBorders>
            <w:vAlign w:val="center"/>
            <w:hideMark/>
          </w:tcPr>
          <w:p w14:paraId="7D5251E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79%</w:t>
            </w:r>
          </w:p>
        </w:tc>
        <w:tc>
          <w:tcPr>
            <w:tcW w:w="1190" w:type="dxa"/>
            <w:tcBorders>
              <w:top w:val="nil"/>
              <w:left w:val="nil"/>
              <w:bottom w:val="single" w:sz="8" w:space="0" w:color="auto"/>
              <w:right w:val="single" w:sz="8" w:space="0" w:color="auto"/>
            </w:tcBorders>
            <w:vAlign w:val="center"/>
            <w:hideMark/>
          </w:tcPr>
          <w:p w14:paraId="5A1BEA0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1,44</w:t>
            </w:r>
          </w:p>
        </w:tc>
        <w:tc>
          <w:tcPr>
            <w:tcW w:w="1099" w:type="dxa"/>
            <w:tcBorders>
              <w:top w:val="nil"/>
              <w:left w:val="nil"/>
              <w:bottom w:val="single" w:sz="8" w:space="0" w:color="auto"/>
              <w:right w:val="single" w:sz="8" w:space="0" w:color="auto"/>
            </w:tcBorders>
            <w:vAlign w:val="center"/>
            <w:hideMark/>
          </w:tcPr>
          <w:p w14:paraId="7BEEA8F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754.398</w:t>
            </w:r>
          </w:p>
        </w:tc>
        <w:tc>
          <w:tcPr>
            <w:tcW w:w="1100" w:type="dxa"/>
            <w:tcBorders>
              <w:top w:val="nil"/>
              <w:left w:val="nil"/>
              <w:bottom w:val="single" w:sz="8" w:space="0" w:color="auto"/>
              <w:right w:val="single" w:sz="8" w:space="0" w:color="auto"/>
            </w:tcBorders>
            <w:vAlign w:val="center"/>
            <w:hideMark/>
          </w:tcPr>
          <w:p w14:paraId="0DD43C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61%</w:t>
            </w:r>
          </w:p>
        </w:tc>
        <w:tc>
          <w:tcPr>
            <w:tcW w:w="1100" w:type="dxa"/>
            <w:tcBorders>
              <w:top w:val="nil"/>
              <w:left w:val="nil"/>
              <w:bottom w:val="single" w:sz="8" w:space="0" w:color="auto"/>
              <w:right w:val="single" w:sz="8" w:space="0" w:color="auto"/>
            </w:tcBorders>
            <w:vAlign w:val="center"/>
            <w:hideMark/>
          </w:tcPr>
          <w:p w14:paraId="223166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r>
      <w:tr w:rsidR="008468B3" w:rsidRPr="008468B3" w14:paraId="019E353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7E008F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229</w:t>
            </w:r>
          </w:p>
        </w:tc>
        <w:tc>
          <w:tcPr>
            <w:tcW w:w="1919" w:type="dxa"/>
            <w:tcBorders>
              <w:top w:val="nil"/>
              <w:left w:val="nil"/>
              <w:bottom w:val="single" w:sz="8" w:space="0" w:color="auto"/>
              <w:right w:val="single" w:sz="8" w:space="0" w:color="auto"/>
            </w:tcBorders>
            <w:vAlign w:val="center"/>
            <w:hideMark/>
          </w:tcPr>
          <w:p w14:paraId="767BBD4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SOLIER S.A.S.</w:t>
            </w:r>
          </w:p>
        </w:tc>
        <w:tc>
          <w:tcPr>
            <w:tcW w:w="817" w:type="dxa"/>
            <w:tcBorders>
              <w:top w:val="nil"/>
              <w:left w:val="nil"/>
              <w:bottom w:val="single" w:sz="8" w:space="0" w:color="auto"/>
              <w:right w:val="single" w:sz="8" w:space="0" w:color="auto"/>
            </w:tcBorders>
            <w:vAlign w:val="center"/>
            <w:hideMark/>
          </w:tcPr>
          <w:p w14:paraId="041966C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2,85</w:t>
            </w:r>
          </w:p>
        </w:tc>
        <w:tc>
          <w:tcPr>
            <w:tcW w:w="1271" w:type="dxa"/>
            <w:tcBorders>
              <w:top w:val="nil"/>
              <w:left w:val="nil"/>
              <w:bottom w:val="single" w:sz="8" w:space="0" w:color="auto"/>
              <w:right w:val="single" w:sz="8" w:space="0" w:color="auto"/>
            </w:tcBorders>
            <w:vAlign w:val="center"/>
            <w:hideMark/>
          </w:tcPr>
          <w:p w14:paraId="5D8877E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w:t>
            </w:r>
          </w:p>
        </w:tc>
        <w:tc>
          <w:tcPr>
            <w:tcW w:w="1190" w:type="dxa"/>
            <w:tcBorders>
              <w:top w:val="nil"/>
              <w:left w:val="nil"/>
              <w:bottom w:val="single" w:sz="8" w:space="0" w:color="auto"/>
              <w:right w:val="single" w:sz="8" w:space="0" w:color="auto"/>
            </w:tcBorders>
            <w:vAlign w:val="center"/>
            <w:hideMark/>
          </w:tcPr>
          <w:p w14:paraId="576C6E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5D2243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1.451.603</w:t>
            </w:r>
          </w:p>
        </w:tc>
        <w:tc>
          <w:tcPr>
            <w:tcW w:w="1100" w:type="dxa"/>
            <w:tcBorders>
              <w:top w:val="nil"/>
              <w:left w:val="nil"/>
              <w:bottom w:val="single" w:sz="8" w:space="0" w:color="auto"/>
              <w:right w:val="single" w:sz="8" w:space="0" w:color="auto"/>
            </w:tcBorders>
            <w:vAlign w:val="center"/>
            <w:hideMark/>
          </w:tcPr>
          <w:p w14:paraId="19C47B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w:t>
            </w:r>
          </w:p>
        </w:tc>
        <w:tc>
          <w:tcPr>
            <w:tcW w:w="1100" w:type="dxa"/>
            <w:tcBorders>
              <w:top w:val="nil"/>
              <w:left w:val="nil"/>
              <w:bottom w:val="single" w:sz="8" w:space="0" w:color="auto"/>
              <w:right w:val="single" w:sz="8" w:space="0" w:color="auto"/>
            </w:tcBorders>
            <w:vAlign w:val="center"/>
            <w:hideMark/>
          </w:tcPr>
          <w:p w14:paraId="21B040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w:t>
            </w:r>
          </w:p>
        </w:tc>
      </w:tr>
      <w:tr w:rsidR="008468B3" w:rsidRPr="008468B3" w14:paraId="61D26B14"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D6B4D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230</w:t>
            </w:r>
          </w:p>
        </w:tc>
        <w:tc>
          <w:tcPr>
            <w:tcW w:w="1919" w:type="dxa"/>
            <w:tcBorders>
              <w:top w:val="nil"/>
              <w:left w:val="nil"/>
              <w:bottom w:val="single" w:sz="8" w:space="0" w:color="auto"/>
              <w:right w:val="single" w:sz="8" w:space="0" w:color="auto"/>
            </w:tcBorders>
            <w:vAlign w:val="center"/>
            <w:hideMark/>
          </w:tcPr>
          <w:p w14:paraId="0876D02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GEOPISCINAS DE COLOMBIA SAS</w:t>
            </w:r>
          </w:p>
        </w:tc>
        <w:tc>
          <w:tcPr>
            <w:tcW w:w="817" w:type="dxa"/>
            <w:tcBorders>
              <w:top w:val="nil"/>
              <w:left w:val="nil"/>
              <w:bottom w:val="single" w:sz="8" w:space="0" w:color="auto"/>
              <w:right w:val="single" w:sz="8" w:space="0" w:color="auto"/>
            </w:tcBorders>
            <w:vAlign w:val="center"/>
            <w:hideMark/>
          </w:tcPr>
          <w:p w14:paraId="511D0A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7,95</w:t>
            </w:r>
          </w:p>
        </w:tc>
        <w:tc>
          <w:tcPr>
            <w:tcW w:w="1271" w:type="dxa"/>
            <w:tcBorders>
              <w:top w:val="nil"/>
              <w:left w:val="nil"/>
              <w:bottom w:val="single" w:sz="8" w:space="0" w:color="auto"/>
              <w:right w:val="single" w:sz="8" w:space="0" w:color="auto"/>
            </w:tcBorders>
            <w:vAlign w:val="center"/>
            <w:hideMark/>
          </w:tcPr>
          <w:p w14:paraId="62168F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83%</w:t>
            </w:r>
          </w:p>
        </w:tc>
        <w:tc>
          <w:tcPr>
            <w:tcW w:w="1190" w:type="dxa"/>
            <w:tcBorders>
              <w:top w:val="nil"/>
              <w:left w:val="nil"/>
              <w:bottom w:val="single" w:sz="8" w:space="0" w:color="auto"/>
              <w:right w:val="single" w:sz="8" w:space="0" w:color="auto"/>
            </w:tcBorders>
            <w:vAlign w:val="center"/>
            <w:hideMark/>
          </w:tcPr>
          <w:p w14:paraId="167F0D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1,99</w:t>
            </w:r>
          </w:p>
        </w:tc>
        <w:tc>
          <w:tcPr>
            <w:tcW w:w="1099" w:type="dxa"/>
            <w:tcBorders>
              <w:top w:val="nil"/>
              <w:left w:val="nil"/>
              <w:bottom w:val="single" w:sz="8" w:space="0" w:color="auto"/>
              <w:right w:val="single" w:sz="8" w:space="0" w:color="auto"/>
            </w:tcBorders>
            <w:vAlign w:val="center"/>
            <w:hideMark/>
          </w:tcPr>
          <w:p w14:paraId="2336FAF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4.349.735</w:t>
            </w:r>
          </w:p>
        </w:tc>
        <w:tc>
          <w:tcPr>
            <w:tcW w:w="1100" w:type="dxa"/>
            <w:tcBorders>
              <w:top w:val="nil"/>
              <w:left w:val="nil"/>
              <w:bottom w:val="single" w:sz="8" w:space="0" w:color="auto"/>
              <w:right w:val="single" w:sz="8" w:space="0" w:color="auto"/>
            </w:tcBorders>
            <w:vAlign w:val="center"/>
            <w:hideMark/>
          </w:tcPr>
          <w:p w14:paraId="0F479A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w:t>
            </w:r>
          </w:p>
        </w:tc>
        <w:tc>
          <w:tcPr>
            <w:tcW w:w="1100" w:type="dxa"/>
            <w:tcBorders>
              <w:top w:val="nil"/>
              <w:left w:val="nil"/>
              <w:bottom w:val="single" w:sz="8" w:space="0" w:color="auto"/>
              <w:right w:val="single" w:sz="8" w:space="0" w:color="auto"/>
            </w:tcBorders>
            <w:vAlign w:val="center"/>
            <w:hideMark/>
          </w:tcPr>
          <w:p w14:paraId="490F0F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32CCE2F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062C6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231</w:t>
            </w:r>
          </w:p>
        </w:tc>
        <w:tc>
          <w:tcPr>
            <w:tcW w:w="1919" w:type="dxa"/>
            <w:tcBorders>
              <w:top w:val="nil"/>
              <w:left w:val="nil"/>
              <w:bottom w:val="single" w:sz="8" w:space="0" w:color="auto"/>
              <w:right w:val="single" w:sz="8" w:space="0" w:color="auto"/>
            </w:tcBorders>
            <w:vAlign w:val="center"/>
            <w:hideMark/>
          </w:tcPr>
          <w:p w14:paraId="485FDCE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ALQUEQUIPOS S.A.S</w:t>
            </w:r>
          </w:p>
        </w:tc>
        <w:tc>
          <w:tcPr>
            <w:tcW w:w="817" w:type="dxa"/>
            <w:tcBorders>
              <w:top w:val="nil"/>
              <w:left w:val="nil"/>
              <w:bottom w:val="single" w:sz="8" w:space="0" w:color="auto"/>
              <w:right w:val="single" w:sz="8" w:space="0" w:color="auto"/>
            </w:tcBorders>
            <w:vAlign w:val="center"/>
            <w:hideMark/>
          </w:tcPr>
          <w:p w14:paraId="20AAA04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1,32</w:t>
            </w:r>
          </w:p>
        </w:tc>
        <w:tc>
          <w:tcPr>
            <w:tcW w:w="1271" w:type="dxa"/>
            <w:tcBorders>
              <w:top w:val="nil"/>
              <w:left w:val="nil"/>
              <w:bottom w:val="single" w:sz="8" w:space="0" w:color="auto"/>
              <w:right w:val="single" w:sz="8" w:space="0" w:color="auto"/>
            </w:tcBorders>
            <w:vAlign w:val="center"/>
            <w:hideMark/>
          </w:tcPr>
          <w:p w14:paraId="4CD472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0D3F51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7,88</w:t>
            </w:r>
          </w:p>
        </w:tc>
        <w:tc>
          <w:tcPr>
            <w:tcW w:w="1099" w:type="dxa"/>
            <w:tcBorders>
              <w:top w:val="nil"/>
              <w:left w:val="nil"/>
              <w:bottom w:val="single" w:sz="8" w:space="0" w:color="auto"/>
              <w:right w:val="single" w:sz="8" w:space="0" w:color="auto"/>
            </w:tcBorders>
            <w:vAlign w:val="center"/>
            <w:hideMark/>
          </w:tcPr>
          <w:p w14:paraId="5133E23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333.508</w:t>
            </w:r>
          </w:p>
        </w:tc>
        <w:tc>
          <w:tcPr>
            <w:tcW w:w="1100" w:type="dxa"/>
            <w:tcBorders>
              <w:top w:val="nil"/>
              <w:left w:val="nil"/>
              <w:bottom w:val="single" w:sz="8" w:space="0" w:color="auto"/>
              <w:right w:val="single" w:sz="8" w:space="0" w:color="auto"/>
            </w:tcBorders>
            <w:vAlign w:val="center"/>
            <w:hideMark/>
          </w:tcPr>
          <w:p w14:paraId="4E7A903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139%</w:t>
            </w:r>
          </w:p>
        </w:tc>
        <w:tc>
          <w:tcPr>
            <w:tcW w:w="1100" w:type="dxa"/>
            <w:tcBorders>
              <w:top w:val="nil"/>
              <w:left w:val="nil"/>
              <w:bottom w:val="single" w:sz="8" w:space="0" w:color="auto"/>
              <w:right w:val="single" w:sz="8" w:space="0" w:color="auto"/>
            </w:tcBorders>
            <w:vAlign w:val="center"/>
            <w:hideMark/>
          </w:tcPr>
          <w:p w14:paraId="4EFBF4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66%</w:t>
            </w:r>
          </w:p>
        </w:tc>
      </w:tr>
      <w:tr w:rsidR="008468B3" w:rsidRPr="008468B3" w14:paraId="2359789E" w14:textId="77777777" w:rsidTr="008468B3">
        <w:trPr>
          <w:trHeight w:val="613"/>
        </w:trPr>
        <w:tc>
          <w:tcPr>
            <w:tcW w:w="474" w:type="dxa"/>
            <w:tcBorders>
              <w:top w:val="nil"/>
              <w:left w:val="single" w:sz="8" w:space="0" w:color="auto"/>
              <w:bottom w:val="single" w:sz="8" w:space="0" w:color="auto"/>
              <w:right w:val="single" w:sz="8" w:space="0" w:color="auto"/>
            </w:tcBorders>
            <w:noWrap/>
            <w:vAlign w:val="center"/>
            <w:hideMark/>
          </w:tcPr>
          <w:p w14:paraId="792D042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232</w:t>
            </w:r>
          </w:p>
        </w:tc>
        <w:tc>
          <w:tcPr>
            <w:tcW w:w="1919" w:type="dxa"/>
            <w:tcBorders>
              <w:top w:val="nil"/>
              <w:left w:val="nil"/>
              <w:bottom w:val="single" w:sz="8" w:space="0" w:color="auto"/>
              <w:right w:val="single" w:sz="8" w:space="0" w:color="auto"/>
            </w:tcBorders>
            <w:vAlign w:val="center"/>
            <w:hideMark/>
          </w:tcPr>
          <w:p w14:paraId="4F067E1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CASMOT INGENIERIA SAS EN REORGANIZACION</w:t>
            </w:r>
          </w:p>
        </w:tc>
        <w:tc>
          <w:tcPr>
            <w:tcW w:w="817" w:type="dxa"/>
            <w:tcBorders>
              <w:top w:val="nil"/>
              <w:left w:val="nil"/>
              <w:bottom w:val="single" w:sz="8" w:space="0" w:color="auto"/>
              <w:right w:val="single" w:sz="8" w:space="0" w:color="auto"/>
            </w:tcBorders>
            <w:vAlign w:val="center"/>
            <w:hideMark/>
          </w:tcPr>
          <w:p w14:paraId="471F9A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5,72</w:t>
            </w:r>
          </w:p>
        </w:tc>
        <w:tc>
          <w:tcPr>
            <w:tcW w:w="1271" w:type="dxa"/>
            <w:tcBorders>
              <w:top w:val="nil"/>
              <w:left w:val="nil"/>
              <w:bottom w:val="single" w:sz="8" w:space="0" w:color="auto"/>
              <w:right w:val="single" w:sz="8" w:space="0" w:color="auto"/>
            </w:tcBorders>
            <w:vAlign w:val="center"/>
            <w:hideMark/>
          </w:tcPr>
          <w:p w14:paraId="227B28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w:t>
            </w:r>
          </w:p>
        </w:tc>
        <w:tc>
          <w:tcPr>
            <w:tcW w:w="1190" w:type="dxa"/>
            <w:tcBorders>
              <w:top w:val="nil"/>
              <w:left w:val="nil"/>
              <w:bottom w:val="single" w:sz="8" w:space="0" w:color="auto"/>
              <w:right w:val="single" w:sz="8" w:space="0" w:color="auto"/>
            </w:tcBorders>
            <w:vAlign w:val="center"/>
            <w:hideMark/>
          </w:tcPr>
          <w:p w14:paraId="69C396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F76A2F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906.369</w:t>
            </w:r>
          </w:p>
        </w:tc>
        <w:tc>
          <w:tcPr>
            <w:tcW w:w="1100" w:type="dxa"/>
            <w:tcBorders>
              <w:top w:val="nil"/>
              <w:left w:val="nil"/>
              <w:bottom w:val="single" w:sz="8" w:space="0" w:color="auto"/>
              <w:right w:val="single" w:sz="8" w:space="0" w:color="auto"/>
            </w:tcBorders>
            <w:vAlign w:val="center"/>
            <w:hideMark/>
          </w:tcPr>
          <w:p w14:paraId="555696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00" w:type="dxa"/>
            <w:tcBorders>
              <w:top w:val="nil"/>
              <w:left w:val="nil"/>
              <w:bottom w:val="single" w:sz="8" w:space="0" w:color="auto"/>
              <w:right w:val="single" w:sz="8" w:space="0" w:color="auto"/>
            </w:tcBorders>
            <w:vAlign w:val="center"/>
            <w:hideMark/>
          </w:tcPr>
          <w:p w14:paraId="75DC66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243933A7" w14:textId="77777777" w:rsidTr="008468B3">
        <w:trPr>
          <w:trHeight w:val="834"/>
        </w:trPr>
        <w:tc>
          <w:tcPr>
            <w:tcW w:w="474" w:type="dxa"/>
            <w:tcBorders>
              <w:top w:val="nil"/>
              <w:left w:val="single" w:sz="8" w:space="0" w:color="auto"/>
              <w:bottom w:val="single" w:sz="8" w:space="0" w:color="auto"/>
              <w:right w:val="single" w:sz="8" w:space="0" w:color="auto"/>
            </w:tcBorders>
            <w:noWrap/>
            <w:vAlign w:val="center"/>
            <w:hideMark/>
          </w:tcPr>
          <w:p w14:paraId="3A75084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233</w:t>
            </w:r>
          </w:p>
        </w:tc>
        <w:tc>
          <w:tcPr>
            <w:tcW w:w="1919" w:type="dxa"/>
            <w:tcBorders>
              <w:top w:val="nil"/>
              <w:left w:val="nil"/>
              <w:bottom w:val="single" w:sz="8" w:space="0" w:color="auto"/>
              <w:right w:val="single" w:sz="8" w:space="0" w:color="auto"/>
            </w:tcBorders>
            <w:vAlign w:val="center"/>
            <w:hideMark/>
          </w:tcPr>
          <w:p w14:paraId="36CCA06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CONDUCCION DE FLUIDOS, REDES Y COSTRUCCIONES OVIDIO CALA NIÑO</w:t>
            </w:r>
          </w:p>
        </w:tc>
        <w:tc>
          <w:tcPr>
            <w:tcW w:w="817" w:type="dxa"/>
            <w:tcBorders>
              <w:top w:val="nil"/>
              <w:left w:val="nil"/>
              <w:bottom w:val="single" w:sz="8" w:space="0" w:color="auto"/>
              <w:right w:val="single" w:sz="8" w:space="0" w:color="auto"/>
            </w:tcBorders>
            <w:vAlign w:val="center"/>
            <w:hideMark/>
          </w:tcPr>
          <w:p w14:paraId="63328A3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2,49</w:t>
            </w:r>
          </w:p>
        </w:tc>
        <w:tc>
          <w:tcPr>
            <w:tcW w:w="1271" w:type="dxa"/>
            <w:tcBorders>
              <w:top w:val="nil"/>
              <w:left w:val="nil"/>
              <w:bottom w:val="single" w:sz="8" w:space="0" w:color="auto"/>
              <w:right w:val="single" w:sz="8" w:space="0" w:color="auto"/>
            </w:tcBorders>
            <w:vAlign w:val="center"/>
            <w:hideMark/>
          </w:tcPr>
          <w:p w14:paraId="24EDA1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165%</w:t>
            </w:r>
          </w:p>
        </w:tc>
        <w:tc>
          <w:tcPr>
            <w:tcW w:w="1190" w:type="dxa"/>
            <w:tcBorders>
              <w:top w:val="nil"/>
              <w:left w:val="nil"/>
              <w:bottom w:val="single" w:sz="8" w:space="0" w:color="auto"/>
              <w:right w:val="single" w:sz="8" w:space="0" w:color="auto"/>
            </w:tcBorders>
            <w:vAlign w:val="center"/>
            <w:hideMark/>
          </w:tcPr>
          <w:p w14:paraId="4B62EB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CF4B31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1.202.870</w:t>
            </w:r>
          </w:p>
        </w:tc>
        <w:tc>
          <w:tcPr>
            <w:tcW w:w="1100" w:type="dxa"/>
            <w:tcBorders>
              <w:top w:val="nil"/>
              <w:left w:val="nil"/>
              <w:bottom w:val="single" w:sz="8" w:space="0" w:color="auto"/>
              <w:right w:val="single" w:sz="8" w:space="0" w:color="auto"/>
            </w:tcBorders>
            <w:vAlign w:val="center"/>
            <w:hideMark/>
          </w:tcPr>
          <w:p w14:paraId="4287F5F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74F2DDF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7B4D92A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17F64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234</w:t>
            </w:r>
          </w:p>
        </w:tc>
        <w:tc>
          <w:tcPr>
            <w:tcW w:w="1919" w:type="dxa"/>
            <w:tcBorders>
              <w:top w:val="nil"/>
              <w:left w:val="nil"/>
              <w:bottom w:val="single" w:sz="8" w:space="0" w:color="auto"/>
              <w:right w:val="single" w:sz="8" w:space="0" w:color="auto"/>
            </w:tcBorders>
            <w:vAlign w:val="center"/>
            <w:hideMark/>
          </w:tcPr>
          <w:p w14:paraId="4F2E7DD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ASLUB COLOMBIA SAS</w:t>
            </w:r>
          </w:p>
        </w:tc>
        <w:tc>
          <w:tcPr>
            <w:tcW w:w="817" w:type="dxa"/>
            <w:tcBorders>
              <w:top w:val="nil"/>
              <w:left w:val="nil"/>
              <w:bottom w:val="single" w:sz="8" w:space="0" w:color="auto"/>
              <w:right w:val="single" w:sz="8" w:space="0" w:color="auto"/>
            </w:tcBorders>
            <w:vAlign w:val="center"/>
            <w:hideMark/>
          </w:tcPr>
          <w:p w14:paraId="459EC4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0,23</w:t>
            </w:r>
          </w:p>
        </w:tc>
        <w:tc>
          <w:tcPr>
            <w:tcW w:w="1271" w:type="dxa"/>
            <w:tcBorders>
              <w:top w:val="nil"/>
              <w:left w:val="nil"/>
              <w:bottom w:val="single" w:sz="8" w:space="0" w:color="auto"/>
              <w:right w:val="single" w:sz="8" w:space="0" w:color="auto"/>
            </w:tcBorders>
            <w:vAlign w:val="center"/>
            <w:hideMark/>
          </w:tcPr>
          <w:p w14:paraId="76F767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w:t>
            </w:r>
          </w:p>
        </w:tc>
        <w:tc>
          <w:tcPr>
            <w:tcW w:w="1190" w:type="dxa"/>
            <w:tcBorders>
              <w:top w:val="nil"/>
              <w:left w:val="nil"/>
              <w:bottom w:val="single" w:sz="8" w:space="0" w:color="auto"/>
              <w:right w:val="single" w:sz="8" w:space="0" w:color="auto"/>
            </w:tcBorders>
            <w:vAlign w:val="center"/>
            <w:hideMark/>
          </w:tcPr>
          <w:p w14:paraId="0C566AD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A4E3AB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-6.030.816</w:t>
            </w:r>
          </w:p>
        </w:tc>
        <w:tc>
          <w:tcPr>
            <w:tcW w:w="1100" w:type="dxa"/>
            <w:tcBorders>
              <w:top w:val="nil"/>
              <w:left w:val="nil"/>
              <w:bottom w:val="single" w:sz="8" w:space="0" w:color="auto"/>
              <w:right w:val="single" w:sz="8" w:space="0" w:color="auto"/>
            </w:tcBorders>
            <w:vAlign w:val="center"/>
            <w:hideMark/>
          </w:tcPr>
          <w:p w14:paraId="56301C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0ECA208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2AE806B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A0128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235</w:t>
            </w:r>
          </w:p>
        </w:tc>
        <w:tc>
          <w:tcPr>
            <w:tcW w:w="1919" w:type="dxa"/>
            <w:tcBorders>
              <w:top w:val="nil"/>
              <w:left w:val="nil"/>
              <w:bottom w:val="single" w:sz="8" w:space="0" w:color="auto"/>
              <w:right w:val="single" w:sz="8" w:space="0" w:color="auto"/>
            </w:tcBorders>
            <w:vAlign w:val="center"/>
            <w:hideMark/>
          </w:tcPr>
          <w:p w14:paraId="498169DB"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VERTICAL TECHNOLOGY INGENIERIA SAS</w:t>
            </w:r>
          </w:p>
        </w:tc>
        <w:tc>
          <w:tcPr>
            <w:tcW w:w="817" w:type="dxa"/>
            <w:tcBorders>
              <w:top w:val="nil"/>
              <w:left w:val="nil"/>
              <w:bottom w:val="single" w:sz="8" w:space="0" w:color="auto"/>
              <w:right w:val="single" w:sz="8" w:space="0" w:color="auto"/>
            </w:tcBorders>
            <w:vAlign w:val="center"/>
            <w:hideMark/>
          </w:tcPr>
          <w:p w14:paraId="04C6D29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1,74</w:t>
            </w:r>
          </w:p>
        </w:tc>
        <w:tc>
          <w:tcPr>
            <w:tcW w:w="1271" w:type="dxa"/>
            <w:tcBorders>
              <w:top w:val="nil"/>
              <w:left w:val="nil"/>
              <w:bottom w:val="single" w:sz="8" w:space="0" w:color="auto"/>
              <w:right w:val="single" w:sz="8" w:space="0" w:color="auto"/>
            </w:tcBorders>
            <w:vAlign w:val="center"/>
            <w:hideMark/>
          </w:tcPr>
          <w:p w14:paraId="5A8906F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61%</w:t>
            </w:r>
          </w:p>
        </w:tc>
        <w:tc>
          <w:tcPr>
            <w:tcW w:w="1190" w:type="dxa"/>
            <w:tcBorders>
              <w:top w:val="nil"/>
              <w:left w:val="nil"/>
              <w:bottom w:val="single" w:sz="8" w:space="0" w:color="auto"/>
              <w:right w:val="single" w:sz="8" w:space="0" w:color="auto"/>
            </w:tcBorders>
            <w:vAlign w:val="center"/>
            <w:hideMark/>
          </w:tcPr>
          <w:p w14:paraId="55DD79C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1,20</w:t>
            </w:r>
          </w:p>
        </w:tc>
        <w:tc>
          <w:tcPr>
            <w:tcW w:w="1099" w:type="dxa"/>
            <w:tcBorders>
              <w:top w:val="nil"/>
              <w:left w:val="nil"/>
              <w:bottom w:val="single" w:sz="8" w:space="0" w:color="auto"/>
              <w:right w:val="single" w:sz="8" w:space="0" w:color="auto"/>
            </w:tcBorders>
            <w:vAlign w:val="center"/>
            <w:hideMark/>
          </w:tcPr>
          <w:p w14:paraId="2C96137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405.592</w:t>
            </w:r>
          </w:p>
        </w:tc>
        <w:tc>
          <w:tcPr>
            <w:tcW w:w="1100" w:type="dxa"/>
            <w:tcBorders>
              <w:top w:val="nil"/>
              <w:left w:val="nil"/>
              <w:bottom w:val="single" w:sz="8" w:space="0" w:color="auto"/>
              <w:right w:val="single" w:sz="8" w:space="0" w:color="auto"/>
            </w:tcBorders>
            <w:vAlign w:val="center"/>
            <w:hideMark/>
          </w:tcPr>
          <w:p w14:paraId="1475E1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00" w:type="dxa"/>
            <w:tcBorders>
              <w:top w:val="nil"/>
              <w:left w:val="nil"/>
              <w:bottom w:val="single" w:sz="8" w:space="0" w:color="auto"/>
              <w:right w:val="single" w:sz="8" w:space="0" w:color="auto"/>
            </w:tcBorders>
            <w:vAlign w:val="center"/>
            <w:hideMark/>
          </w:tcPr>
          <w:p w14:paraId="095F5F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5F097B13"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225556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236</w:t>
            </w:r>
          </w:p>
        </w:tc>
        <w:tc>
          <w:tcPr>
            <w:tcW w:w="1919" w:type="dxa"/>
            <w:tcBorders>
              <w:top w:val="nil"/>
              <w:left w:val="nil"/>
              <w:bottom w:val="single" w:sz="8" w:space="0" w:color="auto"/>
              <w:right w:val="single" w:sz="8" w:space="0" w:color="auto"/>
            </w:tcBorders>
            <w:vAlign w:val="center"/>
            <w:hideMark/>
          </w:tcPr>
          <w:p w14:paraId="3EE5ECB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SERVICIOS GENERALES DEL VALLE DEL CAUCA SAS</w:t>
            </w:r>
          </w:p>
        </w:tc>
        <w:tc>
          <w:tcPr>
            <w:tcW w:w="817" w:type="dxa"/>
            <w:tcBorders>
              <w:top w:val="nil"/>
              <w:left w:val="nil"/>
              <w:bottom w:val="single" w:sz="8" w:space="0" w:color="auto"/>
              <w:right w:val="single" w:sz="8" w:space="0" w:color="auto"/>
            </w:tcBorders>
            <w:vAlign w:val="center"/>
            <w:hideMark/>
          </w:tcPr>
          <w:p w14:paraId="15B6D0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10,67</w:t>
            </w:r>
          </w:p>
        </w:tc>
        <w:tc>
          <w:tcPr>
            <w:tcW w:w="1271" w:type="dxa"/>
            <w:tcBorders>
              <w:top w:val="nil"/>
              <w:left w:val="nil"/>
              <w:bottom w:val="single" w:sz="8" w:space="0" w:color="auto"/>
              <w:right w:val="single" w:sz="8" w:space="0" w:color="auto"/>
            </w:tcBorders>
            <w:vAlign w:val="center"/>
            <w:hideMark/>
          </w:tcPr>
          <w:p w14:paraId="2160AB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90" w:type="dxa"/>
            <w:tcBorders>
              <w:top w:val="nil"/>
              <w:left w:val="nil"/>
              <w:bottom w:val="single" w:sz="8" w:space="0" w:color="auto"/>
              <w:right w:val="single" w:sz="8" w:space="0" w:color="auto"/>
            </w:tcBorders>
            <w:vAlign w:val="center"/>
            <w:hideMark/>
          </w:tcPr>
          <w:p w14:paraId="14AD9A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3050FC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3.604.428</w:t>
            </w:r>
          </w:p>
        </w:tc>
        <w:tc>
          <w:tcPr>
            <w:tcW w:w="1100" w:type="dxa"/>
            <w:tcBorders>
              <w:top w:val="nil"/>
              <w:left w:val="nil"/>
              <w:bottom w:val="single" w:sz="8" w:space="0" w:color="auto"/>
              <w:right w:val="single" w:sz="8" w:space="0" w:color="auto"/>
            </w:tcBorders>
            <w:vAlign w:val="center"/>
            <w:hideMark/>
          </w:tcPr>
          <w:p w14:paraId="543A372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5862BD6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7E132284"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9C373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237</w:t>
            </w:r>
          </w:p>
        </w:tc>
        <w:tc>
          <w:tcPr>
            <w:tcW w:w="1919" w:type="dxa"/>
            <w:tcBorders>
              <w:top w:val="nil"/>
              <w:left w:val="nil"/>
              <w:bottom w:val="single" w:sz="8" w:space="0" w:color="auto"/>
              <w:right w:val="single" w:sz="8" w:space="0" w:color="auto"/>
            </w:tcBorders>
            <w:vAlign w:val="center"/>
            <w:hideMark/>
          </w:tcPr>
          <w:p w14:paraId="2A32C90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COINGSA SAS</w:t>
            </w:r>
          </w:p>
        </w:tc>
        <w:tc>
          <w:tcPr>
            <w:tcW w:w="817" w:type="dxa"/>
            <w:tcBorders>
              <w:top w:val="nil"/>
              <w:left w:val="nil"/>
              <w:bottom w:val="single" w:sz="8" w:space="0" w:color="auto"/>
              <w:right w:val="single" w:sz="8" w:space="0" w:color="auto"/>
            </w:tcBorders>
            <w:vAlign w:val="center"/>
            <w:hideMark/>
          </w:tcPr>
          <w:p w14:paraId="795799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1,98</w:t>
            </w:r>
          </w:p>
        </w:tc>
        <w:tc>
          <w:tcPr>
            <w:tcW w:w="1271" w:type="dxa"/>
            <w:tcBorders>
              <w:top w:val="nil"/>
              <w:left w:val="nil"/>
              <w:bottom w:val="single" w:sz="8" w:space="0" w:color="auto"/>
              <w:right w:val="single" w:sz="8" w:space="0" w:color="auto"/>
            </w:tcBorders>
            <w:vAlign w:val="center"/>
            <w:hideMark/>
          </w:tcPr>
          <w:p w14:paraId="309AD4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144%</w:t>
            </w:r>
          </w:p>
        </w:tc>
        <w:tc>
          <w:tcPr>
            <w:tcW w:w="1190" w:type="dxa"/>
            <w:tcBorders>
              <w:top w:val="nil"/>
              <w:left w:val="nil"/>
              <w:bottom w:val="single" w:sz="8" w:space="0" w:color="auto"/>
              <w:right w:val="single" w:sz="8" w:space="0" w:color="auto"/>
            </w:tcBorders>
            <w:vAlign w:val="center"/>
            <w:hideMark/>
          </w:tcPr>
          <w:p w14:paraId="3ED1EF5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6D7CA9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669.601</w:t>
            </w:r>
          </w:p>
        </w:tc>
        <w:tc>
          <w:tcPr>
            <w:tcW w:w="1100" w:type="dxa"/>
            <w:tcBorders>
              <w:top w:val="nil"/>
              <w:left w:val="nil"/>
              <w:bottom w:val="single" w:sz="8" w:space="0" w:color="auto"/>
              <w:right w:val="single" w:sz="8" w:space="0" w:color="auto"/>
            </w:tcBorders>
            <w:vAlign w:val="center"/>
            <w:hideMark/>
          </w:tcPr>
          <w:p w14:paraId="6F84424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w:t>
            </w:r>
          </w:p>
        </w:tc>
        <w:tc>
          <w:tcPr>
            <w:tcW w:w="1100" w:type="dxa"/>
            <w:tcBorders>
              <w:top w:val="nil"/>
              <w:left w:val="nil"/>
              <w:bottom w:val="single" w:sz="8" w:space="0" w:color="auto"/>
              <w:right w:val="single" w:sz="8" w:space="0" w:color="auto"/>
            </w:tcBorders>
            <w:vAlign w:val="center"/>
            <w:hideMark/>
          </w:tcPr>
          <w:p w14:paraId="3FF03A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r>
      <w:tr w:rsidR="008468B3" w:rsidRPr="008468B3" w14:paraId="4C587C17"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F202DC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238</w:t>
            </w:r>
          </w:p>
        </w:tc>
        <w:tc>
          <w:tcPr>
            <w:tcW w:w="1919" w:type="dxa"/>
            <w:tcBorders>
              <w:top w:val="nil"/>
              <w:left w:val="nil"/>
              <w:bottom w:val="single" w:sz="8" w:space="0" w:color="auto"/>
              <w:right w:val="single" w:sz="8" w:space="0" w:color="auto"/>
            </w:tcBorders>
            <w:vAlign w:val="center"/>
            <w:hideMark/>
          </w:tcPr>
          <w:p w14:paraId="5088B64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REDES Y DISEÑOS SAS</w:t>
            </w:r>
          </w:p>
        </w:tc>
        <w:tc>
          <w:tcPr>
            <w:tcW w:w="817" w:type="dxa"/>
            <w:tcBorders>
              <w:top w:val="nil"/>
              <w:left w:val="nil"/>
              <w:bottom w:val="single" w:sz="8" w:space="0" w:color="auto"/>
              <w:right w:val="single" w:sz="8" w:space="0" w:color="auto"/>
            </w:tcBorders>
            <w:vAlign w:val="center"/>
            <w:hideMark/>
          </w:tcPr>
          <w:p w14:paraId="27C6C3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10,19</w:t>
            </w:r>
          </w:p>
        </w:tc>
        <w:tc>
          <w:tcPr>
            <w:tcW w:w="1271" w:type="dxa"/>
            <w:tcBorders>
              <w:top w:val="nil"/>
              <w:left w:val="nil"/>
              <w:bottom w:val="single" w:sz="8" w:space="0" w:color="auto"/>
              <w:right w:val="single" w:sz="8" w:space="0" w:color="auto"/>
            </w:tcBorders>
            <w:vAlign w:val="center"/>
            <w:hideMark/>
          </w:tcPr>
          <w:p w14:paraId="0F3689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w:t>
            </w:r>
          </w:p>
        </w:tc>
        <w:tc>
          <w:tcPr>
            <w:tcW w:w="1190" w:type="dxa"/>
            <w:tcBorders>
              <w:top w:val="nil"/>
              <w:left w:val="nil"/>
              <w:bottom w:val="single" w:sz="8" w:space="0" w:color="auto"/>
              <w:right w:val="single" w:sz="8" w:space="0" w:color="auto"/>
            </w:tcBorders>
            <w:vAlign w:val="center"/>
            <w:hideMark/>
          </w:tcPr>
          <w:p w14:paraId="3A494F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10,11</w:t>
            </w:r>
          </w:p>
        </w:tc>
        <w:tc>
          <w:tcPr>
            <w:tcW w:w="1099" w:type="dxa"/>
            <w:tcBorders>
              <w:top w:val="nil"/>
              <w:left w:val="nil"/>
              <w:bottom w:val="single" w:sz="8" w:space="0" w:color="auto"/>
              <w:right w:val="single" w:sz="8" w:space="0" w:color="auto"/>
            </w:tcBorders>
            <w:vAlign w:val="center"/>
            <w:hideMark/>
          </w:tcPr>
          <w:p w14:paraId="298D254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5.555.869</w:t>
            </w:r>
          </w:p>
        </w:tc>
        <w:tc>
          <w:tcPr>
            <w:tcW w:w="1100" w:type="dxa"/>
            <w:tcBorders>
              <w:top w:val="nil"/>
              <w:left w:val="nil"/>
              <w:bottom w:val="single" w:sz="8" w:space="0" w:color="auto"/>
              <w:right w:val="single" w:sz="8" w:space="0" w:color="auto"/>
            </w:tcBorders>
            <w:vAlign w:val="center"/>
            <w:hideMark/>
          </w:tcPr>
          <w:p w14:paraId="26DBBBE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00" w:type="dxa"/>
            <w:tcBorders>
              <w:top w:val="nil"/>
              <w:left w:val="nil"/>
              <w:bottom w:val="single" w:sz="8" w:space="0" w:color="auto"/>
              <w:right w:val="single" w:sz="8" w:space="0" w:color="auto"/>
            </w:tcBorders>
            <w:vAlign w:val="center"/>
            <w:hideMark/>
          </w:tcPr>
          <w:p w14:paraId="56C4861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r>
      <w:tr w:rsidR="008468B3" w:rsidRPr="008468B3" w14:paraId="09EC6B49"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99D5B7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239</w:t>
            </w:r>
          </w:p>
        </w:tc>
        <w:tc>
          <w:tcPr>
            <w:tcW w:w="1919" w:type="dxa"/>
            <w:tcBorders>
              <w:top w:val="nil"/>
              <w:left w:val="nil"/>
              <w:bottom w:val="single" w:sz="8" w:space="0" w:color="auto"/>
              <w:right w:val="single" w:sz="8" w:space="0" w:color="auto"/>
            </w:tcBorders>
            <w:vAlign w:val="center"/>
            <w:hideMark/>
          </w:tcPr>
          <w:p w14:paraId="24CBC22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INTERMARES URABA SAS</w:t>
            </w:r>
          </w:p>
        </w:tc>
        <w:tc>
          <w:tcPr>
            <w:tcW w:w="817" w:type="dxa"/>
            <w:tcBorders>
              <w:top w:val="nil"/>
              <w:left w:val="nil"/>
              <w:bottom w:val="single" w:sz="8" w:space="0" w:color="auto"/>
              <w:right w:val="single" w:sz="8" w:space="0" w:color="auto"/>
            </w:tcBorders>
            <w:vAlign w:val="center"/>
            <w:hideMark/>
          </w:tcPr>
          <w:p w14:paraId="37E3E97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1,43</w:t>
            </w:r>
          </w:p>
        </w:tc>
        <w:tc>
          <w:tcPr>
            <w:tcW w:w="1271" w:type="dxa"/>
            <w:tcBorders>
              <w:top w:val="nil"/>
              <w:left w:val="nil"/>
              <w:bottom w:val="single" w:sz="8" w:space="0" w:color="auto"/>
              <w:right w:val="single" w:sz="8" w:space="0" w:color="auto"/>
            </w:tcBorders>
            <w:vAlign w:val="center"/>
            <w:hideMark/>
          </w:tcPr>
          <w:p w14:paraId="3D808D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79%</w:t>
            </w:r>
          </w:p>
        </w:tc>
        <w:tc>
          <w:tcPr>
            <w:tcW w:w="1190" w:type="dxa"/>
            <w:tcBorders>
              <w:top w:val="nil"/>
              <w:left w:val="nil"/>
              <w:bottom w:val="single" w:sz="8" w:space="0" w:color="auto"/>
              <w:right w:val="single" w:sz="8" w:space="0" w:color="auto"/>
            </w:tcBorders>
            <w:vAlign w:val="center"/>
            <w:hideMark/>
          </w:tcPr>
          <w:p w14:paraId="07B745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2,16</w:t>
            </w:r>
          </w:p>
        </w:tc>
        <w:tc>
          <w:tcPr>
            <w:tcW w:w="1099" w:type="dxa"/>
            <w:tcBorders>
              <w:top w:val="nil"/>
              <w:left w:val="nil"/>
              <w:bottom w:val="single" w:sz="8" w:space="0" w:color="auto"/>
              <w:right w:val="single" w:sz="8" w:space="0" w:color="auto"/>
            </w:tcBorders>
            <w:vAlign w:val="center"/>
            <w:hideMark/>
          </w:tcPr>
          <w:p w14:paraId="1CF3739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3.754.196</w:t>
            </w:r>
          </w:p>
        </w:tc>
        <w:tc>
          <w:tcPr>
            <w:tcW w:w="1100" w:type="dxa"/>
            <w:tcBorders>
              <w:top w:val="nil"/>
              <w:left w:val="nil"/>
              <w:bottom w:val="single" w:sz="8" w:space="0" w:color="auto"/>
              <w:right w:val="single" w:sz="8" w:space="0" w:color="auto"/>
            </w:tcBorders>
            <w:vAlign w:val="center"/>
            <w:hideMark/>
          </w:tcPr>
          <w:p w14:paraId="42A5FAA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00" w:type="dxa"/>
            <w:tcBorders>
              <w:top w:val="nil"/>
              <w:left w:val="nil"/>
              <w:bottom w:val="single" w:sz="8" w:space="0" w:color="auto"/>
              <w:right w:val="single" w:sz="8" w:space="0" w:color="auto"/>
            </w:tcBorders>
            <w:vAlign w:val="center"/>
            <w:hideMark/>
          </w:tcPr>
          <w:p w14:paraId="748E15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65367D4E"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4DDC93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240</w:t>
            </w:r>
          </w:p>
        </w:tc>
        <w:tc>
          <w:tcPr>
            <w:tcW w:w="1919" w:type="dxa"/>
            <w:tcBorders>
              <w:top w:val="nil"/>
              <w:left w:val="nil"/>
              <w:bottom w:val="single" w:sz="8" w:space="0" w:color="auto"/>
              <w:right w:val="single" w:sz="8" w:space="0" w:color="auto"/>
            </w:tcBorders>
            <w:vAlign w:val="center"/>
            <w:hideMark/>
          </w:tcPr>
          <w:p w14:paraId="2223E51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ESTRATEGICAS DE AMERICA S.A.S</w:t>
            </w:r>
          </w:p>
        </w:tc>
        <w:tc>
          <w:tcPr>
            <w:tcW w:w="817" w:type="dxa"/>
            <w:tcBorders>
              <w:top w:val="nil"/>
              <w:left w:val="nil"/>
              <w:bottom w:val="single" w:sz="8" w:space="0" w:color="auto"/>
              <w:right w:val="single" w:sz="8" w:space="0" w:color="auto"/>
            </w:tcBorders>
            <w:vAlign w:val="center"/>
            <w:hideMark/>
          </w:tcPr>
          <w:p w14:paraId="561825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0,34</w:t>
            </w:r>
          </w:p>
        </w:tc>
        <w:tc>
          <w:tcPr>
            <w:tcW w:w="1271" w:type="dxa"/>
            <w:tcBorders>
              <w:top w:val="nil"/>
              <w:left w:val="nil"/>
              <w:bottom w:val="single" w:sz="8" w:space="0" w:color="auto"/>
              <w:right w:val="single" w:sz="8" w:space="0" w:color="auto"/>
            </w:tcBorders>
            <w:vAlign w:val="center"/>
            <w:hideMark/>
          </w:tcPr>
          <w:p w14:paraId="775ED06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0B6DFB4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3,02</w:t>
            </w:r>
          </w:p>
        </w:tc>
        <w:tc>
          <w:tcPr>
            <w:tcW w:w="1099" w:type="dxa"/>
            <w:tcBorders>
              <w:top w:val="nil"/>
              <w:left w:val="nil"/>
              <w:bottom w:val="single" w:sz="8" w:space="0" w:color="auto"/>
              <w:right w:val="single" w:sz="8" w:space="0" w:color="auto"/>
            </w:tcBorders>
            <w:vAlign w:val="center"/>
            <w:hideMark/>
          </w:tcPr>
          <w:p w14:paraId="154D900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-3.881.012</w:t>
            </w:r>
          </w:p>
        </w:tc>
        <w:tc>
          <w:tcPr>
            <w:tcW w:w="1100" w:type="dxa"/>
            <w:tcBorders>
              <w:top w:val="nil"/>
              <w:left w:val="nil"/>
              <w:bottom w:val="single" w:sz="8" w:space="0" w:color="auto"/>
              <w:right w:val="single" w:sz="8" w:space="0" w:color="auto"/>
            </w:tcBorders>
            <w:vAlign w:val="center"/>
            <w:hideMark/>
          </w:tcPr>
          <w:p w14:paraId="5B9A85E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00" w:type="dxa"/>
            <w:tcBorders>
              <w:top w:val="nil"/>
              <w:left w:val="nil"/>
              <w:bottom w:val="single" w:sz="8" w:space="0" w:color="auto"/>
              <w:right w:val="single" w:sz="8" w:space="0" w:color="auto"/>
            </w:tcBorders>
            <w:vAlign w:val="center"/>
            <w:hideMark/>
          </w:tcPr>
          <w:p w14:paraId="5210AF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2DB2B617" w14:textId="77777777" w:rsidTr="008468B3">
        <w:trPr>
          <w:trHeight w:val="1315"/>
        </w:trPr>
        <w:tc>
          <w:tcPr>
            <w:tcW w:w="474" w:type="dxa"/>
            <w:tcBorders>
              <w:top w:val="nil"/>
              <w:left w:val="single" w:sz="8" w:space="0" w:color="auto"/>
              <w:bottom w:val="single" w:sz="8" w:space="0" w:color="auto"/>
              <w:right w:val="single" w:sz="8" w:space="0" w:color="auto"/>
            </w:tcBorders>
            <w:noWrap/>
            <w:vAlign w:val="center"/>
            <w:hideMark/>
          </w:tcPr>
          <w:p w14:paraId="76720D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241</w:t>
            </w:r>
          </w:p>
        </w:tc>
        <w:tc>
          <w:tcPr>
            <w:tcW w:w="1919" w:type="dxa"/>
            <w:tcBorders>
              <w:top w:val="nil"/>
              <w:left w:val="nil"/>
              <w:bottom w:val="single" w:sz="8" w:space="0" w:color="auto"/>
              <w:right w:val="single" w:sz="8" w:space="0" w:color="auto"/>
            </w:tcBorders>
            <w:vAlign w:val="center"/>
            <w:hideMark/>
          </w:tcPr>
          <w:p w14:paraId="108FE8B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DISEÑO CONSTRUCCION Y CONSULTORIA DE SUBESTACIONES Y LINEAS ELECTRICAS S.A.S.</w:t>
            </w:r>
          </w:p>
        </w:tc>
        <w:tc>
          <w:tcPr>
            <w:tcW w:w="817" w:type="dxa"/>
            <w:tcBorders>
              <w:top w:val="nil"/>
              <w:left w:val="nil"/>
              <w:bottom w:val="single" w:sz="8" w:space="0" w:color="auto"/>
              <w:right w:val="single" w:sz="8" w:space="0" w:color="auto"/>
            </w:tcBorders>
            <w:vAlign w:val="center"/>
            <w:hideMark/>
          </w:tcPr>
          <w:p w14:paraId="7BDFC9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3,43</w:t>
            </w:r>
          </w:p>
        </w:tc>
        <w:tc>
          <w:tcPr>
            <w:tcW w:w="1271" w:type="dxa"/>
            <w:tcBorders>
              <w:top w:val="nil"/>
              <w:left w:val="nil"/>
              <w:bottom w:val="single" w:sz="8" w:space="0" w:color="auto"/>
              <w:right w:val="single" w:sz="8" w:space="0" w:color="auto"/>
            </w:tcBorders>
            <w:vAlign w:val="center"/>
            <w:hideMark/>
          </w:tcPr>
          <w:p w14:paraId="53314C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73%</w:t>
            </w:r>
          </w:p>
        </w:tc>
        <w:tc>
          <w:tcPr>
            <w:tcW w:w="1190" w:type="dxa"/>
            <w:tcBorders>
              <w:top w:val="nil"/>
              <w:left w:val="nil"/>
              <w:bottom w:val="single" w:sz="8" w:space="0" w:color="auto"/>
              <w:right w:val="single" w:sz="8" w:space="0" w:color="auto"/>
            </w:tcBorders>
            <w:vAlign w:val="center"/>
            <w:hideMark/>
          </w:tcPr>
          <w:p w14:paraId="25401FB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80C71E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7.793.071</w:t>
            </w:r>
          </w:p>
        </w:tc>
        <w:tc>
          <w:tcPr>
            <w:tcW w:w="1100" w:type="dxa"/>
            <w:tcBorders>
              <w:top w:val="nil"/>
              <w:left w:val="nil"/>
              <w:bottom w:val="single" w:sz="8" w:space="0" w:color="auto"/>
              <w:right w:val="single" w:sz="8" w:space="0" w:color="auto"/>
            </w:tcBorders>
            <w:vAlign w:val="center"/>
            <w:hideMark/>
          </w:tcPr>
          <w:p w14:paraId="007AE2B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055875F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593628FB"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C004D2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242</w:t>
            </w:r>
          </w:p>
        </w:tc>
        <w:tc>
          <w:tcPr>
            <w:tcW w:w="1919" w:type="dxa"/>
            <w:tcBorders>
              <w:top w:val="nil"/>
              <w:left w:val="nil"/>
              <w:bottom w:val="single" w:sz="8" w:space="0" w:color="auto"/>
              <w:right w:val="single" w:sz="8" w:space="0" w:color="auto"/>
            </w:tcBorders>
            <w:vAlign w:val="center"/>
            <w:hideMark/>
          </w:tcPr>
          <w:p w14:paraId="729CC5F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NEXXO CARIBE SAS</w:t>
            </w:r>
          </w:p>
        </w:tc>
        <w:tc>
          <w:tcPr>
            <w:tcW w:w="817" w:type="dxa"/>
            <w:tcBorders>
              <w:top w:val="nil"/>
              <w:left w:val="nil"/>
              <w:bottom w:val="single" w:sz="8" w:space="0" w:color="auto"/>
              <w:right w:val="single" w:sz="8" w:space="0" w:color="auto"/>
            </w:tcBorders>
            <w:vAlign w:val="center"/>
            <w:hideMark/>
          </w:tcPr>
          <w:p w14:paraId="03629E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2,55</w:t>
            </w:r>
          </w:p>
        </w:tc>
        <w:tc>
          <w:tcPr>
            <w:tcW w:w="1271" w:type="dxa"/>
            <w:tcBorders>
              <w:top w:val="nil"/>
              <w:left w:val="nil"/>
              <w:bottom w:val="single" w:sz="8" w:space="0" w:color="auto"/>
              <w:right w:val="single" w:sz="8" w:space="0" w:color="auto"/>
            </w:tcBorders>
            <w:vAlign w:val="center"/>
            <w:hideMark/>
          </w:tcPr>
          <w:p w14:paraId="79786F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90" w:type="dxa"/>
            <w:tcBorders>
              <w:top w:val="nil"/>
              <w:left w:val="nil"/>
              <w:bottom w:val="single" w:sz="8" w:space="0" w:color="auto"/>
              <w:right w:val="single" w:sz="8" w:space="0" w:color="auto"/>
            </w:tcBorders>
            <w:vAlign w:val="center"/>
            <w:hideMark/>
          </w:tcPr>
          <w:p w14:paraId="1C49F8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21,11</w:t>
            </w:r>
          </w:p>
        </w:tc>
        <w:tc>
          <w:tcPr>
            <w:tcW w:w="1099" w:type="dxa"/>
            <w:tcBorders>
              <w:top w:val="nil"/>
              <w:left w:val="nil"/>
              <w:bottom w:val="single" w:sz="8" w:space="0" w:color="auto"/>
              <w:right w:val="single" w:sz="8" w:space="0" w:color="auto"/>
            </w:tcBorders>
            <w:vAlign w:val="center"/>
            <w:hideMark/>
          </w:tcPr>
          <w:p w14:paraId="5CCE52BC"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7.398.586</w:t>
            </w:r>
          </w:p>
        </w:tc>
        <w:tc>
          <w:tcPr>
            <w:tcW w:w="1100" w:type="dxa"/>
            <w:tcBorders>
              <w:top w:val="nil"/>
              <w:left w:val="nil"/>
              <w:bottom w:val="single" w:sz="8" w:space="0" w:color="auto"/>
              <w:right w:val="single" w:sz="8" w:space="0" w:color="auto"/>
            </w:tcBorders>
            <w:vAlign w:val="center"/>
            <w:hideMark/>
          </w:tcPr>
          <w:p w14:paraId="7248DE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c>
          <w:tcPr>
            <w:tcW w:w="1100" w:type="dxa"/>
            <w:tcBorders>
              <w:top w:val="nil"/>
              <w:left w:val="nil"/>
              <w:bottom w:val="single" w:sz="8" w:space="0" w:color="auto"/>
              <w:right w:val="single" w:sz="8" w:space="0" w:color="auto"/>
            </w:tcBorders>
            <w:vAlign w:val="center"/>
            <w:hideMark/>
          </w:tcPr>
          <w:p w14:paraId="707F28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r>
      <w:tr w:rsidR="008468B3" w:rsidRPr="008468B3" w14:paraId="2197F28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DCF1A2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243</w:t>
            </w:r>
          </w:p>
        </w:tc>
        <w:tc>
          <w:tcPr>
            <w:tcW w:w="1919" w:type="dxa"/>
            <w:tcBorders>
              <w:top w:val="nil"/>
              <w:left w:val="nil"/>
              <w:bottom w:val="single" w:sz="8" w:space="0" w:color="auto"/>
              <w:right w:val="single" w:sz="8" w:space="0" w:color="auto"/>
            </w:tcBorders>
            <w:vAlign w:val="center"/>
            <w:hideMark/>
          </w:tcPr>
          <w:p w14:paraId="5D2AEC0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DRAGADOS AMBIENTALES SAS</w:t>
            </w:r>
          </w:p>
        </w:tc>
        <w:tc>
          <w:tcPr>
            <w:tcW w:w="817" w:type="dxa"/>
            <w:tcBorders>
              <w:top w:val="nil"/>
              <w:left w:val="nil"/>
              <w:bottom w:val="single" w:sz="8" w:space="0" w:color="auto"/>
              <w:right w:val="single" w:sz="8" w:space="0" w:color="auto"/>
            </w:tcBorders>
            <w:vAlign w:val="center"/>
            <w:hideMark/>
          </w:tcPr>
          <w:p w14:paraId="52ADF3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1,24</w:t>
            </w:r>
          </w:p>
        </w:tc>
        <w:tc>
          <w:tcPr>
            <w:tcW w:w="1271" w:type="dxa"/>
            <w:tcBorders>
              <w:top w:val="nil"/>
              <w:left w:val="nil"/>
              <w:bottom w:val="single" w:sz="8" w:space="0" w:color="auto"/>
              <w:right w:val="single" w:sz="8" w:space="0" w:color="auto"/>
            </w:tcBorders>
            <w:vAlign w:val="center"/>
            <w:hideMark/>
          </w:tcPr>
          <w:p w14:paraId="7650501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90" w:type="dxa"/>
            <w:tcBorders>
              <w:top w:val="nil"/>
              <w:left w:val="nil"/>
              <w:bottom w:val="single" w:sz="8" w:space="0" w:color="auto"/>
              <w:right w:val="single" w:sz="8" w:space="0" w:color="auto"/>
            </w:tcBorders>
            <w:vAlign w:val="center"/>
            <w:hideMark/>
          </w:tcPr>
          <w:p w14:paraId="021E782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2,71</w:t>
            </w:r>
          </w:p>
        </w:tc>
        <w:tc>
          <w:tcPr>
            <w:tcW w:w="1099" w:type="dxa"/>
            <w:tcBorders>
              <w:top w:val="nil"/>
              <w:left w:val="nil"/>
              <w:bottom w:val="single" w:sz="8" w:space="0" w:color="auto"/>
              <w:right w:val="single" w:sz="8" w:space="0" w:color="auto"/>
            </w:tcBorders>
            <w:vAlign w:val="center"/>
            <w:hideMark/>
          </w:tcPr>
          <w:p w14:paraId="65F511C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457.188</w:t>
            </w:r>
          </w:p>
        </w:tc>
        <w:tc>
          <w:tcPr>
            <w:tcW w:w="1100" w:type="dxa"/>
            <w:tcBorders>
              <w:top w:val="nil"/>
              <w:left w:val="nil"/>
              <w:bottom w:val="single" w:sz="8" w:space="0" w:color="auto"/>
              <w:right w:val="single" w:sz="8" w:space="0" w:color="auto"/>
            </w:tcBorders>
            <w:vAlign w:val="center"/>
            <w:hideMark/>
          </w:tcPr>
          <w:p w14:paraId="05B767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680EF9F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5DDBC66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D3F62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244</w:t>
            </w:r>
          </w:p>
        </w:tc>
        <w:tc>
          <w:tcPr>
            <w:tcW w:w="1919" w:type="dxa"/>
            <w:tcBorders>
              <w:top w:val="nil"/>
              <w:left w:val="nil"/>
              <w:bottom w:val="single" w:sz="8" w:space="0" w:color="auto"/>
              <w:right w:val="single" w:sz="8" w:space="0" w:color="auto"/>
            </w:tcBorders>
            <w:vAlign w:val="center"/>
            <w:hideMark/>
          </w:tcPr>
          <w:p w14:paraId="63B2E3A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CADICON</w:t>
            </w:r>
          </w:p>
        </w:tc>
        <w:tc>
          <w:tcPr>
            <w:tcW w:w="817" w:type="dxa"/>
            <w:tcBorders>
              <w:top w:val="nil"/>
              <w:left w:val="nil"/>
              <w:bottom w:val="single" w:sz="8" w:space="0" w:color="auto"/>
              <w:right w:val="single" w:sz="8" w:space="0" w:color="auto"/>
            </w:tcBorders>
            <w:vAlign w:val="center"/>
            <w:hideMark/>
          </w:tcPr>
          <w:p w14:paraId="60D544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91,37</w:t>
            </w:r>
          </w:p>
        </w:tc>
        <w:tc>
          <w:tcPr>
            <w:tcW w:w="1271" w:type="dxa"/>
            <w:tcBorders>
              <w:top w:val="nil"/>
              <w:left w:val="nil"/>
              <w:bottom w:val="single" w:sz="8" w:space="0" w:color="auto"/>
              <w:right w:val="single" w:sz="8" w:space="0" w:color="auto"/>
            </w:tcBorders>
            <w:vAlign w:val="center"/>
            <w:hideMark/>
          </w:tcPr>
          <w:p w14:paraId="70B1EE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c>
          <w:tcPr>
            <w:tcW w:w="1190" w:type="dxa"/>
            <w:tcBorders>
              <w:top w:val="nil"/>
              <w:left w:val="nil"/>
              <w:bottom w:val="single" w:sz="8" w:space="0" w:color="auto"/>
              <w:right w:val="single" w:sz="8" w:space="0" w:color="auto"/>
            </w:tcBorders>
            <w:vAlign w:val="center"/>
            <w:hideMark/>
          </w:tcPr>
          <w:p w14:paraId="7524901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4,85</w:t>
            </w:r>
          </w:p>
        </w:tc>
        <w:tc>
          <w:tcPr>
            <w:tcW w:w="1099" w:type="dxa"/>
            <w:tcBorders>
              <w:top w:val="nil"/>
              <w:left w:val="nil"/>
              <w:bottom w:val="single" w:sz="8" w:space="0" w:color="auto"/>
              <w:right w:val="single" w:sz="8" w:space="0" w:color="auto"/>
            </w:tcBorders>
            <w:vAlign w:val="center"/>
            <w:hideMark/>
          </w:tcPr>
          <w:p w14:paraId="16B9727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3.784.585</w:t>
            </w:r>
          </w:p>
        </w:tc>
        <w:tc>
          <w:tcPr>
            <w:tcW w:w="1100" w:type="dxa"/>
            <w:tcBorders>
              <w:top w:val="nil"/>
              <w:left w:val="nil"/>
              <w:bottom w:val="single" w:sz="8" w:space="0" w:color="auto"/>
              <w:right w:val="single" w:sz="8" w:space="0" w:color="auto"/>
            </w:tcBorders>
            <w:vAlign w:val="center"/>
            <w:hideMark/>
          </w:tcPr>
          <w:p w14:paraId="636A0A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w:t>
            </w:r>
          </w:p>
        </w:tc>
        <w:tc>
          <w:tcPr>
            <w:tcW w:w="1100" w:type="dxa"/>
            <w:tcBorders>
              <w:top w:val="nil"/>
              <w:left w:val="nil"/>
              <w:bottom w:val="single" w:sz="8" w:space="0" w:color="auto"/>
              <w:right w:val="single" w:sz="8" w:space="0" w:color="auto"/>
            </w:tcBorders>
            <w:vAlign w:val="center"/>
            <w:hideMark/>
          </w:tcPr>
          <w:p w14:paraId="760FF9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r>
      <w:tr w:rsidR="008468B3" w:rsidRPr="008468B3" w14:paraId="6B491B3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35655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245</w:t>
            </w:r>
          </w:p>
        </w:tc>
        <w:tc>
          <w:tcPr>
            <w:tcW w:w="1919" w:type="dxa"/>
            <w:tcBorders>
              <w:top w:val="nil"/>
              <w:left w:val="nil"/>
              <w:bottom w:val="single" w:sz="8" w:space="0" w:color="auto"/>
              <w:right w:val="single" w:sz="8" w:space="0" w:color="auto"/>
            </w:tcBorders>
            <w:vAlign w:val="center"/>
            <w:hideMark/>
          </w:tcPr>
          <w:p w14:paraId="320C76F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ARCE INGENIERIA SAS</w:t>
            </w:r>
          </w:p>
        </w:tc>
        <w:tc>
          <w:tcPr>
            <w:tcW w:w="817" w:type="dxa"/>
            <w:tcBorders>
              <w:top w:val="nil"/>
              <w:left w:val="nil"/>
              <w:bottom w:val="single" w:sz="8" w:space="0" w:color="auto"/>
              <w:right w:val="single" w:sz="8" w:space="0" w:color="auto"/>
            </w:tcBorders>
            <w:vAlign w:val="center"/>
            <w:hideMark/>
          </w:tcPr>
          <w:p w14:paraId="233C4FA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2,57</w:t>
            </w:r>
          </w:p>
        </w:tc>
        <w:tc>
          <w:tcPr>
            <w:tcW w:w="1271" w:type="dxa"/>
            <w:tcBorders>
              <w:top w:val="nil"/>
              <w:left w:val="nil"/>
              <w:bottom w:val="single" w:sz="8" w:space="0" w:color="auto"/>
              <w:right w:val="single" w:sz="8" w:space="0" w:color="auto"/>
            </w:tcBorders>
            <w:vAlign w:val="center"/>
            <w:hideMark/>
          </w:tcPr>
          <w:p w14:paraId="5BC95BF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190" w:type="dxa"/>
            <w:tcBorders>
              <w:top w:val="nil"/>
              <w:left w:val="nil"/>
              <w:bottom w:val="single" w:sz="8" w:space="0" w:color="auto"/>
              <w:right w:val="single" w:sz="8" w:space="0" w:color="auto"/>
            </w:tcBorders>
            <w:vAlign w:val="center"/>
            <w:hideMark/>
          </w:tcPr>
          <w:p w14:paraId="56D8F9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CF9D17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2.053.701</w:t>
            </w:r>
          </w:p>
        </w:tc>
        <w:tc>
          <w:tcPr>
            <w:tcW w:w="1100" w:type="dxa"/>
            <w:tcBorders>
              <w:top w:val="nil"/>
              <w:left w:val="nil"/>
              <w:bottom w:val="single" w:sz="8" w:space="0" w:color="auto"/>
              <w:right w:val="single" w:sz="8" w:space="0" w:color="auto"/>
            </w:tcBorders>
            <w:vAlign w:val="center"/>
            <w:hideMark/>
          </w:tcPr>
          <w:p w14:paraId="76E5BB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w:t>
            </w:r>
          </w:p>
        </w:tc>
        <w:tc>
          <w:tcPr>
            <w:tcW w:w="1100" w:type="dxa"/>
            <w:tcBorders>
              <w:top w:val="nil"/>
              <w:left w:val="nil"/>
              <w:bottom w:val="single" w:sz="8" w:space="0" w:color="auto"/>
              <w:right w:val="single" w:sz="8" w:space="0" w:color="auto"/>
            </w:tcBorders>
            <w:vAlign w:val="center"/>
            <w:hideMark/>
          </w:tcPr>
          <w:p w14:paraId="665879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r>
      <w:tr w:rsidR="008468B3" w:rsidRPr="008468B3" w14:paraId="38F4E268"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EA6ACD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246</w:t>
            </w:r>
          </w:p>
        </w:tc>
        <w:tc>
          <w:tcPr>
            <w:tcW w:w="1919" w:type="dxa"/>
            <w:tcBorders>
              <w:top w:val="nil"/>
              <w:left w:val="nil"/>
              <w:bottom w:val="single" w:sz="8" w:space="0" w:color="auto"/>
              <w:right w:val="single" w:sz="8" w:space="0" w:color="auto"/>
            </w:tcBorders>
            <w:vAlign w:val="center"/>
            <w:hideMark/>
          </w:tcPr>
          <w:p w14:paraId="0B42224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JOL INGENIERIA ELECTRICA SAS</w:t>
            </w:r>
          </w:p>
        </w:tc>
        <w:tc>
          <w:tcPr>
            <w:tcW w:w="817" w:type="dxa"/>
            <w:tcBorders>
              <w:top w:val="nil"/>
              <w:left w:val="nil"/>
              <w:bottom w:val="single" w:sz="8" w:space="0" w:color="auto"/>
              <w:right w:val="single" w:sz="8" w:space="0" w:color="auto"/>
            </w:tcBorders>
            <w:vAlign w:val="center"/>
            <w:hideMark/>
          </w:tcPr>
          <w:p w14:paraId="032ACE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1,55</w:t>
            </w:r>
          </w:p>
        </w:tc>
        <w:tc>
          <w:tcPr>
            <w:tcW w:w="1271" w:type="dxa"/>
            <w:tcBorders>
              <w:top w:val="nil"/>
              <w:left w:val="nil"/>
              <w:bottom w:val="single" w:sz="8" w:space="0" w:color="auto"/>
              <w:right w:val="single" w:sz="8" w:space="0" w:color="auto"/>
            </w:tcBorders>
            <w:vAlign w:val="center"/>
            <w:hideMark/>
          </w:tcPr>
          <w:p w14:paraId="1C4489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90" w:type="dxa"/>
            <w:tcBorders>
              <w:top w:val="nil"/>
              <w:left w:val="nil"/>
              <w:bottom w:val="single" w:sz="8" w:space="0" w:color="auto"/>
              <w:right w:val="single" w:sz="8" w:space="0" w:color="auto"/>
            </w:tcBorders>
            <w:vAlign w:val="center"/>
            <w:hideMark/>
          </w:tcPr>
          <w:p w14:paraId="0C52CC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2,98</w:t>
            </w:r>
          </w:p>
        </w:tc>
        <w:tc>
          <w:tcPr>
            <w:tcW w:w="1099" w:type="dxa"/>
            <w:tcBorders>
              <w:top w:val="nil"/>
              <w:left w:val="nil"/>
              <w:bottom w:val="single" w:sz="8" w:space="0" w:color="auto"/>
              <w:right w:val="single" w:sz="8" w:space="0" w:color="auto"/>
            </w:tcBorders>
            <w:vAlign w:val="center"/>
            <w:hideMark/>
          </w:tcPr>
          <w:p w14:paraId="5F83B51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681.859</w:t>
            </w:r>
          </w:p>
        </w:tc>
        <w:tc>
          <w:tcPr>
            <w:tcW w:w="1100" w:type="dxa"/>
            <w:tcBorders>
              <w:top w:val="nil"/>
              <w:left w:val="nil"/>
              <w:bottom w:val="single" w:sz="8" w:space="0" w:color="auto"/>
              <w:right w:val="single" w:sz="8" w:space="0" w:color="auto"/>
            </w:tcBorders>
            <w:vAlign w:val="center"/>
            <w:hideMark/>
          </w:tcPr>
          <w:p w14:paraId="5AC6E07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00" w:type="dxa"/>
            <w:tcBorders>
              <w:top w:val="nil"/>
              <w:left w:val="nil"/>
              <w:bottom w:val="single" w:sz="8" w:space="0" w:color="auto"/>
              <w:right w:val="single" w:sz="8" w:space="0" w:color="auto"/>
            </w:tcBorders>
            <w:vAlign w:val="center"/>
            <w:hideMark/>
          </w:tcPr>
          <w:p w14:paraId="1A9DF60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r>
      <w:tr w:rsidR="008468B3" w:rsidRPr="008468B3" w14:paraId="7EC3BF5E" w14:textId="77777777" w:rsidTr="008468B3">
        <w:trPr>
          <w:trHeight w:val="455"/>
        </w:trPr>
        <w:tc>
          <w:tcPr>
            <w:tcW w:w="474" w:type="dxa"/>
            <w:tcBorders>
              <w:top w:val="nil"/>
              <w:left w:val="single" w:sz="8" w:space="0" w:color="auto"/>
              <w:bottom w:val="single" w:sz="8" w:space="0" w:color="auto"/>
              <w:right w:val="single" w:sz="8" w:space="0" w:color="auto"/>
            </w:tcBorders>
            <w:noWrap/>
            <w:vAlign w:val="center"/>
            <w:hideMark/>
          </w:tcPr>
          <w:p w14:paraId="259E848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247</w:t>
            </w:r>
          </w:p>
        </w:tc>
        <w:tc>
          <w:tcPr>
            <w:tcW w:w="1919" w:type="dxa"/>
            <w:tcBorders>
              <w:top w:val="nil"/>
              <w:left w:val="nil"/>
              <w:bottom w:val="single" w:sz="8" w:space="0" w:color="auto"/>
              <w:right w:val="single" w:sz="8" w:space="0" w:color="auto"/>
            </w:tcBorders>
            <w:vAlign w:val="center"/>
            <w:hideMark/>
          </w:tcPr>
          <w:p w14:paraId="4D4EF33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ELITE INGENIEROS SAS</w:t>
            </w:r>
          </w:p>
        </w:tc>
        <w:tc>
          <w:tcPr>
            <w:tcW w:w="817" w:type="dxa"/>
            <w:tcBorders>
              <w:top w:val="nil"/>
              <w:left w:val="nil"/>
              <w:bottom w:val="single" w:sz="8" w:space="0" w:color="auto"/>
              <w:right w:val="single" w:sz="8" w:space="0" w:color="auto"/>
            </w:tcBorders>
            <w:vAlign w:val="center"/>
            <w:hideMark/>
          </w:tcPr>
          <w:p w14:paraId="68D5DD2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2,78</w:t>
            </w:r>
          </w:p>
        </w:tc>
        <w:tc>
          <w:tcPr>
            <w:tcW w:w="1271" w:type="dxa"/>
            <w:tcBorders>
              <w:top w:val="nil"/>
              <w:left w:val="nil"/>
              <w:bottom w:val="single" w:sz="8" w:space="0" w:color="auto"/>
              <w:right w:val="single" w:sz="8" w:space="0" w:color="auto"/>
            </w:tcBorders>
            <w:vAlign w:val="center"/>
            <w:hideMark/>
          </w:tcPr>
          <w:p w14:paraId="6F91D5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w:t>
            </w:r>
          </w:p>
        </w:tc>
        <w:tc>
          <w:tcPr>
            <w:tcW w:w="1190" w:type="dxa"/>
            <w:tcBorders>
              <w:top w:val="nil"/>
              <w:left w:val="nil"/>
              <w:bottom w:val="single" w:sz="8" w:space="0" w:color="auto"/>
              <w:right w:val="single" w:sz="8" w:space="0" w:color="auto"/>
            </w:tcBorders>
            <w:vAlign w:val="center"/>
            <w:hideMark/>
          </w:tcPr>
          <w:p w14:paraId="48C86D6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11,59</w:t>
            </w:r>
          </w:p>
        </w:tc>
        <w:tc>
          <w:tcPr>
            <w:tcW w:w="1099" w:type="dxa"/>
            <w:tcBorders>
              <w:top w:val="nil"/>
              <w:left w:val="nil"/>
              <w:bottom w:val="single" w:sz="8" w:space="0" w:color="auto"/>
              <w:right w:val="single" w:sz="8" w:space="0" w:color="auto"/>
            </w:tcBorders>
            <w:vAlign w:val="center"/>
            <w:hideMark/>
          </w:tcPr>
          <w:p w14:paraId="4C1A5BA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16.052.706</w:t>
            </w:r>
          </w:p>
        </w:tc>
        <w:tc>
          <w:tcPr>
            <w:tcW w:w="1100" w:type="dxa"/>
            <w:tcBorders>
              <w:top w:val="nil"/>
              <w:left w:val="nil"/>
              <w:bottom w:val="single" w:sz="8" w:space="0" w:color="auto"/>
              <w:right w:val="single" w:sz="8" w:space="0" w:color="auto"/>
            </w:tcBorders>
            <w:vAlign w:val="center"/>
            <w:hideMark/>
          </w:tcPr>
          <w:p w14:paraId="2A3A7E2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w:t>
            </w:r>
          </w:p>
        </w:tc>
        <w:tc>
          <w:tcPr>
            <w:tcW w:w="1100" w:type="dxa"/>
            <w:tcBorders>
              <w:top w:val="nil"/>
              <w:left w:val="nil"/>
              <w:bottom w:val="single" w:sz="8" w:space="0" w:color="auto"/>
              <w:right w:val="single" w:sz="8" w:space="0" w:color="auto"/>
            </w:tcBorders>
            <w:vAlign w:val="center"/>
            <w:hideMark/>
          </w:tcPr>
          <w:p w14:paraId="210603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w:t>
            </w:r>
          </w:p>
        </w:tc>
      </w:tr>
      <w:tr w:rsidR="008468B3" w:rsidRPr="008468B3" w14:paraId="7F0834EC" w14:textId="77777777" w:rsidTr="008468B3">
        <w:trPr>
          <w:trHeight w:val="562"/>
        </w:trPr>
        <w:tc>
          <w:tcPr>
            <w:tcW w:w="474" w:type="dxa"/>
            <w:tcBorders>
              <w:top w:val="nil"/>
              <w:left w:val="single" w:sz="8" w:space="0" w:color="auto"/>
              <w:bottom w:val="single" w:sz="8" w:space="0" w:color="auto"/>
              <w:right w:val="single" w:sz="8" w:space="0" w:color="auto"/>
            </w:tcBorders>
            <w:noWrap/>
            <w:vAlign w:val="center"/>
            <w:hideMark/>
          </w:tcPr>
          <w:p w14:paraId="3691765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248</w:t>
            </w:r>
          </w:p>
        </w:tc>
        <w:tc>
          <w:tcPr>
            <w:tcW w:w="1919" w:type="dxa"/>
            <w:tcBorders>
              <w:top w:val="nil"/>
              <w:left w:val="nil"/>
              <w:bottom w:val="single" w:sz="8" w:space="0" w:color="auto"/>
              <w:right w:val="single" w:sz="8" w:space="0" w:color="auto"/>
            </w:tcBorders>
            <w:vAlign w:val="center"/>
            <w:hideMark/>
          </w:tcPr>
          <w:p w14:paraId="0576489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PROMOTORA NUEVO HORIZONTE TABOR SAS</w:t>
            </w:r>
          </w:p>
        </w:tc>
        <w:tc>
          <w:tcPr>
            <w:tcW w:w="817" w:type="dxa"/>
            <w:tcBorders>
              <w:top w:val="nil"/>
              <w:left w:val="nil"/>
              <w:bottom w:val="single" w:sz="8" w:space="0" w:color="auto"/>
              <w:right w:val="single" w:sz="8" w:space="0" w:color="auto"/>
            </w:tcBorders>
            <w:vAlign w:val="center"/>
            <w:hideMark/>
          </w:tcPr>
          <w:p w14:paraId="25CC9A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1,93</w:t>
            </w:r>
          </w:p>
        </w:tc>
        <w:tc>
          <w:tcPr>
            <w:tcW w:w="1271" w:type="dxa"/>
            <w:tcBorders>
              <w:top w:val="nil"/>
              <w:left w:val="nil"/>
              <w:bottom w:val="single" w:sz="8" w:space="0" w:color="auto"/>
              <w:right w:val="single" w:sz="8" w:space="0" w:color="auto"/>
            </w:tcBorders>
            <w:vAlign w:val="center"/>
            <w:hideMark/>
          </w:tcPr>
          <w:p w14:paraId="355ACC2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80%</w:t>
            </w:r>
          </w:p>
        </w:tc>
        <w:tc>
          <w:tcPr>
            <w:tcW w:w="1190" w:type="dxa"/>
            <w:tcBorders>
              <w:top w:val="nil"/>
              <w:left w:val="nil"/>
              <w:bottom w:val="single" w:sz="8" w:space="0" w:color="auto"/>
              <w:right w:val="single" w:sz="8" w:space="0" w:color="auto"/>
            </w:tcBorders>
            <w:vAlign w:val="center"/>
            <w:hideMark/>
          </w:tcPr>
          <w:p w14:paraId="775640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2F9C87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382.356</w:t>
            </w:r>
          </w:p>
        </w:tc>
        <w:tc>
          <w:tcPr>
            <w:tcW w:w="1100" w:type="dxa"/>
            <w:tcBorders>
              <w:top w:val="nil"/>
              <w:left w:val="nil"/>
              <w:bottom w:val="single" w:sz="8" w:space="0" w:color="auto"/>
              <w:right w:val="single" w:sz="8" w:space="0" w:color="auto"/>
            </w:tcBorders>
            <w:vAlign w:val="center"/>
            <w:hideMark/>
          </w:tcPr>
          <w:p w14:paraId="038B3E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0FF682E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7B6B0CD" w14:textId="77777777" w:rsidTr="008468B3">
        <w:trPr>
          <w:trHeight w:val="603"/>
        </w:trPr>
        <w:tc>
          <w:tcPr>
            <w:tcW w:w="474" w:type="dxa"/>
            <w:tcBorders>
              <w:top w:val="nil"/>
              <w:left w:val="single" w:sz="8" w:space="0" w:color="auto"/>
              <w:bottom w:val="single" w:sz="8" w:space="0" w:color="auto"/>
              <w:right w:val="single" w:sz="8" w:space="0" w:color="auto"/>
            </w:tcBorders>
            <w:noWrap/>
            <w:vAlign w:val="center"/>
            <w:hideMark/>
          </w:tcPr>
          <w:p w14:paraId="78E348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249</w:t>
            </w:r>
          </w:p>
        </w:tc>
        <w:tc>
          <w:tcPr>
            <w:tcW w:w="1919" w:type="dxa"/>
            <w:tcBorders>
              <w:top w:val="nil"/>
              <w:left w:val="nil"/>
              <w:bottom w:val="single" w:sz="8" w:space="0" w:color="auto"/>
              <w:right w:val="single" w:sz="8" w:space="0" w:color="auto"/>
            </w:tcBorders>
            <w:vAlign w:val="center"/>
            <w:hideMark/>
          </w:tcPr>
          <w:p w14:paraId="42653A5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COMFICA SOLUCIONES INTEGRALES SL SUCURSAL COLOMBIA</w:t>
            </w:r>
          </w:p>
        </w:tc>
        <w:tc>
          <w:tcPr>
            <w:tcW w:w="817" w:type="dxa"/>
            <w:tcBorders>
              <w:top w:val="nil"/>
              <w:left w:val="nil"/>
              <w:bottom w:val="single" w:sz="8" w:space="0" w:color="auto"/>
              <w:right w:val="single" w:sz="8" w:space="0" w:color="auto"/>
            </w:tcBorders>
            <w:vAlign w:val="center"/>
            <w:hideMark/>
          </w:tcPr>
          <w:p w14:paraId="407C52A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1,09</w:t>
            </w:r>
          </w:p>
        </w:tc>
        <w:tc>
          <w:tcPr>
            <w:tcW w:w="1271" w:type="dxa"/>
            <w:tcBorders>
              <w:top w:val="nil"/>
              <w:left w:val="nil"/>
              <w:bottom w:val="single" w:sz="8" w:space="0" w:color="auto"/>
              <w:right w:val="single" w:sz="8" w:space="0" w:color="auto"/>
            </w:tcBorders>
            <w:vAlign w:val="center"/>
            <w:hideMark/>
          </w:tcPr>
          <w:p w14:paraId="7C7BC7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79%</w:t>
            </w:r>
          </w:p>
        </w:tc>
        <w:tc>
          <w:tcPr>
            <w:tcW w:w="1190" w:type="dxa"/>
            <w:tcBorders>
              <w:top w:val="nil"/>
              <w:left w:val="nil"/>
              <w:bottom w:val="single" w:sz="8" w:space="0" w:color="auto"/>
              <w:right w:val="single" w:sz="8" w:space="0" w:color="auto"/>
            </w:tcBorders>
            <w:vAlign w:val="center"/>
            <w:hideMark/>
          </w:tcPr>
          <w:p w14:paraId="3395FD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-0,36</w:t>
            </w:r>
          </w:p>
        </w:tc>
        <w:tc>
          <w:tcPr>
            <w:tcW w:w="1099" w:type="dxa"/>
            <w:tcBorders>
              <w:top w:val="nil"/>
              <w:left w:val="nil"/>
              <w:bottom w:val="single" w:sz="8" w:space="0" w:color="auto"/>
              <w:right w:val="single" w:sz="8" w:space="0" w:color="auto"/>
            </w:tcBorders>
            <w:vAlign w:val="center"/>
            <w:hideMark/>
          </w:tcPr>
          <w:p w14:paraId="1C25D32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1.078.224</w:t>
            </w:r>
          </w:p>
        </w:tc>
        <w:tc>
          <w:tcPr>
            <w:tcW w:w="1100" w:type="dxa"/>
            <w:tcBorders>
              <w:top w:val="nil"/>
              <w:left w:val="nil"/>
              <w:bottom w:val="single" w:sz="8" w:space="0" w:color="auto"/>
              <w:right w:val="single" w:sz="8" w:space="0" w:color="auto"/>
            </w:tcBorders>
            <w:vAlign w:val="center"/>
            <w:hideMark/>
          </w:tcPr>
          <w:p w14:paraId="7221FD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1D0D710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442289CC" w14:textId="77777777" w:rsidTr="008468B3">
        <w:trPr>
          <w:trHeight w:val="901"/>
        </w:trPr>
        <w:tc>
          <w:tcPr>
            <w:tcW w:w="474" w:type="dxa"/>
            <w:tcBorders>
              <w:top w:val="nil"/>
              <w:left w:val="single" w:sz="8" w:space="0" w:color="auto"/>
              <w:bottom w:val="single" w:sz="8" w:space="0" w:color="auto"/>
              <w:right w:val="single" w:sz="8" w:space="0" w:color="auto"/>
            </w:tcBorders>
            <w:noWrap/>
            <w:vAlign w:val="center"/>
            <w:hideMark/>
          </w:tcPr>
          <w:p w14:paraId="26A981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250</w:t>
            </w:r>
          </w:p>
        </w:tc>
        <w:tc>
          <w:tcPr>
            <w:tcW w:w="1919" w:type="dxa"/>
            <w:tcBorders>
              <w:top w:val="nil"/>
              <w:left w:val="nil"/>
              <w:bottom w:val="single" w:sz="8" w:space="0" w:color="auto"/>
              <w:right w:val="single" w:sz="8" w:space="0" w:color="auto"/>
            </w:tcBorders>
            <w:vAlign w:val="center"/>
            <w:hideMark/>
          </w:tcPr>
          <w:p w14:paraId="4FD3AA6A"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CARLOS E VALENCIA INGENIERIA SAS EN REORGANIZACION ABREVIADA</w:t>
            </w:r>
          </w:p>
        </w:tc>
        <w:tc>
          <w:tcPr>
            <w:tcW w:w="817" w:type="dxa"/>
            <w:tcBorders>
              <w:top w:val="nil"/>
              <w:left w:val="nil"/>
              <w:bottom w:val="single" w:sz="8" w:space="0" w:color="auto"/>
              <w:right w:val="single" w:sz="8" w:space="0" w:color="auto"/>
            </w:tcBorders>
            <w:vAlign w:val="center"/>
            <w:hideMark/>
          </w:tcPr>
          <w:p w14:paraId="063D8D1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0,99</w:t>
            </w:r>
          </w:p>
        </w:tc>
        <w:tc>
          <w:tcPr>
            <w:tcW w:w="1271" w:type="dxa"/>
            <w:tcBorders>
              <w:top w:val="nil"/>
              <w:left w:val="nil"/>
              <w:bottom w:val="single" w:sz="8" w:space="0" w:color="auto"/>
              <w:right w:val="single" w:sz="8" w:space="0" w:color="auto"/>
            </w:tcBorders>
            <w:vAlign w:val="center"/>
            <w:hideMark/>
          </w:tcPr>
          <w:p w14:paraId="025B34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w:t>
            </w:r>
          </w:p>
        </w:tc>
        <w:tc>
          <w:tcPr>
            <w:tcW w:w="1190" w:type="dxa"/>
            <w:tcBorders>
              <w:top w:val="nil"/>
              <w:left w:val="nil"/>
              <w:bottom w:val="single" w:sz="8" w:space="0" w:color="auto"/>
              <w:right w:val="single" w:sz="8" w:space="0" w:color="auto"/>
            </w:tcBorders>
            <w:vAlign w:val="center"/>
            <w:hideMark/>
          </w:tcPr>
          <w:p w14:paraId="7FFAF23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-0,26</w:t>
            </w:r>
          </w:p>
        </w:tc>
        <w:tc>
          <w:tcPr>
            <w:tcW w:w="1099" w:type="dxa"/>
            <w:tcBorders>
              <w:top w:val="nil"/>
              <w:left w:val="nil"/>
              <w:bottom w:val="single" w:sz="8" w:space="0" w:color="auto"/>
              <w:right w:val="single" w:sz="8" w:space="0" w:color="auto"/>
            </w:tcBorders>
            <w:vAlign w:val="center"/>
            <w:hideMark/>
          </w:tcPr>
          <w:p w14:paraId="592AF34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-11.839</w:t>
            </w:r>
          </w:p>
        </w:tc>
        <w:tc>
          <w:tcPr>
            <w:tcW w:w="1100" w:type="dxa"/>
            <w:tcBorders>
              <w:top w:val="nil"/>
              <w:left w:val="nil"/>
              <w:bottom w:val="single" w:sz="8" w:space="0" w:color="auto"/>
              <w:right w:val="single" w:sz="8" w:space="0" w:color="auto"/>
            </w:tcBorders>
            <w:vAlign w:val="center"/>
            <w:hideMark/>
          </w:tcPr>
          <w:p w14:paraId="5FC4170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00B53E4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4B25C6DD"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C0D41C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251</w:t>
            </w:r>
          </w:p>
        </w:tc>
        <w:tc>
          <w:tcPr>
            <w:tcW w:w="1919" w:type="dxa"/>
            <w:tcBorders>
              <w:top w:val="nil"/>
              <w:left w:val="nil"/>
              <w:bottom w:val="single" w:sz="8" w:space="0" w:color="auto"/>
              <w:right w:val="single" w:sz="8" w:space="0" w:color="auto"/>
            </w:tcBorders>
            <w:vAlign w:val="center"/>
            <w:hideMark/>
          </w:tcPr>
          <w:p w14:paraId="23A27A5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ENCLAVE CONSTRUCCIONES SAS</w:t>
            </w:r>
          </w:p>
        </w:tc>
        <w:tc>
          <w:tcPr>
            <w:tcW w:w="817" w:type="dxa"/>
            <w:tcBorders>
              <w:top w:val="nil"/>
              <w:left w:val="nil"/>
              <w:bottom w:val="single" w:sz="8" w:space="0" w:color="auto"/>
              <w:right w:val="single" w:sz="8" w:space="0" w:color="auto"/>
            </w:tcBorders>
            <w:vAlign w:val="center"/>
            <w:hideMark/>
          </w:tcPr>
          <w:p w14:paraId="2B3B404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0,64</w:t>
            </w:r>
          </w:p>
        </w:tc>
        <w:tc>
          <w:tcPr>
            <w:tcW w:w="1271" w:type="dxa"/>
            <w:tcBorders>
              <w:top w:val="nil"/>
              <w:left w:val="nil"/>
              <w:bottom w:val="single" w:sz="8" w:space="0" w:color="auto"/>
              <w:right w:val="single" w:sz="8" w:space="0" w:color="auto"/>
            </w:tcBorders>
            <w:vAlign w:val="center"/>
            <w:hideMark/>
          </w:tcPr>
          <w:p w14:paraId="1B1DCF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158%</w:t>
            </w:r>
          </w:p>
        </w:tc>
        <w:tc>
          <w:tcPr>
            <w:tcW w:w="1190" w:type="dxa"/>
            <w:tcBorders>
              <w:top w:val="nil"/>
              <w:left w:val="nil"/>
              <w:bottom w:val="single" w:sz="8" w:space="0" w:color="auto"/>
              <w:right w:val="single" w:sz="8" w:space="0" w:color="auto"/>
            </w:tcBorders>
            <w:vAlign w:val="center"/>
            <w:hideMark/>
          </w:tcPr>
          <w:p w14:paraId="61A443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-52,98</w:t>
            </w:r>
          </w:p>
        </w:tc>
        <w:tc>
          <w:tcPr>
            <w:tcW w:w="1099" w:type="dxa"/>
            <w:tcBorders>
              <w:top w:val="nil"/>
              <w:left w:val="nil"/>
              <w:bottom w:val="single" w:sz="8" w:space="0" w:color="auto"/>
              <w:right w:val="single" w:sz="8" w:space="0" w:color="auto"/>
            </w:tcBorders>
            <w:vAlign w:val="center"/>
            <w:hideMark/>
          </w:tcPr>
          <w:p w14:paraId="75B03F5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-4.555.578</w:t>
            </w:r>
          </w:p>
        </w:tc>
        <w:tc>
          <w:tcPr>
            <w:tcW w:w="1100" w:type="dxa"/>
            <w:tcBorders>
              <w:top w:val="nil"/>
              <w:left w:val="nil"/>
              <w:bottom w:val="single" w:sz="8" w:space="0" w:color="auto"/>
              <w:right w:val="single" w:sz="8" w:space="0" w:color="auto"/>
            </w:tcBorders>
            <w:vAlign w:val="center"/>
            <w:hideMark/>
          </w:tcPr>
          <w:p w14:paraId="057C1F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c>
          <w:tcPr>
            <w:tcW w:w="1100" w:type="dxa"/>
            <w:tcBorders>
              <w:top w:val="nil"/>
              <w:left w:val="nil"/>
              <w:bottom w:val="single" w:sz="8" w:space="0" w:color="auto"/>
              <w:right w:val="single" w:sz="8" w:space="0" w:color="auto"/>
            </w:tcBorders>
            <w:vAlign w:val="center"/>
            <w:hideMark/>
          </w:tcPr>
          <w:p w14:paraId="05CE01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30EEEC0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34AFB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252</w:t>
            </w:r>
          </w:p>
        </w:tc>
        <w:tc>
          <w:tcPr>
            <w:tcW w:w="1919" w:type="dxa"/>
            <w:tcBorders>
              <w:top w:val="nil"/>
              <w:left w:val="nil"/>
              <w:bottom w:val="single" w:sz="8" w:space="0" w:color="auto"/>
              <w:right w:val="single" w:sz="8" w:space="0" w:color="auto"/>
            </w:tcBorders>
            <w:vAlign w:val="center"/>
            <w:hideMark/>
          </w:tcPr>
          <w:p w14:paraId="6E95C6D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PROMOTORA INMOBILIARIA BHARI SAS</w:t>
            </w:r>
          </w:p>
        </w:tc>
        <w:tc>
          <w:tcPr>
            <w:tcW w:w="817" w:type="dxa"/>
            <w:tcBorders>
              <w:top w:val="nil"/>
              <w:left w:val="nil"/>
              <w:bottom w:val="single" w:sz="8" w:space="0" w:color="auto"/>
              <w:right w:val="single" w:sz="8" w:space="0" w:color="auto"/>
            </w:tcBorders>
            <w:vAlign w:val="center"/>
            <w:hideMark/>
          </w:tcPr>
          <w:p w14:paraId="02F981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25,72</w:t>
            </w:r>
          </w:p>
        </w:tc>
        <w:tc>
          <w:tcPr>
            <w:tcW w:w="1271" w:type="dxa"/>
            <w:tcBorders>
              <w:top w:val="nil"/>
              <w:left w:val="nil"/>
              <w:bottom w:val="single" w:sz="8" w:space="0" w:color="auto"/>
              <w:right w:val="single" w:sz="8" w:space="0" w:color="auto"/>
            </w:tcBorders>
            <w:vAlign w:val="center"/>
            <w:hideMark/>
          </w:tcPr>
          <w:p w14:paraId="38DD2A6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103%</w:t>
            </w:r>
          </w:p>
        </w:tc>
        <w:tc>
          <w:tcPr>
            <w:tcW w:w="1190" w:type="dxa"/>
            <w:tcBorders>
              <w:top w:val="nil"/>
              <w:left w:val="nil"/>
              <w:bottom w:val="single" w:sz="8" w:space="0" w:color="auto"/>
              <w:right w:val="single" w:sz="8" w:space="0" w:color="auto"/>
            </w:tcBorders>
            <w:vAlign w:val="center"/>
            <w:hideMark/>
          </w:tcPr>
          <w:p w14:paraId="17B0C52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-13,04</w:t>
            </w:r>
          </w:p>
        </w:tc>
        <w:tc>
          <w:tcPr>
            <w:tcW w:w="1099" w:type="dxa"/>
            <w:tcBorders>
              <w:top w:val="nil"/>
              <w:left w:val="nil"/>
              <w:bottom w:val="single" w:sz="8" w:space="0" w:color="auto"/>
              <w:right w:val="single" w:sz="8" w:space="0" w:color="auto"/>
            </w:tcBorders>
            <w:vAlign w:val="center"/>
            <w:hideMark/>
          </w:tcPr>
          <w:p w14:paraId="738947A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314.997</w:t>
            </w:r>
          </w:p>
        </w:tc>
        <w:tc>
          <w:tcPr>
            <w:tcW w:w="1100" w:type="dxa"/>
            <w:tcBorders>
              <w:top w:val="nil"/>
              <w:left w:val="nil"/>
              <w:bottom w:val="single" w:sz="8" w:space="0" w:color="auto"/>
              <w:right w:val="single" w:sz="8" w:space="0" w:color="auto"/>
            </w:tcBorders>
            <w:vAlign w:val="center"/>
            <w:hideMark/>
          </w:tcPr>
          <w:p w14:paraId="748FD37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4CB0AD2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C8DE5E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8E0EFD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253</w:t>
            </w:r>
          </w:p>
        </w:tc>
        <w:tc>
          <w:tcPr>
            <w:tcW w:w="1919" w:type="dxa"/>
            <w:tcBorders>
              <w:top w:val="nil"/>
              <w:left w:val="nil"/>
              <w:bottom w:val="single" w:sz="8" w:space="0" w:color="auto"/>
              <w:right w:val="single" w:sz="8" w:space="0" w:color="auto"/>
            </w:tcBorders>
            <w:vAlign w:val="center"/>
            <w:hideMark/>
          </w:tcPr>
          <w:p w14:paraId="485D6F7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ALVARO CALDERON TORO SAS</w:t>
            </w:r>
          </w:p>
        </w:tc>
        <w:tc>
          <w:tcPr>
            <w:tcW w:w="817" w:type="dxa"/>
            <w:tcBorders>
              <w:top w:val="nil"/>
              <w:left w:val="nil"/>
              <w:bottom w:val="single" w:sz="8" w:space="0" w:color="auto"/>
              <w:right w:val="single" w:sz="8" w:space="0" w:color="auto"/>
            </w:tcBorders>
            <w:vAlign w:val="center"/>
            <w:hideMark/>
          </w:tcPr>
          <w:p w14:paraId="4389B4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5,28</w:t>
            </w:r>
          </w:p>
        </w:tc>
        <w:tc>
          <w:tcPr>
            <w:tcW w:w="1271" w:type="dxa"/>
            <w:tcBorders>
              <w:top w:val="nil"/>
              <w:left w:val="nil"/>
              <w:bottom w:val="single" w:sz="8" w:space="0" w:color="auto"/>
              <w:right w:val="single" w:sz="8" w:space="0" w:color="auto"/>
            </w:tcBorders>
            <w:vAlign w:val="center"/>
            <w:hideMark/>
          </w:tcPr>
          <w:p w14:paraId="14D964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80%</w:t>
            </w:r>
          </w:p>
        </w:tc>
        <w:tc>
          <w:tcPr>
            <w:tcW w:w="1190" w:type="dxa"/>
            <w:tcBorders>
              <w:top w:val="nil"/>
              <w:left w:val="nil"/>
              <w:bottom w:val="single" w:sz="8" w:space="0" w:color="auto"/>
              <w:right w:val="single" w:sz="8" w:space="0" w:color="auto"/>
            </w:tcBorders>
            <w:vAlign w:val="center"/>
            <w:hideMark/>
          </w:tcPr>
          <w:p w14:paraId="72EA86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A3273A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3.056.153</w:t>
            </w:r>
          </w:p>
        </w:tc>
        <w:tc>
          <w:tcPr>
            <w:tcW w:w="1100" w:type="dxa"/>
            <w:tcBorders>
              <w:top w:val="nil"/>
              <w:left w:val="nil"/>
              <w:bottom w:val="single" w:sz="8" w:space="0" w:color="auto"/>
              <w:right w:val="single" w:sz="8" w:space="0" w:color="auto"/>
            </w:tcBorders>
            <w:vAlign w:val="center"/>
            <w:hideMark/>
          </w:tcPr>
          <w:p w14:paraId="6C8CD3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c>
          <w:tcPr>
            <w:tcW w:w="1100" w:type="dxa"/>
            <w:tcBorders>
              <w:top w:val="nil"/>
              <w:left w:val="nil"/>
              <w:bottom w:val="single" w:sz="8" w:space="0" w:color="auto"/>
              <w:right w:val="single" w:sz="8" w:space="0" w:color="auto"/>
            </w:tcBorders>
            <w:vAlign w:val="center"/>
            <w:hideMark/>
          </w:tcPr>
          <w:p w14:paraId="71A6F18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2C6A7068"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AB87D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254</w:t>
            </w:r>
          </w:p>
        </w:tc>
        <w:tc>
          <w:tcPr>
            <w:tcW w:w="1919" w:type="dxa"/>
            <w:tcBorders>
              <w:top w:val="nil"/>
              <w:left w:val="nil"/>
              <w:bottom w:val="single" w:sz="8" w:space="0" w:color="auto"/>
              <w:right w:val="single" w:sz="8" w:space="0" w:color="auto"/>
            </w:tcBorders>
            <w:vAlign w:val="center"/>
            <w:hideMark/>
          </w:tcPr>
          <w:p w14:paraId="72B8F06A"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CONSTRUREDES GRUPO GOMEZ S A S</w:t>
            </w:r>
          </w:p>
        </w:tc>
        <w:tc>
          <w:tcPr>
            <w:tcW w:w="817" w:type="dxa"/>
            <w:tcBorders>
              <w:top w:val="nil"/>
              <w:left w:val="nil"/>
              <w:bottom w:val="single" w:sz="8" w:space="0" w:color="auto"/>
              <w:right w:val="single" w:sz="8" w:space="0" w:color="auto"/>
            </w:tcBorders>
            <w:vAlign w:val="center"/>
            <w:hideMark/>
          </w:tcPr>
          <w:p w14:paraId="3BEC0B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1,48</w:t>
            </w:r>
          </w:p>
        </w:tc>
        <w:tc>
          <w:tcPr>
            <w:tcW w:w="1271" w:type="dxa"/>
            <w:tcBorders>
              <w:top w:val="nil"/>
              <w:left w:val="nil"/>
              <w:bottom w:val="single" w:sz="8" w:space="0" w:color="auto"/>
              <w:right w:val="single" w:sz="8" w:space="0" w:color="auto"/>
            </w:tcBorders>
            <w:vAlign w:val="center"/>
            <w:hideMark/>
          </w:tcPr>
          <w:p w14:paraId="69886E0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w:t>
            </w:r>
          </w:p>
        </w:tc>
        <w:tc>
          <w:tcPr>
            <w:tcW w:w="1190" w:type="dxa"/>
            <w:tcBorders>
              <w:top w:val="nil"/>
              <w:left w:val="nil"/>
              <w:bottom w:val="single" w:sz="8" w:space="0" w:color="auto"/>
              <w:right w:val="single" w:sz="8" w:space="0" w:color="auto"/>
            </w:tcBorders>
            <w:vAlign w:val="center"/>
            <w:hideMark/>
          </w:tcPr>
          <w:p w14:paraId="31F199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3,52</w:t>
            </w:r>
          </w:p>
        </w:tc>
        <w:tc>
          <w:tcPr>
            <w:tcW w:w="1099" w:type="dxa"/>
            <w:tcBorders>
              <w:top w:val="nil"/>
              <w:left w:val="nil"/>
              <w:bottom w:val="single" w:sz="8" w:space="0" w:color="auto"/>
              <w:right w:val="single" w:sz="8" w:space="0" w:color="auto"/>
            </w:tcBorders>
            <w:vAlign w:val="center"/>
            <w:hideMark/>
          </w:tcPr>
          <w:p w14:paraId="1CAABFF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1.108.643</w:t>
            </w:r>
          </w:p>
        </w:tc>
        <w:tc>
          <w:tcPr>
            <w:tcW w:w="1100" w:type="dxa"/>
            <w:tcBorders>
              <w:top w:val="nil"/>
              <w:left w:val="nil"/>
              <w:bottom w:val="single" w:sz="8" w:space="0" w:color="auto"/>
              <w:right w:val="single" w:sz="8" w:space="0" w:color="auto"/>
            </w:tcBorders>
            <w:vAlign w:val="center"/>
            <w:hideMark/>
          </w:tcPr>
          <w:p w14:paraId="5D940AC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w:t>
            </w:r>
          </w:p>
        </w:tc>
        <w:tc>
          <w:tcPr>
            <w:tcW w:w="1100" w:type="dxa"/>
            <w:tcBorders>
              <w:top w:val="nil"/>
              <w:left w:val="nil"/>
              <w:bottom w:val="single" w:sz="8" w:space="0" w:color="auto"/>
              <w:right w:val="single" w:sz="8" w:space="0" w:color="auto"/>
            </w:tcBorders>
            <w:vAlign w:val="center"/>
            <w:hideMark/>
          </w:tcPr>
          <w:p w14:paraId="136F35A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6A09671B"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A6721B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255</w:t>
            </w:r>
          </w:p>
        </w:tc>
        <w:tc>
          <w:tcPr>
            <w:tcW w:w="1919" w:type="dxa"/>
            <w:tcBorders>
              <w:top w:val="nil"/>
              <w:left w:val="nil"/>
              <w:bottom w:val="single" w:sz="8" w:space="0" w:color="auto"/>
              <w:right w:val="single" w:sz="8" w:space="0" w:color="auto"/>
            </w:tcBorders>
            <w:vAlign w:val="center"/>
            <w:hideMark/>
          </w:tcPr>
          <w:p w14:paraId="318564D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CCHAYA SAS</w:t>
            </w:r>
          </w:p>
        </w:tc>
        <w:tc>
          <w:tcPr>
            <w:tcW w:w="817" w:type="dxa"/>
            <w:tcBorders>
              <w:top w:val="nil"/>
              <w:left w:val="nil"/>
              <w:bottom w:val="single" w:sz="8" w:space="0" w:color="auto"/>
              <w:right w:val="single" w:sz="8" w:space="0" w:color="auto"/>
            </w:tcBorders>
            <w:vAlign w:val="center"/>
            <w:hideMark/>
          </w:tcPr>
          <w:p w14:paraId="657958A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1,64</w:t>
            </w:r>
          </w:p>
        </w:tc>
        <w:tc>
          <w:tcPr>
            <w:tcW w:w="1271" w:type="dxa"/>
            <w:tcBorders>
              <w:top w:val="nil"/>
              <w:left w:val="nil"/>
              <w:bottom w:val="single" w:sz="8" w:space="0" w:color="auto"/>
              <w:right w:val="single" w:sz="8" w:space="0" w:color="auto"/>
            </w:tcBorders>
            <w:vAlign w:val="center"/>
            <w:hideMark/>
          </w:tcPr>
          <w:p w14:paraId="7B4AD7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71%</w:t>
            </w:r>
          </w:p>
        </w:tc>
        <w:tc>
          <w:tcPr>
            <w:tcW w:w="1190" w:type="dxa"/>
            <w:tcBorders>
              <w:top w:val="nil"/>
              <w:left w:val="nil"/>
              <w:bottom w:val="single" w:sz="8" w:space="0" w:color="auto"/>
              <w:right w:val="single" w:sz="8" w:space="0" w:color="auto"/>
            </w:tcBorders>
            <w:vAlign w:val="center"/>
            <w:hideMark/>
          </w:tcPr>
          <w:p w14:paraId="0135A6D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24E50A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1.220.158</w:t>
            </w:r>
          </w:p>
        </w:tc>
        <w:tc>
          <w:tcPr>
            <w:tcW w:w="1100" w:type="dxa"/>
            <w:tcBorders>
              <w:top w:val="nil"/>
              <w:left w:val="nil"/>
              <w:bottom w:val="single" w:sz="8" w:space="0" w:color="auto"/>
              <w:right w:val="single" w:sz="8" w:space="0" w:color="auto"/>
            </w:tcBorders>
            <w:vAlign w:val="center"/>
            <w:hideMark/>
          </w:tcPr>
          <w:p w14:paraId="117932F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c>
          <w:tcPr>
            <w:tcW w:w="1100" w:type="dxa"/>
            <w:tcBorders>
              <w:top w:val="nil"/>
              <w:left w:val="nil"/>
              <w:bottom w:val="single" w:sz="8" w:space="0" w:color="auto"/>
              <w:right w:val="single" w:sz="8" w:space="0" w:color="auto"/>
            </w:tcBorders>
            <w:vAlign w:val="center"/>
            <w:hideMark/>
          </w:tcPr>
          <w:p w14:paraId="71A535A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563D5533"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5C5680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256</w:t>
            </w:r>
          </w:p>
        </w:tc>
        <w:tc>
          <w:tcPr>
            <w:tcW w:w="1919" w:type="dxa"/>
            <w:tcBorders>
              <w:top w:val="nil"/>
              <w:left w:val="nil"/>
              <w:bottom w:val="single" w:sz="8" w:space="0" w:color="auto"/>
              <w:right w:val="single" w:sz="8" w:space="0" w:color="auto"/>
            </w:tcBorders>
            <w:vAlign w:val="center"/>
            <w:hideMark/>
          </w:tcPr>
          <w:p w14:paraId="013499A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MANTENIMIENTOS GENERALES COMPANY SAS</w:t>
            </w:r>
          </w:p>
        </w:tc>
        <w:tc>
          <w:tcPr>
            <w:tcW w:w="817" w:type="dxa"/>
            <w:tcBorders>
              <w:top w:val="nil"/>
              <w:left w:val="nil"/>
              <w:bottom w:val="single" w:sz="8" w:space="0" w:color="auto"/>
              <w:right w:val="single" w:sz="8" w:space="0" w:color="auto"/>
            </w:tcBorders>
            <w:vAlign w:val="center"/>
            <w:hideMark/>
          </w:tcPr>
          <w:p w14:paraId="59F67B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26,19</w:t>
            </w:r>
          </w:p>
        </w:tc>
        <w:tc>
          <w:tcPr>
            <w:tcW w:w="1271" w:type="dxa"/>
            <w:tcBorders>
              <w:top w:val="nil"/>
              <w:left w:val="nil"/>
              <w:bottom w:val="single" w:sz="8" w:space="0" w:color="auto"/>
              <w:right w:val="single" w:sz="8" w:space="0" w:color="auto"/>
            </w:tcBorders>
            <w:vAlign w:val="center"/>
            <w:hideMark/>
          </w:tcPr>
          <w:p w14:paraId="5FDD3E1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w:t>
            </w:r>
          </w:p>
        </w:tc>
        <w:tc>
          <w:tcPr>
            <w:tcW w:w="1190" w:type="dxa"/>
            <w:tcBorders>
              <w:top w:val="nil"/>
              <w:left w:val="nil"/>
              <w:bottom w:val="single" w:sz="8" w:space="0" w:color="auto"/>
              <w:right w:val="single" w:sz="8" w:space="0" w:color="auto"/>
            </w:tcBorders>
            <w:vAlign w:val="center"/>
            <w:hideMark/>
          </w:tcPr>
          <w:p w14:paraId="45A476D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0,34</w:t>
            </w:r>
          </w:p>
        </w:tc>
        <w:tc>
          <w:tcPr>
            <w:tcW w:w="1099" w:type="dxa"/>
            <w:tcBorders>
              <w:top w:val="nil"/>
              <w:left w:val="nil"/>
              <w:bottom w:val="single" w:sz="8" w:space="0" w:color="auto"/>
              <w:right w:val="single" w:sz="8" w:space="0" w:color="auto"/>
            </w:tcBorders>
            <w:vAlign w:val="center"/>
            <w:hideMark/>
          </w:tcPr>
          <w:p w14:paraId="516EDDB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4.649.770</w:t>
            </w:r>
          </w:p>
        </w:tc>
        <w:tc>
          <w:tcPr>
            <w:tcW w:w="1100" w:type="dxa"/>
            <w:tcBorders>
              <w:top w:val="nil"/>
              <w:left w:val="nil"/>
              <w:bottom w:val="single" w:sz="8" w:space="0" w:color="auto"/>
              <w:right w:val="single" w:sz="8" w:space="0" w:color="auto"/>
            </w:tcBorders>
            <w:vAlign w:val="center"/>
            <w:hideMark/>
          </w:tcPr>
          <w:p w14:paraId="253C41E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13B9B4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3195EBA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9FA76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257</w:t>
            </w:r>
          </w:p>
        </w:tc>
        <w:tc>
          <w:tcPr>
            <w:tcW w:w="1919" w:type="dxa"/>
            <w:tcBorders>
              <w:top w:val="nil"/>
              <w:left w:val="nil"/>
              <w:bottom w:val="single" w:sz="8" w:space="0" w:color="auto"/>
              <w:right w:val="single" w:sz="8" w:space="0" w:color="auto"/>
            </w:tcBorders>
            <w:vAlign w:val="center"/>
            <w:hideMark/>
          </w:tcPr>
          <w:p w14:paraId="68AA427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SKALA 1.1 INGENIERIA SAS</w:t>
            </w:r>
          </w:p>
        </w:tc>
        <w:tc>
          <w:tcPr>
            <w:tcW w:w="817" w:type="dxa"/>
            <w:tcBorders>
              <w:top w:val="nil"/>
              <w:left w:val="nil"/>
              <w:bottom w:val="single" w:sz="8" w:space="0" w:color="auto"/>
              <w:right w:val="single" w:sz="8" w:space="0" w:color="auto"/>
            </w:tcBorders>
            <w:vAlign w:val="center"/>
            <w:hideMark/>
          </w:tcPr>
          <w:p w14:paraId="66C4E19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1,58</w:t>
            </w:r>
          </w:p>
        </w:tc>
        <w:tc>
          <w:tcPr>
            <w:tcW w:w="1271" w:type="dxa"/>
            <w:tcBorders>
              <w:top w:val="nil"/>
              <w:left w:val="nil"/>
              <w:bottom w:val="single" w:sz="8" w:space="0" w:color="auto"/>
              <w:right w:val="single" w:sz="8" w:space="0" w:color="auto"/>
            </w:tcBorders>
            <w:vAlign w:val="center"/>
            <w:hideMark/>
          </w:tcPr>
          <w:p w14:paraId="2A0E47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w:t>
            </w:r>
          </w:p>
        </w:tc>
        <w:tc>
          <w:tcPr>
            <w:tcW w:w="1190" w:type="dxa"/>
            <w:tcBorders>
              <w:top w:val="nil"/>
              <w:left w:val="nil"/>
              <w:bottom w:val="single" w:sz="8" w:space="0" w:color="auto"/>
              <w:right w:val="single" w:sz="8" w:space="0" w:color="auto"/>
            </w:tcBorders>
            <w:vAlign w:val="center"/>
            <w:hideMark/>
          </w:tcPr>
          <w:p w14:paraId="00E177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4B4D1D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1.828.650</w:t>
            </w:r>
          </w:p>
        </w:tc>
        <w:tc>
          <w:tcPr>
            <w:tcW w:w="1100" w:type="dxa"/>
            <w:tcBorders>
              <w:top w:val="nil"/>
              <w:left w:val="nil"/>
              <w:bottom w:val="single" w:sz="8" w:space="0" w:color="auto"/>
              <w:right w:val="single" w:sz="8" w:space="0" w:color="auto"/>
            </w:tcBorders>
            <w:vAlign w:val="center"/>
            <w:hideMark/>
          </w:tcPr>
          <w:p w14:paraId="07E2E89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2702CD9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w:t>
            </w:r>
          </w:p>
        </w:tc>
      </w:tr>
      <w:tr w:rsidR="008468B3" w:rsidRPr="008468B3" w14:paraId="2CDC5F81"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5F7F33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258</w:t>
            </w:r>
          </w:p>
        </w:tc>
        <w:tc>
          <w:tcPr>
            <w:tcW w:w="1919" w:type="dxa"/>
            <w:tcBorders>
              <w:top w:val="nil"/>
              <w:left w:val="nil"/>
              <w:bottom w:val="single" w:sz="8" w:space="0" w:color="auto"/>
              <w:right w:val="single" w:sz="8" w:space="0" w:color="auto"/>
            </w:tcBorders>
            <w:vAlign w:val="center"/>
            <w:hideMark/>
          </w:tcPr>
          <w:p w14:paraId="2DDB0B5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IPO INTEGRAL DE PROYECTOS DE INGENIERIA SAS</w:t>
            </w:r>
          </w:p>
        </w:tc>
        <w:tc>
          <w:tcPr>
            <w:tcW w:w="817" w:type="dxa"/>
            <w:tcBorders>
              <w:top w:val="nil"/>
              <w:left w:val="nil"/>
              <w:bottom w:val="single" w:sz="8" w:space="0" w:color="auto"/>
              <w:right w:val="single" w:sz="8" w:space="0" w:color="auto"/>
            </w:tcBorders>
            <w:vAlign w:val="center"/>
            <w:hideMark/>
          </w:tcPr>
          <w:p w14:paraId="474E88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2,22</w:t>
            </w:r>
          </w:p>
        </w:tc>
        <w:tc>
          <w:tcPr>
            <w:tcW w:w="1271" w:type="dxa"/>
            <w:tcBorders>
              <w:top w:val="nil"/>
              <w:left w:val="nil"/>
              <w:bottom w:val="single" w:sz="8" w:space="0" w:color="auto"/>
              <w:right w:val="single" w:sz="8" w:space="0" w:color="auto"/>
            </w:tcBorders>
            <w:vAlign w:val="center"/>
            <w:hideMark/>
          </w:tcPr>
          <w:p w14:paraId="2AD2DC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w:t>
            </w:r>
          </w:p>
        </w:tc>
        <w:tc>
          <w:tcPr>
            <w:tcW w:w="1190" w:type="dxa"/>
            <w:tcBorders>
              <w:top w:val="nil"/>
              <w:left w:val="nil"/>
              <w:bottom w:val="single" w:sz="8" w:space="0" w:color="auto"/>
              <w:right w:val="single" w:sz="8" w:space="0" w:color="auto"/>
            </w:tcBorders>
            <w:vAlign w:val="center"/>
            <w:hideMark/>
          </w:tcPr>
          <w:p w14:paraId="766351C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B46241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4.398.366</w:t>
            </w:r>
          </w:p>
        </w:tc>
        <w:tc>
          <w:tcPr>
            <w:tcW w:w="1100" w:type="dxa"/>
            <w:tcBorders>
              <w:top w:val="nil"/>
              <w:left w:val="nil"/>
              <w:bottom w:val="single" w:sz="8" w:space="0" w:color="auto"/>
              <w:right w:val="single" w:sz="8" w:space="0" w:color="auto"/>
            </w:tcBorders>
            <w:vAlign w:val="center"/>
            <w:hideMark/>
          </w:tcPr>
          <w:p w14:paraId="2CE3D2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3B0AEA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w:t>
            </w:r>
          </w:p>
        </w:tc>
      </w:tr>
      <w:tr w:rsidR="008468B3" w:rsidRPr="008468B3" w14:paraId="52E23F7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D48A1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259</w:t>
            </w:r>
          </w:p>
        </w:tc>
        <w:tc>
          <w:tcPr>
            <w:tcW w:w="1919" w:type="dxa"/>
            <w:tcBorders>
              <w:top w:val="nil"/>
              <w:left w:val="nil"/>
              <w:bottom w:val="single" w:sz="8" w:space="0" w:color="auto"/>
              <w:right w:val="single" w:sz="8" w:space="0" w:color="auto"/>
            </w:tcBorders>
            <w:vAlign w:val="center"/>
            <w:hideMark/>
          </w:tcPr>
          <w:p w14:paraId="066C13DF"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LOTOR INGENIERIA SAS</w:t>
            </w:r>
          </w:p>
        </w:tc>
        <w:tc>
          <w:tcPr>
            <w:tcW w:w="817" w:type="dxa"/>
            <w:tcBorders>
              <w:top w:val="nil"/>
              <w:left w:val="nil"/>
              <w:bottom w:val="single" w:sz="8" w:space="0" w:color="auto"/>
              <w:right w:val="single" w:sz="8" w:space="0" w:color="auto"/>
            </w:tcBorders>
            <w:vAlign w:val="center"/>
            <w:hideMark/>
          </w:tcPr>
          <w:p w14:paraId="7B4308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59,52</w:t>
            </w:r>
          </w:p>
        </w:tc>
        <w:tc>
          <w:tcPr>
            <w:tcW w:w="1271" w:type="dxa"/>
            <w:tcBorders>
              <w:top w:val="nil"/>
              <w:left w:val="nil"/>
              <w:bottom w:val="single" w:sz="8" w:space="0" w:color="auto"/>
              <w:right w:val="single" w:sz="8" w:space="0" w:color="auto"/>
            </w:tcBorders>
            <w:vAlign w:val="center"/>
            <w:hideMark/>
          </w:tcPr>
          <w:p w14:paraId="55B1F88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w:t>
            </w:r>
          </w:p>
        </w:tc>
        <w:tc>
          <w:tcPr>
            <w:tcW w:w="1190" w:type="dxa"/>
            <w:tcBorders>
              <w:top w:val="nil"/>
              <w:left w:val="nil"/>
              <w:bottom w:val="single" w:sz="8" w:space="0" w:color="auto"/>
              <w:right w:val="single" w:sz="8" w:space="0" w:color="auto"/>
            </w:tcBorders>
            <w:vAlign w:val="center"/>
            <w:hideMark/>
          </w:tcPr>
          <w:p w14:paraId="2797EE6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AA157A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1.869.198</w:t>
            </w:r>
          </w:p>
        </w:tc>
        <w:tc>
          <w:tcPr>
            <w:tcW w:w="1100" w:type="dxa"/>
            <w:tcBorders>
              <w:top w:val="nil"/>
              <w:left w:val="nil"/>
              <w:bottom w:val="single" w:sz="8" w:space="0" w:color="auto"/>
              <w:right w:val="single" w:sz="8" w:space="0" w:color="auto"/>
            </w:tcBorders>
            <w:vAlign w:val="center"/>
            <w:hideMark/>
          </w:tcPr>
          <w:p w14:paraId="6AABAB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56DF62E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07E5D44C" w14:textId="77777777" w:rsidTr="008468B3">
        <w:trPr>
          <w:trHeight w:val="890"/>
        </w:trPr>
        <w:tc>
          <w:tcPr>
            <w:tcW w:w="474" w:type="dxa"/>
            <w:tcBorders>
              <w:top w:val="nil"/>
              <w:left w:val="single" w:sz="8" w:space="0" w:color="auto"/>
              <w:bottom w:val="single" w:sz="8" w:space="0" w:color="auto"/>
              <w:right w:val="single" w:sz="8" w:space="0" w:color="auto"/>
            </w:tcBorders>
            <w:noWrap/>
            <w:vAlign w:val="center"/>
            <w:hideMark/>
          </w:tcPr>
          <w:p w14:paraId="4CA982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260</w:t>
            </w:r>
          </w:p>
        </w:tc>
        <w:tc>
          <w:tcPr>
            <w:tcW w:w="1919" w:type="dxa"/>
            <w:tcBorders>
              <w:top w:val="nil"/>
              <w:left w:val="nil"/>
              <w:bottom w:val="single" w:sz="8" w:space="0" w:color="auto"/>
              <w:right w:val="single" w:sz="8" w:space="0" w:color="auto"/>
            </w:tcBorders>
            <w:vAlign w:val="center"/>
            <w:hideMark/>
          </w:tcPr>
          <w:p w14:paraId="1DF70980" w14:textId="507F1E83"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 xml:space="preserve">SIMA CONSTRUCCION &amp; CONSULTORIA S.A.S </w:t>
            </w:r>
          </w:p>
        </w:tc>
        <w:tc>
          <w:tcPr>
            <w:tcW w:w="817" w:type="dxa"/>
            <w:tcBorders>
              <w:top w:val="nil"/>
              <w:left w:val="nil"/>
              <w:bottom w:val="single" w:sz="8" w:space="0" w:color="auto"/>
              <w:right w:val="single" w:sz="8" w:space="0" w:color="auto"/>
            </w:tcBorders>
            <w:vAlign w:val="center"/>
            <w:hideMark/>
          </w:tcPr>
          <w:p w14:paraId="293440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4,99</w:t>
            </w:r>
          </w:p>
        </w:tc>
        <w:tc>
          <w:tcPr>
            <w:tcW w:w="1271" w:type="dxa"/>
            <w:tcBorders>
              <w:top w:val="nil"/>
              <w:left w:val="nil"/>
              <w:bottom w:val="single" w:sz="8" w:space="0" w:color="auto"/>
              <w:right w:val="single" w:sz="8" w:space="0" w:color="auto"/>
            </w:tcBorders>
            <w:vAlign w:val="center"/>
            <w:hideMark/>
          </w:tcPr>
          <w:p w14:paraId="548B0B2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c>
          <w:tcPr>
            <w:tcW w:w="1190" w:type="dxa"/>
            <w:tcBorders>
              <w:top w:val="nil"/>
              <w:left w:val="nil"/>
              <w:bottom w:val="single" w:sz="8" w:space="0" w:color="auto"/>
              <w:right w:val="single" w:sz="8" w:space="0" w:color="auto"/>
            </w:tcBorders>
            <w:vAlign w:val="center"/>
            <w:hideMark/>
          </w:tcPr>
          <w:p w14:paraId="75384A8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B90426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1.064.602</w:t>
            </w:r>
          </w:p>
        </w:tc>
        <w:tc>
          <w:tcPr>
            <w:tcW w:w="1100" w:type="dxa"/>
            <w:tcBorders>
              <w:top w:val="nil"/>
              <w:left w:val="nil"/>
              <w:bottom w:val="single" w:sz="8" w:space="0" w:color="auto"/>
              <w:right w:val="single" w:sz="8" w:space="0" w:color="auto"/>
            </w:tcBorders>
            <w:vAlign w:val="center"/>
            <w:hideMark/>
          </w:tcPr>
          <w:p w14:paraId="38508B7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05040FF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561987BC"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70E1F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261</w:t>
            </w:r>
          </w:p>
        </w:tc>
        <w:tc>
          <w:tcPr>
            <w:tcW w:w="1919" w:type="dxa"/>
            <w:tcBorders>
              <w:top w:val="nil"/>
              <w:left w:val="nil"/>
              <w:bottom w:val="single" w:sz="8" w:space="0" w:color="auto"/>
              <w:right w:val="single" w:sz="8" w:space="0" w:color="auto"/>
            </w:tcBorders>
            <w:vAlign w:val="center"/>
            <w:hideMark/>
          </w:tcPr>
          <w:p w14:paraId="13D5C54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ABASTECER CONSTRUCCIONES S.A.S.</w:t>
            </w:r>
          </w:p>
        </w:tc>
        <w:tc>
          <w:tcPr>
            <w:tcW w:w="817" w:type="dxa"/>
            <w:tcBorders>
              <w:top w:val="nil"/>
              <w:left w:val="nil"/>
              <w:bottom w:val="single" w:sz="8" w:space="0" w:color="auto"/>
              <w:right w:val="single" w:sz="8" w:space="0" w:color="auto"/>
            </w:tcBorders>
            <w:vAlign w:val="center"/>
            <w:hideMark/>
          </w:tcPr>
          <w:p w14:paraId="0AFEA2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3,04</w:t>
            </w:r>
          </w:p>
        </w:tc>
        <w:tc>
          <w:tcPr>
            <w:tcW w:w="1271" w:type="dxa"/>
            <w:tcBorders>
              <w:top w:val="nil"/>
              <w:left w:val="nil"/>
              <w:bottom w:val="single" w:sz="8" w:space="0" w:color="auto"/>
              <w:right w:val="single" w:sz="8" w:space="0" w:color="auto"/>
            </w:tcBorders>
            <w:vAlign w:val="center"/>
            <w:hideMark/>
          </w:tcPr>
          <w:p w14:paraId="65BCCE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w:t>
            </w:r>
          </w:p>
        </w:tc>
        <w:tc>
          <w:tcPr>
            <w:tcW w:w="1190" w:type="dxa"/>
            <w:tcBorders>
              <w:top w:val="nil"/>
              <w:left w:val="nil"/>
              <w:bottom w:val="single" w:sz="8" w:space="0" w:color="auto"/>
              <w:right w:val="single" w:sz="8" w:space="0" w:color="auto"/>
            </w:tcBorders>
            <w:vAlign w:val="center"/>
            <w:hideMark/>
          </w:tcPr>
          <w:p w14:paraId="174E39B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2F08160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993.922</w:t>
            </w:r>
          </w:p>
        </w:tc>
        <w:tc>
          <w:tcPr>
            <w:tcW w:w="1100" w:type="dxa"/>
            <w:tcBorders>
              <w:top w:val="nil"/>
              <w:left w:val="nil"/>
              <w:bottom w:val="single" w:sz="8" w:space="0" w:color="auto"/>
              <w:right w:val="single" w:sz="8" w:space="0" w:color="auto"/>
            </w:tcBorders>
            <w:vAlign w:val="center"/>
            <w:hideMark/>
          </w:tcPr>
          <w:p w14:paraId="6442563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5FF1B0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21833C7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C79258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262</w:t>
            </w:r>
          </w:p>
        </w:tc>
        <w:tc>
          <w:tcPr>
            <w:tcW w:w="1919" w:type="dxa"/>
            <w:tcBorders>
              <w:top w:val="nil"/>
              <w:left w:val="nil"/>
              <w:bottom w:val="single" w:sz="8" w:space="0" w:color="auto"/>
              <w:right w:val="single" w:sz="8" w:space="0" w:color="auto"/>
            </w:tcBorders>
            <w:vAlign w:val="center"/>
            <w:hideMark/>
          </w:tcPr>
          <w:p w14:paraId="3EA11A3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PROMOTORA SOLEDAD SAS</w:t>
            </w:r>
          </w:p>
        </w:tc>
        <w:tc>
          <w:tcPr>
            <w:tcW w:w="817" w:type="dxa"/>
            <w:tcBorders>
              <w:top w:val="nil"/>
              <w:left w:val="nil"/>
              <w:bottom w:val="single" w:sz="8" w:space="0" w:color="auto"/>
              <w:right w:val="single" w:sz="8" w:space="0" w:color="auto"/>
            </w:tcBorders>
            <w:vAlign w:val="center"/>
            <w:hideMark/>
          </w:tcPr>
          <w:p w14:paraId="45775A9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0,98</w:t>
            </w:r>
          </w:p>
        </w:tc>
        <w:tc>
          <w:tcPr>
            <w:tcW w:w="1271" w:type="dxa"/>
            <w:tcBorders>
              <w:top w:val="nil"/>
              <w:left w:val="nil"/>
              <w:bottom w:val="single" w:sz="8" w:space="0" w:color="auto"/>
              <w:right w:val="single" w:sz="8" w:space="0" w:color="auto"/>
            </w:tcBorders>
            <w:vAlign w:val="center"/>
            <w:hideMark/>
          </w:tcPr>
          <w:p w14:paraId="0EDC20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97%</w:t>
            </w:r>
          </w:p>
        </w:tc>
        <w:tc>
          <w:tcPr>
            <w:tcW w:w="1190" w:type="dxa"/>
            <w:tcBorders>
              <w:top w:val="nil"/>
              <w:left w:val="nil"/>
              <w:bottom w:val="single" w:sz="8" w:space="0" w:color="auto"/>
              <w:right w:val="single" w:sz="8" w:space="0" w:color="auto"/>
            </w:tcBorders>
            <w:vAlign w:val="center"/>
            <w:hideMark/>
          </w:tcPr>
          <w:p w14:paraId="2DD535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7779CF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-15.770</w:t>
            </w:r>
          </w:p>
        </w:tc>
        <w:tc>
          <w:tcPr>
            <w:tcW w:w="1100" w:type="dxa"/>
            <w:tcBorders>
              <w:top w:val="nil"/>
              <w:left w:val="nil"/>
              <w:bottom w:val="single" w:sz="8" w:space="0" w:color="auto"/>
              <w:right w:val="single" w:sz="8" w:space="0" w:color="auto"/>
            </w:tcBorders>
            <w:vAlign w:val="center"/>
            <w:hideMark/>
          </w:tcPr>
          <w:p w14:paraId="72CD4EA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49501D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3308401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2B2BC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263</w:t>
            </w:r>
          </w:p>
        </w:tc>
        <w:tc>
          <w:tcPr>
            <w:tcW w:w="1919" w:type="dxa"/>
            <w:tcBorders>
              <w:top w:val="nil"/>
              <w:left w:val="nil"/>
              <w:bottom w:val="single" w:sz="8" w:space="0" w:color="auto"/>
              <w:right w:val="single" w:sz="8" w:space="0" w:color="auto"/>
            </w:tcBorders>
            <w:vAlign w:val="center"/>
            <w:hideMark/>
          </w:tcPr>
          <w:p w14:paraId="5DE61CD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INGENIUX S.A.S.</w:t>
            </w:r>
          </w:p>
        </w:tc>
        <w:tc>
          <w:tcPr>
            <w:tcW w:w="817" w:type="dxa"/>
            <w:tcBorders>
              <w:top w:val="nil"/>
              <w:left w:val="nil"/>
              <w:bottom w:val="single" w:sz="8" w:space="0" w:color="auto"/>
              <w:right w:val="single" w:sz="8" w:space="0" w:color="auto"/>
            </w:tcBorders>
            <w:vAlign w:val="center"/>
            <w:hideMark/>
          </w:tcPr>
          <w:p w14:paraId="5FEE1C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2,24</w:t>
            </w:r>
          </w:p>
        </w:tc>
        <w:tc>
          <w:tcPr>
            <w:tcW w:w="1271" w:type="dxa"/>
            <w:tcBorders>
              <w:top w:val="nil"/>
              <w:left w:val="nil"/>
              <w:bottom w:val="single" w:sz="8" w:space="0" w:color="auto"/>
              <w:right w:val="single" w:sz="8" w:space="0" w:color="auto"/>
            </w:tcBorders>
            <w:vAlign w:val="center"/>
            <w:hideMark/>
          </w:tcPr>
          <w:p w14:paraId="4CD01E1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45%</w:t>
            </w:r>
          </w:p>
        </w:tc>
        <w:tc>
          <w:tcPr>
            <w:tcW w:w="1190" w:type="dxa"/>
            <w:tcBorders>
              <w:top w:val="nil"/>
              <w:left w:val="nil"/>
              <w:bottom w:val="single" w:sz="8" w:space="0" w:color="auto"/>
              <w:right w:val="single" w:sz="8" w:space="0" w:color="auto"/>
            </w:tcBorders>
            <w:vAlign w:val="center"/>
            <w:hideMark/>
          </w:tcPr>
          <w:p w14:paraId="671F96D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1E9EC2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7.652.017</w:t>
            </w:r>
          </w:p>
        </w:tc>
        <w:tc>
          <w:tcPr>
            <w:tcW w:w="1100" w:type="dxa"/>
            <w:tcBorders>
              <w:top w:val="nil"/>
              <w:left w:val="nil"/>
              <w:bottom w:val="single" w:sz="8" w:space="0" w:color="auto"/>
              <w:right w:val="single" w:sz="8" w:space="0" w:color="auto"/>
            </w:tcBorders>
            <w:vAlign w:val="center"/>
            <w:hideMark/>
          </w:tcPr>
          <w:p w14:paraId="4615634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c>
          <w:tcPr>
            <w:tcW w:w="1100" w:type="dxa"/>
            <w:tcBorders>
              <w:top w:val="nil"/>
              <w:left w:val="nil"/>
              <w:bottom w:val="single" w:sz="8" w:space="0" w:color="auto"/>
              <w:right w:val="single" w:sz="8" w:space="0" w:color="auto"/>
            </w:tcBorders>
            <w:vAlign w:val="center"/>
            <w:hideMark/>
          </w:tcPr>
          <w:p w14:paraId="3D8F06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r>
      <w:tr w:rsidR="008468B3" w:rsidRPr="008468B3" w14:paraId="4DC9E379"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E8F24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264</w:t>
            </w:r>
          </w:p>
        </w:tc>
        <w:tc>
          <w:tcPr>
            <w:tcW w:w="1919" w:type="dxa"/>
            <w:tcBorders>
              <w:top w:val="nil"/>
              <w:left w:val="nil"/>
              <w:bottom w:val="single" w:sz="8" w:space="0" w:color="auto"/>
              <w:right w:val="single" w:sz="8" w:space="0" w:color="auto"/>
            </w:tcBorders>
            <w:vAlign w:val="center"/>
            <w:hideMark/>
          </w:tcPr>
          <w:p w14:paraId="347D9E9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ENERGY CG COLOMBIA S.A.S</w:t>
            </w:r>
          </w:p>
        </w:tc>
        <w:tc>
          <w:tcPr>
            <w:tcW w:w="817" w:type="dxa"/>
            <w:tcBorders>
              <w:top w:val="nil"/>
              <w:left w:val="nil"/>
              <w:bottom w:val="single" w:sz="8" w:space="0" w:color="auto"/>
              <w:right w:val="single" w:sz="8" w:space="0" w:color="auto"/>
            </w:tcBorders>
            <w:vAlign w:val="center"/>
            <w:hideMark/>
          </w:tcPr>
          <w:p w14:paraId="5238E5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1,90</w:t>
            </w:r>
          </w:p>
        </w:tc>
        <w:tc>
          <w:tcPr>
            <w:tcW w:w="1271" w:type="dxa"/>
            <w:tcBorders>
              <w:top w:val="nil"/>
              <w:left w:val="nil"/>
              <w:bottom w:val="single" w:sz="8" w:space="0" w:color="auto"/>
              <w:right w:val="single" w:sz="8" w:space="0" w:color="auto"/>
            </w:tcBorders>
            <w:vAlign w:val="center"/>
            <w:hideMark/>
          </w:tcPr>
          <w:p w14:paraId="6BBF105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49%</w:t>
            </w:r>
          </w:p>
        </w:tc>
        <w:tc>
          <w:tcPr>
            <w:tcW w:w="1190" w:type="dxa"/>
            <w:tcBorders>
              <w:top w:val="nil"/>
              <w:left w:val="nil"/>
              <w:bottom w:val="single" w:sz="8" w:space="0" w:color="auto"/>
              <w:right w:val="single" w:sz="8" w:space="0" w:color="auto"/>
            </w:tcBorders>
            <w:vAlign w:val="center"/>
            <w:hideMark/>
          </w:tcPr>
          <w:p w14:paraId="1BE339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772446AA"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4.842.665</w:t>
            </w:r>
          </w:p>
        </w:tc>
        <w:tc>
          <w:tcPr>
            <w:tcW w:w="1100" w:type="dxa"/>
            <w:tcBorders>
              <w:top w:val="nil"/>
              <w:left w:val="nil"/>
              <w:bottom w:val="single" w:sz="8" w:space="0" w:color="auto"/>
              <w:right w:val="single" w:sz="8" w:space="0" w:color="auto"/>
            </w:tcBorders>
            <w:vAlign w:val="center"/>
            <w:hideMark/>
          </w:tcPr>
          <w:p w14:paraId="45B7E3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3AA101A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20C2BE3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552877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265</w:t>
            </w:r>
          </w:p>
        </w:tc>
        <w:tc>
          <w:tcPr>
            <w:tcW w:w="1919" w:type="dxa"/>
            <w:tcBorders>
              <w:top w:val="nil"/>
              <w:left w:val="nil"/>
              <w:bottom w:val="single" w:sz="8" w:space="0" w:color="auto"/>
              <w:right w:val="single" w:sz="8" w:space="0" w:color="auto"/>
            </w:tcBorders>
            <w:vAlign w:val="center"/>
            <w:hideMark/>
          </w:tcPr>
          <w:p w14:paraId="0C7B05C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ROYAL ELIM INTERNACIONAL S.A.S</w:t>
            </w:r>
          </w:p>
        </w:tc>
        <w:tc>
          <w:tcPr>
            <w:tcW w:w="817" w:type="dxa"/>
            <w:tcBorders>
              <w:top w:val="nil"/>
              <w:left w:val="nil"/>
              <w:bottom w:val="single" w:sz="8" w:space="0" w:color="auto"/>
              <w:right w:val="single" w:sz="8" w:space="0" w:color="auto"/>
            </w:tcBorders>
            <w:vAlign w:val="center"/>
            <w:hideMark/>
          </w:tcPr>
          <w:p w14:paraId="6698F04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1,85</w:t>
            </w:r>
          </w:p>
        </w:tc>
        <w:tc>
          <w:tcPr>
            <w:tcW w:w="1271" w:type="dxa"/>
            <w:tcBorders>
              <w:top w:val="nil"/>
              <w:left w:val="nil"/>
              <w:bottom w:val="single" w:sz="8" w:space="0" w:color="auto"/>
              <w:right w:val="single" w:sz="8" w:space="0" w:color="auto"/>
            </w:tcBorders>
            <w:vAlign w:val="center"/>
            <w:hideMark/>
          </w:tcPr>
          <w:p w14:paraId="144646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c>
          <w:tcPr>
            <w:tcW w:w="1190" w:type="dxa"/>
            <w:tcBorders>
              <w:top w:val="nil"/>
              <w:left w:val="nil"/>
              <w:bottom w:val="single" w:sz="8" w:space="0" w:color="auto"/>
              <w:right w:val="single" w:sz="8" w:space="0" w:color="auto"/>
            </w:tcBorders>
            <w:vAlign w:val="center"/>
            <w:hideMark/>
          </w:tcPr>
          <w:p w14:paraId="66FE44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1,78</w:t>
            </w:r>
          </w:p>
        </w:tc>
        <w:tc>
          <w:tcPr>
            <w:tcW w:w="1099" w:type="dxa"/>
            <w:tcBorders>
              <w:top w:val="nil"/>
              <w:left w:val="nil"/>
              <w:bottom w:val="single" w:sz="8" w:space="0" w:color="auto"/>
              <w:right w:val="single" w:sz="8" w:space="0" w:color="auto"/>
            </w:tcBorders>
            <w:vAlign w:val="center"/>
            <w:hideMark/>
          </w:tcPr>
          <w:p w14:paraId="4388401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2.078.505</w:t>
            </w:r>
          </w:p>
        </w:tc>
        <w:tc>
          <w:tcPr>
            <w:tcW w:w="1100" w:type="dxa"/>
            <w:tcBorders>
              <w:top w:val="nil"/>
              <w:left w:val="nil"/>
              <w:bottom w:val="single" w:sz="8" w:space="0" w:color="auto"/>
              <w:right w:val="single" w:sz="8" w:space="0" w:color="auto"/>
            </w:tcBorders>
            <w:vAlign w:val="center"/>
            <w:hideMark/>
          </w:tcPr>
          <w:p w14:paraId="5D0E87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117A6D6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7A989C1"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6A0707C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266</w:t>
            </w:r>
          </w:p>
        </w:tc>
        <w:tc>
          <w:tcPr>
            <w:tcW w:w="1919" w:type="dxa"/>
            <w:tcBorders>
              <w:top w:val="nil"/>
              <w:left w:val="nil"/>
              <w:bottom w:val="single" w:sz="8" w:space="0" w:color="auto"/>
              <w:right w:val="single" w:sz="8" w:space="0" w:color="auto"/>
            </w:tcBorders>
            <w:vAlign w:val="center"/>
            <w:hideMark/>
          </w:tcPr>
          <w:p w14:paraId="2AC192E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COMPAÑIA ENERGETICA DEL CARIBE S.A.S. ESP</w:t>
            </w:r>
          </w:p>
        </w:tc>
        <w:tc>
          <w:tcPr>
            <w:tcW w:w="817" w:type="dxa"/>
            <w:tcBorders>
              <w:top w:val="nil"/>
              <w:left w:val="nil"/>
              <w:bottom w:val="single" w:sz="8" w:space="0" w:color="auto"/>
              <w:right w:val="single" w:sz="8" w:space="0" w:color="auto"/>
            </w:tcBorders>
            <w:vAlign w:val="center"/>
            <w:hideMark/>
          </w:tcPr>
          <w:p w14:paraId="5F2D008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2,06</w:t>
            </w:r>
          </w:p>
        </w:tc>
        <w:tc>
          <w:tcPr>
            <w:tcW w:w="1271" w:type="dxa"/>
            <w:tcBorders>
              <w:top w:val="nil"/>
              <w:left w:val="nil"/>
              <w:bottom w:val="single" w:sz="8" w:space="0" w:color="auto"/>
              <w:right w:val="single" w:sz="8" w:space="0" w:color="auto"/>
            </w:tcBorders>
            <w:vAlign w:val="center"/>
            <w:hideMark/>
          </w:tcPr>
          <w:p w14:paraId="5C7940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190" w:type="dxa"/>
            <w:tcBorders>
              <w:top w:val="nil"/>
              <w:left w:val="nil"/>
              <w:bottom w:val="single" w:sz="8" w:space="0" w:color="auto"/>
              <w:right w:val="single" w:sz="8" w:space="0" w:color="auto"/>
            </w:tcBorders>
            <w:vAlign w:val="center"/>
            <w:hideMark/>
          </w:tcPr>
          <w:p w14:paraId="32A222C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11DE69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653.659</w:t>
            </w:r>
          </w:p>
        </w:tc>
        <w:tc>
          <w:tcPr>
            <w:tcW w:w="1100" w:type="dxa"/>
            <w:tcBorders>
              <w:top w:val="nil"/>
              <w:left w:val="nil"/>
              <w:bottom w:val="single" w:sz="8" w:space="0" w:color="auto"/>
              <w:right w:val="single" w:sz="8" w:space="0" w:color="auto"/>
            </w:tcBorders>
            <w:vAlign w:val="center"/>
            <w:hideMark/>
          </w:tcPr>
          <w:p w14:paraId="4325149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c>
          <w:tcPr>
            <w:tcW w:w="1100" w:type="dxa"/>
            <w:tcBorders>
              <w:top w:val="nil"/>
              <w:left w:val="nil"/>
              <w:bottom w:val="single" w:sz="8" w:space="0" w:color="auto"/>
              <w:right w:val="single" w:sz="8" w:space="0" w:color="auto"/>
            </w:tcBorders>
            <w:vAlign w:val="center"/>
            <w:hideMark/>
          </w:tcPr>
          <w:p w14:paraId="0092B80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r>
      <w:tr w:rsidR="008468B3" w:rsidRPr="008468B3" w14:paraId="76124FEE"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E167BF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267</w:t>
            </w:r>
          </w:p>
        </w:tc>
        <w:tc>
          <w:tcPr>
            <w:tcW w:w="1919" w:type="dxa"/>
            <w:tcBorders>
              <w:top w:val="nil"/>
              <w:left w:val="nil"/>
              <w:bottom w:val="single" w:sz="8" w:space="0" w:color="auto"/>
              <w:right w:val="single" w:sz="8" w:space="0" w:color="auto"/>
            </w:tcBorders>
            <w:vAlign w:val="center"/>
            <w:hideMark/>
          </w:tcPr>
          <w:p w14:paraId="1F9EA9A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EPICENTRO SAS</w:t>
            </w:r>
          </w:p>
        </w:tc>
        <w:tc>
          <w:tcPr>
            <w:tcW w:w="817" w:type="dxa"/>
            <w:tcBorders>
              <w:top w:val="nil"/>
              <w:left w:val="nil"/>
              <w:bottom w:val="single" w:sz="8" w:space="0" w:color="auto"/>
              <w:right w:val="single" w:sz="8" w:space="0" w:color="auto"/>
            </w:tcBorders>
            <w:vAlign w:val="center"/>
            <w:hideMark/>
          </w:tcPr>
          <w:p w14:paraId="24E04C6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2,52</w:t>
            </w:r>
          </w:p>
        </w:tc>
        <w:tc>
          <w:tcPr>
            <w:tcW w:w="1271" w:type="dxa"/>
            <w:tcBorders>
              <w:top w:val="nil"/>
              <w:left w:val="nil"/>
              <w:bottom w:val="single" w:sz="8" w:space="0" w:color="auto"/>
              <w:right w:val="single" w:sz="8" w:space="0" w:color="auto"/>
            </w:tcBorders>
            <w:vAlign w:val="center"/>
            <w:hideMark/>
          </w:tcPr>
          <w:p w14:paraId="4BE0F8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100%</w:t>
            </w:r>
          </w:p>
        </w:tc>
        <w:tc>
          <w:tcPr>
            <w:tcW w:w="1190" w:type="dxa"/>
            <w:tcBorders>
              <w:top w:val="nil"/>
              <w:left w:val="nil"/>
              <w:bottom w:val="single" w:sz="8" w:space="0" w:color="auto"/>
              <w:right w:val="single" w:sz="8" w:space="0" w:color="auto"/>
            </w:tcBorders>
            <w:vAlign w:val="center"/>
            <w:hideMark/>
          </w:tcPr>
          <w:p w14:paraId="109A8C4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0,16</w:t>
            </w:r>
          </w:p>
        </w:tc>
        <w:tc>
          <w:tcPr>
            <w:tcW w:w="1099" w:type="dxa"/>
            <w:tcBorders>
              <w:top w:val="nil"/>
              <w:left w:val="nil"/>
              <w:bottom w:val="single" w:sz="8" w:space="0" w:color="auto"/>
              <w:right w:val="single" w:sz="8" w:space="0" w:color="auto"/>
            </w:tcBorders>
            <w:vAlign w:val="center"/>
            <w:hideMark/>
          </w:tcPr>
          <w:p w14:paraId="14047EA6"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1.302.719</w:t>
            </w:r>
          </w:p>
        </w:tc>
        <w:tc>
          <w:tcPr>
            <w:tcW w:w="1100" w:type="dxa"/>
            <w:tcBorders>
              <w:top w:val="nil"/>
              <w:left w:val="nil"/>
              <w:bottom w:val="single" w:sz="8" w:space="0" w:color="auto"/>
              <w:right w:val="single" w:sz="8" w:space="0" w:color="auto"/>
            </w:tcBorders>
            <w:vAlign w:val="center"/>
            <w:hideMark/>
          </w:tcPr>
          <w:p w14:paraId="0B7B6DA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00" w:type="dxa"/>
            <w:tcBorders>
              <w:top w:val="nil"/>
              <w:left w:val="nil"/>
              <w:bottom w:val="single" w:sz="8" w:space="0" w:color="auto"/>
              <w:right w:val="single" w:sz="8" w:space="0" w:color="auto"/>
            </w:tcBorders>
            <w:vAlign w:val="center"/>
            <w:hideMark/>
          </w:tcPr>
          <w:p w14:paraId="1929DD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21DA926"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3791423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268</w:t>
            </w:r>
          </w:p>
        </w:tc>
        <w:tc>
          <w:tcPr>
            <w:tcW w:w="1919" w:type="dxa"/>
            <w:tcBorders>
              <w:top w:val="nil"/>
              <w:left w:val="nil"/>
              <w:bottom w:val="single" w:sz="8" w:space="0" w:color="auto"/>
              <w:right w:val="single" w:sz="8" w:space="0" w:color="auto"/>
            </w:tcBorders>
            <w:vAlign w:val="center"/>
            <w:hideMark/>
          </w:tcPr>
          <w:p w14:paraId="5AA703D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INAGRECON SAS</w:t>
            </w:r>
          </w:p>
        </w:tc>
        <w:tc>
          <w:tcPr>
            <w:tcW w:w="817" w:type="dxa"/>
            <w:tcBorders>
              <w:top w:val="nil"/>
              <w:left w:val="nil"/>
              <w:bottom w:val="single" w:sz="8" w:space="0" w:color="auto"/>
              <w:right w:val="single" w:sz="8" w:space="0" w:color="auto"/>
            </w:tcBorders>
            <w:vAlign w:val="center"/>
            <w:hideMark/>
          </w:tcPr>
          <w:p w14:paraId="544B153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1,97</w:t>
            </w:r>
          </w:p>
        </w:tc>
        <w:tc>
          <w:tcPr>
            <w:tcW w:w="1271" w:type="dxa"/>
            <w:tcBorders>
              <w:top w:val="nil"/>
              <w:left w:val="nil"/>
              <w:bottom w:val="single" w:sz="8" w:space="0" w:color="auto"/>
              <w:right w:val="single" w:sz="8" w:space="0" w:color="auto"/>
            </w:tcBorders>
            <w:vAlign w:val="center"/>
            <w:hideMark/>
          </w:tcPr>
          <w:p w14:paraId="5F7A9F9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w:t>
            </w:r>
          </w:p>
        </w:tc>
        <w:tc>
          <w:tcPr>
            <w:tcW w:w="1190" w:type="dxa"/>
            <w:tcBorders>
              <w:top w:val="nil"/>
              <w:left w:val="nil"/>
              <w:bottom w:val="single" w:sz="8" w:space="0" w:color="auto"/>
              <w:right w:val="single" w:sz="8" w:space="0" w:color="auto"/>
            </w:tcBorders>
            <w:vAlign w:val="center"/>
            <w:hideMark/>
          </w:tcPr>
          <w:p w14:paraId="7E4993A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7B1B2F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5.557.700</w:t>
            </w:r>
          </w:p>
        </w:tc>
        <w:tc>
          <w:tcPr>
            <w:tcW w:w="1100" w:type="dxa"/>
            <w:tcBorders>
              <w:top w:val="nil"/>
              <w:left w:val="nil"/>
              <w:bottom w:val="single" w:sz="8" w:space="0" w:color="auto"/>
              <w:right w:val="single" w:sz="8" w:space="0" w:color="auto"/>
            </w:tcBorders>
            <w:vAlign w:val="center"/>
            <w:hideMark/>
          </w:tcPr>
          <w:p w14:paraId="272CD84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00" w:type="dxa"/>
            <w:tcBorders>
              <w:top w:val="nil"/>
              <w:left w:val="nil"/>
              <w:bottom w:val="single" w:sz="8" w:space="0" w:color="auto"/>
              <w:right w:val="single" w:sz="8" w:space="0" w:color="auto"/>
            </w:tcBorders>
            <w:vAlign w:val="center"/>
            <w:hideMark/>
          </w:tcPr>
          <w:p w14:paraId="7E72B88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6CCA070D"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6EEE0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269</w:t>
            </w:r>
          </w:p>
        </w:tc>
        <w:tc>
          <w:tcPr>
            <w:tcW w:w="1919" w:type="dxa"/>
            <w:tcBorders>
              <w:top w:val="nil"/>
              <w:left w:val="nil"/>
              <w:bottom w:val="single" w:sz="8" w:space="0" w:color="auto"/>
              <w:right w:val="single" w:sz="8" w:space="0" w:color="auto"/>
            </w:tcBorders>
            <w:vAlign w:val="center"/>
            <w:hideMark/>
          </w:tcPr>
          <w:p w14:paraId="6531570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TECOMS CORPORATIONS SAS</w:t>
            </w:r>
          </w:p>
        </w:tc>
        <w:tc>
          <w:tcPr>
            <w:tcW w:w="817" w:type="dxa"/>
            <w:tcBorders>
              <w:top w:val="nil"/>
              <w:left w:val="nil"/>
              <w:bottom w:val="single" w:sz="8" w:space="0" w:color="auto"/>
              <w:right w:val="single" w:sz="8" w:space="0" w:color="auto"/>
            </w:tcBorders>
            <w:vAlign w:val="center"/>
            <w:hideMark/>
          </w:tcPr>
          <w:p w14:paraId="30E49E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3,56</w:t>
            </w:r>
          </w:p>
        </w:tc>
        <w:tc>
          <w:tcPr>
            <w:tcW w:w="1271" w:type="dxa"/>
            <w:tcBorders>
              <w:top w:val="nil"/>
              <w:left w:val="nil"/>
              <w:bottom w:val="single" w:sz="8" w:space="0" w:color="auto"/>
              <w:right w:val="single" w:sz="8" w:space="0" w:color="auto"/>
            </w:tcBorders>
            <w:vAlign w:val="center"/>
            <w:hideMark/>
          </w:tcPr>
          <w:p w14:paraId="4DA56B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w:t>
            </w:r>
          </w:p>
        </w:tc>
        <w:tc>
          <w:tcPr>
            <w:tcW w:w="1190" w:type="dxa"/>
            <w:tcBorders>
              <w:top w:val="nil"/>
              <w:left w:val="nil"/>
              <w:bottom w:val="single" w:sz="8" w:space="0" w:color="auto"/>
              <w:right w:val="single" w:sz="8" w:space="0" w:color="auto"/>
            </w:tcBorders>
            <w:vAlign w:val="center"/>
            <w:hideMark/>
          </w:tcPr>
          <w:p w14:paraId="5E26CE2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1C0819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2.645.760</w:t>
            </w:r>
          </w:p>
        </w:tc>
        <w:tc>
          <w:tcPr>
            <w:tcW w:w="1100" w:type="dxa"/>
            <w:tcBorders>
              <w:top w:val="nil"/>
              <w:left w:val="nil"/>
              <w:bottom w:val="single" w:sz="8" w:space="0" w:color="auto"/>
              <w:right w:val="single" w:sz="8" w:space="0" w:color="auto"/>
            </w:tcBorders>
            <w:vAlign w:val="center"/>
            <w:hideMark/>
          </w:tcPr>
          <w:p w14:paraId="213877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0E51A23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0B0A46E5"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D7D787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270</w:t>
            </w:r>
          </w:p>
        </w:tc>
        <w:tc>
          <w:tcPr>
            <w:tcW w:w="1919" w:type="dxa"/>
            <w:tcBorders>
              <w:top w:val="nil"/>
              <w:left w:val="nil"/>
              <w:bottom w:val="single" w:sz="8" w:space="0" w:color="auto"/>
              <w:right w:val="single" w:sz="8" w:space="0" w:color="auto"/>
            </w:tcBorders>
            <w:vAlign w:val="center"/>
            <w:hideMark/>
          </w:tcPr>
          <w:p w14:paraId="7182E85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TECNIREDES G&amp;B SAS</w:t>
            </w:r>
          </w:p>
        </w:tc>
        <w:tc>
          <w:tcPr>
            <w:tcW w:w="817" w:type="dxa"/>
            <w:tcBorders>
              <w:top w:val="nil"/>
              <w:left w:val="nil"/>
              <w:bottom w:val="single" w:sz="8" w:space="0" w:color="auto"/>
              <w:right w:val="single" w:sz="8" w:space="0" w:color="auto"/>
            </w:tcBorders>
            <w:vAlign w:val="center"/>
            <w:hideMark/>
          </w:tcPr>
          <w:p w14:paraId="4618F2A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2,91</w:t>
            </w:r>
          </w:p>
        </w:tc>
        <w:tc>
          <w:tcPr>
            <w:tcW w:w="1271" w:type="dxa"/>
            <w:tcBorders>
              <w:top w:val="nil"/>
              <w:left w:val="nil"/>
              <w:bottom w:val="single" w:sz="8" w:space="0" w:color="auto"/>
              <w:right w:val="single" w:sz="8" w:space="0" w:color="auto"/>
            </w:tcBorders>
            <w:vAlign w:val="center"/>
            <w:hideMark/>
          </w:tcPr>
          <w:p w14:paraId="4622CE5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w:t>
            </w:r>
          </w:p>
        </w:tc>
        <w:tc>
          <w:tcPr>
            <w:tcW w:w="1190" w:type="dxa"/>
            <w:tcBorders>
              <w:top w:val="nil"/>
              <w:left w:val="nil"/>
              <w:bottom w:val="single" w:sz="8" w:space="0" w:color="auto"/>
              <w:right w:val="single" w:sz="8" w:space="0" w:color="auto"/>
            </w:tcBorders>
            <w:vAlign w:val="center"/>
            <w:hideMark/>
          </w:tcPr>
          <w:p w14:paraId="40536E6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26,52</w:t>
            </w:r>
          </w:p>
        </w:tc>
        <w:tc>
          <w:tcPr>
            <w:tcW w:w="1099" w:type="dxa"/>
            <w:tcBorders>
              <w:top w:val="nil"/>
              <w:left w:val="nil"/>
              <w:bottom w:val="single" w:sz="8" w:space="0" w:color="auto"/>
              <w:right w:val="single" w:sz="8" w:space="0" w:color="auto"/>
            </w:tcBorders>
            <w:vAlign w:val="center"/>
            <w:hideMark/>
          </w:tcPr>
          <w:p w14:paraId="5BBF03C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1.103.651</w:t>
            </w:r>
          </w:p>
        </w:tc>
        <w:tc>
          <w:tcPr>
            <w:tcW w:w="1100" w:type="dxa"/>
            <w:tcBorders>
              <w:top w:val="nil"/>
              <w:left w:val="nil"/>
              <w:bottom w:val="single" w:sz="8" w:space="0" w:color="auto"/>
              <w:right w:val="single" w:sz="8" w:space="0" w:color="auto"/>
            </w:tcBorders>
            <w:vAlign w:val="center"/>
            <w:hideMark/>
          </w:tcPr>
          <w:p w14:paraId="4A003F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w:t>
            </w:r>
          </w:p>
        </w:tc>
        <w:tc>
          <w:tcPr>
            <w:tcW w:w="1100" w:type="dxa"/>
            <w:tcBorders>
              <w:top w:val="nil"/>
              <w:left w:val="nil"/>
              <w:bottom w:val="single" w:sz="8" w:space="0" w:color="auto"/>
              <w:right w:val="single" w:sz="8" w:space="0" w:color="auto"/>
            </w:tcBorders>
            <w:vAlign w:val="center"/>
            <w:hideMark/>
          </w:tcPr>
          <w:p w14:paraId="068A848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w:t>
            </w:r>
          </w:p>
        </w:tc>
      </w:tr>
      <w:tr w:rsidR="008468B3" w:rsidRPr="008468B3" w14:paraId="1F813319"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244E869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271</w:t>
            </w:r>
          </w:p>
        </w:tc>
        <w:tc>
          <w:tcPr>
            <w:tcW w:w="1919" w:type="dxa"/>
            <w:tcBorders>
              <w:top w:val="nil"/>
              <w:left w:val="nil"/>
              <w:bottom w:val="single" w:sz="8" w:space="0" w:color="auto"/>
              <w:right w:val="single" w:sz="8" w:space="0" w:color="auto"/>
            </w:tcBorders>
            <w:vAlign w:val="center"/>
            <w:hideMark/>
          </w:tcPr>
          <w:p w14:paraId="738E796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URBANIZADORA EL MOLINO SAS</w:t>
            </w:r>
          </w:p>
        </w:tc>
        <w:tc>
          <w:tcPr>
            <w:tcW w:w="817" w:type="dxa"/>
            <w:tcBorders>
              <w:top w:val="nil"/>
              <w:left w:val="nil"/>
              <w:bottom w:val="single" w:sz="8" w:space="0" w:color="auto"/>
              <w:right w:val="single" w:sz="8" w:space="0" w:color="auto"/>
            </w:tcBorders>
            <w:vAlign w:val="center"/>
            <w:hideMark/>
          </w:tcPr>
          <w:p w14:paraId="3BD3DB0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31,69</w:t>
            </w:r>
          </w:p>
        </w:tc>
        <w:tc>
          <w:tcPr>
            <w:tcW w:w="1271" w:type="dxa"/>
            <w:tcBorders>
              <w:top w:val="nil"/>
              <w:left w:val="nil"/>
              <w:bottom w:val="single" w:sz="8" w:space="0" w:color="auto"/>
              <w:right w:val="single" w:sz="8" w:space="0" w:color="auto"/>
            </w:tcBorders>
            <w:vAlign w:val="center"/>
            <w:hideMark/>
          </w:tcPr>
          <w:p w14:paraId="498766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95%</w:t>
            </w:r>
          </w:p>
        </w:tc>
        <w:tc>
          <w:tcPr>
            <w:tcW w:w="1190" w:type="dxa"/>
            <w:tcBorders>
              <w:top w:val="nil"/>
              <w:left w:val="nil"/>
              <w:bottom w:val="single" w:sz="8" w:space="0" w:color="auto"/>
              <w:right w:val="single" w:sz="8" w:space="0" w:color="auto"/>
            </w:tcBorders>
            <w:vAlign w:val="center"/>
            <w:hideMark/>
          </w:tcPr>
          <w:p w14:paraId="6A85615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2,60</w:t>
            </w:r>
          </w:p>
        </w:tc>
        <w:tc>
          <w:tcPr>
            <w:tcW w:w="1099" w:type="dxa"/>
            <w:tcBorders>
              <w:top w:val="nil"/>
              <w:left w:val="nil"/>
              <w:bottom w:val="single" w:sz="8" w:space="0" w:color="auto"/>
              <w:right w:val="single" w:sz="8" w:space="0" w:color="auto"/>
            </w:tcBorders>
            <w:vAlign w:val="center"/>
            <w:hideMark/>
          </w:tcPr>
          <w:p w14:paraId="19F3A05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24.891.175</w:t>
            </w:r>
          </w:p>
        </w:tc>
        <w:tc>
          <w:tcPr>
            <w:tcW w:w="1100" w:type="dxa"/>
            <w:tcBorders>
              <w:top w:val="nil"/>
              <w:left w:val="nil"/>
              <w:bottom w:val="single" w:sz="8" w:space="0" w:color="auto"/>
              <w:right w:val="single" w:sz="8" w:space="0" w:color="auto"/>
            </w:tcBorders>
            <w:vAlign w:val="center"/>
            <w:hideMark/>
          </w:tcPr>
          <w:p w14:paraId="325A243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w:t>
            </w:r>
          </w:p>
        </w:tc>
        <w:tc>
          <w:tcPr>
            <w:tcW w:w="1100" w:type="dxa"/>
            <w:tcBorders>
              <w:top w:val="nil"/>
              <w:left w:val="nil"/>
              <w:bottom w:val="single" w:sz="8" w:space="0" w:color="auto"/>
              <w:right w:val="single" w:sz="8" w:space="0" w:color="auto"/>
            </w:tcBorders>
            <w:vAlign w:val="center"/>
            <w:hideMark/>
          </w:tcPr>
          <w:p w14:paraId="472CDF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029EA4B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A9210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272</w:t>
            </w:r>
          </w:p>
        </w:tc>
        <w:tc>
          <w:tcPr>
            <w:tcW w:w="1919" w:type="dxa"/>
            <w:tcBorders>
              <w:top w:val="nil"/>
              <w:left w:val="nil"/>
              <w:bottom w:val="single" w:sz="8" w:space="0" w:color="auto"/>
              <w:right w:val="single" w:sz="8" w:space="0" w:color="auto"/>
            </w:tcBorders>
            <w:vAlign w:val="center"/>
            <w:hideMark/>
          </w:tcPr>
          <w:p w14:paraId="109ACC8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INVERSIONES Y CONSTRUCCIONES EMA SAS</w:t>
            </w:r>
          </w:p>
        </w:tc>
        <w:tc>
          <w:tcPr>
            <w:tcW w:w="817" w:type="dxa"/>
            <w:tcBorders>
              <w:top w:val="nil"/>
              <w:left w:val="nil"/>
              <w:bottom w:val="single" w:sz="8" w:space="0" w:color="auto"/>
              <w:right w:val="single" w:sz="8" w:space="0" w:color="auto"/>
            </w:tcBorders>
            <w:vAlign w:val="center"/>
            <w:hideMark/>
          </w:tcPr>
          <w:p w14:paraId="1DA54B4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3,86</w:t>
            </w:r>
          </w:p>
        </w:tc>
        <w:tc>
          <w:tcPr>
            <w:tcW w:w="1271" w:type="dxa"/>
            <w:tcBorders>
              <w:top w:val="nil"/>
              <w:left w:val="nil"/>
              <w:bottom w:val="single" w:sz="8" w:space="0" w:color="auto"/>
              <w:right w:val="single" w:sz="8" w:space="0" w:color="auto"/>
            </w:tcBorders>
            <w:vAlign w:val="center"/>
            <w:hideMark/>
          </w:tcPr>
          <w:p w14:paraId="6944F24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18%</w:t>
            </w:r>
          </w:p>
        </w:tc>
        <w:tc>
          <w:tcPr>
            <w:tcW w:w="1190" w:type="dxa"/>
            <w:tcBorders>
              <w:top w:val="nil"/>
              <w:left w:val="nil"/>
              <w:bottom w:val="single" w:sz="8" w:space="0" w:color="auto"/>
              <w:right w:val="single" w:sz="8" w:space="0" w:color="auto"/>
            </w:tcBorders>
            <w:vAlign w:val="center"/>
            <w:hideMark/>
          </w:tcPr>
          <w:p w14:paraId="150E61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63CC0763"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19.727.061</w:t>
            </w:r>
          </w:p>
        </w:tc>
        <w:tc>
          <w:tcPr>
            <w:tcW w:w="1100" w:type="dxa"/>
            <w:tcBorders>
              <w:top w:val="nil"/>
              <w:left w:val="nil"/>
              <w:bottom w:val="single" w:sz="8" w:space="0" w:color="auto"/>
              <w:right w:val="single" w:sz="8" w:space="0" w:color="auto"/>
            </w:tcBorders>
            <w:vAlign w:val="center"/>
            <w:hideMark/>
          </w:tcPr>
          <w:p w14:paraId="254447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47682D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3E174493" w14:textId="77777777" w:rsidTr="008468B3">
        <w:trPr>
          <w:trHeight w:val="694"/>
        </w:trPr>
        <w:tc>
          <w:tcPr>
            <w:tcW w:w="474" w:type="dxa"/>
            <w:tcBorders>
              <w:top w:val="nil"/>
              <w:left w:val="single" w:sz="8" w:space="0" w:color="auto"/>
              <w:bottom w:val="single" w:sz="8" w:space="0" w:color="auto"/>
              <w:right w:val="single" w:sz="8" w:space="0" w:color="auto"/>
            </w:tcBorders>
            <w:noWrap/>
            <w:vAlign w:val="center"/>
            <w:hideMark/>
          </w:tcPr>
          <w:p w14:paraId="1B20B2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273</w:t>
            </w:r>
          </w:p>
        </w:tc>
        <w:tc>
          <w:tcPr>
            <w:tcW w:w="1919" w:type="dxa"/>
            <w:tcBorders>
              <w:top w:val="nil"/>
              <w:left w:val="nil"/>
              <w:bottom w:val="single" w:sz="8" w:space="0" w:color="auto"/>
              <w:right w:val="single" w:sz="8" w:space="0" w:color="auto"/>
            </w:tcBorders>
            <w:vAlign w:val="center"/>
            <w:hideMark/>
          </w:tcPr>
          <w:p w14:paraId="507B2B6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ESCO-COMPAÑIA DE SERVICIOS ENERGETICOS SAS</w:t>
            </w:r>
          </w:p>
        </w:tc>
        <w:tc>
          <w:tcPr>
            <w:tcW w:w="817" w:type="dxa"/>
            <w:tcBorders>
              <w:top w:val="nil"/>
              <w:left w:val="nil"/>
              <w:bottom w:val="single" w:sz="8" w:space="0" w:color="auto"/>
              <w:right w:val="single" w:sz="8" w:space="0" w:color="auto"/>
            </w:tcBorders>
            <w:vAlign w:val="center"/>
            <w:hideMark/>
          </w:tcPr>
          <w:p w14:paraId="203CA1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3,85</w:t>
            </w:r>
          </w:p>
        </w:tc>
        <w:tc>
          <w:tcPr>
            <w:tcW w:w="1271" w:type="dxa"/>
            <w:tcBorders>
              <w:top w:val="nil"/>
              <w:left w:val="nil"/>
              <w:bottom w:val="single" w:sz="8" w:space="0" w:color="auto"/>
              <w:right w:val="single" w:sz="8" w:space="0" w:color="auto"/>
            </w:tcBorders>
            <w:vAlign w:val="center"/>
            <w:hideMark/>
          </w:tcPr>
          <w:p w14:paraId="5107B7F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302A56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1,48</w:t>
            </w:r>
          </w:p>
        </w:tc>
        <w:tc>
          <w:tcPr>
            <w:tcW w:w="1099" w:type="dxa"/>
            <w:tcBorders>
              <w:top w:val="nil"/>
              <w:left w:val="nil"/>
              <w:bottom w:val="single" w:sz="8" w:space="0" w:color="auto"/>
              <w:right w:val="single" w:sz="8" w:space="0" w:color="auto"/>
            </w:tcBorders>
            <w:vAlign w:val="center"/>
            <w:hideMark/>
          </w:tcPr>
          <w:p w14:paraId="6336F51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22.520.497</w:t>
            </w:r>
          </w:p>
        </w:tc>
        <w:tc>
          <w:tcPr>
            <w:tcW w:w="1100" w:type="dxa"/>
            <w:tcBorders>
              <w:top w:val="nil"/>
              <w:left w:val="nil"/>
              <w:bottom w:val="single" w:sz="8" w:space="0" w:color="auto"/>
              <w:right w:val="single" w:sz="8" w:space="0" w:color="auto"/>
            </w:tcBorders>
            <w:vAlign w:val="center"/>
            <w:hideMark/>
          </w:tcPr>
          <w:p w14:paraId="4E649F8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c>
          <w:tcPr>
            <w:tcW w:w="1100" w:type="dxa"/>
            <w:tcBorders>
              <w:top w:val="nil"/>
              <w:left w:val="nil"/>
              <w:bottom w:val="single" w:sz="8" w:space="0" w:color="auto"/>
              <w:right w:val="single" w:sz="8" w:space="0" w:color="auto"/>
            </w:tcBorders>
            <w:vAlign w:val="center"/>
            <w:hideMark/>
          </w:tcPr>
          <w:p w14:paraId="054834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21BE7DB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1DAE979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274</w:t>
            </w:r>
          </w:p>
        </w:tc>
        <w:tc>
          <w:tcPr>
            <w:tcW w:w="1919" w:type="dxa"/>
            <w:tcBorders>
              <w:top w:val="nil"/>
              <w:left w:val="nil"/>
              <w:bottom w:val="single" w:sz="8" w:space="0" w:color="auto"/>
              <w:right w:val="single" w:sz="8" w:space="0" w:color="auto"/>
            </w:tcBorders>
            <w:vAlign w:val="center"/>
            <w:hideMark/>
          </w:tcPr>
          <w:p w14:paraId="4DF9593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FULL HOUSE CONSTRUCTORA SAS</w:t>
            </w:r>
          </w:p>
        </w:tc>
        <w:tc>
          <w:tcPr>
            <w:tcW w:w="817" w:type="dxa"/>
            <w:tcBorders>
              <w:top w:val="nil"/>
              <w:left w:val="nil"/>
              <w:bottom w:val="single" w:sz="8" w:space="0" w:color="auto"/>
              <w:right w:val="single" w:sz="8" w:space="0" w:color="auto"/>
            </w:tcBorders>
            <w:vAlign w:val="center"/>
            <w:hideMark/>
          </w:tcPr>
          <w:p w14:paraId="71DF53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0,97</w:t>
            </w:r>
          </w:p>
        </w:tc>
        <w:tc>
          <w:tcPr>
            <w:tcW w:w="1271" w:type="dxa"/>
            <w:tcBorders>
              <w:top w:val="nil"/>
              <w:left w:val="nil"/>
              <w:bottom w:val="single" w:sz="8" w:space="0" w:color="auto"/>
              <w:right w:val="single" w:sz="8" w:space="0" w:color="auto"/>
            </w:tcBorders>
            <w:vAlign w:val="center"/>
            <w:hideMark/>
          </w:tcPr>
          <w:p w14:paraId="1F864C1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76%</w:t>
            </w:r>
          </w:p>
        </w:tc>
        <w:tc>
          <w:tcPr>
            <w:tcW w:w="1190" w:type="dxa"/>
            <w:tcBorders>
              <w:top w:val="nil"/>
              <w:left w:val="nil"/>
              <w:bottom w:val="single" w:sz="8" w:space="0" w:color="auto"/>
              <w:right w:val="single" w:sz="8" w:space="0" w:color="auto"/>
            </w:tcBorders>
            <w:vAlign w:val="center"/>
            <w:hideMark/>
          </w:tcPr>
          <w:p w14:paraId="7E222C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01EA161"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-759.900</w:t>
            </w:r>
          </w:p>
        </w:tc>
        <w:tc>
          <w:tcPr>
            <w:tcW w:w="1100" w:type="dxa"/>
            <w:tcBorders>
              <w:top w:val="nil"/>
              <w:left w:val="nil"/>
              <w:bottom w:val="single" w:sz="8" w:space="0" w:color="auto"/>
              <w:right w:val="single" w:sz="8" w:space="0" w:color="auto"/>
            </w:tcBorders>
            <w:vAlign w:val="center"/>
            <w:hideMark/>
          </w:tcPr>
          <w:p w14:paraId="3221AA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c>
          <w:tcPr>
            <w:tcW w:w="1100" w:type="dxa"/>
            <w:tcBorders>
              <w:top w:val="nil"/>
              <w:left w:val="nil"/>
              <w:bottom w:val="single" w:sz="8" w:space="0" w:color="auto"/>
              <w:right w:val="single" w:sz="8" w:space="0" w:color="auto"/>
            </w:tcBorders>
            <w:vAlign w:val="center"/>
            <w:hideMark/>
          </w:tcPr>
          <w:p w14:paraId="50888E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1F991917"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23E8912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275</w:t>
            </w:r>
          </w:p>
        </w:tc>
        <w:tc>
          <w:tcPr>
            <w:tcW w:w="1919" w:type="dxa"/>
            <w:tcBorders>
              <w:top w:val="nil"/>
              <w:left w:val="nil"/>
              <w:bottom w:val="single" w:sz="8" w:space="0" w:color="auto"/>
              <w:right w:val="single" w:sz="8" w:space="0" w:color="auto"/>
            </w:tcBorders>
            <w:vAlign w:val="center"/>
            <w:hideMark/>
          </w:tcPr>
          <w:p w14:paraId="2C15FC5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GZ CONSTRUCCIONES SAS</w:t>
            </w:r>
          </w:p>
        </w:tc>
        <w:tc>
          <w:tcPr>
            <w:tcW w:w="817" w:type="dxa"/>
            <w:tcBorders>
              <w:top w:val="nil"/>
              <w:left w:val="nil"/>
              <w:bottom w:val="single" w:sz="8" w:space="0" w:color="auto"/>
              <w:right w:val="single" w:sz="8" w:space="0" w:color="auto"/>
            </w:tcBorders>
            <w:vAlign w:val="center"/>
            <w:hideMark/>
          </w:tcPr>
          <w:p w14:paraId="627F11D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0,83</w:t>
            </w:r>
          </w:p>
        </w:tc>
        <w:tc>
          <w:tcPr>
            <w:tcW w:w="1271" w:type="dxa"/>
            <w:tcBorders>
              <w:top w:val="nil"/>
              <w:left w:val="nil"/>
              <w:bottom w:val="single" w:sz="8" w:space="0" w:color="auto"/>
              <w:right w:val="single" w:sz="8" w:space="0" w:color="auto"/>
            </w:tcBorders>
            <w:vAlign w:val="center"/>
            <w:hideMark/>
          </w:tcPr>
          <w:p w14:paraId="3FDB41D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82%</w:t>
            </w:r>
          </w:p>
        </w:tc>
        <w:tc>
          <w:tcPr>
            <w:tcW w:w="1190" w:type="dxa"/>
            <w:tcBorders>
              <w:top w:val="nil"/>
              <w:left w:val="nil"/>
              <w:bottom w:val="single" w:sz="8" w:space="0" w:color="auto"/>
              <w:right w:val="single" w:sz="8" w:space="0" w:color="auto"/>
            </w:tcBorders>
            <w:vAlign w:val="center"/>
            <w:hideMark/>
          </w:tcPr>
          <w:p w14:paraId="597990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-5,10</w:t>
            </w:r>
          </w:p>
        </w:tc>
        <w:tc>
          <w:tcPr>
            <w:tcW w:w="1099" w:type="dxa"/>
            <w:tcBorders>
              <w:top w:val="nil"/>
              <w:left w:val="nil"/>
              <w:bottom w:val="single" w:sz="8" w:space="0" w:color="auto"/>
              <w:right w:val="single" w:sz="8" w:space="0" w:color="auto"/>
            </w:tcBorders>
            <w:vAlign w:val="center"/>
            <w:hideMark/>
          </w:tcPr>
          <w:p w14:paraId="27A7603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-420.350</w:t>
            </w:r>
          </w:p>
        </w:tc>
        <w:tc>
          <w:tcPr>
            <w:tcW w:w="1100" w:type="dxa"/>
            <w:tcBorders>
              <w:top w:val="nil"/>
              <w:left w:val="nil"/>
              <w:bottom w:val="single" w:sz="8" w:space="0" w:color="auto"/>
              <w:right w:val="single" w:sz="8" w:space="0" w:color="auto"/>
            </w:tcBorders>
            <w:vAlign w:val="center"/>
            <w:hideMark/>
          </w:tcPr>
          <w:p w14:paraId="5B23396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715D33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79C3CB4F"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4F64441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276</w:t>
            </w:r>
          </w:p>
        </w:tc>
        <w:tc>
          <w:tcPr>
            <w:tcW w:w="1919" w:type="dxa"/>
            <w:tcBorders>
              <w:top w:val="nil"/>
              <w:left w:val="nil"/>
              <w:bottom w:val="single" w:sz="8" w:space="0" w:color="auto"/>
              <w:right w:val="single" w:sz="8" w:space="0" w:color="auto"/>
            </w:tcBorders>
            <w:vAlign w:val="center"/>
            <w:hideMark/>
          </w:tcPr>
          <w:p w14:paraId="54963F0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GREENCOL ENERGY S.A.S.</w:t>
            </w:r>
          </w:p>
        </w:tc>
        <w:tc>
          <w:tcPr>
            <w:tcW w:w="817" w:type="dxa"/>
            <w:tcBorders>
              <w:top w:val="nil"/>
              <w:left w:val="nil"/>
              <w:bottom w:val="single" w:sz="8" w:space="0" w:color="auto"/>
              <w:right w:val="single" w:sz="8" w:space="0" w:color="auto"/>
            </w:tcBorders>
            <w:vAlign w:val="center"/>
            <w:hideMark/>
          </w:tcPr>
          <w:p w14:paraId="22FC49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0,30</w:t>
            </w:r>
          </w:p>
        </w:tc>
        <w:tc>
          <w:tcPr>
            <w:tcW w:w="1271" w:type="dxa"/>
            <w:tcBorders>
              <w:top w:val="nil"/>
              <w:left w:val="nil"/>
              <w:bottom w:val="single" w:sz="8" w:space="0" w:color="auto"/>
              <w:right w:val="single" w:sz="8" w:space="0" w:color="auto"/>
            </w:tcBorders>
            <w:vAlign w:val="center"/>
            <w:hideMark/>
          </w:tcPr>
          <w:p w14:paraId="439EA2E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887%</w:t>
            </w:r>
          </w:p>
        </w:tc>
        <w:tc>
          <w:tcPr>
            <w:tcW w:w="1190" w:type="dxa"/>
            <w:tcBorders>
              <w:top w:val="nil"/>
              <w:left w:val="nil"/>
              <w:bottom w:val="single" w:sz="8" w:space="0" w:color="auto"/>
              <w:right w:val="single" w:sz="8" w:space="0" w:color="auto"/>
            </w:tcBorders>
            <w:vAlign w:val="center"/>
            <w:hideMark/>
          </w:tcPr>
          <w:p w14:paraId="37DC5B5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1BA9409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-536.067</w:t>
            </w:r>
          </w:p>
        </w:tc>
        <w:tc>
          <w:tcPr>
            <w:tcW w:w="1100" w:type="dxa"/>
            <w:tcBorders>
              <w:top w:val="nil"/>
              <w:left w:val="nil"/>
              <w:bottom w:val="single" w:sz="8" w:space="0" w:color="auto"/>
              <w:right w:val="single" w:sz="8" w:space="0" w:color="auto"/>
            </w:tcBorders>
            <w:vAlign w:val="center"/>
            <w:hideMark/>
          </w:tcPr>
          <w:p w14:paraId="471FEA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72%</w:t>
            </w:r>
          </w:p>
        </w:tc>
        <w:tc>
          <w:tcPr>
            <w:tcW w:w="1100" w:type="dxa"/>
            <w:tcBorders>
              <w:top w:val="nil"/>
              <w:left w:val="nil"/>
              <w:bottom w:val="single" w:sz="8" w:space="0" w:color="auto"/>
              <w:right w:val="single" w:sz="8" w:space="0" w:color="auto"/>
            </w:tcBorders>
            <w:vAlign w:val="center"/>
            <w:hideMark/>
          </w:tcPr>
          <w:p w14:paraId="2E687E5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-567%</w:t>
            </w:r>
          </w:p>
        </w:tc>
      </w:tr>
      <w:tr w:rsidR="008468B3" w:rsidRPr="008468B3" w14:paraId="74DE2212"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75B91A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277</w:t>
            </w:r>
          </w:p>
        </w:tc>
        <w:tc>
          <w:tcPr>
            <w:tcW w:w="1919" w:type="dxa"/>
            <w:tcBorders>
              <w:top w:val="nil"/>
              <w:left w:val="nil"/>
              <w:bottom w:val="single" w:sz="8" w:space="0" w:color="auto"/>
              <w:right w:val="single" w:sz="8" w:space="0" w:color="auto"/>
            </w:tcBorders>
            <w:vAlign w:val="center"/>
            <w:hideMark/>
          </w:tcPr>
          <w:p w14:paraId="3EEEB81D"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POSITIVE ENERGY SAS</w:t>
            </w:r>
          </w:p>
        </w:tc>
        <w:tc>
          <w:tcPr>
            <w:tcW w:w="817" w:type="dxa"/>
            <w:tcBorders>
              <w:top w:val="nil"/>
              <w:left w:val="nil"/>
              <w:bottom w:val="single" w:sz="8" w:space="0" w:color="auto"/>
              <w:right w:val="single" w:sz="8" w:space="0" w:color="auto"/>
            </w:tcBorders>
            <w:vAlign w:val="center"/>
            <w:hideMark/>
          </w:tcPr>
          <w:p w14:paraId="6719F63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1,47</w:t>
            </w:r>
          </w:p>
        </w:tc>
        <w:tc>
          <w:tcPr>
            <w:tcW w:w="1271" w:type="dxa"/>
            <w:tcBorders>
              <w:top w:val="nil"/>
              <w:left w:val="nil"/>
              <w:bottom w:val="single" w:sz="8" w:space="0" w:color="auto"/>
              <w:right w:val="single" w:sz="8" w:space="0" w:color="auto"/>
            </w:tcBorders>
            <w:vAlign w:val="center"/>
            <w:hideMark/>
          </w:tcPr>
          <w:p w14:paraId="6A0799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52%</w:t>
            </w:r>
          </w:p>
        </w:tc>
        <w:tc>
          <w:tcPr>
            <w:tcW w:w="1190" w:type="dxa"/>
            <w:tcBorders>
              <w:top w:val="nil"/>
              <w:left w:val="nil"/>
              <w:bottom w:val="single" w:sz="8" w:space="0" w:color="auto"/>
              <w:right w:val="single" w:sz="8" w:space="0" w:color="auto"/>
            </w:tcBorders>
            <w:vAlign w:val="center"/>
            <w:hideMark/>
          </w:tcPr>
          <w:p w14:paraId="40924DA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7BA28E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4.222.690</w:t>
            </w:r>
          </w:p>
        </w:tc>
        <w:tc>
          <w:tcPr>
            <w:tcW w:w="1100" w:type="dxa"/>
            <w:tcBorders>
              <w:top w:val="nil"/>
              <w:left w:val="nil"/>
              <w:bottom w:val="single" w:sz="8" w:space="0" w:color="auto"/>
              <w:right w:val="single" w:sz="8" w:space="0" w:color="auto"/>
            </w:tcBorders>
            <w:vAlign w:val="center"/>
            <w:hideMark/>
          </w:tcPr>
          <w:p w14:paraId="4BC118D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w:t>
            </w:r>
          </w:p>
        </w:tc>
        <w:tc>
          <w:tcPr>
            <w:tcW w:w="1100" w:type="dxa"/>
            <w:tcBorders>
              <w:top w:val="nil"/>
              <w:left w:val="nil"/>
              <w:bottom w:val="single" w:sz="8" w:space="0" w:color="auto"/>
              <w:right w:val="single" w:sz="8" w:space="0" w:color="auto"/>
            </w:tcBorders>
            <w:vAlign w:val="center"/>
            <w:hideMark/>
          </w:tcPr>
          <w:p w14:paraId="49E1C20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50AFBA21"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8CDF2F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278</w:t>
            </w:r>
          </w:p>
        </w:tc>
        <w:tc>
          <w:tcPr>
            <w:tcW w:w="1919" w:type="dxa"/>
            <w:tcBorders>
              <w:top w:val="nil"/>
              <w:left w:val="nil"/>
              <w:bottom w:val="single" w:sz="8" w:space="0" w:color="auto"/>
              <w:right w:val="single" w:sz="8" w:space="0" w:color="auto"/>
            </w:tcBorders>
            <w:vAlign w:val="center"/>
            <w:hideMark/>
          </w:tcPr>
          <w:p w14:paraId="5FEED34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INTERELECTRICAS IMAC SAS</w:t>
            </w:r>
          </w:p>
        </w:tc>
        <w:tc>
          <w:tcPr>
            <w:tcW w:w="817" w:type="dxa"/>
            <w:tcBorders>
              <w:top w:val="nil"/>
              <w:left w:val="nil"/>
              <w:bottom w:val="single" w:sz="8" w:space="0" w:color="auto"/>
              <w:right w:val="single" w:sz="8" w:space="0" w:color="auto"/>
            </w:tcBorders>
            <w:vAlign w:val="center"/>
            <w:hideMark/>
          </w:tcPr>
          <w:p w14:paraId="682B698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2,67</w:t>
            </w:r>
          </w:p>
        </w:tc>
        <w:tc>
          <w:tcPr>
            <w:tcW w:w="1271" w:type="dxa"/>
            <w:tcBorders>
              <w:top w:val="nil"/>
              <w:left w:val="nil"/>
              <w:bottom w:val="single" w:sz="8" w:space="0" w:color="auto"/>
              <w:right w:val="single" w:sz="8" w:space="0" w:color="auto"/>
            </w:tcBorders>
            <w:vAlign w:val="center"/>
            <w:hideMark/>
          </w:tcPr>
          <w:p w14:paraId="647C8F7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26%</w:t>
            </w:r>
          </w:p>
        </w:tc>
        <w:tc>
          <w:tcPr>
            <w:tcW w:w="1190" w:type="dxa"/>
            <w:tcBorders>
              <w:top w:val="nil"/>
              <w:left w:val="nil"/>
              <w:bottom w:val="single" w:sz="8" w:space="0" w:color="auto"/>
              <w:right w:val="single" w:sz="8" w:space="0" w:color="auto"/>
            </w:tcBorders>
            <w:vAlign w:val="center"/>
            <w:hideMark/>
          </w:tcPr>
          <w:p w14:paraId="1998111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271,38</w:t>
            </w:r>
          </w:p>
        </w:tc>
        <w:tc>
          <w:tcPr>
            <w:tcW w:w="1099" w:type="dxa"/>
            <w:tcBorders>
              <w:top w:val="nil"/>
              <w:left w:val="nil"/>
              <w:bottom w:val="single" w:sz="8" w:space="0" w:color="auto"/>
              <w:right w:val="single" w:sz="8" w:space="0" w:color="auto"/>
            </w:tcBorders>
            <w:vAlign w:val="center"/>
            <w:hideMark/>
          </w:tcPr>
          <w:p w14:paraId="79D43874"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2.312.604</w:t>
            </w:r>
          </w:p>
        </w:tc>
        <w:tc>
          <w:tcPr>
            <w:tcW w:w="1100" w:type="dxa"/>
            <w:tcBorders>
              <w:top w:val="nil"/>
              <w:left w:val="nil"/>
              <w:bottom w:val="single" w:sz="8" w:space="0" w:color="auto"/>
              <w:right w:val="single" w:sz="8" w:space="0" w:color="auto"/>
            </w:tcBorders>
            <w:vAlign w:val="center"/>
            <w:hideMark/>
          </w:tcPr>
          <w:p w14:paraId="5D86B49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80%</w:t>
            </w:r>
          </w:p>
        </w:tc>
        <w:tc>
          <w:tcPr>
            <w:tcW w:w="1100" w:type="dxa"/>
            <w:tcBorders>
              <w:top w:val="nil"/>
              <w:left w:val="nil"/>
              <w:bottom w:val="single" w:sz="8" w:space="0" w:color="auto"/>
              <w:right w:val="single" w:sz="8" w:space="0" w:color="auto"/>
            </w:tcBorders>
            <w:vAlign w:val="center"/>
            <w:hideMark/>
          </w:tcPr>
          <w:p w14:paraId="13CA3DC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60%</w:t>
            </w:r>
          </w:p>
        </w:tc>
      </w:tr>
      <w:tr w:rsidR="008468B3" w:rsidRPr="008468B3" w14:paraId="6EFF4926"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0084537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279</w:t>
            </w:r>
          </w:p>
        </w:tc>
        <w:tc>
          <w:tcPr>
            <w:tcW w:w="1919" w:type="dxa"/>
            <w:tcBorders>
              <w:top w:val="nil"/>
              <w:left w:val="nil"/>
              <w:bottom w:val="single" w:sz="8" w:space="0" w:color="auto"/>
              <w:right w:val="single" w:sz="8" w:space="0" w:color="auto"/>
            </w:tcBorders>
            <w:vAlign w:val="center"/>
            <w:hideMark/>
          </w:tcPr>
          <w:p w14:paraId="6F83B18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KAPSCH TRAFFICCOM SAS</w:t>
            </w:r>
          </w:p>
        </w:tc>
        <w:tc>
          <w:tcPr>
            <w:tcW w:w="817" w:type="dxa"/>
            <w:tcBorders>
              <w:top w:val="nil"/>
              <w:left w:val="nil"/>
              <w:bottom w:val="single" w:sz="8" w:space="0" w:color="auto"/>
              <w:right w:val="single" w:sz="8" w:space="0" w:color="auto"/>
            </w:tcBorders>
            <w:vAlign w:val="center"/>
            <w:hideMark/>
          </w:tcPr>
          <w:p w14:paraId="2A3EA76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0,74</w:t>
            </w:r>
          </w:p>
        </w:tc>
        <w:tc>
          <w:tcPr>
            <w:tcW w:w="1271" w:type="dxa"/>
            <w:tcBorders>
              <w:top w:val="nil"/>
              <w:left w:val="nil"/>
              <w:bottom w:val="single" w:sz="8" w:space="0" w:color="auto"/>
              <w:right w:val="single" w:sz="8" w:space="0" w:color="auto"/>
            </w:tcBorders>
            <w:vAlign w:val="center"/>
            <w:hideMark/>
          </w:tcPr>
          <w:p w14:paraId="40A9806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147%</w:t>
            </w:r>
          </w:p>
        </w:tc>
        <w:tc>
          <w:tcPr>
            <w:tcW w:w="1190" w:type="dxa"/>
            <w:tcBorders>
              <w:top w:val="nil"/>
              <w:left w:val="nil"/>
              <w:bottom w:val="single" w:sz="8" w:space="0" w:color="auto"/>
              <w:right w:val="single" w:sz="8" w:space="0" w:color="auto"/>
            </w:tcBorders>
            <w:vAlign w:val="center"/>
            <w:hideMark/>
          </w:tcPr>
          <w:p w14:paraId="41AEA7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-0,39</w:t>
            </w:r>
          </w:p>
        </w:tc>
        <w:tc>
          <w:tcPr>
            <w:tcW w:w="1099" w:type="dxa"/>
            <w:tcBorders>
              <w:top w:val="nil"/>
              <w:left w:val="nil"/>
              <w:bottom w:val="single" w:sz="8" w:space="0" w:color="auto"/>
              <w:right w:val="single" w:sz="8" w:space="0" w:color="auto"/>
            </w:tcBorders>
            <w:vAlign w:val="center"/>
            <w:hideMark/>
          </w:tcPr>
          <w:p w14:paraId="64688E3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-5.065.481</w:t>
            </w:r>
          </w:p>
        </w:tc>
        <w:tc>
          <w:tcPr>
            <w:tcW w:w="1100" w:type="dxa"/>
            <w:tcBorders>
              <w:top w:val="nil"/>
              <w:left w:val="nil"/>
              <w:bottom w:val="single" w:sz="8" w:space="0" w:color="auto"/>
              <w:right w:val="single" w:sz="8" w:space="0" w:color="auto"/>
            </w:tcBorders>
            <w:vAlign w:val="center"/>
            <w:hideMark/>
          </w:tcPr>
          <w:p w14:paraId="1A256C1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c>
          <w:tcPr>
            <w:tcW w:w="1100" w:type="dxa"/>
            <w:tcBorders>
              <w:top w:val="nil"/>
              <w:left w:val="nil"/>
              <w:bottom w:val="single" w:sz="8" w:space="0" w:color="auto"/>
              <w:right w:val="single" w:sz="8" w:space="0" w:color="auto"/>
            </w:tcBorders>
            <w:vAlign w:val="center"/>
            <w:hideMark/>
          </w:tcPr>
          <w:p w14:paraId="28AF7A9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r>
      <w:tr w:rsidR="008468B3" w:rsidRPr="008468B3" w14:paraId="1165562C"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52A623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280</w:t>
            </w:r>
          </w:p>
        </w:tc>
        <w:tc>
          <w:tcPr>
            <w:tcW w:w="1919" w:type="dxa"/>
            <w:tcBorders>
              <w:top w:val="nil"/>
              <w:left w:val="nil"/>
              <w:bottom w:val="single" w:sz="8" w:space="0" w:color="auto"/>
              <w:right w:val="single" w:sz="8" w:space="0" w:color="auto"/>
            </w:tcBorders>
            <w:vAlign w:val="center"/>
            <w:hideMark/>
          </w:tcPr>
          <w:p w14:paraId="4AADBB1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A&amp;C S.A.S.</w:t>
            </w:r>
          </w:p>
        </w:tc>
        <w:tc>
          <w:tcPr>
            <w:tcW w:w="817" w:type="dxa"/>
            <w:tcBorders>
              <w:top w:val="nil"/>
              <w:left w:val="nil"/>
              <w:bottom w:val="single" w:sz="8" w:space="0" w:color="auto"/>
              <w:right w:val="single" w:sz="8" w:space="0" w:color="auto"/>
            </w:tcBorders>
            <w:vAlign w:val="center"/>
            <w:hideMark/>
          </w:tcPr>
          <w:p w14:paraId="05EF8BB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1,95</w:t>
            </w:r>
          </w:p>
        </w:tc>
        <w:tc>
          <w:tcPr>
            <w:tcW w:w="1271" w:type="dxa"/>
            <w:tcBorders>
              <w:top w:val="nil"/>
              <w:left w:val="nil"/>
              <w:bottom w:val="single" w:sz="8" w:space="0" w:color="auto"/>
              <w:right w:val="single" w:sz="8" w:space="0" w:color="auto"/>
            </w:tcBorders>
            <w:vAlign w:val="center"/>
            <w:hideMark/>
          </w:tcPr>
          <w:p w14:paraId="51D0D3C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w:t>
            </w:r>
          </w:p>
        </w:tc>
        <w:tc>
          <w:tcPr>
            <w:tcW w:w="1190" w:type="dxa"/>
            <w:tcBorders>
              <w:top w:val="nil"/>
              <w:left w:val="nil"/>
              <w:bottom w:val="single" w:sz="8" w:space="0" w:color="auto"/>
              <w:right w:val="single" w:sz="8" w:space="0" w:color="auto"/>
            </w:tcBorders>
            <w:vAlign w:val="center"/>
            <w:hideMark/>
          </w:tcPr>
          <w:p w14:paraId="535A999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5C33D8D"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13.436.352</w:t>
            </w:r>
          </w:p>
        </w:tc>
        <w:tc>
          <w:tcPr>
            <w:tcW w:w="1100" w:type="dxa"/>
            <w:tcBorders>
              <w:top w:val="nil"/>
              <w:left w:val="nil"/>
              <w:bottom w:val="single" w:sz="8" w:space="0" w:color="auto"/>
              <w:right w:val="single" w:sz="8" w:space="0" w:color="auto"/>
            </w:tcBorders>
            <w:vAlign w:val="center"/>
            <w:hideMark/>
          </w:tcPr>
          <w:p w14:paraId="3E1D223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7EB56EB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w:t>
            </w:r>
          </w:p>
        </w:tc>
      </w:tr>
      <w:tr w:rsidR="008468B3" w:rsidRPr="008468B3" w14:paraId="7129CBF2"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77A79A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281</w:t>
            </w:r>
          </w:p>
        </w:tc>
        <w:tc>
          <w:tcPr>
            <w:tcW w:w="1919" w:type="dxa"/>
            <w:tcBorders>
              <w:top w:val="nil"/>
              <w:left w:val="nil"/>
              <w:bottom w:val="single" w:sz="8" w:space="0" w:color="auto"/>
              <w:right w:val="single" w:sz="8" w:space="0" w:color="auto"/>
            </w:tcBorders>
            <w:vAlign w:val="center"/>
            <w:hideMark/>
          </w:tcPr>
          <w:p w14:paraId="73EC2788"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ECOENERGY LATIN AMERICA SAS BIC</w:t>
            </w:r>
          </w:p>
        </w:tc>
        <w:tc>
          <w:tcPr>
            <w:tcW w:w="817" w:type="dxa"/>
            <w:tcBorders>
              <w:top w:val="nil"/>
              <w:left w:val="nil"/>
              <w:bottom w:val="single" w:sz="8" w:space="0" w:color="auto"/>
              <w:right w:val="single" w:sz="8" w:space="0" w:color="auto"/>
            </w:tcBorders>
            <w:vAlign w:val="center"/>
            <w:hideMark/>
          </w:tcPr>
          <w:p w14:paraId="45B58F4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w:t>
            </w:r>
          </w:p>
        </w:tc>
        <w:tc>
          <w:tcPr>
            <w:tcW w:w="1271" w:type="dxa"/>
            <w:tcBorders>
              <w:top w:val="nil"/>
              <w:left w:val="nil"/>
              <w:bottom w:val="single" w:sz="8" w:space="0" w:color="auto"/>
              <w:right w:val="single" w:sz="8" w:space="0" w:color="auto"/>
            </w:tcBorders>
            <w:vAlign w:val="center"/>
            <w:hideMark/>
          </w:tcPr>
          <w:p w14:paraId="614789C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35%</w:t>
            </w:r>
          </w:p>
        </w:tc>
        <w:tc>
          <w:tcPr>
            <w:tcW w:w="1190" w:type="dxa"/>
            <w:tcBorders>
              <w:top w:val="nil"/>
              <w:left w:val="nil"/>
              <w:bottom w:val="single" w:sz="8" w:space="0" w:color="auto"/>
              <w:right w:val="single" w:sz="8" w:space="0" w:color="auto"/>
            </w:tcBorders>
            <w:vAlign w:val="center"/>
            <w:hideMark/>
          </w:tcPr>
          <w:p w14:paraId="107CE3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13,48</w:t>
            </w:r>
          </w:p>
        </w:tc>
        <w:tc>
          <w:tcPr>
            <w:tcW w:w="1099" w:type="dxa"/>
            <w:tcBorders>
              <w:top w:val="nil"/>
              <w:left w:val="nil"/>
              <w:bottom w:val="single" w:sz="8" w:space="0" w:color="auto"/>
              <w:right w:val="single" w:sz="8" w:space="0" w:color="auto"/>
            </w:tcBorders>
            <w:vAlign w:val="center"/>
            <w:hideMark/>
          </w:tcPr>
          <w:p w14:paraId="22288BD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747.329</w:t>
            </w:r>
          </w:p>
        </w:tc>
        <w:tc>
          <w:tcPr>
            <w:tcW w:w="1100" w:type="dxa"/>
            <w:tcBorders>
              <w:top w:val="nil"/>
              <w:left w:val="nil"/>
              <w:bottom w:val="single" w:sz="8" w:space="0" w:color="auto"/>
              <w:right w:val="single" w:sz="8" w:space="0" w:color="auto"/>
            </w:tcBorders>
            <w:vAlign w:val="center"/>
            <w:hideMark/>
          </w:tcPr>
          <w:p w14:paraId="0889778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w:t>
            </w:r>
          </w:p>
        </w:tc>
        <w:tc>
          <w:tcPr>
            <w:tcW w:w="1100" w:type="dxa"/>
            <w:tcBorders>
              <w:top w:val="nil"/>
              <w:left w:val="nil"/>
              <w:bottom w:val="single" w:sz="8" w:space="0" w:color="auto"/>
              <w:right w:val="single" w:sz="8" w:space="0" w:color="auto"/>
            </w:tcBorders>
            <w:vAlign w:val="center"/>
            <w:hideMark/>
          </w:tcPr>
          <w:p w14:paraId="1CBBF16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r>
      <w:tr w:rsidR="008468B3" w:rsidRPr="008468B3" w14:paraId="2176DDC2"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B81EB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lastRenderedPageBreak/>
              <w:t>282</w:t>
            </w:r>
          </w:p>
        </w:tc>
        <w:tc>
          <w:tcPr>
            <w:tcW w:w="1919" w:type="dxa"/>
            <w:tcBorders>
              <w:top w:val="nil"/>
              <w:left w:val="nil"/>
              <w:bottom w:val="single" w:sz="8" w:space="0" w:color="auto"/>
              <w:right w:val="single" w:sz="8" w:space="0" w:color="auto"/>
            </w:tcBorders>
            <w:vAlign w:val="center"/>
            <w:hideMark/>
          </w:tcPr>
          <w:p w14:paraId="7237D040"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TORRELLA SAS</w:t>
            </w:r>
          </w:p>
        </w:tc>
        <w:tc>
          <w:tcPr>
            <w:tcW w:w="817" w:type="dxa"/>
            <w:tcBorders>
              <w:top w:val="nil"/>
              <w:left w:val="nil"/>
              <w:bottom w:val="single" w:sz="8" w:space="0" w:color="auto"/>
              <w:right w:val="single" w:sz="8" w:space="0" w:color="auto"/>
            </w:tcBorders>
            <w:vAlign w:val="center"/>
            <w:hideMark/>
          </w:tcPr>
          <w:p w14:paraId="623D23B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5000684,33</w:t>
            </w:r>
          </w:p>
        </w:tc>
        <w:tc>
          <w:tcPr>
            <w:tcW w:w="1271" w:type="dxa"/>
            <w:tcBorders>
              <w:top w:val="nil"/>
              <w:left w:val="nil"/>
              <w:bottom w:val="single" w:sz="8" w:space="0" w:color="auto"/>
              <w:right w:val="single" w:sz="8" w:space="0" w:color="auto"/>
            </w:tcBorders>
            <w:vAlign w:val="center"/>
            <w:hideMark/>
          </w:tcPr>
          <w:p w14:paraId="5E8FA55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100%</w:t>
            </w:r>
          </w:p>
        </w:tc>
        <w:tc>
          <w:tcPr>
            <w:tcW w:w="1190" w:type="dxa"/>
            <w:tcBorders>
              <w:top w:val="nil"/>
              <w:left w:val="nil"/>
              <w:bottom w:val="single" w:sz="8" w:space="0" w:color="auto"/>
              <w:right w:val="single" w:sz="8" w:space="0" w:color="auto"/>
            </w:tcBorders>
            <w:vAlign w:val="center"/>
            <w:hideMark/>
          </w:tcPr>
          <w:p w14:paraId="47C75C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62C609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30.004.100</w:t>
            </w:r>
          </w:p>
        </w:tc>
        <w:tc>
          <w:tcPr>
            <w:tcW w:w="1100" w:type="dxa"/>
            <w:tcBorders>
              <w:top w:val="nil"/>
              <w:left w:val="nil"/>
              <w:bottom w:val="single" w:sz="8" w:space="0" w:color="auto"/>
              <w:right w:val="single" w:sz="8" w:space="0" w:color="auto"/>
            </w:tcBorders>
            <w:vAlign w:val="center"/>
            <w:hideMark/>
          </w:tcPr>
          <w:p w14:paraId="2F83702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c>
          <w:tcPr>
            <w:tcW w:w="1100" w:type="dxa"/>
            <w:tcBorders>
              <w:top w:val="nil"/>
              <w:left w:val="nil"/>
              <w:bottom w:val="single" w:sz="8" w:space="0" w:color="auto"/>
              <w:right w:val="single" w:sz="8" w:space="0" w:color="auto"/>
            </w:tcBorders>
            <w:vAlign w:val="center"/>
            <w:hideMark/>
          </w:tcPr>
          <w:p w14:paraId="6072717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0%</w:t>
            </w:r>
          </w:p>
        </w:tc>
      </w:tr>
      <w:tr w:rsidR="008468B3" w:rsidRPr="008468B3" w14:paraId="291702EC"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68262FE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283</w:t>
            </w:r>
          </w:p>
        </w:tc>
        <w:tc>
          <w:tcPr>
            <w:tcW w:w="1919" w:type="dxa"/>
            <w:tcBorders>
              <w:top w:val="nil"/>
              <w:left w:val="nil"/>
              <w:bottom w:val="single" w:sz="8" w:space="0" w:color="auto"/>
              <w:right w:val="single" w:sz="8" w:space="0" w:color="auto"/>
            </w:tcBorders>
            <w:vAlign w:val="center"/>
            <w:hideMark/>
          </w:tcPr>
          <w:p w14:paraId="1C093F6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CRECIMIENTO Y DESARROLLO POR COLOMBIA SAS</w:t>
            </w:r>
          </w:p>
        </w:tc>
        <w:tc>
          <w:tcPr>
            <w:tcW w:w="817" w:type="dxa"/>
            <w:tcBorders>
              <w:top w:val="nil"/>
              <w:left w:val="nil"/>
              <w:bottom w:val="single" w:sz="8" w:space="0" w:color="auto"/>
              <w:right w:val="single" w:sz="8" w:space="0" w:color="auto"/>
            </w:tcBorders>
            <w:vAlign w:val="center"/>
            <w:hideMark/>
          </w:tcPr>
          <w:p w14:paraId="29D26E5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4,82</w:t>
            </w:r>
          </w:p>
        </w:tc>
        <w:tc>
          <w:tcPr>
            <w:tcW w:w="1271" w:type="dxa"/>
            <w:tcBorders>
              <w:top w:val="nil"/>
              <w:left w:val="nil"/>
              <w:bottom w:val="single" w:sz="8" w:space="0" w:color="auto"/>
              <w:right w:val="single" w:sz="8" w:space="0" w:color="auto"/>
            </w:tcBorders>
            <w:vAlign w:val="center"/>
            <w:hideMark/>
          </w:tcPr>
          <w:p w14:paraId="08DFFF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57%</w:t>
            </w:r>
          </w:p>
        </w:tc>
        <w:tc>
          <w:tcPr>
            <w:tcW w:w="1190" w:type="dxa"/>
            <w:tcBorders>
              <w:top w:val="nil"/>
              <w:left w:val="nil"/>
              <w:bottom w:val="single" w:sz="8" w:space="0" w:color="auto"/>
              <w:right w:val="single" w:sz="8" w:space="0" w:color="auto"/>
            </w:tcBorders>
            <w:vAlign w:val="center"/>
            <w:hideMark/>
          </w:tcPr>
          <w:p w14:paraId="145CDA4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w:t>
            </w:r>
          </w:p>
        </w:tc>
        <w:tc>
          <w:tcPr>
            <w:tcW w:w="1099" w:type="dxa"/>
            <w:tcBorders>
              <w:top w:val="nil"/>
              <w:left w:val="nil"/>
              <w:bottom w:val="single" w:sz="8" w:space="0" w:color="auto"/>
              <w:right w:val="single" w:sz="8" w:space="0" w:color="auto"/>
            </w:tcBorders>
            <w:vAlign w:val="center"/>
            <w:hideMark/>
          </w:tcPr>
          <w:p w14:paraId="492DFBB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8.465.285</w:t>
            </w:r>
          </w:p>
        </w:tc>
        <w:tc>
          <w:tcPr>
            <w:tcW w:w="1100" w:type="dxa"/>
            <w:tcBorders>
              <w:top w:val="nil"/>
              <w:left w:val="nil"/>
              <w:bottom w:val="single" w:sz="8" w:space="0" w:color="auto"/>
              <w:right w:val="single" w:sz="8" w:space="0" w:color="auto"/>
            </w:tcBorders>
            <w:vAlign w:val="center"/>
            <w:hideMark/>
          </w:tcPr>
          <w:p w14:paraId="041F02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349DE99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w:t>
            </w:r>
          </w:p>
        </w:tc>
      </w:tr>
      <w:tr w:rsidR="008468B3" w:rsidRPr="008468B3" w14:paraId="4B4F5BF8"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72D7F2F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284</w:t>
            </w:r>
          </w:p>
        </w:tc>
        <w:tc>
          <w:tcPr>
            <w:tcW w:w="1919" w:type="dxa"/>
            <w:tcBorders>
              <w:top w:val="nil"/>
              <w:left w:val="nil"/>
              <w:bottom w:val="single" w:sz="8" w:space="0" w:color="auto"/>
              <w:right w:val="single" w:sz="8" w:space="0" w:color="auto"/>
            </w:tcBorders>
            <w:vAlign w:val="center"/>
            <w:hideMark/>
          </w:tcPr>
          <w:p w14:paraId="6192039E"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VIMOB SAS BIC</w:t>
            </w:r>
          </w:p>
        </w:tc>
        <w:tc>
          <w:tcPr>
            <w:tcW w:w="817" w:type="dxa"/>
            <w:tcBorders>
              <w:top w:val="nil"/>
              <w:left w:val="nil"/>
              <w:bottom w:val="single" w:sz="8" w:space="0" w:color="auto"/>
              <w:right w:val="single" w:sz="8" w:space="0" w:color="auto"/>
            </w:tcBorders>
            <w:vAlign w:val="center"/>
            <w:hideMark/>
          </w:tcPr>
          <w:p w14:paraId="39A19C4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4,02</w:t>
            </w:r>
          </w:p>
        </w:tc>
        <w:tc>
          <w:tcPr>
            <w:tcW w:w="1271" w:type="dxa"/>
            <w:tcBorders>
              <w:top w:val="nil"/>
              <w:left w:val="nil"/>
              <w:bottom w:val="single" w:sz="8" w:space="0" w:color="auto"/>
              <w:right w:val="single" w:sz="8" w:space="0" w:color="auto"/>
            </w:tcBorders>
            <w:vAlign w:val="center"/>
            <w:hideMark/>
          </w:tcPr>
          <w:p w14:paraId="07F59F3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w:t>
            </w:r>
          </w:p>
        </w:tc>
        <w:tc>
          <w:tcPr>
            <w:tcW w:w="1190" w:type="dxa"/>
            <w:tcBorders>
              <w:top w:val="nil"/>
              <w:left w:val="nil"/>
              <w:bottom w:val="single" w:sz="8" w:space="0" w:color="auto"/>
              <w:right w:val="single" w:sz="8" w:space="0" w:color="auto"/>
            </w:tcBorders>
            <w:vAlign w:val="center"/>
            <w:hideMark/>
          </w:tcPr>
          <w:p w14:paraId="74E9129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2,74</w:t>
            </w:r>
          </w:p>
        </w:tc>
        <w:tc>
          <w:tcPr>
            <w:tcW w:w="1099" w:type="dxa"/>
            <w:tcBorders>
              <w:top w:val="nil"/>
              <w:left w:val="nil"/>
              <w:bottom w:val="single" w:sz="8" w:space="0" w:color="auto"/>
              <w:right w:val="single" w:sz="8" w:space="0" w:color="auto"/>
            </w:tcBorders>
            <w:vAlign w:val="center"/>
            <w:hideMark/>
          </w:tcPr>
          <w:p w14:paraId="2C7BD585"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3.073.298</w:t>
            </w:r>
          </w:p>
        </w:tc>
        <w:tc>
          <w:tcPr>
            <w:tcW w:w="1100" w:type="dxa"/>
            <w:tcBorders>
              <w:top w:val="nil"/>
              <w:left w:val="nil"/>
              <w:bottom w:val="single" w:sz="8" w:space="0" w:color="auto"/>
              <w:right w:val="single" w:sz="8" w:space="0" w:color="auto"/>
            </w:tcBorders>
            <w:vAlign w:val="center"/>
            <w:hideMark/>
          </w:tcPr>
          <w:p w14:paraId="25BB2A0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19%</w:t>
            </w:r>
          </w:p>
        </w:tc>
        <w:tc>
          <w:tcPr>
            <w:tcW w:w="1100" w:type="dxa"/>
            <w:tcBorders>
              <w:top w:val="nil"/>
              <w:left w:val="nil"/>
              <w:bottom w:val="single" w:sz="8" w:space="0" w:color="auto"/>
              <w:right w:val="single" w:sz="8" w:space="0" w:color="auto"/>
            </w:tcBorders>
            <w:vAlign w:val="center"/>
            <w:hideMark/>
          </w:tcPr>
          <w:p w14:paraId="184933A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0D360E04"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E880B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285</w:t>
            </w:r>
          </w:p>
        </w:tc>
        <w:tc>
          <w:tcPr>
            <w:tcW w:w="1919" w:type="dxa"/>
            <w:tcBorders>
              <w:top w:val="nil"/>
              <w:left w:val="nil"/>
              <w:bottom w:val="single" w:sz="8" w:space="0" w:color="auto"/>
              <w:right w:val="single" w:sz="8" w:space="0" w:color="auto"/>
            </w:tcBorders>
            <w:vAlign w:val="center"/>
            <w:hideMark/>
          </w:tcPr>
          <w:p w14:paraId="043A18C9"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CONSTRUCTORA QUIJANO PERDOMO S.A.S.</w:t>
            </w:r>
          </w:p>
        </w:tc>
        <w:tc>
          <w:tcPr>
            <w:tcW w:w="817" w:type="dxa"/>
            <w:tcBorders>
              <w:top w:val="nil"/>
              <w:left w:val="nil"/>
              <w:bottom w:val="single" w:sz="8" w:space="0" w:color="auto"/>
              <w:right w:val="single" w:sz="8" w:space="0" w:color="auto"/>
            </w:tcBorders>
            <w:vAlign w:val="center"/>
            <w:hideMark/>
          </w:tcPr>
          <w:p w14:paraId="43D591E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1,08</w:t>
            </w:r>
          </w:p>
        </w:tc>
        <w:tc>
          <w:tcPr>
            <w:tcW w:w="1271" w:type="dxa"/>
            <w:tcBorders>
              <w:top w:val="nil"/>
              <w:left w:val="nil"/>
              <w:bottom w:val="single" w:sz="8" w:space="0" w:color="auto"/>
              <w:right w:val="single" w:sz="8" w:space="0" w:color="auto"/>
            </w:tcBorders>
            <w:vAlign w:val="center"/>
            <w:hideMark/>
          </w:tcPr>
          <w:p w14:paraId="734B8F0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93%</w:t>
            </w:r>
          </w:p>
        </w:tc>
        <w:tc>
          <w:tcPr>
            <w:tcW w:w="1190" w:type="dxa"/>
            <w:tcBorders>
              <w:top w:val="nil"/>
              <w:left w:val="nil"/>
              <w:bottom w:val="single" w:sz="8" w:space="0" w:color="auto"/>
              <w:right w:val="single" w:sz="8" w:space="0" w:color="auto"/>
            </w:tcBorders>
            <w:vAlign w:val="center"/>
            <w:hideMark/>
          </w:tcPr>
          <w:p w14:paraId="34BA00C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5EBC2C27"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2.249.484</w:t>
            </w:r>
          </w:p>
        </w:tc>
        <w:tc>
          <w:tcPr>
            <w:tcW w:w="1100" w:type="dxa"/>
            <w:tcBorders>
              <w:top w:val="nil"/>
              <w:left w:val="nil"/>
              <w:bottom w:val="single" w:sz="8" w:space="0" w:color="auto"/>
              <w:right w:val="single" w:sz="8" w:space="0" w:color="auto"/>
            </w:tcBorders>
            <w:vAlign w:val="center"/>
            <w:hideMark/>
          </w:tcPr>
          <w:p w14:paraId="73F6C2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69%</w:t>
            </w:r>
          </w:p>
        </w:tc>
        <w:tc>
          <w:tcPr>
            <w:tcW w:w="1100" w:type="dxa"/>
            <w:tcBorders>
              <w:top w:val="nil"/>
              <w:left w:val="nil"/>
              <w:bottom w:val="single" w:sz="8" w:space="0" w:color="auto"/>
              <w:right w:val="single" w:sz="8" w:space="0" w:color="auto"/>
            </w:tcBorders>
            <w:vAlign w:val="center"/>
            <w:hideMark/>
          </w:tcPr>
          <w:p w14:paraId="5CA0505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43F9EBCA"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6DC47A1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286</w:t>
            </w:r>
          </w:p>
        </w:tc>
        <w:tc>
          <w:tcPr>
            <w:tcW w:w="1919" w:type="dxa"/>
            <w:tcBorders>
              <w:top w:val="nil"/>
              <w:left w:val="nil"/>
              <w:bottom w:val="single" w:sz="8" w:space="0" w:color="auto"/>
              <w:right w:val="single" w:sz="8" w:space="0" w:color="auto"/>
            </w:tcBorders>
            <w:vAlign w:val="center"/>
            <w:hideMark/>
          </w:tcPr>
          <w:p w14:paraId="258C4E2C"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EPRING SAS</w:t>
            </w:r>
          </w:p>
        </w:tc>
        <w:tc>
          <w:tcPr>
            <w:tcW w:w="817" w:type="dxa"/>
            <w:tcBorders>
              <w:top w:val="nil"/>
              <w:left w:val="nil"/>
              <w:bottom w:val="single" w:sz="8" w:space="0" w:color="auto"/>
              <w:right w:val="single" w:sz="8" w:space="0" w:color="auto"/>
            </w:tcBorders>
            <w:vAlign w:val="center"/>
            <w:hideMark/>
          </w:tcPr>
          <w:p w14:paraId="129FC00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3,27</w:t>
            </w:r>
          </w:p>
        </w:tc>
        <w:tc>
          <w:tcPr>
            <w:tcW w:w="1271" w:type="dxa"/>
            <w:tcBorders>
              <w:top w:val="nil"/>
              <w:left w:val="nil"/>
              <w:bottom w:val="single" w:sz="8" w:space="0" w:color="auto"/>
              <w:right w:val="single" w:sz="8" w:space="0" w:color="auto"/>
            </w:tcBorders>
            <w:vAlign w:val="center"/>
            <w:hideMark/>
          </w:tcPr>
          <w:p w14:paraId="1596C8C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54%</w:t>
            </w:r>
          </w:p>
        </w:tc>
        <w:tc>
          <w:tcPr>
            <w:tcW w:w="1190" w:type="dxa"/>
            <w:tcBorders>
              <w:top w:val="nil"/>
              <w:left w:val="nil"/>
              <w:bottom w:val="single" w:sz="8" w:space="0" w:color="auto"/>
              <w:right w:val="single" w:sz="8" w:space="0" w:color="auto"/>
            </w:tcBorders>
            <w:vAlign w:val="center"/>
            <w:hideMark/>
          </w:tcPr>
          <w:p w14:paraId="54A133E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1,47</w:t>
            </w:r>
          </w:p>
        </w:tc>
        <w:tc>
          <w:tcPr>
            <w:tcW w:w="1099" w:type="dxa"/>
            <w:tcBorders>
              <w:top w:val="nil"/>
              <w:left w:val="nil"/>
              <w:bottom w:val="single" w:sz="8" w:space="0" w:color="auto"/>
              <w:right w:val="single" w:sz="8" w:space="0" w:color="auto"/>
            </w:tcBorders>
            <w:vAlign w:val="center"/>
            <w:hideMark/>
          </w:tcPr>
          <w:p w14:paraId="475165A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2.796.701</w:t>
            </w:r>
          </w:p>
        </w:tc>
        <w:tc>
          <w:tcPr>
            <w:tcW w:w="1100" w:type="dxa"/>
            <w:tcBorders>
              <w:top w:val="nil"/>
              <w:left w:val="nil"/>
              <w:bottom w:val="single" w:sz="8" w:space="0" w:color="auto"/>
              <w:right w:val="single" w:sz="8" w:space="0" w:color="auto"/>
            </w:tcBorders>
            <w:vAlign w:val="center"/>
            <w:hideMark/>
          </w:tcPr>
          <w:p w14:paraId="18B4D8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w:t>
            </w:r>
          </w:p>
        </w:tc>
        <w:tc>
          <w:tcPr>
            <w:tcW w:w="1100" w:type="dxa"/>
            <w:tcBorders>
              <w:top w:val="nil"/>
              <w:left w:val="nil"/>
              <w:bottom w:val="single" w:sz="8" w:space="0" w:color="auto"/>
              <w:right w:val="single" w:sz="8" w:space="0" w:color="auto"/>
            </w:tcBorders>
            <w:vAlign w:val="center"/>
            <w:hideMark/>
          </w:tcPr>
          <w:p w14:paraId="6CE5B9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w:t>
            </w:r>
          </w:p>
        </w:tc>
      </w:tr>
      <w:tr w:rsidR="008468B3" w:rsidRPr="008468B3" w14:paraId="086302A9"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65D76EC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287</w:t>
            </w:r>
          </w:p>
        </w:tc>
        <w:tc>
          <w:tcPr>
            <w:tcW w:w="1919" w:type="dxa"/>
            <w:tcBorders>
              <w:top w:val="nil"/>
              <w:left w:val="nil"/>
              <w:bottom w:val="single" w:sz="8" w:space="0" w:color="auto"/>
              <w:right w:val="single" w:sz="8" w:space="0" w:color="auto"/>
            </w:tcBorders>
            <w:vAlign w:val="center"/>
            <w:hideMark/>
          </w:tcPr>
          <w:p w14:paraId="14C1FD06"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SUPERMERCADO RAMIREZ HERMANOS SAS</w:t>
            </w:r>
          </w:p>
        </w:tc>
        <w:tc>
          <w:tcPr>
            <w:tcW w:w="817" w:type="dxa"/>
            <w:tcBorders>
              <w:top w:val="nil"/>
              <w:left w:val="nil"/>
              <w:bottom w:val="single" w:sz="8" w:space="0" w:color="auto"/>
              <w:right w:val="single" w:sz="8" w:space="0" w:color="auto"/>
            </w:tcBorders>
            <w:vAlign w:val="center"/>
            <w:hideMark/>
          </w:tcPr>
          <w:p w14:paraId="7114872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1,73</w:t>
            </w:r>
          </w:p>
        </w:tc>
        <w:tc>
          <w:tcPr>
            <w:tcW w:w="1271" w:type="dxa"/>
            <w:tcBorders>
              <w:top w:val="nil"/>
              <w:left w:val="nil"/>
              <w:bottom w:val="single" w:sz="8" w:space="0" w:color="auto"/>
              <w:right w:val="single" w:sz="8" w:space="0" w:color="auto"/>
            </w:tcBorders>
            <w:vAlign w:val="center"/>
            <w:hideMark/>
          </w:tcPr>
          <w:p w14:paraId="3B91B0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w:t>
            </w:r>
          </w:p>
        </w:tc>
        <w:tc>
          <w:tcPr>
            <w:tcW w:w="1190" w:type="dxa"/>
            <w:tcBorders>
              <w:top w:val="nil"/>
              <w:left w:val="nil"/>
              <w:bottom w:val="single" w:sz="8" w:space="0" w:color="auto"/>
              <w:right w:val="single" w:sz="8" w:space="0" w:color="auto"/>
            </w:tcBorders>
            <w:vAlign w:val="center"/>
            <w:hideMark/>
          </w:tcPr>
          <w:p w14:paraId="5F3DFC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2,27</w:t>
            </w:r>
          </w:p>
        </w:tc>
        <w:tc>
          <w:tcPr>
            <w:tcW w:w="1099" w:type="dxa"/>
            <w:tcBorders>
              <w:top w:val="nil"/>
              <w:left w:val="nil"/>
              <w:bottom w:val="single" w:sz="8" w:space="0" w:color="auto"/>
              <w:right w:val="single" w:sz="8" w:space="0" w:color="auto"/>
            </w:tcBorders>
            <w:vAlign w:val="center"/>
            <w:hideMark/>
          </w:tcPr>
          <w:p w14:paraId="680794C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9.681.423</w:t>
            </w:r>
          </w:p>
        </w:tc>
        <w:tc>
          <w:tcPr>
            <w:tcW w:w="1100" w:type="dxa"/>
            <w:tcBorders>
              <w:top w:val="nil"/>
              <w:left w:val="nil"/>
              <w:bottom w:val="single" w:sz="8" w:space="0" w:color="auto"/>
              <w:right w:val="single" w:sz="8" w:space="0" w:color="auto"/>
            </w:tcBorders>
            <w:vAlign w:val="center"/>
            <w:hideMark/>
          </w:tcPr>
          <w:p w14:paraId="05E3DFC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w:t>
            </w:r>
          </w:p>
        </w:tc>
        <w:tc>
          <w:tcPr>
            <w:tcW w:w="1100" w:type="dxa"/>
            <w:tcBorders>
              <w:top w:val="nil"/>
              <w:left w:val="nil"/>
              <w:bottom w:val="single" w:sz="8" w:space="0" w:color="auto"/>
              <w:right w:val="single" w:sz="8" w:space="0" w:color="auto"/>
            </w:tcBorders>
            <w:vAlign w:val="center"/>
            <w:hideMark/>
          </w:tcPr>
          <w:p w14:paraId="120C995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w:t>
            </w:r>
          </w:p>
        </w:tc>
      </w:tr>
      <w:tr w:rsidR="008468B3" w:rsidRPr="008468B3" w14:paraId="08E63900" w14:textId="77777777" w:rsidTr="008468B3">
        <w:trPr>
          <w:trHeight w:val="300"/>
        </w:trPr>
        <w:tc>
          <w:tcPr>
            <w:tcW w:w="474" w:type="dxa"/>
            <w:tcBorders>
              <w:top w:val="nil"/>
              <w:left w:val="single" w:sz="8" w:space="0" w:color="auto"/>
              <w:bottom w:val="single" w:sz="8" w:space="0" w:color="auto"/>
              <w:right w:val="single" w:sz="8" w:space="0" w:color="auto"/>
            </w:tcBorders>
            <w:noWrap/>
            <w:vAlign w:val="center"/>
            <w:hideMark/>
          </w:tcPr>
          <w:p w14:paraId="5969CA6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288</w:t>
            </w:r>
          </w:p>
        </w:tc>
        <w:tc>
          <w:tcPr>
            <w:tcW w:w="1919" w:type="dxa"/>
            <w:tcBorders>
              <w:top w:val="nil"/>
              <w:left w:val="nil"/>
              <w:bottom w:val="single" w:sz="8" w:space="0" w:color="auto"/>
              <w:right w:val="single" w:sz="8" w:space="0" w:color="auto"/>
            </w:tcBorders>
            <w:vAlign w:val="center"/>
            <w:hideMark/>
          </w:tcPr>
          <w:p w14:paraId="4A860C4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URVIMAQ SAS</w:t>
            </w:r>
          </w:p>
        </w:tc>
        <w:tc>
          <w:tcPr>
            <w:tcW w:w="817" w:type="dxa"/>
            <w:tcBorders>
              <w:top w:val="nil"/>
              <w:left w:val="nil"/>
              <w:bottom w:val="single" w:sz="8" w:space="0" w:color="auto"/>
              <w:right w:val="single" w:sz="8" w:space="0" w:color="auto"/>
            </w:tcBorders>
            <w:vAlign w:val="center"/>
            <w:hideMark/>
          </w:tcPr>
          <w:p w14:paraId="1391271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22,08</w:t>
            </w:r>
          </w:p>
        </w:tc>
        <w:tc>
          <w:tcPr>
            <w:tcW w:w="1271" w:type="dxa"/>
            <w:tcBorders>
              <w:top w:val="nil"/>
              <w:left w:val="nil"/>
              <w:bottom w:val="single" w:sz="8" w:space="0" w:color="auto"/>
              <w:right w:val="single" w:sz="8" w:space="0" w:color="auto"/>
            </w:tcBorders>
            <w:vAlign w:val="center"/>
            <w:hideMark/>
          </w:tcPr>
          <w:p w14:paraId="429501B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90" w:type="dxa"/>
            <w:tcBorders>
              <w:top w:val="nil"/>
              <w:left w:val="nil"/>
              <w:bottom w:val="single" w:sz="8" w:space="0" w:color="auto"/>
              <w:right w:val="single" w:sz="8" w:space="0" w:color="auto"/>
            </w:tcBorders>
            <w:vAlign w:val="center"/>
            <w:hideMark/>
          </w:tcPr>
          <w:p w14:paraId="696F559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14,06</w:t>
            </w:r>
          </w:p>
        </w:tc>
        <w:tc>
          <w:tcPr>
            <w:tcW w:w="1099" w:type="dxa"/>
            <w:tcBorders>
              <w:top w:val="nil"/>
              <w:left w:val="nil"/>
              <w:bottom w:val="single" w:sz="8" w:space="0" w:color="auto"/>
              <w:right w:val="single" w:sz="8" w:space="0" w:color="auto"/>
            </w:tcBorders>
            <w:vAlign w:val="center"/>
            <w:hideMark/>
          </w:tcPr>
          <w:p w14:paraId="6F34789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2.356.698</w:t>
            </w:r>
          </w:p>
        </w:tc>
        <w:tc>
          <w:tcPr>
            <w:tcW w:w="1100" w:type="dxa"/>
            <w:tcBorders>
              <w:top w:val="nil"/>
              <w:left w:val="nil"/>
              <w:bottom w:val="single" w:sz="8" w:space="0" w:color="auto"/>
              <w:right w:val="single" w:sz="8" w:space="0" w:color="auto"/>
            </w:tcBorders>
            <w:vAlign w:val="center"/>
            <w:hideMark/>
          </w:tcPr>
          <w:p w14:paraId="4B0261A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7%</w:t>
            </w:r>
          </w:p>
        </w:tc>
        <w:tc>
          <w:tcPr>
            <w:tcW w:w="1100" w:type="dxa"/>
            <w:tcBorders>
              <w:top w:val="nil"/>
              <w:left w:val="nil"/>
              <w:bottom w:val="single" w:sz="8" w:space="0" w:color="auto"/>
              <w:right w:val="single" w:sz="8" w:space="0" w:color="auto"/>
            </w:tcBorders>
            <w:vAlign w:val="center"/>
            <w:hideMark/>
          </w:tcPr>
          <w:p w14:paraId="356899E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w:t>
            </w:r>
          </w:p>
        </w:tc>
      </w:tr>
      <w:tr w:rsidR="008468B3" w:rsidRPr="008468B3" w14:paraId="5BA4EA8A"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032559F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289</w:t>
            </w:r>
          </w:p>
        </w:tc>
        <w:tc>
          <w:tcPr>
            <w:tcW w:w="1919" w:type="dxa"/>
            <w:tcBorders>
              <w:top w:val="nil"/>
              <w:left w:val="nil"/>
              <w:bottom w:val="single" w:sz="8" w:space="0" w:color="auto"/>
              <w:right w:val="single" w:sz="8" w:space="0" w:color="auto"/>
            </w:tcBorders>
            <w:vAlign w:val="center"/>
            <w:hideMark/>
          </w:tcPr>
          <w:p w14:paraId="4AF83B1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PROMOTORA KYUX SAS</w:t>
            </w:r>
          </w:p>
        </w:tc>
        <w:tc>
          <w:tcPr>
            <w:tcW w:w="817" w:type="dxa"/>
            <w:tcBorders>
              <w:top w:val="nil"/>
              <w:left w:val="nil"/>
              <w:bottom w:val="single" w:sz="8" w:space="0" w:color="auto"/>
              <w:right w:val="single" w:sz="8" w:space="0" w:color="auto"/>
            </w:tcBorders>
            <w:vAlign w:val="center"/>
            <w:hideMark/>
          </w:tcPr>
          <w:p w14:paraId="2FFF67E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2,10</w:t>
            </w:r>
          </w:p>
        </w:tc>
        <w:tc>
          <w:tcPr>
            <w:tcW w:w="1271" w:type="dxa"/>
            <w:tcBorders>
              <w:top w:val="nil"/>
              <w:left w:val="nil"/>
              <w:bottom w:val="single" w:sz="8" w:space="0" w:color="auto"/>
              <w:right w:val="single" w:sz="8" w:space="0" w:color="auto"/>
            </w:tcBorders>
            <w:vAlign w:val="center"/>
            <w:hideMark/>
          </w:tcPr>
          <w:p w14:paraId="7440E5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65%</w:t>
            </w:r>
          </w:p>
        </w:tc>
        <w:tc>
          <w:tcPr>
            <w:tcW w:w="1190" w:type="dxa"/>
            <w:tcBorders>
              <w:top w:val="nil"/>
              <w:left w:val="nil"/>
              <w:bottom w:val="single" w:sz="8" w:space="0" w:color="auto"/>
              <w:right w:val="single" w:sz="8" w:space="0" w:color="auto"/>
            </w:tcBorders>
            <w:vAlign w:val="center"/>
            <w:hideMark/>
          </w:tcPr>
          <w:p w14:paraId="78B6F30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64,54</w:t>
            </w:r>
          </w:p>
        </w:tc>
        <w:tc>
          <w:tcPr>
            <w:tcW w:w="1099" w:type="dxa"/>
            <w:tcBorders>
              <w:top w:val="nil"/>
              <w:left w:val="nil"/>
              <w:bottom w:val="single" w:sz="8" w:space="0" w:color="auto"/>
              <w:right w:val="single" w:sz="8" w:space="0" w:color="auto"/>
            </w:tcBorders>
            <w:vAlign w:val="center"/>
            <w:hideMark/>
          </w:tcPr>
          <w:p w14:paraId="1D958E8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5.118.820</w:t>
            </w:r>
          </w:p>
        </w:tc>
        <w:tc>
          <w:tcPr>
            <w:tcW w:w="1100" w:type="dxa"/>
            <w:tcBorders>
              <w:top w:val="nil"/>
              <w:left w:val="nil"/>
              <w:bottom w:val="single" w:sz="8" w:space="0" w:color="auto"/>
              <w:right w:val="single" w:sz="8" w:space="0" w:color="auto"/>
            </w:tcBorders>
            <w:vAlign w:val="center"/>
            <w:hideMark/>
          </w:tcPr>
          <w:p w14:paraId="0D89EC8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126%</w:t>
            </w:r>
          </w:p>
        </w:tc>
        <w:tc>
          <w:tcPr>
            <w:tcW w:w="1100" w:type="dxa"/>
            <w:tcBorders>
              <w:top w:val="nil"/>
              <w:left w:val="nil"/>
              <w:bottom w:val="single" w:sz="8" w:space="0" w:color="auto"/>
              <w:right w:val="single" w:sz="8" w:space="0" w:color="auto"/>
            </w:tcBorders>
            <w:vAlign w:val="center"/>
            <w:hideMark/>
          </w:tcPr>
          <w:p w14:paraId="7F43807B"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44%</w:t>
            </w:r>
          </w:p>
        </w:tc>
      </w:tr>
      <w:tr w:rsidR="008468B3" w:rsidRPr="008468B3" w14:paraId="4D0F53BD"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60C693B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290</w:t>
            </w:r>
          </w:p>
        </w:tc>
        <w:tc>
          <w:tcPr>
            <w:tcW w:w="1919" w:type="dxa"/>
            <w:tcBorders>
              <w:top w:val="nil"/>
              <w:left w:val="nil"/>
              <w:bottom w:val="single" w:sz="8" w:space="0" w:color="auto"/>
              <w:right w:val="single" w:sz="8" w:space="0" w:color="auto"/>
            </w:tcBorders>
            <w:vAlign w:val="center"/>
            <w:hideMark/>
          </w:tcPr>
          <w:p w14:paraId="3D1D9651"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SAYOP S.A.S. E.S.P.</w:t>
            </w:r>
          </w:p>
        </w:tc>
        <w:tc>
          <w:tcPr>
            <w:tcW w:w="817" w:type="dxa"/>
            <w:tcBorders>
              <w:top w:val="nil"/>
              <w:left w:val="nil"/>
              <w:bottom w:val="single" w:sz="8" w:space="0" w:color="auto"/>
              <w:right w:val="single" w:sz="8" w:space="0" w:color="auto"/>
            </w:tcBorders>
            <w:vAlign w:val="center"/>
            <w:hideMark/>
          </w:tcPr>
          <w:p w14:paraId="331C7C2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15,49</w:t>
            </w:r>
          </w:p>
        </w:tc>
        <w:tc>
          <w:tcPr>
            <w:tcW w:w="1271" w:type="dxa"/>
            <w:tcBorders>
              <w:top w:val="nil"/>
              <w:left w:val="nil"/>
              <w:bottom w:val="single" w:sz="8" w:space="0" w:color="auto"/>
              <w:right w:val="single" w:sz="8" w:space="0" w:color="auto"/>
            </w:tcBorders>
            <w:vAlign w:val="center"/>
            <w:hideMark/>
          </w:tcPr>
          <w:p w14:paraId="66D42FD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w:t>
            </w:r>
          </w:p>
        </w:tc>
        <w:tc>
          <w:tcPr>
            <w:tcW w:w="1190" w:type="dxa"/>
            <w:tcBorders>
              <w:top w:val="nil"/>
              <w:left w:val="nil"/>
              <w:bottom w:val="single" w:sz="8" w:space="0" w:color="auto"/>
              <w:right w:val="single" w:sz="8" w:space="0" w:color="auto"/>
            </w:tcBorders>
            <w:vAlign w:val="center"/>
            <w:hideMark/>
          </w:tcPr>
          <w:p w14:paraId="753B7FF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06A8865E"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24.762.882</w:t>
            </w:r>
          </w:p>
        </w:tc>
        <w:tc>
          <w:tcPr>
            <w:tcW w:w="1100" w:type="dxa"/>
            <w:tcBorders>
              <w:top w:val="nil"/>
              <w:left w:val="nil"/>
              <w:bottom w:val="single" w:sz="8" w:space="0" w:color="auto"/>
              <w:right w:val="single" w:sz="8" w:space="0" w:color="auto"/>
            </w:tcBorders>
            <w:vAlign w:val="center"/>
            <w:hideMark/>
          </w:tcPr>
          <w:p w14:paraId="0A3765A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c>
          <w:tcPr>
            <w:tcW w:w="1100" w:type="dxa"/>
            <w:tcBorders>
              <w:top w:val="nil"/>
              <w:left w:val="nil"/>
              <w:bottom w:val="single" w:sz="8" w:space="0" w:color="auto"/>
              <w:right w:val="single" w:sz="8" w:space="0" w:color="auto"/>
            </w:tcBorders>
            <w:vAlign w:val="center"/>
            <w:hideMark/>
          </w:tcPr>
          <w:p w14:paraId="0A4325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16%</w:t>
            </w:r>
          </w:p>
        </w:tc>
      </w:tr>
      <w:tr w:rsidR="008468B3" w:rsidRPr="008468B3" w14:paraId="7D6DC167" w14:textId="77777777" w:rsidTr="008468B3">
        <w:trPr>
          <w:trHeight w:val="625"/>
        </w:trPr>
        <w:tc>
          <w:tcPr>
            <w:tcW w:w="474" w:type="dxa"/>
            <w:tcBorders>
              <w:top w:val="nil"/>
              <w:left w:val="single" w:sz="8" w:space="0" w:color="auto"/>
              <w:bottom w:val="single" w:sz="8" w:space="0" w:color="auto"/>
              <w:right w:val="single" w:sz="8" w:space="0" w:color="auto"/>
            </w:tcBorders>
            <w:noWrap/>
            <w:vAlign w:val="center"/>
            <w:hideMark/>
          </w:tcPr>
          <w:p w14:paraId="600C61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291</w:t>
            </w:r>
          </w:p>
        </w:tc>
        <w:tc>
          <w:tcPr>
            <w:tcW w:w="1919" w:type="dxa"/>
            <w:tcBorders>
              <w:top w:val="nil"/>
              <w:left w:val="nil"/>
              <w:bottom w:val="single" w:sz="8" w:space="0" w:color="auto"/>
              <w:right w:val="single" w:sz="8" w:space="0" w:color="auto"/>
            </w:tcBorders>
            <w:vAlign w:val="center"/>
            <w:hideMark/>
          </w:tcPr>
          <w:p w14:paraId="55F46FC3"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AMP OBRA CIVIL Y CONSTRUCCION S.A.S</w:t>
            </w:r>
          </w:p>
        </w:tc>
        <w:tc>
          <w:tcPr>
            <w:tcW w:w="817" w:type="dxa"/>
            <w:tcBorders>
              <w:top w:val="nil"/>
              <w:left w:val="nil"/>
              <w:bottom w:val="single" w:sz="8" w:space="0" w:color="auto"/>
              <w:right w:val="single" w:sz="8" w:space="0" w:color="auto"/>
            </w:tcBorders>
            <w:vAlign w:val="center"/>
            <w:hideMark/>
          </w:tcPr>
          <w:p w14:paraId="1D707A9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2,37</w:t>
            </w:r>
          </w:p>
        </w:tc>
        <w:tc>
          <w:tcPr>
            <w:tcW w:w="1271" w:type="dxa"/>
            <w:tcBorders>
              <w:top w:val="nil"/>
              <w:left w:val="nil"/>
              <w:bottom w:val="single" w:sz="8" w:space="0" w:color="auto"/>
              <w:right w:val="single" w:sz="8" w:space="0" w:color="auto"/>
            </w:tcBorders>
            <w:vAlign w:val="center"/>
            <w:hideMark/>
          </w:tcPr>
          <w:p w14:paraId="7F1B91C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68%</w:t>
            </w:r>
          </w:p>
        </w:tc>
        <w:tc>
          <w:tcPr>
            <w:tcW w:w="1190" w:type="dxa"/>
            <w:tcBorders>
              <w:top w:val="nil"/>
              <w:left w:val="nil"/>
              <w:bottom w:val="single" w:sz="8" w:space="0" w:color="auto"/>
              <w:right w:val="single" w:sz="8" w:space="0" w:color="auto"/>
            </w:tcBorders>
            <w:vAlign w:val="center"/>
            <w:hideMark/>
          </w:tcPr>
          <w:p w14:paraId="5FB53FF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7649092"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672.166</w:t>
            </w:r>
          </w:p>
        </w:tc>
        <w:tc>
          <w:tcPr>
            <w:tcW w:w="1100" w:type="dxa"/>
            <w:tcBorders>
              <w:top w:val="nil"/>
              <w:left w:val="nil"/>
              <w:bottom w:val="single" w:sz="8" w:space="0" w:color="auto"/>
              <w:right w:val="single" w:sz="8" w:space="0" w:color="auto"/>
            </w:tcBorders>
            <w:vAlign w:val="center"/>
            <w:hideMark/>
          </w:tcPr>
          <w:p w14:paraId="780B0BB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32%</w:t>
            </w:r>
          </w:p>
        </w:tc>
        <w:tc>
          <w:tcPr>
            <w:tcW w:w="1100" w:type="dxa"/>
            <w:tcBorders>
              <w:top w:val="nil"/>
              <w:left w:val="nil"/>
              <w:bottom w:val="single" w:sz="8" w:space="0" w:color="auto"/>
              <w:right w:val="single" w:sz="8" w:space="0" w:color="auto"/>
            </w:tcBorders>
            <w:vAlign w:val="center"/>
            <w:hideMark/>
          </w:tcPr>
          <w:p w14:paraId="5ACCC9F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w:t>
            </w:r>
          </w:p>
        </w:tc>
      </w:tr>
      <w:tr w:rsidR="008468B3" w:rsidRPr="008468B3" w14:paraId="4D1BD424"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76A18C1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292</w:t>
            </w:r>
          </w:p>
        </w:tc>
        <w:tc>
          <w:tcPr>
            <w:tcW w:w="1919" w:type="dxa"/>
            <w:tcBorders>
              <w:top w:val="nil"/>
              <w:left w:val="nil"/>
              <w:bottom w:val="single" w:sz="8" w:space="0" w:color="auto"/>
              <w:right w:val="single" w:sz="8" w:space="0" w:color="auto"/>
            </w:tcBorders>
            <w:vAlign w:val="center"/>
            <w:hideMark/>
          </w:tcPr>
          <w:p w14:paraId="2E886257"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ALIANZA ENERGETICA Y TECNOLOGICA DEL CAUCA SAS</w:t>
            </w:r>
          </w:p>
        </w:tc>
        <w:tc>
          <w:tcPr>
            <w:tcW w:w="817" w:type="dxa"/>
            <w:tcBorders>
              <w:top w:val="nil"/>
              <w:left w:val="nil"/>
              <w:bottom w:val="single" w:sz="8" w:space="0" w:color="auto"/>
              <w:right w:val="single" w:sz="8" w:space="0" w:color="auto"/>
            </w:tcBorders>
            <w:vAlign w:val="center"/>
            <w:hideMark/>
          </w:tcPr>
          <w:p w14:paraId="4131738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3,44</w:t>
            </w:r>
          </w:p>
        </w:tc>
        <w:tc>
          <w:tcPr>
            <w:tcW w:w="1271" w:type="dxa"/>
            <w:tcBorders>
              <w:top w:val="nil"/>
              <w:left w:val="nil"/>
              <w:bottom w:val="single" w:sz="8" w:space="0" w:color="auto"/>
              <w:right w:val="single" w:sz="8" w:space="0" w:color="auto"/>
            </w:tcBorders>
            <w:vAlign w:val="center"/>
            <w:hideMark/>
          </w:tcPr>
          <w:p w14:paraId="212AE12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82%</w:t>
            </w:r>
          </w:p>
        </w:tc>
        <w:tc>
          <w:tcPr>
            <w:tcW w:w="1190" w:type="dxa"/>
            <w:tcBorders>
              <w:top w:val="nil"/>
              <w:left w:val="nil"/>
              <w:bottom w:val="single" w:sz="8" w:space="0" w:color="auto"/>
              <w:right w:val="single" w:sz="8" w:space="0" w:color="auto"/>
            </w:tcBorders>
            <w:vAlign w:val="center"/>
            <w:hideMark/>
          </w:tcPr>
          <w:p w14:paraId="050C9B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Indeterminado</w:t>
            </w:r>
          </w:p>
        </w:tc>
        <w:tc>
          <w:tcPr>
            <w:tcW w:w="1099" w:type="dxa"/>
            <w:tcBorders>
              <w:top w:val="nil"/>
              <w:left w:val="nil"/>
              <w:bottom w:val="single" w:sz="8" w:space="0" w:color="auto"/>
              <w:right w:val="single" w:sz="8" w:space="0" w:color="auto"/>
            </w:tcBorders>
            <w:vAlign w:val="center"/>
            <w:hideMark/>
          </w:tcPr>
          <w:p w14:paraId="4FC26410"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1.334.354</w:t>
            </w:r>
          </w:p>
        </w:tc>
        <w:tc>
          <w:tcPr>
            <w:tcW w:w="1100" w:type="dxa"/>
            <w:tcBorders>
              <w:top w:val="nil"/>
              <w:left w:val="nil"/>
              <w:bottom w:val="single" w:sz="8" w:space="0" w:color="auto"/>
              <w:right w:val="single" w:sz="8" w:space="0" w:color="auto"/>
            </w:tcBorders>
            <w:vAlign w:val="center"/>
            <w:hideMark/>
          </w:tcPr>
          <w:p w14:paraId="6F858A0F"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w:t>
            </w:r>
          </w:p>
        </w:tc>
        <w:tc>
          <w:tcPr>
            <w:tcW w:w="1100" w:type="dxa"/>
            <w:tcBorders>
              <w:top w:val="nil"/>
              <w:left w:val="nil"/>
              <w:bottom w:val="single" w:sz="8" w:space="0" w:color="auto"/>
              <w:right w:val="single" w:sz="8" w:space="0" w:color="auto"/>
            </w:tcBorders>
            <w:vAlign w:val="center"/>
            <w:hideMark/>
          </w:tcPr>
          <w:p w14:paraId="710E4FE4"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53EDF5A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FA63BB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293</w:t>
            </w:r>
          </w:p>
        </w:tc>
        <w:tc>
          <w:tcPr>
            <w:tcW w:w="1919" w:type="dxa"/>
            <w:tcBorders>
              <w:top w:val="nil"/>
              <w:left w:val="nil"/>
              <w:bottom w:val="single" w:sz="8" w:space="0" w:color="auto"/>
              <w:right w:val="single" w:sz="8" w:space="0" w:color="auto"/>
            </w:tcBorders>
            <w:vAlign w:val="center"/>
            <w:hideMark/>
          </w:tcPr>
          <w:p w14:paraId="674E0F75"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INGENIERIAS Y PAISAJISMOS DE LA COSTA S.A.S</w:t>
            </w:r>
          </w:p>
        </w:tc>
        <w:tc>
          <w:tcPr>
            <w:tcW w:w="817" w:type="dxa"/>
            <w:tcBorders>
              <w:top w:val="nil"/>
              <w:left w:val="nil"/>
              <w:bottom w:val="single" w:sz="8" w:space="0" w:color="auto"/>
              <w:right w:val="single" w:sz="8" w:space="0" w:color="auto"/>
            </w:tcBorders>
            <w:vAlign w:val="center"/>
            <w:hideMark/>
          </w:tcPr>
          <w:p w14:paraId="38B3E0E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1,16</w:t>
            </w:r>
          </w:p>
        </w:tc>
        <w:tc>
          <w:tcPr>
            <w:tcW w:w="1271" w:type="dxa"/>
            <w:tcBorders>
              <w:top w:val="nil"/>
              <w:left w:val="nil"/>
              <w:bottom w:val="single" w:sz="8" w:space="0" w:color="auto"/>
              <w:right w:val="single" w:sz="8" w:space="0" w:color="auto"/>
            </w:tcBorders>
            <w:vAlign w:val="center"/>
            <w:hideMark/>
          </w:tcPr>
          <w:p w14:paraId="67C70EB9"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86%</w:t>
            </w:r>
          </w:p>
        </w:tc>
        <w:tc>
          <w:tcPr>
            <w:tcW w:w="1190" w:type="dxa"/>
            <w:tcBorders>
              <w:top w:val="nil"/>
              <w:left w:val="nil"/>
              <w:bottom w:val="single" w:sz="8" w:space="0" w:color="auto"/>
              <w:right w:val="single" w:sz="8" w:space="0" w:color="auto"/>
            </w:tcBorders>
            <w:vAlign w:val="center"/>
            <w:hideMark/>
          </w:tcPr>
          <w:p w14:paraId="5A8CBA2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23,53</w:t>
            </w:r>
          </w:p>
        </w:tc>
        <w:tc>
          <w:tcPr>
            <w:tcW w:w="1099" w:type="dxa"/>
            <w:tcBorders>
              <w:top w:val="nil"/>
              <w:left w:val="nil"/>
              <w:bottom w:val="single" w:sz="8" w:space="0" w:color="auto"/>
              <w:right w:val="single" w:sz="8" w:space="0" w:color="auto"/>
            </w:tcBorders>
            <w:vAlign w:val="center"/>
            <w:hideMark/>
          </w:tcPr>
          <w:p w14:paraId="63CD658B"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2.467.990</w:t>
            </w:r>
          </w:p>
        </w:tc>
        <w:tc>
          <w:tcPr>
            <w:tcW w:w="1100" w:type="dxa"/>
            <w:tcBorders>
              <w:top w:val="nil"/>
              <w:left w:val="nil"/>
              <w:bottom w:val="single" w:sz="8" w:space="0" w:color="auto"/>
              <w:right w:val="single" w:sz="8" w:space="0" w:color="auto"/>
            </w:tcBorders>
            <w:vAlign w:val="center"/>
            <w:hideMark/>
          </w:tcPr>
          <w:p w14:paraId="59BD725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67%</w:t>
            </w:r>
          </w:p>
        </w:tc>
        <w:tc>
          <w:tcPr>
            <w:tcW w:w="1100" w:type="dxa"/>
            <w:tcBorders>
              <w:top w:val="nil"/>
              <w:left w:val="nil"/>
              <w:bottom w:val="single" w:sz="8" w:space="0" w:color="auto"/>
              <w:right w:val="single" w:sz="8" w:space="0" w:color="auto"/>
            </w:tcBorders>
            <w:vAlign w:val="center"/>
            <w:hideMark/>
          </w:tcPr>
          <w:p w14:paraId="53D957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4E41459D" w14:textId="77777777" w:rsidTr="008468B3">
        <w:trPr>
          <w:trHeight w:val="780"/>
        </w:trPr>
        <w:tc>
          <w:tcPr>
            <w:tcW w:w="474" w:type="dxa"/>
            <w:tcBorders>
              <w:top w:val="nil"/>
              <w:left w:val="single" w:sz="8" w:space="0" w:color="auto"/>
              <w:bottom w:val="single" w:sz="8" w:space="0" w:color="auto"/>
              <w:right w:val="single" w:sz="8" w:space="0" w:color="auto"/>
            </w:tcBorders>
            <w:noWrap/>
            <w:vAlign w:val="center"/>
            <w:hideMark/>
          </w:tcPr>
          <w:p w14:paraId="6AF4DBC8"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294</w:t>
            </w:r>
          </w:p>
        </w:tc>
        <w:tc>
          <w:tcPr>
            <w:tcW w:w="1919" w:type="dxa"/>
            <w:tcBorders>
              <w:top w:val="nil"/>
              <w:left w:val="nil"/>
              <w:bottom w:val="single" w:sz="8" w:space="0" w:color="auto"/>
              <w:right w:val="single" w:sz="8" w:space="0" w:color="auto"/>
            </w:tcBorders>
            <w:vAlign w:val="center"/>
            <w:hideMark/>
          </w:tcPr>
          <w:p w14:paraId="4EA06DA2"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RENOVACION TECNOLOGICA EN ILUMINACION SAS</w:t>
            </w:r>
          </w:p>
        </w:tc>
        <w:tc>
          <w:tcPr>
            <w:tcW w:w="817" w:type="dxa"/>
            <w:tcBorders>
              <w:top w:val="nil"/>
              <w:left w:val="nil"/>
              <w:bottom w:val="single" w:sz="8" w:space="0" w:color="auto"/>
              <w:right w:val="single" w:sz="8" w:space="0" w:color="auto"/>
            </w:tcBorders>
            <w:vAlign w:val="center"/>
            <w:hideMark/>
          </w:tcPr>
          <w:p w14:paraId="7B9AC1E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1,01</w:t>
            </w:r>
          </w:p>
        </w:tc>
        <w:tc>
          <w:tcPr>
            <w:tcW w:w="1271" w:type="dxa"/>
            <w:tcBorders>
              <w:top w:val="nil"/>
              <w:left w:val="nil"/>
              <w:bottom w:val="single" w:sz="8" w:space="0" w:color="auto"/>
              <w:right w:val="single" w:sz="8" w:space="0" w:color="auto"/>
            </w:tcBorders>
            <w:vAlign w:val="center"/>
            <w:hideMark/>
          </w:tcPr>
          <w:p w14:paraId="7B0EBEBE"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91%</w:t>
            </w:r>
          </w:p>
        </w:tc>
        <w:tc>
          <w:tcPr>
            <w:tcW w:w="1190" w:type="dxa"/>
            <w:tcBorders>
              <w:top w:val="nil"/>
              <w:left w:val="nil"/>
              <w:bottom w:val="single" w:sz="8" w:space="0" w:color="auto"/>
              <w:right w:val="single" w:sz="8" w:space="0" w:color="auto"/>
            </w:tcBorders>
            <w:vAlign w:val="center"/>
            <w:hideMark/>
          </w:tcPr>
          <w:p w14:paraId="7FB885D1"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2,00</w:t>
            </w:r>
          </w:p>
        </w:tc>
        <w:tc>
          <w:tcPr>
            <w:tcW w:w="1099" w:type="dxa"/>
            <w:tcBorders>
              <w:top w:val="nil"/>
              <w:left w:val="nil"/>
              <w:bottom w:val="single" w:sz="8" w:space="0" w:color="auto"/>
              <w:right w:val="single" w:sz="8" w:space="0" w:color="auto"/>
            </w:tcBorders>
            <w:vAlign w:val="center"/>
            <w:hideMark/>
          </w:tcPr>
          <w:p w14:paraId="64F29A6F"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107.214</w:t>
            </w:r>
          </w:p>
        </w:tc>
        <w:tc>
          <w:tcPr>
            <w:tcW w:w="1100" w:type="dxa"/>
            <w:tcBorders>
              <w:top w:val="nil"/>
              <w:left w:val="nil"/>
              <w:bottom w:val="single" w:sz="8" w:space="0" w:color="auto"/>
              <w:right w:val="single" w:sz="8" w:space="0" w:color="auto"/>
            </w:tcBorders>
            <w:vAlign w:val="center"/>
            <w:hideMark/>
          </w:tcPr>
          <w:p w14:paraId="4A1B89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58%</w:t>
            </w:r>
          </w:p>
        </w:tc>
        <w:tc>
          <w:tcPr>
            <w:tcW w:w="1100" w:type="dxa"/>
            <w:tcBorders>
              <w:top w:val="nil"/>
              <w:left w:val="nil"/>
              <w:bottom w:val="single" w:sz="8" w:space="0" w:color="auto"/>
              <w:right w:val="single" w:sz="8" w:space="0" w:color="auto"/>
            </w:tcBorders>
            <w:vAlign w:val="center"/>
            <w:hideMark/>
          </w:tcPr>
          <w:p w14:paraId="1D7FE35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w:t>
            </w:r>
          </w:p>
        </w:tc>
      </w:tr>
      <w:tr w:rsidR="008468B3" w:rsidRPr="008468B3" w14:paraId="6C3DA810" w14:textId="77777777" w:rsidTr="008468B3">
        <w:trPr>
          <w:trHeight w:val="588"/>
        </w:trPr>
        <w:tc>
          <w:tcPr>
            <w:tcW w:w="474" w:type="dxa"/>
            <w:tcBorders>
              <w:top w:val="nil"/>
              <w:left w:val="single" w:sz="8" w:space="0" w:color="auto"/>
              <w:bottom w:val="single" w:sz="8" w:space="0" w:color="auto"/>
              <w:right w:val="single" w:sz="8" w:space="0" w:color="auto"/>
            </w:tcBorders>
            <w:noWrap/>
            <w:vAlign w:val="center"/>
            <w:hideMark/>
          </w:tcPr>
          <w:p w14:paraId="39187D0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295</w:t>
            </w:r>
          </w:p>
        </w:tc>
        <w:tc>
          <w:tcPr>
            <w:tcW w:w="1919" w:type="dxa"/>
            <w:tcBorders>
              <w:top w:val="nil"/>
              <w:left w:val="nil"/>
              <w:bottom w:val="single" w:sz="8" w:space="0" w:color="auto"/>
              <w:right w:val="single" w:sz="8" w:space="0" w:color="auto"/>
            </w:tcBorders>
            <w:vAlign w:val="center"/>
            <w:hideMark/>
          </w:tcPr>
          <w:p w14:paraId="7B81BCC6" w14:textId="77777777" w:rsidR="008468B3" w:rsidRPr="00DB3156" w:rsidRDefault="008468B3" w:rsidP="008468B3">
            <w:pPr>
              <w:spacing w:after="0" w:line="240" w:lineRule="auto"/>
              <w:rPr>
                <w:rFonts w:ascii="Arial" w:eastAsia="Times New Roman" w:hAnsi="Arial" w:cs="Arial"/>
                <w:color w:val="000000"/>
                <w:sz w:val="14"/>
                <w:szCs w:val="14"/>
                <w:lang w:val="pt-PT" w:eastAsia="es-CO"/>
              </w:rPr>
            </w:pPr>
            <w:r w:rsidRPr="00DB3156">
              <w:rPr>
                <w:rFonts w:ascii="Arial" w:eastAsia="Times New Roman" w:hAnsi="Arial" w:cs="Arial"/>
                <w:color w:val="000000"/>
                <w:sz w:val="14"/>
                <w:szCs w:val="14"/>
                <w:lang w:val="pt-PT" w:eastAsia="es-CO"/>
              </w:rPr>
              <w:t>ALUMBRADO PUBLICO DE YUMBO SEM SAS</w:t>
            </w:r>
          </w:p>
        </w:tc>
        <w:tc>
          <w:tcPr>
            <w:tcW w:w="817" w:type="dxa"/>
            <w:tcBorders>
              <w:top w:val="nil"/>
              <w:left w:val="nil"/>
              <w:bottom w:val="single" w:sz="8" w:space="0" w:color="auto"/>
              <w:right w:val="single" w:sz="8" w:space="0" w:color="auto"/>
            </w:tcBorders>
            <w:vAlign w:val="center"/>
            <w:hideMark/>
          </w:tcPr>
          <w:p w14:paraId="3B33F77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1,29</w:t>
            </w:r>
          </w:p>
        </w:tc>
        <w:tc>
          <w:tcPr>
            <w:tcW w:w="1271" w:type="dxa"/>
            <w:tcBorders>
              <w:top w:val="nil"/>
              <w:left w:val="nil"/>
              <w:bottom w:val="single" w:sz="8" w:space="0" w:color="auto"/>
              <w:right w:val="single" w:sz="8" w:space="0" w:color="auto"/>
            </w:tcBorders>
            <w:vAlign w:val="center"/>
            <w:hideMark/>
          </w:tcPr>
          <w:p w14:paraId="53A92356"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93%</w:t>
            </w:r>
          </w:p>
        </w:tc>
        <w:tc>
          <w:tcPr>
            <w:tcW w:w="1190" w:type="dxa"/>
            <w:tcBorders>
              <w:top w:val="nil"/>
              <w:left w:val="nil"/>
              <w:bottom w:val="single" w:sz="8" w:space="0" w:color="auto"/>
              <w:right w:val="single" w:sz="8" w:space="0" w:color="auto"/>
            </w:tcBorders>
            <w:vAlign w:val="center"/>
            <w:hideMark/>
          </w:tcPr>
          <w:p w14:paraId="1ABD804C"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-3,17</w:t>
            </w:r>
          </w:p>
        </w:tc>
        <w:tc>
          <w:tcPr>
            <w:tcW w:w="1099" w:type="dxa"/>
            <w:tcBorders>
              <w:top w:val="nil"/>
              <w:left w:val="nil"/>
              <w:bottom w:val="single" w:sz="8" w:space="0" w:color="auto"/>
              <w:right w:val="single" w:sz="8" w:space="0" w:color="auto"/>
            </w:tcBorders>
            <w:vAlign w:val="center"/>
            <w:hideMark/>
          </w:tcPr>
          <w:p w14:paraId="72EFA638"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568.337</w:t>
            </w:r>
          </w:p>
        </w:tc>
        <w:tc>
          <w:tcPr>
            <w:tcW w:w="1100" w:type="dxa"/>
            <w:tcBorders>
              <w:top w:val="nil"/>
              <w:left w:val="nil"/>
              <w:bottom w:val="single" w:sz="8" w:space="0" w:color="auto"/>
              <w:right w:val="single" w:sz="8" w:space="0" w:color="auto"/>
            </w:tcBorders>
            <w:vAlign w:val="center"/>
            <w:hideMark/>
          </w:tcPr>
          <w:p w14:paraId="6EC89E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-17%</w:t>
            </w:r>
          </w:p>
        </w:tc>
        <w:tc>
          <w:tcPr>
            <w:tcW w:w="1100" w:type="dxa"/>
            <w:tcBorders>
              <w:top w:val="nil"/>
              <w:left w:val="nil"/>
              <w:bottom w:val="single" w:sz="8" w:space="0" w:color="auto"/>
              <w:right w:val="single" w:sz="8" w:space="0" w:color="auto"/>
            </w:tcBorders>
            <w:vAlign w:val="center"/>
            <w:hideMark/>
          </w:tcPr>
          <w:p w14:paraId="2176F910"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w:t>
            </w:r>
          </w:p>
        </w:tc>
      </w:tr>
      <w:tr w:rsidR="008468B3" w:rsidRPr="008468B3" w14:paraId="28D0DC33" w14:textId="77777777" w:rsidTr="008468B3">
        <w:trPr>
          <w:trHeight w:val="396"/>
        </w:trPr>
        <w:tc>
          <w:tcPr>
            <w:tcW w:w="474" w:type="dxa"/>
            <w:tcBorders>
              <w:top w:val="nil"/>
              <w:left w:val="single" w:sz="8" w:space="0" w:color="auto"/>
              <w:bottom w:val="single" w:sz="8" w:space="0" w:color="auto"/>
              <w:right w:val="single" w:sz="8" w:space="0" w:color="auto"/>
            </w:tcBorders>
            <w:noWrap/>
            <w:vAlign w:val="center"/>
            <w:hideMark/>
          </w:tcPr>
          <w:p w14:paraId="14655212"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296</w:t>
            </w:r>
          </w:p>
        </w:tc>
        <w:tc>
          <w:tcPr>
            <w:tcW w:w="1919" w:type="dxa"/>
            <w:tcBorders>
              <w:top w:val="nil"/>
              <w:left w:val="nil"/>
              <w:bottom w:val="single" w:sz="8" w:space="0" w:color="auto"/>
              <w:right w:val="single" w:sz="8" w:space="0" w:color="auto"/>
            </w:tcBorders>
            <w:vAlign w:val="center"/>
            <w:hideMark/>
          </w:tcPr>
          <w:p w14:paraId="0E0A3184" w14:textId="77777777" w:rsidR="008468B3" w:rsidRPr="008468B3" w:rsidRDefault="008468B3" w:rsidP="008468B3">
            <w:pPr>
              <w:spacing w:after="0" w:line="240" w:lineRule="auto"/>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ILULED COLOMBIA SAS</w:t>
            </w:r>
          </w:p>
        </w:tc>
        <w:tc>
          <w:tcPr>
            <w:tcW w:w="817" w:type="dxa"/>
            <w:tcBorders>
              <w:top w:val="nil"/>
              <w:left w:val="nil"/>
              <w:bottom w:val="single" w:sz="8" w:space="0" w:color="auto"/>
              <w:right w:val="single" w:sz="8" w:space="0" w:color="auto"/>
            </w:tcBorders>
            <w:vAlign w:val="center"/>
            <w:hideMark/>
          </w:tcPr>
          <w:p w14:paraId="381A588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1,07</w:t>
            </w:r>
          </w:p>
        </w:tc>
        <w:tc>
          <w:tcPr>
            <w:tcW w:w="1271" w:type="dxa"/>
            <w:tcBorders>
              <w:top w:val="nil"/>
              <w:left w:val="nil"/>
              <w:bottom w:val="single" w:sz="8" w:space="0" w:color="auto"/>
              <w:right w:val="single" w:sz="8" w:space="0" w:color="auto"/>
            </w:tcBorders>
            <w:vAlign w:val="center"/>
            <w:hideMark/>
          </w:tcPr>
          <w:p w14:paraId="65C379D3"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95%</w:t>
            </w:r>
          </w:p>
        </w:tc>
        <w:tc>
          <w:tcPr>
            <w:tcW w:w="1190" w:type="dxa"/>
            <w:tcBorders>
              <w:top w:val="nil"/>
              <w:left w:val="nil"/>
              <w:bottom w:val="single" w:sz="8" w:space="0" w:color="auto"/>
              <w:right w:val="single" w:sz="8" w:space="0" w:color="auto"/>
            </w:tcBorders>
            <w:vAlign w:val="center"/>
            <w:hideMark/>
          </w:tcPr>
          <w:p w14:paraId="17258FBD"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4,34</w:t>
            </w:r>
          </w:p>
        </w:tc>
        <w:tc>
          <w:tcPr>
            <w:tcW w:w="1099" w:type="dxa"/>
            <w:tcBorders>
              <w:top w:val="nil"/>
              <w:left w:val="nil"/>
              <w:bottom w:val="single" w:sz="8" w:space="0" w:color="auto"/>
              <w:right w:val="single" w:sz="8" w:space="0" w:color="auto"/>
            </w:tcBorders>
            <w:vAlign w:val="center"/>
            <w:hideMark/>
          </w:tcPr>
          <w:p w14:paraId="1707F159" w14:textId="77777777" w:rsidR="008468B3" w:rsidRPr="008468B3" w:rsidRDefault="008468B3" w:rsidP="008468B3">
            <w:pPr>
              <w:spacing w:after="0" w:line="240" w:lineRule="auto"/>
              <w:jc w:val="right"/>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558.569</w:t>
            </w:r>
          </w:p>
        </w:tc>
        <w:tc>
          <w:tcPr>
            <w:tcW w:w="1100" w:type="dxa"/>
            <w:tcBorders>
              <w:top w:val="nil"/>
              <w:left w:val="nil"/>
              <w:bottom w:val="single" w:sz="8" w:space="0" w:color="auto"/>
              <w:right w:val="single" w:sz="8" w:space="0" w:color="auto"/>
            </w:tcBorders>
            <w:vAlign w:val="center"/>
            <w:hideMark/>
          </w:tcPr>
          <w:p w14:paraId="26C292D7"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203%</w:t>
            </w:r>
          </w:p>
        </w:tc>
        <w:tc>
          <w:tcPr>
            <w:tcW w:w="1100" w:type="dxa"/>
            <w:tcBorders>
              <w:top w:val="nil"/>
              <w:left w:val="nil"/>
              <w:bottom w:val="single" w:sz="8" w:space="0" w:color="auto"/>
              <w:right w:val="single" w:sz="8" w:space="0" w:color="auto"/>
            </w:tcBorders>
            <w:vAlign w:val="center"/>
            <w:hideMark/>
          </w:tcPr>
          <w:p w14:paraId="1187FBBA"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r w:rsidRPr="008468B3">
              <w:rPr>
                <w:rFonts w:ascii="Arial" w:eastAsia="Times New Roman" w:hAnsi="Arial" w:cs="Arial"/>
                <w:color w:val="000000"/>
                <w:sz w:val="14"/>
                <w:szCs w:val="14"/>
                <w:lang w:eastAsia="es-CO"/>
              </w:rPr>
              <w:t>9%</w:t>
            </w:r>
          </w:p>
        </w:tc>
      </w:tr>
      <w:tr w:rsidR="008468B3" w:rsidRPr="008468B3" w14:paraId="739A56B5" w14:textId="77777777" w:rsidTr="008468B3">
        <w:trPr>
          <w:trHeight w:val="300"/>
        </w:trPr>
        <w:tc>
          <w:tcPr>
            <w:tcW w:w="474" w:type="dxa"/>
            <w:tcBorders>
              <w:top w:val="nil"/>
              <w:left w:val="nil"/>
              <w:bottom w:val="nil"/>
              <w:right w:val="nil"/>
            </w:tcBorders>
            <w:noWrap/>
            <w:vAlign w:val="bottom"/>
            <w:hideMark/>
          </w:tcPr>
          <w:p w14:paraId="6F9C4AE5" w14:textId="77777777" w:rsidR="008468B3" w:rsidRPr="008468B3" w:rsidRDefault="008468B3" w:rsidP="008468B3">
            <w:pPr>
              <w:spacing w:after="0" w:line="240" w:lineRule="auto"/>
              <w:jc w:val="center"/>
              <w:rPr>
                <w:rFonts w:ascii="Arial" w:eastAsia="Times New Roman" w:hAnsi="Arial" w:cs="Arial"/>
                <w:color w:val="000000"/>
                <w:sz w:val="14"/>
                <w:szCs w:val="14"/>
                <w:lang w:eastAsia="es-CO"/>
              </w:rPr>
            </w:pPr>
          </w:p>
        </w:tc>
        <w:tc>
          <w:tcPr>
            <w:tcW w:w="1919" w:type="dxa"/>
            <w:tcBorders>
              <w:top w:val="nil"/>
              <w:left w:val="single" w:sz="8" w:space="0" w:color="auto"/>
              <w:bottom w:val="single" w:sz="8" w:space="0" w:color="auto"/>
              <w:right w:val="single" w:sz="8" w:space="0" w:color="auto"/>
            </w:tcBorders>
            <w:shd w:val="clear" w:color="000000" w:fill="E2EFDA"/>
            <w:noWrap/>
            <w:vAlign w:val="center"/>
            <w:hideMark/>
          </w:tcPr>
          <w:p w14:paraId="59F22023" w14:textId="77777777" w:rsidR="008468B3" w:rsidRPr="008468B3" w:rsidRDefault="008468B3" w:rsidP="008468B3">
            <w:pPr>
              <w:spacing w:after="0" w:line="240" w:lineRule="auto"/>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Mediana</w:t>
            </w:r>
          </w:p>
        </w:tc>
        <w:tc>
          <w:tcPr>
            <w:tcW w:w="817" w:type="dxa"/>
            <w:tcBorders>
              <w:top w:val="nil"/>
              <w:left w:val="nil"/>
              <w:bottom w:val="single" w:sz="8" w:space="0" w:color="auto"/>
              <w:right w:val="single" w:sz="8" w:space="0" w:color="auto"/>
            </w:tcBorders>
            <w:shd w:val="clear" w:color="000000" w:fill="E2EFDA"/>
            <w:noWrap/>
            <w:vAlign w:val="center"/>
            <w:hideMark/>
          </w:tcPr>
          <w:p w14:paraId="38C7BCC0"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2,88</w:t>
            </w:r>
          </w:p>
        </w:tc>
        <w:tc>
          <w:tcPr>
            <w:tcW w:w="1271" w:type="dxa"/>
            <w:tcBorders>
              <w:top w:val="nil"/>
              <w:left w:val="nil"/>
              <w:bottom w:val="single" w:sz="8" w:space="0" w:color="auto"/>
              <w:right w:val="single" w:sz="8" w:space="0" w:color="auto"/>
            </w:tcBorders>
            <w:shd w:val="clear" w:color="000000" w:fill="E2EFDA"/>
            <w:noWrap/>
            <w:vAlign w:val="center"/>
            <w:hideMark/>
          </w:tcPr>
          <w:p w14:paraId="61A0EA04"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50,37%</w:t>
            </w:r>
          </w:p>
        </w:tc>
        <w:tc>
          <w:tcPr>
            <w:tcW w:w="1190" w:type="dxa"/>
            <w:tcBorders>
              <w:top w:val="nil"/>
              <w:left w:val="nil"/>
              <w:bottom w:val="single" w:sz="8" w:space="0" w:color="auto"/>
              <w:right w:val="single" w:sz="8" w:space="0" w:color="auto"/>
            </w:tcBorders>
            <w:shd w:val="clear" w:color="000000" w:fill="E2EFDA"/>
            <w:noWrap/>
            <w:vAlign w:val="center"/>
            <w:hideMark/>
          </w:tcPr>
          <w:p w14:paraId="753E743D"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3,9</w:t>
            </w:r>
          </w:p>
        </w:tc>
        <w:tc>
          <w:tcPr>
            <w:tcW w:w="1099" w:type="dxa"/>
            <w:tcBorders>
              <w:top w:val="nil"/>
              <w:left w:val="nil"/>
              <w:bottom w:val="single" w:sz="8" w:space="0" w:color="auto"/>
              <w:right w:val="single" w:sz="8" w:space="0" w:color="auto"/>
            </w:tcBorders>
            <w:shd w:val="clear" w:color="000000" w:fill="E2EFDA"/>
            <w:noWrap/>
            <w:vAlign w:val="center"/>
            <w:hideMark/>
          </w:tcPr>
          <w:p w14:paraId="77FE51BA" w14:textId="2420CAB4"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3.188.198</w:t>
            </w:r>
          </w:p>
        </w:tc>
        <w:tc>
          <w:tcPr>
            <w:tcW w:w="1100" w:type="dxa"/>
            <w:tcBorders>
              <w:top w:val="nil"/>
              <w:left w:val="nil"/>
              <w:bottom w:val="single" w:sz="8" w:space="0" w:color="auto"/>
              <w:right w:val="single" w:sz="8" w:space="0" w:color="auto"/>
            </w:tcBorders>
            <w:shd w:val="clear" w:color="000000" w:fill="E2EFDA"/>
            <w:noWrap/>
            <w:vAlign w:val="center"/>
            <w:hideMark/>
          </w:tcPr>
          <w:p w14:paraId="7292394A"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10%</w:t>
            </w:r>
          </w:p>
        </w:tc>
        <w:tc>
          <w:tcPr>
            <w:tcW w:w="1100" w:type="dxa"/>
            <w:tcBorders>
              <w:top w:val="nil"/>
              <w:left w:val="nil"/>
              <w:bottom w:val="single" w:sz="8" w:space="0" w:color="auto"/>
              <w:right w:val="single" w:sz="8" w:space="0" w:color="auto"/>
            </w:tcBorders>
            <w:shd w:val="clear" w:color="000000" w:fill="E2EFDA"/>
            <w:noWrap/>
            <w:vAlign w:val="center"/>
            <w:hideMark/>
          </w:tcPr>
          <w:p w14:paraId="6EACBB4C"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5%</w:t>
            </w:r>
          </w:p>
        </w:tc>
      </w:tr>
      <w:tr w:rsidR="008468B3" w:rsidRPr="008468B3" w14:paraId="3B489BF5" w14:textId="77777777" w:rsidTr="008468B3">
        <w:trPr>
          <w:trHeight w:val="300"/>
        </w:trPr>
        <w:tc>
          <w:tcPr>
            <w:tcW w:w="474" w:type="dxa"/>
            <w:tcBorders>
              <w:top w:val="nil"/>
              <w:left w:val="nil"/>
              <w:bottom w:val="nil"/>
              <w:right w:val="nil"/>
            </w:tcBorders>
            <w:noWrap/>
            <w:vAlign w:val="bottom"/>
            <w:hideMark/>
          </w:tcPr>
          <w:p w14:paraId="02FD4097"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p>
        </w:tc>
        <w:tc>
          <w:tcPr>
            <w:tcW w:w="1919" w:type="dxa"/>
            <w:tcBorders>
              <w:top w:val="nil"/>
              <w:left w:val="single" w:sz="8" w:space="0" w:color="auto"/>
              <w:bottom w:val="single" w:sz="8" w:space="0" w:color="auto"/>
              <w:right w:val="single" w:sz="8" w:space="0" w:color="auto"/>
            </w:tcBorders>
            <w:shd w:val="clear" w:color="000000" w:fill="FFF2CC"/>
            <w:vAlign w:val="center"/>
            <w:hideMark/>
          </w:tcPr>
          <w:p w14:paraId="48A38472" w14:textId="77777777" w:rsidR="008468B3" w:rsidRPr="008468B3" w:rsidRDefault="008468B3" w:rsidP="008468B3">
            <w:pPr>
              <w:spacing w:after="0" w:line="240" w:lineRule="auto"/>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Percentil 35</w:t>
            </w:r>
          </w:p>
        </w:tc>
        <w:tc>
          <w:tcPr>
            <w:tcW w:w="817" w:type="dxa"/>
            <w:tcBorders>
              <w:top w:val="nil"/>
              <w:left w:val="nil"/>
              <w:bottom w:val="single" w:sz="8" w:space="0" w:color="auto"/>
              <w:right w:val="single" w:sz="8" w:space="0" w:color="auto"/>
            </w:tcBorders>
            <w:shd w:val="clear" w:color="000000" w:fill="FFF2CC"/>
            <w:noWrap/>
            <w:vAlign w:val="center"/>
            <w:hideMark/>
          </w:tcPr>
          <w:p w14:paraId="441CEDF8"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2,06</w:t>
            </w:r>
          </w:p>
        </w:tc>
        <w:tc>
          <w:tcPr>
            <w:tcW w:w="1271" w:type="dxa"/>
            <w:tcBorders>
              <w:top w:val="nil"/>
              <w:left w:val="nil"/>
              <w:bottom w:val="single" w:sz="8" w:space="0" w:color="auto"/>
              <w:right w:val="single" w:sz="8" w:space="0" w:color="auto"/>
            </w:tcBorders>
            <w:shd w:val="clear" w:color="000000" w:fill="FFF2CC"/>
            <w:noWrap/>
            <w:vAlign w:val="center"/>
            <w:hideMark/>
          </w:tcPr>
          <w:p w14:paraId="24E22ACC" w14:textId="2844A6B0"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N/A</w:t>
            </w:r>
          </w:p>
        </w:tc>
        <w:tc>
          <w:tcPr>
            <w:tcW w:w="1190" w:type="dxa"/>
            <w:tcBorders>
              <w:top w:val="nil"/>
              <w:left w:val="nil"/>
              <w:bottom w:val="single" w:sz="8" w:space="0" w:color="auto"/>
              <w:right w:val="single" w:sz="8" w:space="0" w:color="auto"/>
            </w:tcBorders>
            <w:shd w:val="clear" w:color="000000" w:fill="FFF2CC"/>
            <w:noWrap/>
            <w:vAlign w:val="center"/>
            <w:hideMark/>
          </w:tcPr>
          <w:p w14:paraId="13909693"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2,29</w:t>
            </w:r>
          </w:p>
        </w:tc>
        <w:tc>
          <w:tcPr>
            <w:tcW w:w="1099" w:type="dxa"/>
            <w:tcBorders>
              <w:top w:val="nil"/>
              <w:left w:val="nil"/>
              <w:bottom w:val="single" w:sz="8" w:space="0" w:color="auto"/>
              <w:right w:val="single" w:sz="8" w:space="0" w:color="auto"/>
            </w:tcBorders>
            <w:shd w:val="clear" w:color="000000" w:fill="FFF2CC"/>
            <w:noWrap/>
            <w:vAlign w:val="center"/>
            <w:hideMark/>
          </w:tcPr>
          <w:p w14:paraId="2CED3D4D" w14:textId="6FC520F0"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1.550.399</w:t>
            </w:r>
          </w:p>
        </w:tc>
        <w:tc>
          <w:tcPr>
            <w:tcW w:w="1100" w:type="dxa"/>
            <w:tcBorders>
              <w:top w:val="nil"/>
              <w:left w:val="nil"/>
              <w:bottom w:val="single" w:sz="8" w:space="0" w:color="auto"/>
              <w:right w:val="single" w:sz="8" w:space="0" w:color="auto"/>
            </w:tcBorders>
            <w:shd w:val="clear" w:color="000000" w:fill="FFF2CC"/>
            <w:noWrap/>
            <w:vAlign w:val="center"/>
            <w:hideMark/>
          </w:tcPr>
          <w:p w14:paraId="245579C8"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6%</w:t>
            </w:r>
          </w:p>
        </w:tc>
        <w:tc>
          <w:tcPr>
            <w:tcW w:w="1100" w:type="dxa"/>
            <w:tcBorders>
              <w:top w:val="nil"/>
              <w:left w:val="nil"/>
              <w:bottom w:val="single" w:sz="8" w:space="0" w:color="auto"/>
              <w:right w:val="single" w:sz="8" w:space="0" w:color="auto"/>
            </w:tcBorders>
            <w:shd w:val="clear" w:color="000000" w:fill="FFF2CC"/>
            <w:noWrap/>
            <w:vAlign w:val="center"/>
            <w:hideMark/>
          </w:tcPr>
          <w:p w14:paraId="7E2DBA14"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2%</w:t>
            </w:r>
          </w:p>
        </w:tc>
      </w:tr>
      <w:tr w:rsidR="008468B3" w:rsidRPr="008468B3" w14:paraId="011083AD" w14:textId="77777777" w:rsidTr="008468B3">
        <w:trPr>
          <w:trHeight w:val="300"/>
        </w:trPr>
        <w:tc>
          <w:tcPr>
            <w:tcW w:w="474" w:type="dxa"/>
            <w:tcBorders>
              <w:top w:val="nil"/>
              <w:left w:val="nil"/>
              <w:bottom w:val="nil"/>
              <w:right w:val="nil"/>
            </w:tcBorders>
            <w:noWrap/>
            <w:vAlign w:val="bottom"/>
            <w:hideMark/>
          </w:tcPr>
          <w:p w14:paraId="6B93E83C"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p>
        </w:tc>
        <w:tc>
          <w:tcPr>
            <w:tcW w:w="1919" w:type="dxa"/>
            <w:tcBorders>
              <w:top w:val="nil"/>
              <w:left w:val="single" w:sz="8" w:space="0" w:color="auto"/>
              <w:bottom w:val="single" w:sz="8" w:space="0" w:color="auto"/>
              <w:right w:val="single" w:sz="8" w:space="0" w:color="auto"/>
            </w:tcBorders>
            <w:shd w:val="clear" w:color="000000" w:fill="FFF2CC"/>
            <w:vAlign w:val="center"/>
            <w:hideMark/>
          </w:tcPr>
          <w:p w14:paraId="244124A8" w14:textId="77777777" w:rsidR="008468B3" w:rsidRPr="008468B3" w:rsidRDefault="008468B3" w:rsidP="008468B3">
            <w:pPr>
              <w:spacing w:after="0" w:line="240" w:lineRule="auto"/>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Percentil 65</w:t>
            </w:r>
          </w:p>
        </w:tc>
        <w:tc>
          <w:tcPr>
            <w:tcW w:w="817" w:type="dxa"/>
            <w:tcBorders>
              <w:top w:val="nil"/>
              <w:left w:val="nil"/>
              <w:bottom w:val="single" w:sz="8" w:space="0" w:color="auto"/>
              <w:right w:val="single" w:sz="8" w:space="0" w:color="auto"/>
            </w:tcBorders>
            <w:shd w:val="clear" w:color="000000" w:fill="FFF2CC"/>
            <w:noWrap/>
            <w:vAlign w:val="center"/>
            <w:hideMark/>
          </w:tcPr>
          <w:p w14:paraId="7228195E" w14:textId="6A82AE3F"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N/A</w:t>
            </w:r>
          </w:p>
        </w:tc>
        <w:tc>
          <w:tcPr>
            <w:tcW w:w="1271" w:type="dxa"/>
            <w:tcBorders>
              <w:top w:val="nil"/>
              <w:left w:val="nil"/>
              <w:bottom w:val="single" w:sz="8" w:space="0" w:color="auto"/>
              <w:right w:val="single" w:sz="8" w:space="0" w:color="auto"/>
            </w:tcBorders>
            <w:shd w:val="clear" w:color="000000" w:fill="FFF2CC"/>
            <w:noWrap/>
            <w:vAlign w:val="center"/>
            <w:hideMark/>
          </w:tcPr>
          <w:p w14:paraId="07623146"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59,14%</w:t>
            </w:r>
          </w:p>
        </w:tc>
        <w:tc>
          <w:tcPr>
            <w:tcW w:w="1190" w:type="dxa"/>
            <w:tcBorders>
              <w:top w:val="nil"/>
              <w:left w:val="nil"/>
              <w:bottom w:val="single" w:sz="8" w:space="0" w:color="auto"/>
              <w:right w:val="single" w:sz="8" w:space="0" w:color="auto"/>
            </w:tcBorders>
            <w:shd w:val="clear" w:color="000000" w:fill="FFF2CC"/>
            <w:noWrap/>
            <w:vAlign w:val="center"/>
            <w:hideMark/>
          </w:tcPr>
          <w:p w14:paraId="5D09034C" w14:textId="31001235"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N/A</w:t>
            </w:r>
          </w:p>
        </w:tc>
        <w:tc>
          <w:tcPr>
            <w:tcW w:w="1099" w:type="dxa"/>
            <w:tcBorders>
              <w:top w:val="nil"/>
              <w:left w:val="nil"/>
              <w:bottom w:val="single" w:sz="8" w:space="0" w:color="auto"/>
              <w:right w:val="single" w:sz="8" w:space="0" w:color="auto"/>
            </w:tcBorders>
            <w:shd w:val="clear" w:color="000000" w:fill="FFF2CC"/>
            <w:noWrap/>
            <w:vAlign w:val="center"/>
            <w:hideMark/>
          </w:tcPr>
          <w:p w14:paraId="3DD075A4" w14:textId="77893FE5"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N/A</w:t>
            </w:r>
          </w:p>
        </w:tc>
        <w:tc>
          <w:tcPr>
            <w:tcW w:w="1100" w:type="dxa"/>
            <w:tcBorders>
              <w:top w:val="nil"/>
              <w:left w:val="nil"/>
              <w:bottom w:val="single" w:sz="8" w:space="0" w:color="auto"/>
              <w:right w:val="single" w:sz="8" w:space="0" w:color="auto"/>
            </w:tcBorders>
            <w:shd w:val="clear" w:color="000000" w:fill="FFF2CC"/>
            <w:noWrap/>
            <w:vAlign w:val="center"/>
            <w:hideMark/>
          </w:tcPr>
          <w:p w14:paraId="013DF829"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N/A</w:t>
            </w:r>
          </w:p>
        </w:tc>
        <w:tc>
          <w:tcPr>
            <w:tcW w:w="1100" w:type="dxa"/>
            <w:tcBorders>
              <w:top w:val="nil"/>
              <w:left w:val="nil"/>
              <w:bottom w:val="single" w:sz="8" w:space="0" w:color="auto"/>
              <w:right w:val="single" w:sz="8" w:space="0" w:color="auto"/>
            </w:tcBorders>
            <w:shd w:val="clear" w:color="000000" w:fill="FFF2CC"/>
            <w:noWrap/>
            <w:vAlign w:val="center"/>
            <w:hideMark/>
          </w:tcPr>
          <w:p w14:paraId="4165FFBB" w14:textId="77777777" w:rsidR="008468B3" w:rsidRPr="008468B3" w:rsidRDefault="008468B3" w:rsidP="008468B3">
            <w:pPr>
              <w:spacing w:after="0" w:line="240" w:lineRule="auto"/>
              <w:jc w:val="center"/>
              <w:rPr>
                <w:rFonts w:ascii="Arial" w:eastAsia="Times New Roman" w:hAnsi="Arial" w:cs="Arial"/>
                <w:b/>
                <w:bCs/>
                <w:color w:val="000000"/>
                <w:sz w:val="18"/>
                <w:szCs w:val="18"/>
                <w:lang w:eastAsia="es-CO"/>
              </w:rPr>
            </w:pPr>
            <w:r w:rsidRPr="008468B3">
              <w:rPr>
                <w:rFonts w:ascii="Arial" w:eastAsia="Times New Roman" w:hAnsi="Arial" w:cs="Arial"/>
                <w:b/>
                <w:bCs/>
                <w:color w:val="000000"/>
                <w:sz w:val="18"/>
                <w:szCs w:val="18"/>
                <w:lang w:eastAsia="es-CO"/>
              </w:rPr>
              <w:t>N/A</w:t>
            </w:r>
          </w:p>
        </w:tc>
      </w:tr>
    </w:tbl>
    <w:p w14:paraId="3C6DE933" w14:textId="4650D496" w:rsidR="003C0018" w:rsidRPr="00616FE1" w:rsidRDefault="008D0B39" w:rsidP="00616FE1">
      <w:pPr>
        <w:spacing w:after="0"/>
        <w:jc w:val="center"/>
        <w:rPr>
          <w:rFonts w:ascii="Arial" w:hAnsi="Arial" w:cs="Arial"/>
          <w:sz w:val="18"/>
          <w:szCs w:val="18"/>
          <w:lang w:val="es-MX" w:eastAsia="es-CO"/>
        </w:rPr>
      </w:pPr>
      <w:r w:rsidRPr="00616FE1">
        <w:rPr>
          <w:rFonts w:ascii="Arial" w:hAnsi="Arial" w:cs="Arial"/>
          <w:b/>
          <w:bCs/>
          <w:sz w:val="18"/>
          <w:szCs w:val="18"/>
          <w:lang w:val="es-MX" w:eastAsia="es-CO"/>
        </w:rPr>
        <w:t>Fuente</w:t>
      </w:r>
      <w:r w:rsidRPr="00616FE1">
        <w:rPr>
          <w:rFonts w:ascii="Arial" w:hAnsi="Arial" w:cs="Arial"/>
          <w:sz w:val="18"/>
          <w:szCs w:val="18"/>
          <w:lang w:val="es-MX" w:eastAsia="es-CO"/>
        </w:rPr>
        <w:t>: SuperSociedades, Elaboración propia.</w:t>
      </w:r>
    </w:p>
    <w:p w14:paraId="3516D2F9" w14:textId="77777777" w:rsidR="00BC441B" w:rsidRDefault="00BC441B" w:rsidP="00616FE1">
      <w:pPr>
        <w:pStyle w:val="Sinespaciado"/>
        <w:spacing w:line="276" w:lineRule="auto"/>
        <w:rPr>
          <w:rFonts w:cs="Arial"/>
          <w:color w:val="auto"/>
          <w:sz w:val="22"/>
          <w:lang w:eastAsia="es-CO"/>
        </w:rPr>
      </w:pPr>
    </w:p>
    <w:p w14:paraId="6EA697DC" w14:textId="0441817F" w:rsidR="009D14CF" w:rsidRDefault="009D14CF">
      <w:pPr>
        <w:rPr>
          <w:lang w:eastAsia="es-CO"/>
        </w:rPr>
      </w:pPr>
      <w:r>
        <w:rPr>
          <w:lang w:eastAsia="es-CO"/>
        </w:rPr>
        <w:br w:type="page"/>
      </w:r>
    </w:p>
    <w:p w14:paraId="1578A4E2" w14:textId="77777777" w:rsidR="00B80E7A" w:rsidRPr="00616FE1" w:rsidRDefault="00B80E7A" w:rsidP="00616FE1">
      <w:pPr>
        <w:pStyle w:val="Sinespaciado"/>
        <w:numPr>
          <w:ilvl w:val="2"/>
          <w:numId w:val="32"/>
        </w:numPr>
        <w:spacing w:line="276" w:lineRule="auto"/>
        <w:ind w:left="360"/>
        <w:rPr>
          <w:rFonts w:cs="Arial"/>
          <w:color w:val="auto"/>
          <w:sz w:val="22"/>
          <w:lang w:eastAsia="es-CO"/>
        </w:rPr>
      </w:pPr>
      <w:r w:rsidRPr="00616FE1">
        <w:rPr>
          <w:rFonts w:cs="Arial"/>
          <w:color w:val="auto"/>
          <w:sz w:val="22"/>
          <w:lang w:eastAsia="es-CO"/>
        </w:rPr>
        <w:lastRenderedPageBreak/>
        <w:t>Procedimiento para la determinación de indicadores financieros y de capacidad organizacional.</w:t>
      </w:r>
    </w:p>
    <w:p w14:paraId="505A40ED" w14:textId="77777777" w:rsidR="00B80E7A" w:rsidRPr="00616FE1" w:rsidRDefault="00B80E7A" w:rsidP="00616FE1">
      <w:pPr>
        <w:pStyle w:val="Prrafodelista"/>
        <w:spacing w:after="0"/>
        <w:ind w:left="2160"/>
        <w:rPr>
          <w:rFonts w:ascii="Arial" w:hAnsi="Arial" w:cs="Arial"/>
          <w:lang w:eastAsia="es-CO"/>
        </w:rPr>
      </w:pPr>
    </w:p>
    <w:p w14:paraId="3179A13C" w14:textId="77777777" w:rsidR="00B80E7A" w:rsidRPr="00616FE1" w:rsidRDefault="00B80E7A" w:rsidP="00616FE1">
      <w:pPr>
        <w:pStyle w:val="Sinespaciado"/>
        <w:spacing w:line="276" w:lineRule="auto"/>
        <w:rPr>
          <w:rFonts w:cs="Arial"/>
          <w:b w:val="0"/>
          <w:bCs/>
          <w:color w:val="auto"/>
          <w:sz w:val="22"/>
          <w:lang w:eastAsia="es-CO"/>
        </w:rPr>
      </w:pPr>
      <w:r w:rsidRPr="00616FE1">
        <w:rPr>
          <w:rFonts w:cs="Arial"/>
          <w:b w:val="0"/>
          <w:bCs/>
          <w:color w:val="auto"/>
          <w:sz w:val="22"/>
          <w:lang w:eastAsia="es-CO"/>
        </w:rPr>
        <w:t>Para la definición de los indicadores financieros y de capacidad organizacional se tomó como punto de partida la información financiera reportada por las empresas que conforman la muestra del sector, con el fin de identificar parámetros razonables, proporcionales y acordes con el comportamiento real del mercado.</w:t>
      </w:r>
    </w:p>
    <w:p w14:paraId="222B4C2C" w14:textId="77777777" w:rsidR="00B80E7A" w:rsidRPr="00616FE1" w:rsidRDefault="00B80E7A" w:rsidP="00616FE1">
      <w:pPr>
        <w:pStyle w:val="Sinespaciado"/>
        <w:spacing w:line="276" w:lineRule="auto"/>
        <w:rPr>
          <w:rFonts w:cs="Arial"/>
          <w:b w:val="0"/>
          <w:bCs/>
          <w:color w:val="auto"/>
          <w:sz w:val="22"/>
          <w:lang w:eastAsia="es-CO"/>
        </w:rPr>
      </w:pPr>
    </w:p>
    <w:p w14:paraId="7215F17F" w14:textId="77777777" w:rsidR="00B80E7A" w:rsidRPr="00616FE1" w:rsidRDefault="00B80E7A" w:rsidP="00616FE1">
      <w:pPr>
        <w:pStyle w:val="Sinespaciado"/>
        <w:spacing w:line="276" w:lineRule="auto"/>
        <w:rPr>
          <w:rFonts w:cs="Arial"/>
          <w:b w:val="0"/>
          <w:bCs/>
          <w:color w:val="auto"/>
          <w:sz w:val="22"/>
          <w:lang w:eastAsia="es-CO"/>
        </w:rPr>
      </w:pPr>
      <w:r w:rsidRPr="00616FE1">
        <w:rPr>
          <w:rFonts w:cs="Arial"/>
          <w:b w:val="0"/>
          <w:bCs/>
          <w:color w:val="auto"/>
          <w:sz w:val="22"/>
          <w:lang w:eastAsia="es-CO"/>
        </w:rPr>
        <w:t>En primer lugar, se calculó la mediana como medida de posición central, toda vez que permite identificar el punto a partir del cual el 50% de las empresas de la muestra presenta valores iguales o inferiores, y el otro 50% valores superiores, este cálculo permitió establecer una primera referencia del comportamiento sectorial, evitando que los resultados se vieran afectados de manera significativa por valores extremos.</w:t>
      </w:r>
    </w:p>
    <w:p w14:paraId="4EDE9A35" w14:textId="77777777" w:rsidR="00B80E7A" w:rsidRPr="00616FE1" w:rsidRDefault="00B80E7A" w:rsidP="00616FE1">
      <w:pPr>
        <w:pStyle w:val="Sinespaciado"/>
        <w:spacing w:line="276" w:lineRule="auto"/>
        <w:rPr>
          <w:rFonts w:cs="Arial"/>
          <w:b w:val="0"/>
          <w:bCs/>
          <w:color w:val="auto"/>
          <w:sz w:val="22"/>
          <w:lang w:eastAsia="es-CO"/>
        </w:rPr>
      </w:pPr>
    </w:p>
    <w:p w14:paraId="74A847D4" w14:textId="77777777" w:rsidR="00571E28" w:rsidRPr="00571E28" w:rsidRDefault="00571E28" w:rsidP="00571E28">
      <w:pPr>
        <w:pStyle w:val="Sinespaciado"/>
        <w:rPr>
          <w:rFonts w:cs="Arial"/>
          <w:b w:val="0"/>
          <w:bCs/>
          <w:color w:val="auto"/>
          <w:sz w:val="22"/>
          <w:lang w:eastAsia="es-CO"/>
        </w:rPr>
      </w:pPr>
      <w:r w:rsidRPr="00571E28">
        <w:rPr>
          <w:rFonts w:cs="Arial"/>
          <w:b w:val="0"/>
          <w:bCs/>
          <w:color w:val="auto"/>
          <w:sz w:val="22"/>
          <w:lang w:eastAsia="es-CO"/>
        </w:rPr>
        <w:t>A partir de la muestra consolidada de doscientas noventa y seis (296) empresas, se efectuó el análisis estadístico de los principales indicadores financieros y organizacionales del sector, con el propósito de identificar valores representativos de la distribución y establecer referentes técnicos para la definición de los requisitos habilitantes.</w:t>
      </w:r>
    </w:p>
    <w:p w14:paraId="76D88247" w14:textId="77777777" w:rsidR="00571E28" w:rsidRPr="00571E28" w:rsidRDefault="00571E28" w:rsidP="00571E28">
      <w:pPr>
        <w:pStyle w:val="Sinespaciado"/>
        <w:rPr>
          <w:rFonts w:cs="Arial"/>
          <w:b w:val="0"/>
          <w:bCs/>
          <w:color w:val="auto"/>
          <w:sz w:val="22"/>
          <w:lang w:eastAsia="es-CO"/>
        </w:rPr>
      </w:pPr>
    </w:p>
    <w:p w14:paraId="6B0ADE25" w14:textId="77777777" w:rsidR="00571E28" w:rsidRPr="00571E28" w:rsidRDefault="00571E28" w:rsidP="00571E28">
      <w:pPr>
        <w:pStyle w:val="Sinespaciado"/>
        <w:rPr>
          <w:rFonts w:cs="Arial"/>
          <w:b w:val="0"/>
          <w:bCs/>
          <w:color w:val="auto"/>
          <w:sz w:val="22"/>
          <w:lang w:eastAsia="es-CO"/>
        </w:rPr>
      </w:pPr>
      <w:r w:rsidRPr="00571E28">
        <w:rPr>
          <w:rFonts w:cs="Arial"/>
          <w:b w:val="0"/>
          <w:bCs/>
          <w:color w:val="auto"/>
          <w:sz w:val="22"/>
          <w:lang w:eastAsia="es-CO"/>
        </w:rPr>
        <w:t>Los resultados obtenidos muestran que la mediana del índice de liquidez se ubica en 2,88, mientras que para el índice de endeudamiento corresponde a 50,37% y para la razón de cobertura de intereses a 3,90. En cuanto al capital de trabajo, la mediana de la muestra asciende a $3.188.198, mientras que la rentabilidad sobre el patrimonio registra una mediana de 10% y la rentabilidad sobre el activo de 5%.</w:t>
      </w:r>
    </w:p>
    <w:p w14:paraId="1AF91121" w14:textId="77777777" w:rsidR="00571E28" w:rsidRPr="00571E28" w:rsidRDefault="00571E28" w:rsidP="00571E28">
      <w:pPr>
        <w:pStyle w:val="Sinespaciado"/>
        <w:rPr>
          <w:rFonts w:cs="Arial"/>
          <w:b w:val="0"/>
          <w:bCs/>
          <w:color w:val="auto"/>
          <w:sz w:val="22"/>
          <w:lang w:eastAsia="es-CO"/>
        </w:rPr>
      </w:pPr>
    </w:p>
    <w:p w14:paraId="6012D0D0" w14:textId="77777777" w:rsidR="00571E28" w:rsidRPr="00571E28" w:rsidRDefault="00571E28" w:rsidP="00571E28">
      <w:pPr>
        <w:pStyle w:val="Sinespaciado"/>
        <w:rPr>
          <w:rFonts w:cs="Arial"/>
          <w:b w:val="0"/>
          <w:bCs/>
          <w:color w:val="auto"/>
          <w:sz w:val="22"/>
          <w:lang w:eastAsia="es-CO"/>
        </w:rPr>
      </w:pPr>
      <w:r w:rsidRPr="00571E28">
        <w:rPr>
          <w:rFonts w:cs="Arial"/>
          <w:b w:val="0"/>
          <w:bCs/>
          <w:color w:val="auto"/>
          <w:sz w:val="22"/>
          <w:lang w:eastAsia="es-CO"/>
        </w:rPr>
        <w:t>De manera complementaria, se calcularon los percentiles de la distribución con el fin de contar con referencias que permitan evaluar diferentes niveles de exigencia. Para los indicadores en los que un mayor valor representa una mejor capacidad financiera u organizacional, se utilizó como referencia el percentil 35, obteniéndose un índice de liquidez de 2,06, una razón de cobertura de intereses de 2,29, un capital de trabajo de $1.550.399, una rentabilidad sobre el patrimonio de 6% y una rentabilidad sobre el activo de 2%.</w:t>
      </w:r>
    </w:p>
    <w:p w14:paraId="4CE1B3BF" w14:textId="77777777" w:rsidR="00571E28" w:rsidRPr="00571E28" w:rsidRDefault="00571E28" w:rsidP="00571E28">
      <w:pPr>
        <w:pStyle w:val="Sinespaciado"/>
        <w:rPr>
          <w:rFonts w:cs="Arial"/>
          <w:b w:val="0"/>
          <w:bCs/>
          <w:color w:val="auto"/>
          <w:sz w:val="22"/>
          <w:lang w:eastAsia="es-CO"/>
        </w:rPr>
      </w:pPr>
    </w:p>
    <w:p w14:paraId="09B98DB7" w14:textId="77777777" w:rsidR="00571E28" w:rsidRPr="00571E28" w:rsidRDefault="00571E28" w:rsidP="00571E28">
      <w:pPr>
        <w:pStyle w:val="Sinespaciado"/>
        <w:rPr>
          <w:rFonts w:cs="Arial"/>
          <w:b w:val="0"/>
          <w:bCs/>
          <w:color w:val="auto"/>
          <w:sz w:val="22"/>
          <w:lang w:eastAsia="es-CO"/>
        </w:rPr>
      </w:pPr>
      <w:r w:rsidRPr="00571E28">
        <w:rPr>
          <w:rFonts w:cs="Arial"/>
          <w:b w:val="0"/>
          <w:bCs/>
          <w:color w:val="auto"/>
          <w:sz w:val="22"/>
          <w:lang w:eastAsia="es-CO"/>
        </w:rPr>
        <w:t>Para el índice de endeudamiento, cuya interpretación opera en sentido inverso, dado que un menor nivel de endeudamiento representa, en principio, una menor exposición relativa frente a terceros, se tomó como referencia el percentil 65, cuyo resultado corresponde a 59,14%.</w:t>
      </w:r>
    </w:p>
    <w:p w14:paraId="2E7E6B77" w14:textId="77777777" w:rsidR="00571E28" w:rsidRPr="00571E28" w:rsidRDefault="00571E28" w:rsidP="00571E28">
      <w:pPr>
        <w:pStyle w:val="Sinespaciado"/>
        <w:rPr>
          <w:rFonts w:cs="Arial"/>
          <w:b w:val="0"/>
          <w:bCs/>
          <w:color w:val="auto"/>
          <w:sz w:val="22"/>
          <w:lang w:eastAsia="es-CO"/>
        </w:rPr>
      </w:pPr>
    </w:p>
    <w:p w14:paraId="42ED80BB" w14:textId="77777777" w:rsidR="00571E28" w:rsidRPr="00571E28" w:rsidRDefault="00571E28" w:rsidP="00571E28">
      <w:pPr>
        <w:pStyle w:val="Sinespaciado"/>
        <w:rPr>
          <w:rFonts w:cs="Arial"/>
          <w:b w:val="0"/>
          <w:bCs/>
          <w:color w:val="auto"/>
          <w:sz w:val="22"/>
          <w:lang w:eastAsia="es-CO"/>
        </w:rPr>
      </w:pPr>
      <w:r w:rsidRPr="00571E28">
        <w:rPr>
          <w:rFonts w:cs="Arial"/>
          <w:b w:val="0"/>
          <w:bCs/>
          <w:color w:val="auto"/>
          <w:sz w:val="22"/>
          <w:lang w:eastAsia="es-CO"/>
        </w:rPr>
        <w:t>La lectura conjunta de estos resultados permite establecer que la muestra presenta condiciones financieras heterogéneas, pero con niveles centrales de liquidez, endeudamiento, cobertura y rentabilidad que permiten identificar rangos técnicamente sustentables para la estructuración de los requisitos habilitantes. La utilización de percentiles diferenciados según la naturaleza de cada indicador evita aplicar un único criterio estadístico a variables cuya lógica financiera es distinta y permite definir umbrales que guarden relación con el comportamiento efectivo de las empresas analizadas.</w:t>
      </w:r>
    </w:p>
    <w:p w14:paraId="2C70713C" w14:textId="77777777" w:rsidR="00571E28" w:rsidRPr="00571E28" w:rsidRDefault="00571E28" w:rsidP="00571E28">
      <w:pPr>
        <w:pStyle w:val="Sinespaciado"/>
        <w:rPr>
          <w:rFonts w:cs="Arial"/>
          <w:b w:val="0"/>
          <w:bCs/>
          <w:color w:val="auto"/>
          <w:sz w:val="22"/>
          <w:lang w:eastAsia="es-CO"/>
        </w:rPr>
      </w:pPr>
    </w:p>
    <w:p w14:paraId="3F44D30F" w14:textId="7355EBC5" w:rsidR="00B80E7A" w:rsidRPr="00616FE1" w:rsidRDefault="00571E28" w:rsidP="00571E28">
      <w:pPr>
        <w:pStyle w:val="Sinespaciado"/>
        <w:spacing w:line="276" w:lineRule="auto"/>
        <w:rPr>
          <w:rFonts w:cs="Arial"/>
          <w:b w:val="0"/>
          <w:bCs/>
          <w:color w:val="auto"/>
          <w:sz w:val="22"/>
          <w:lang w:eastAsia="es-CO"/>
        </w:rPr>
      </w:pPr>
      <w:r w:rsidRPr="00571E28">
        <w:rPr>
          <w:rFonts w:cs="Arial"/>
          <w:b w:val="0"/>
          <w:bCs/>
          <w:color w:val="auto"/>
          <w:sz w:val="22"/>
          <w:lang w:eastAsia="es-CO"/>
        </w:rPr>
        <w:lastRenderedPageBreak/>
        <w:t>En consecuencia, los valores resultantes de la mediana y de los percentiles constituyen referencias objetivas para valorar el nivel de exigencia de los indicadores financieros y organizacionales, procurando que estos sean proporcionales al riesgo contractual y, al mismo tiempo, compatibles con las condiciones observadas en el sector, sin generar restricciones innecesarias a la participación</w:t>
      </w:r>
      <w:r w:rsidR="00B80E7A" w:rsidRPr="00616FE1">
        <w:rPr>
          <w:rFonts w:cs="Arial"/>
          <w:b w:val="0"/>
          <w:bCs/>
          <w:color w:val="auto"/>
          <w:sz w:val="22"/>
          <w:lang w:eastAsia="es-CO"/>
        </w:rPr>
        <w:t>.</w:t>
      </w:r>
    </w:p>
    <w:p w14:paraId="4E61B9FE" w14:textId="77777777" w:rsidR="00B80E7A" w:rsidRPr="00616FE1" w:rsidRDefault="00B80E7A" w:rsidP="00616FE1">
      <w:pPr>
        <w:pStyle w:val="Sinespaciado"/>
        <w:spacing w:line="276" w:lineRule="auto"/>
        <w:rPr>
          <w:rFonts w:cs="Arial"/>
          <w:b w:val="0"/>
          <w:bCs/>
          <w:color w:val="auto"/>
          <w:sz w:val="22"/>
          <w:lang w:eastAsia="es-CO"/>
        </w:rPr>
      </w:pPr>
    </w:p>
    <w:p w14:paraId="1629336C" w14:textId="77777777" w:rsidR="00B80E7A" w:rsidRDefault="00B80E7A" w:rsidP="00B80E7A">
      <w:pPr>
        <w:pStyle w:val="Sinespaciado"/>
        <w:spacing w:line="276" w:lineRule="auto"/>
        <w:rPr>
          <w:rFonts w:cs="Arial"/>
          <w:b w:val="0"/>
          <w:bCs/>
          <w:color w:val="auto"/>
          <w:sz w:val="22"/>
          <w:lang w:eastAsia="es-CO"/>
        </w:rPr>
      </w:pPr>
      <w:r w:rsidRPr="00616FE1">
        <w:rPr>
          <w:rFonts w:cs="Arial"/>
          <w:b w:val="0"/>
          <w:bCs/>
          <w:color w:val="auto"/>
          <w:sz w:val="22"/>
          <w:lang w:eastAsia="es-CO"/>
        </w:rPr>
        <w:t>En consecuencia, la metodología basada en percentiles permite establecer indicadores financieros y organizacionales objetivos, proporcionales y ajustados al comportamiento del sector, garantizando equilibrio entre la protección del interés público, la capacidad financiera mínima exigible y la promoción de una mayor participación de oferentes en el proceso de selección.</w:t>
      </w:r>
    </w:p>
    <w:p w14:paraId="6B26E39C" w14:textId="77777777" w:rsidR="00B80E7A" w:rsidRPr="00616FE1" w:rsidRDefault="00B80E7A" w:rsidP="00616FE1">
      <w:pPr>
        <w:rPr>
          <w:b/>
          <w:lang w:eastAsia="es-CO"/>
        </w:rPr>
      </w:pPr>
    </w:p>
    <w:tbl>
      <w:tblPr>
        <w:tblW w:w="0" w:type="auto"/>
        <w:jc w:val="center"/>
        <w:tblCellMar>
          <w:left w:w="70" w:type="dxa"/>
          <w:right w:w="70" w:type="dxa"/>
        </w:tblCellMar>
        <w:tblLook w:val="04A0" w:firstRow="1" w:lastRow="0" w:firstColumn="1" w:lastColumn="0" w:noHBand="0" w:noVBand="1"/>
      </w:tblPr>
      <w:tblGrid>
        <w:gridCol w:w="3332"/>
        <w:gridCol w:w="2427"/>
        <w:gridCol w:w="1827"/>
      </w:tblGrid>
      <w:tr w:rsidR="00B80E7A" w:rsidRPr="00B80E7A" w14:paraId="71CF5D5E" w14:textId="77777777" w:rsidTr="00616FE1">
        <w:trPr>
          <w:trHeight w:val="563"/>
          <w:tblHeader/>
          <w:jc w:val="center"/>
        </w:trPr>
        <w:tc>
          <w:tcPr>
            <w:tcW w:w="0" w:type="auto"/>
            <w:tcBorders>
              <w:top w:val="single" w:sz="8" w:space="0" w:color="auto"/>
              <w:left w:val="single" w:sz="8" w:space="0" w:color="auto"/>
              <w:bottom w:val="single" w:sz="8" w:space="0" w:color="auto"/>
              <w:right w:val="single" w:sz="4" w:space="0" w:color="auto"/>
            </w:tcBorders>
            <w:shd w:val="clear" w:color="000000" w:fill="D9E1F2"/>
            <w:vAlign w:val="center"/>
            <w:hideMark/>
          </w:tcPr>
          <w:p w14:paraId="45A66A29" w14:textId="77777777" w:rsidR="00B80E7A" w:rsidRPr="00616FE1" w:rsidRDefault="00B80E7A"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Indicador</w:t>
            </w:r>
          </w:p>
        </w:tc>
        <w:tc>
          <w:tcPr>
            <w:tcW w:w="0" w:type="auto"/>
            <w:tcBorders>
              <w:top w:val="single" w:sz="8" w:space="0" w:color="auto"/>
              <w:left w:val="nil"/>
              <w:bottom w:val="single" w:sz="8" w:space="0" w:color="auto"/>
              <w:right w:val="single" w:sz="4" w:space="0" w:color="auto"/>
            </w:tcBorders>
            <w:shd w:val="clear" w:color="000000" w:fill="D9E1F2"/>
            <w:vAlign w:val="center"/>
            <w:hideMark/>
          </w:tcPr>
          <w:p w14:paraId="1C437C04" w14:textId="77777777" w:rsidR="00B80E7A" w:rsidRPr="00616FE1" w:rsidRDefault="00B80E7A"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Criterio recomendado</w:t>
            </w:r>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63F9661D" w14:textId="77777777" w:rsidR="00B80E7A" w:rsidRPr="00616FE1" w:rsidRDefault="00B80E7A"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Valor propuesto</w:t>
            </w:r>
          </w:p>
        </w:tc>
      </w:tr>
      <w:tr w:rsidR="00B80E7A" w:rsidRPr="00B80E7A" w14:paraId="1CDA7AC4" w14:textId="77777777">
        <w:trPr>
          <w:trHeight w:val="576"/>
          <w:jc w:val="center"/>
        </w:trPr>
        <w:tc>
          <w:tcPr>
            <w:tcW w:w="0" w:type="auto"/>
            <w:tcBorders>
              <w:top w:val="nil"/>
              <w:left w:val="single" w:sz="8" w:space="0" w:color="auto"/>
              <w:bottom w:val="single" w:sz="4" w:space="0" w:color="auto"/>
              <w:right w:val="single" w:sz="4" w:space="0" w:color="auto"/>
            </w:tcBorders>
            <w:vAlign w:val="center"/>
            <w:hideMark/>
          </w:tcPr>
          <w:p w14:paraId="3B3DE280" w14:textId="77777777" w:rsidR="00B80E7A" w:rsidRPr="00616FE1" w:rsidRDefault="00B80E7A" w:rsidP="00616FE1">
            <w:pPr>
              <w:spacing w:after="0"/>
              <w:rPr>
                <w:rFonts w:ascii="Arial" w:eastAsia="Times New Roman" w:hAnsi="Arial" w:cs="Arial"/>
                <w:color w:val="000000"/>
                <w:lang w:eastAsia="es-CO"/>
              </w:rPr>
            </w:pPr>
            <w:r w:rsidRPr="00616FE1">
              <w:rPr>
                <w:rFonts w:ascii="Arial" w:eastAsia="Times New Roman" w:hAnsi="Arial" w:cs="Arial"/>
                <w:color w:val="000000"/>
                <w:lang w:eastAsia="es-CO"/>
              </w:rPr>
              <w:t>Índice de liquidez</w:t>
            </w:r>
          </w:p>
        </w:tc>
        <w:tc>
          <w:tcPr>
            <w:tcW w:w="0" w:type="auto"/>
            <w:tcBorders>
              <w:top w:val="nil"/>
              <w:left w:val="nil"/>
              <w:bottom w:val="single" w:sz="4" w:space="0" w:color="auto"/>
              <w:right w:val="single" w:sz="4" w:space="0" w:color="auto"/>
            </w:tcBorders>
            <w:vAlign w:val="center"/>
            <w:hideMark/>
          </w:tcPr>
          <w:p w14:paraId="50270C02" w14:textId="77777777" w:rsidR="00B80E7A" w:rsidRPr="00616FE1" w:rsidRDefault="00B80E7A" w:rsidP="00616FE1">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w:t>
            </w:r>
          </w:p>
        </w:tc>
        <w:tc>
          <w:tcPr>
            <w:tcW w:w="0" w:type="auto"/>
            <w:tcBorders>
              <w:top w:val="nil"/>
              <w:left w:val="nil"/>
              <w:bottom w:val="single" w:sz="4" w:space="0" w:color="auto"/>
              <w:right w:val="single" w:sz="8" w:space="0" w:color="auto"/>
            </w:tcBorders>
            <w:vAlign w:val="center"/>
            <w:hideMark/>
          </w:tcPr>
          <w:p w14:paraId="05049BD2" w14:textId="3789E77C" w:rsidR="00B80E7A" w:rsidRPr="00616FE1" w:rsidRDefault="00B80E7A"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2</w:t>
            </w:r>
            <w:r w:rsidR="00571E28">
              <w:rPr>
                <w:rFonts w:ascii="Arial" w:eastAsia="Times New Roman" w:hAnsi="Arial" w:cs="Arial"/>
                <w:b/>
                <w:bCs/>
                <w:color w:val="000000"/>
                <w:lang w:eastAsia="es-CO"/>
              </w:rPr>
              <w:t>,06</w:t>
            </w:r>
          </w:p>
        </w:tc>
      </w:tr>
      <w:tr w:rsidR="00B80E7A" w:rsidRPr="00B80E7A" w14:paraId="309764B7" w14:textId="77777777" w:rsidTr="00616FE1">
        <w:trPr>
          <w:trHeight w:val="576"/>
          <w:jc w:val="center"/>
        </w:trPr>
        <w:tc>
          <w:tcPr>
            <w:tcW w:w="0" w:type="auto"/>
            <w:tcBorders>
              <w:top w:val="nil"/>
              <w:left w:val="single" w:sz="8" w:space="0" w:color="auto"/>
              <w:bottom w:val="single" w:sz="4" w:space="0" w:color="auto"/>
              <w:right w:val="single" w:sz="4" w:space="0" w:color="auto"/>
            </w:tcBorders>
            <w:vAlign w:val="center"/>
            <w:hideMark/>
          </w:tcPr>
          <w:p w14:paraId="04A482E1" w14:textId="77777777" w:rsidR="00B80E7A" w:rsidRPr="00616FE1" w:rsidRDefault="00B80E7A" w:rsidP="00616FE1">
            <w:pPr>
              <w:spacing w:after="0"/>
              <w:rPr>
                <w:rFonts w:ascii="Arial" w:eastAsia="Times New Roman" w:hAnsi="Arial" w:cs="Arial"/>
                <w:color w:val="000000"/>
                <w:lang w:eastAsia="es-CO"/>
              </w:rPr>
            </w:pPr>
            <w:r w:rsidRPr="00616FE1">
              <w:rPr>
                <w:rFonts w:ascii="Arial" w:eastAsia="Times New Roman" w:hAnsi="Arial" w:cs="Arial"/>
                <w:color w:val="000000"/>
                <w:lang w:eastAsia="es-CO"/>
              </w:rPr>
              <w:t>Nivel de endeudamiento</w:t>
            </w:r>
          </w:p>
        </w:tc>
        <w:tc>
          <w:tcPr>
            <w:tcW w:w="0" w:type="auto"/>
            <w:tcBorders>
              <w:top w:val="nil"/>
              <w:left w:val="nil"/>
              <w:bottom w:val="single" w:sz="4" w:space="0" w:color="auto"/>
              <w:right w:val="single" w:sz="4" w:space="0" w:color="auto"/>
            </w:tcBorders>
            <w:vAlign w:val="center"/>
            <w:hideMark/>
          </w:tcPr>
          <w:p w14:paraId="363DA4C4" w14:textId="77777777" w:rsidR="00B80E7A" w:rsidRPr="00616FE1" w:rsidRDefault="00B80E7A" w:rsidP="00616FE1">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Menor o igual a</w:t>
            </w:r>
          </w:p>
        </w:tc>
        <w:tc>
          <w:tcPr>
            <w:tcW w:w="0" w:type="auto"/>
            <w:tcBorders>
              <w:top w:val="nil"/>
              <w:left w:val="nil"/>
              <w:bottom w:val="single" w:sz="4" w:space="0" w:color="auto"/>
              <w:right w:val="single" w:sz="8" w:space="0" w:color="auto"/>
            </w:tcBorders>
            <w:vAlign w:val="center"/>
            <w:hideMark/>
          </w:tcPr>
          <w:p w14:paraId="75E6C16D" w14:textId="0F8C26A6" w:rsidR="00B80E7A" w:rsidRPr="00616FE1" w:rsidRDefault="00571E28" w:rsidP="00616FE1">
            <w:pPr>
              <w:spacing w:after="0"/>
              <w:jc w:val="center"/>
              <w:rPr>
                <w:rFonts w:ascii="Arial" w:eastAsia="Times New Roman" w:hAnsi="Arial" w:cs="Arial"/>
                <w:b/>
                <w:bCs/>
                <w:color w:val="000000"/>
                <w:lang w:eastAsia="es-CO"/>
              </w:rPr>
            </w:pPr>
            <w:r>
              <w:rPr>
                <w:rFonts w:ascii="Arial" w:eastAsia="Times New Roman" w:hAnsi="Arial" w:cs="Arial"/>
                <w:b/>
                <w:bCs/>
                <w:color w:val="000000"/>
                <w:lang w:eastAsia="es-CO"/>
              </w:rPr>
              <w:t>59,14</w:t>
            </w:r>
            <w:r w:rsidR="00B80E7A" w:rsidRPr="00616FE1">
              <w:rPr>
                <w:rFonts w:ascii="Arial" w:eastAsia="Times New Roman" w:hAnsi="Arial" w:cs="Arial"/>
                <w:b/>
                <w:bCs/>
                <w:color w:val="000000"/>
                <w:lang w:eastAsia="es-CO"/>
              </w:rPr>
              <w:t>%</w:t>
            </w:r>
          </w:p>
        </w:tc>
      </w:tr>
      <w:tr w:rsidR="00B80E7A" w:rsidRPr="00B80E7A" w14:paraId="5877A9F7" w14:textId="77777777" w:rsidTr="00616FE1">
        <w:trPr>
          <w:trHeight w:val="576"/>
          <w:jc w:val="center"/>
        </w:trPr>
        <w:tc>
          <w:tcPr>
            <w:tcW w:w="0" w:type="auto"/>
            <w:tcBorders>
              <w:top w:val="single" w:sz="4" w:space="0" w:color="auto"/>
              <w:left w:val="single" w:sz="8" w:space="0" w:color="auto"/>
              <w:bottom w:val="single" w:sz="4" w:space="0" w:color="auto"/>
              <w:right w:val="single" w:sz="4" w:space="0" w:color="auto"/>
            </w:tcBorders>
            <w:vAlign w:val="center"/>
            <w:hideMark/>
          </w:tcPr>
          <w:p w14:paraId="3AFF8C89" w14:textId="77777777" w:rsidR="00B80E7A" w:rsidRPr="00616FE1" w:rsidRDefault="00B80E7A" w:rsidP="00616FE1">
            <w:pPr>
              <w:spacing w:after="0"/>
              <w:rPr>
                <w:rFonts w:ascii="Arial" w:eastAsia="Times New Roman" w:hAnsi="Arial" w:cs="Arial"/>
                <w:color w:val="000000"/>
                <w:lang w:eastAsia="es-CO"/>
              </w:rPr>
            </w:pPr>
            <w:r w:rsidRPr="00616FE1">
              <w:rPr>
                <w:rFonts w:ascii="Arial" w:eastAsia="Times New Roman" w:hAnsi="Arial" w:cs="Arial"/>
                <w:color w:val="000000"/>
                <w:lang w:eastAsia="es-CO"/>
              </w:rPr>
              <w:t>Razón de cobertura de intereses</w:t>
            </w:r>
          </w:p>
        </w:tc>
        <w:tc>
          <w:tcPr>
            <w:tcW w:w="0" w:type="auto"/>
            <w:tcBorders>
              <w:top w:val="single" w:sz="4" w:space="0" w:color="auto"/>
              <w:left w:val="nil"/>
              <w:bottom w:val="single" w:sz="4" w:space="0" w:color="auto"/>
              <w:right w:val="single" w:sz="4" w:space="0" w:color="auto"/>
            </w:tcBorders>
            <w:vAlign w:val="center"/>
            <w:hideMark/>
          </w:tcPr>
          <w:p w14:paraId="78BF2541" w14:textId="77777777" w:rsidR="00B80E7A" w:rsidRPr="00616FE1" w:rsidRDefault="00B80E7A" w:rsidP="00616FE1">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w:t>
            </w:r>
          </w:p>
        </w:tc>
        <w:tc>
          <w:tcPr>
            <w:tcW w:w="0" w:type="auto"/>
            <w:tcBorders>
              <w:top w:val="single" w:sz="4" w:space="0" w:color="auto"/>
              <w:left w:val="nil"/>
              <w:bottom w:val="single" w:sz="4" w:space="0" w:color="auto"/>
              <w:right w:val="single" w:sz="8" w:space="0" w:color="auto"/>
            </w:tcBorders>
            <w:vAlign w:val="center"/>
            <w:hideMark/>
          </w:tcPr>
          <w:p w14:paraId="58052560" w14:textId="770755AE" w:rsidR="00B80E7A" w:rsidRPr="00616FE1" w:rsidRDefault="00B80E7A"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2,</w:t>
            </w:r>
            <w:r w:rsidR="00571E28">
              <w:rPr>
                <w:rFonts w:ascii="Arial" w:eastAsia="Times New Roman" w:hAnsi="Arial" w:cs="Arial"/>
                <w:b/>
                <w:bCs/>
                <w:color w:val="000000"/>
                <w:lang w:eastAsia="es-CO"/>
              </w:rPr>
              <w:t>29</w:t>
            </w:r>
          </w:p>
        </w:tc>
      </w:tr>
      <w:tr w:rsidR="00B80E7A" w:rsidRPr="00B80E7A" w14:paraId="6FE3C8A7" w14:textId="77777777">
        <w:trPr>
          <w:trHeight w:val="576"/>
          <w:jc w:val="center"/>
        </w:trPr>
        <w:tc>
          <w:tcPr>
            <w:tcW w:w="0" w:type="auto"/>
            <w:tcBorders>
              <w:top w:val="nil"/>
              <w:left w:val="single" w:sz="8" w:space="0" w:color="auto"/>
              <w:bottom w:val="single" w:sz="4" w:space="0" w:color="auto"/>
              <w:right w:val="single" w:sz="4" w:space="0" w:color="auto"/>
            </w:tcBorders>
            <w:vAlign w:val="center"/>
            <w:hideMark/>
          </w:tcPr>
          <w:p w14:paraId="01C05D9F" w14:textId="77777777" w:rsidR="00B80E7A" w:rsidRPr="00616FE1" w:rsidRDefault="00B80E7A" w:rsidP="00616FE1">
            <w:pPr>
              <w:spacing w:after="0"/>
              <w:rPr>
                <w:rFonts w:ascii="Arial" w:eastAsia="Times New Roman" w:hAnsi="Arial" w:cs="Arial"/>
                <w:color w:val="000000"/>
                <w:lang w:eastAsia="es-CO"/>
              </w:rPr>
            </w:pPr>
            <w:r w:rsidRPr="00616FE1">
              <w:rPr>
                <w:rFonts w:ascii="Arial" w:eastAsia="Times New Roman" w:hAnsi="Arial" w:cs="Arial"/>
                <w:color w:val="000000"/>
                <w:lang w:eastAsia="es-CO"/>
              </w:rPr>
              <w:t>Capital de trabajo</w:t>
            </w:r>
          </w:p>
        </w:tc>
        <w:tc>
          <w:tcPr>
            <w:tcW w:w="0" w:type="auto"/>
            <w:tcBorders>
              <w:top w:val="nil"/>
              <w:left w:val="nil"/>
              <w:bottom w:val="single" w:sz="4" w:space="0" w:color="auto"/>
              <w:right w:val="single" w:sz="4" w:space="0" w:color="auto"/>
            </w:tcBorders>
            <w:vAlign w:val="center"/>
            <w:hideMark/>
          </w:tcPr>
          <w:p w14:paraId="4BD45E06" w14:textId="77777777" w:rsidR="00B80E7A" w:rsidRPr="00616FE1" w:rsidRDefault="00B80E7A" w:rsidP="00616FE1">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w:t>
            </w:r>
          </w:p>
        </w:tc>
        <w:tc>
          <w:tcPr>
            <w:tcW w:w="0" w:type="auto"/>
            <w:tcBorders>
              <w:top w:val="nil"/>
              <w:left w:val="nil"/>
              <w:bottom w:val="single" w:sz="4" w:space="0" w:color="auto"/>
              <w:right w:val="single" w:sz="8" w:space="0" w:color="auto"/>
            </w:tcBorders>
            <w:vAlign w:val="center"/>
            <w:hideMark/>
          </w:tcPr>
          <w:p w14:paraId="2D27EE0A" w14:textId="43F07AEE" w:rsidR="00B80E7A" w:rsidRPr="00616FE1" w:rsidRDefault="00571E28" w:rsidP="00616FE1">
            <w:pPr>
              <w:spacing w:after="0"/>
              <w:jc w:val="center"/>
              <w:rPr>
                <w:rFonts w:ascii="Arial" w:eastAsia="Times New Roman" w:hAnsi="Arial" w:cs="Arial"/>
                <w:b/>
                <w:bCs/>
                <w:color w:val="000000"/>
                <w:lang w:eastAsia="es-CO"/>
              </w:rPr>
            </w:pPr>
            <w:r>
              <w:rPr>
                <w:rFonts w:ascii="Arial" w:eastAsia="Times New Roman" w:hAnsi="Arial" w:cs="Arial"/>
                <w:b/>
                <w:bCs/>
                <w:color w:val="000000"/>
                <w:lang w:eastAsia="es-CO"/>
              </w:rPr>
              <w:t>Al 100% del PO</w:t>
            </w:r>
          </w:p>
        </w:tc>
      </w:tr>
      <w:tr w:rsidR="00B80E7A" w:rsidRPr="00B80E7A" w14:paraId="38843ACC" w14:textId="77777777">
        <w:trPr>
          <w:trHeight w:val="576"/>
          <w:jc w:val="center"/>
        </w:trPr>
        <w:tc>
          <w:tcPr>
            <w:tcW w:w="0" w:type="auto"/>
            <w:tcBorders>
              <w:top w:val="nil"/>
              <w:left w:val="single" w:sz="8" w:space="0" w:color="auto"/>
              <w:bottom w:val="single" w:sz="4" w:space="0" w:color="auto"/>
              <w:right w:val="single" w:sz="4" w:space="0" w:color="auto"/>
            </w:tcBorders>
            <w:vAlign w:val="center"/>
            <w:hideMark/>
          </w:tcPr>
          <w:p w14:paraId="10959267" w14:textId="77777777" w:rsidR="00B80E7A" w:rsidRPr="00616FE1" w:rsidRDefault="00B80E7A" w:rsidP="00616FE1">
            <w:pPr>
              <w:spacing w:after="0"/>
              <w:rPr>
                <w:rFonts w:ascii="Arial" w:eastAsia="Times New Roman" w:hAnsi="Arial" w:cs="Arial"/>
                <w:color w:val="000000"/>
                <w:lang w:eastAsia="es-CO"/>
              </w:rPr>
            </w:pPr>
            <w:r w:rsidRPr="00616FE1">
              <w:rPr>
                <w:rFonts w:ascii="Arial" w:eastAsia="Times New Roman" w:hAnsi="Arial" w:cs="Arial"/>
                <w:color w:val="000000"/>
                <w:lang w:eastAsia="es-CO"/>
              </w:rPr>
              <w:t>Rentabilidad del patrimonio</w:t>
            </w:r>
          </w:p>
        </w:tc>
        <w:tc>
          <w:tcPr>
            <w:tcW w:w="0" w:type="auto"/>
            <w:tcBorders>
              <w:top w:val="nil"/>
              <w:left w:val="nil"/>
              <w:bottom w:val="single" w:sz="4" w:space="0" w:color="auto"/>
              <w:right w:val="single" w:sz="4" w:space="0" w:color="auto"/>
            </w:tcBorders>
            <w:vAlign w:val="center"/>
            <w:hideMark/>
          </w:tcPr>
          <w:p w14:paraId="551E23E7" w14:textId="77777777" w:rsidR="00B80E7A" w:rsidRPr="00616FE1" w:rsidRDefault="00B80E7A" w:rsidP="00616FE1">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w:t>
            </w:r>
          </w:p>
        </w:tc>
        <w:tc>
          <w:tcPr>
            <w:tcW w:w="0" w:type="auto"/>
            <w:tcBorders>
              <w:top w:val="nil"/>
              <w:left w:val="nil"/>
              <w:bottom w:val="single" w:sz="4" w:space="0" w:color="auto"/>
              <w:right w:val="single" w:sz="8" w:space="0" w:color="auto"/>
            </w:tcBorders>
            <w:vAlign w:val="center"/>
            <w:hideMark/>
          </w:tcPr>
          <w:p w14:paraId="00542E63" w14:textId="16E75D03" w:rsidR="00B80E7A" w:rsidRPr="00616FE1" w:rsidRDefault="00571E28" w:rsidP="00616FE1">
            <w:pPr>
              <w:spacing w:after="0"/>
              <w:jc w:val="center"/>
              <w:rPr>
                <w:rFonts w:ascii="Arial" w:eastAsia="Times New Roman" w:hAnsi="Arial" w:cs="Arial"/>
                <w:b/>
                <w:bCs/>
                <w:color w:val="000000"/>
                <w:lang w:eastAsia="es-CO"/>
              </w:rPr>
            </w:pPr>
            <w:r>
              <w:rPr>
                <w:rFonts w:ascii="Arial" w:eastAsia="Times New Roman" w:hAnsi="Arial" w:cs="Arial"/>
                <w:b/>
                <w:bCs/>
                <w:color w:val="000000"/>
                <w:lang w:eastAsia="es-CO"/>
              </w:rPr>
              <w:t>6</w:t>
            </w:r>
            <w:r w:rsidR="00B80E7A" w:rsidRPr="00616FE1">
              <w:rPr>
                <w:rFonts w:ascii="Arial" w:eastAsia="Times New Roman" w:hAnsi="Arial" w:cs="Arial"/>
                <w:b/>
                <w:bCs/>
                <w:color w:val="000000"/>
                <w:lang w:eastAsia="es-CO"/>
              </w:rPr>
              <w:t>%</w:t>
            </w:r>
          </w:p>
        </w:tc>
      </w:tr>
      <w:tr w:rsidR="00B80E7A" w:rsidRPr="00B80E7A" w14:paraId="524DD315" w14:textId="77777777">
        <w:trPr>
          <w:trHeight w:val="588"/>
          <w:jc w:val="center"/>
        </w:trPr>
        <w:tc>
          <w:tcPr>
            <w:tcW w:w="0" w:type="auto"/>
            <w:tcBorders>
              <w:top w:val="nil"/>
              <w:left w:val="single" w:sz="8" w:space="0" w:color="auto"/>
              <w:bottom w:val="single" w:sz="8" w:space="0" w:color="auto"/>
              <w:right w:val="single" w:sz="4" w:space="0" w:color="auto"/>
            </w:tcBorders>
            <w:vAlign w:val="center"/>
            <w:hideMark/>
          </w:tcPr>
          <w:p w14:paraId="43D06BBE" w14:textId="77777777" w:rsidR="00B80E7A" w:rsidRPr="00616FE1" w:rsidRDefault="00B80E7A" w:rsidP="00616FE1">
            <w:pPr>
              <w:spacing w:after="0"/>
              <w:rPr>
                <w:rFonts w:ascii="Arial" w:eastAsia="Times New Roman" w:hAnsi="Arial" w:cs="Arial"/>
                <w:color w:val="000000"/>
                <w:lang w:eastAsia="es-CO"/>
              </w:rPr>
            </w:pPr>
            <w:r w:rsidRPr="00616FE1">
              <w:rPr>
                <w:rFonts w:ascii="Arial" w:eastAsia="Times New Roman" w:hAnsi="Arial" w:cs="Arial"/>
                <w:color w:val="000000"/>
                <w:lang w:eastAsia="es-CO"/>
              </w:rPr>
              <w:t>Rentabilidad del activo</w:t>
            </w:r>
          </w:p>
        </w:tc>
        <w:tc>
          <w:tcPr>
            <w:tcW w:w="0" w:type="auto"/>
            <w:tcBorders>
              <w:top w:val="nil"/>
              <w:left w:val="nil"/>
              <w:bottom w:val="single" w:sz="8" w:space="0" w:color="auto"/>
              <w:right w:val="single" w:sz="4" w:space="0" w:color="auto"/>
            </w:tcBorders>
            <w:vAlign w:val="center"/>
            <w:hideMark/>
          </w:tcPr>
          <w:p w14:paraId="2DC232C3" w14:textId="77777777" w:rsidR="00B80E7A" w:rsidRPr="00616FE1" w:rsidRDefault="00B80E7A" w:rsidP="00616FE1">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w:t>
            </w:r>
          </w:p>
        </w:tc>
        <w:tc>
          <w:tcPr>
            <w:tcW w:w="0" w:type="auto"/>
            <w:tcBorders>
              <w:top w:val="nil"/>
              <w:left w:val="nil"/>
              <w:bottom w:val="single" w:sz="8" w:space="0" w:color="auto"/>
              <w:right w:val="single" w:sz="8" w:space="0" w:color="auto"/>
            </w:tcBorders>
            <w:vAlign w:val="center"/>
            <w:hideMark/>
          </w:tcPr>
          <w:p w14:paraId="0E223B69" w14:textId="0F9C6DD6" w:rsidR="00B80E7A" w:rsidRPr="00616FE1" w:rsidRDefault="00571E28" w:rsidP="00616FE1">
            <w:pPr>
              <w:spacing w:after="0"/>
              <w:jc w:val="center"/>
              <w:rPr>
                <w:rFonts w:ascii="Arial" w:eastAsia="Times New Roman" w:hAnsi="Arial" w:cs="Arial"/>
                <w:b/>
                <w:bCs/>
                <w:color w:val="000000"/>
                <w:lang w:eastAsia="es-CO"/>
              </w:rPr>
            </w:pPr>
            <w:r>
              <w:rPr>
                <w:rFonts w:ascii="Arial" w:eastAsia="Times New Roman" w:hAnsi="Arial" w:cs="Arial"/>
                <w:b/>
                <w:bCs/>
                <w:color w:val="000000"/>
                <w:lang w:eastAsia="es-CO"/>
              </w:rPr>
              <w:t>2</w:t>
            </w:r>
            <w:r w:rsidR="00B80E7A" w:rsidRPr="00616FE1">
              <w:rPr>
                <w:rFonts w:ascii="Arial" w:eastAsia="Times New Roman" w:hAnsi="Arial" w:cs="Arial"/>
                <w:b/>
                <w:bCs/>
                <w:color w:val="000000"/>
                <w:lang w:eastAsia="es-CO"/>
              </w:rPr>
              <w:t>%</w:t>
            </w:r>
          </w:p>
        </w:tc>
      </w:tr>
    </w:tbl>
    <w:p w14:paraId="0EA79F5A" w14:textId="77777777" w:rsidR="00B80E7A" w:rsidRPr="00616FE1" w:rsidRDefault="00B80E7A" w:rsidP="00616FE1">
      <w:pPr>
        <w:spacing w:after="0"/>
        <w:rPr>
          <w:rFonts w:ascii="Arial" w:hAnsi="Arial" w:cs="Arial"/>
          <w:lang w:eastAsia="es-CO"/>
        </w:rPr>
      </w:pPr>
    </w:p>
    <w:p w14:paraId="3CC38D7B" w14:textId="5450CF72" w:rsidR="00B80E7A" w:rsidRPr="00616FE1" w:rsidRDefault="00B80E7A" w:rsidP="00744915">
      <w:pPr>
        <w:spacing w:after="0"/>
        <w:jc w:val="both"/>
        <w:rPr>
          <w:rFonts w:ascii="Arial" w:hAnsi="Arial" w:cs="Arial"/>
          <w:lang w:eastAsia="es-CO"/>
        </w:rPr>
      </w:pPr>
      <w:r w:rsidRPr="00616FE1">
        <w:rPr>
          <w:rFonts w:ascii="Arial" w:hAnsi="Arial" w:cs="Arial"/>
          <w:lang w:eastAsia="es-CO"/>
        </w:rPr>
        <w:t>Estos indicadores permiten que cerca del 65% de la muestra sectorial pueda cumplir con los requisitos exigidos, salvo las particularidades propias de cada empresa, promoviendo así la pluralidad de oferentes sin desconocer la necesidad de contar con capacidad financiera y organizacional suficiente para ejecutar adecuadamente el contrato.</w:t>
      </w:r>
    </w:p>
    <w:p w14:paraId="3077EA9C" w14:textId="77777777" w:rsidR="008D0B39" w:rsidRPr="00C76457" w:rsidRDefault="008D0B39" w:rsidP="009F67DA">
      <w:pPr>
        <w:spacing w:after="0"/>
        <w:rPr>
          <w:rFonts w:ascii="Arial" w:hAnsi="Arial" w:cs="Arial"/>
          <w:color w:val="808080" w:themeColor="background1" w:themeShade="80"/>
          <w:lang w:val="es-MX" w:eastAsia="es-CO"/>
        </w:rPr>
      </w:pPr>
    </w:p>
    <w:p w14:paraId="42D845F6" w14:textId="77777777" w:rsidR="003C0018" w:rsidRPr="00C76457" w:rsidRDefault="003C0018" w:rsidP="00616FE1">
      <w:pPr>
        <w:pStyle w:val="Ttulo1"/>
        <w:numPr>
          <w:ilvl w:val="0"/>
          <w:numId w:val="8"/>
        </w:numPr>
        <w:spacing w:before="0"/>
        <w:ind w:left="360"/>
        <w:rPr>
          <w:rFonts w:cs="Arial"/>
          <w:color w:val="auto"/>
          <w:sz w:val="22"/>
          <w:szCs w:val="22"/>
        </w:rPr>
      </w:pPr>
      <w:bookmarkStart w:id="10" w:name="_Toc209707497"/>
      <w:bookmarkStart w:id="11" w:name="_Toc242091253"/>
      <w:r w:rsidRPr="00C76457">
        <w:rPr>
          <w:rFonts w:cs="Arial"/>
          <w:color w:val="auto"/>
          <w:sz w:val="22"/>
          <w:szCs w:val="22"/>
        </w:rPr>
        <w:t>ESTUDIO DE LA DEMANDA</w:t>
      </w:r>
      <w:bookmarkEnd w:id="10"/>
      <w:bookmarkEnd w:id="11"/>
    </w:p>
    <w:p w14:paraId="7E00B4DF" w14:textId="77777777" w:rsidR="003C0018" w:rsidRPr="00C76457" w:rsidRDefault="003C0018" w:rsidP="00616FE1">
      <w:pPr>
        <w:spacing w:after="0"/>
        <w:jc w:val="both"/>
        <w:rPr>
          <w:rFonts w:ascii="Arial" w:hAnsi="Arial" w:cs="Arial"/>
          <w:color w:val="EE0000"/>
          <w:lang w:val="es-MX" w:eastAsia="es-CO"/>
        </w:rPr>
      </w:pPr>
    </w:p>
    <w:p w14:paraId="7C27CC4A" w14:textId="77777777" w:rsidR="003C0018" w:rsidRPr="00C76457" w:rsidRDefault="003C0018" w:rsidP="00616FE1">
      <w:pPr>
        <w:pStyle w:val="Ttulo2"/>
        <w:numPr>
          <w:ilvl w:val="1"/>
          <w:numId w:val="8"/>
        </w:numPr>
        <w:spacing w:before="0"/>
        <w:jc w:val="both"/>
        <w:rPr>
          <w:rFonts w:cs="Arial"/>
          <w:color w:val="000000"/>
          <w:sz w:val="22"/>
          <w:szCs w:val="22"/>
          <w:lang w:eastAsia="es-CO"/>
        </w:rPr>
      </w:pPr>
      <w:bookmarkStart w:id="12" w:name="_Toc209707498"/>
      <w:bookmarkStart w:id="13" w:name="_Toc242091254"/>
      <w:r w:rsidRPr="00C76457">
        <w:rPr>
          <w:rFonts w:cs="Arial"/>
          <w:color w:val="000000"/>
          <w:sz w:val="22"/>
          <w:szCs w:val="22"/>
          <w:lang w:eastAsia="es-CO"/>
        </w:rPr>
        <w:t>Forma de adquirir el bien o servicio en el pasado</w:t>
      </w:r>
      <w:bookmarkEnd w:id="12"/>
      <w:bookmarkEnd w:id="13"/>
    </w:p>
    <w:p w14:paraId="1DD527B3" w14:textId="77777777" w:rsidR="003C0018" w:rsidRPr="00C76457" w:rsidRDefault="003C0018" w:rsidP="00616FE1">
      <w:pPr>
        <w:spacing w:after="0"/>
        <w:jc w:val="both"/>
        <w:rPr>
          <w:rFonts w:ascii="Arial" w:hAnsi="Arial" w:cs="Arial"/>
        </w:rPr>
      </w:pPr>
    </w:p>
    <w:p w14:paraId="1560B866" w14:textId="157BA879" w:rsidR="003C0018" w:rsidRPr="00C76457" w:rsidRDefault="003C0018" w:rsidP="00616FE1">
      <w:pPr>
        <w:pStyle w:val="Sinespaciado"/>
        <w:spacing w:line="276" w:lineRule="auto"/>
        <w:rPr>
          <w:rFonts w:cs="Arial"/>
          <w:b w:val="0"/>
          <w:bCs/>
          <w:color w:val="auto"/>
          <w:sz w:val="22"/>
          <w:szCs w:val="24"/>
          <w:lang w:eastAsia="es-CO"/>
        </w:rPr>
      </w:pPr>
      <w:r w:rsidRPr="00C76457">
        <w:rPr>
          <w:rFonts w:cs="Arial"/>
          <w:b w:val="0"/>
          <w:bCs/>
          <w:color w:val="auto"/>
          <w:sz w:val="22"/>
          <w:szCs w:val="24"/>
          <w:lang w:eastAsia="es-CO"/>
        </w:rPr>
        <w:t xml:space="preserve">A la fecha, TRANSMILENIO S.A. no ha adelantado procesos de contratación relacionados ni similares con </w:t>
      </w:r>
      <w:r w:rsidR="00A7666F" w:rsidRPr="00C76457">
        <w:rPr>
          <w:rFonts w:cs="Arial"/>
          <w:b w:val="0"/>
          <w:bCs/>
          <w:color w:val="auto"/>
          <w:sz w:val="22"/>
          <w:szCs w:val="24"/>
          <w:lang w:eastAsia="es-CO"/>
        </w:rPr>
        <w:t>el desmantelamiento de estaciones de servicio EDS Diesel.</w:t>
      </w:r>
      <w:r w:rsidRPr="00C76457">
        <w:rPr>
          <w:rFonts w:cs="Arial"/>
          <w:b w:val="0"/>
          <w:bCs/>
          <w:color w:val="auto"/>
          <w:sz w:val="22"/>
          <w:szCs w:val="24"/>
          <w:lang w:eastAsia="es-CO"/>
        </w:rPr>
        <w:t xml:space="preserve"> Esta afirmación se sustenta en la revisión del historial contractual disponible en el portal oficial de la entidad y en las plataformas de contratación pública como SECOP I y II, donde no se registran procesos asociados </w:t>
      </w:r>
      <w:r w:rsidR="00266FE7" w:rsidRPr="00C76457">
        <w:rPr>
          <w:rFonts w:cs="Arial"/>
          <w:b w:val="0"/>
          <w:bCs/>
          <w:color w:val="auto"/>
          <w:sz w:val="22"/>
          <w:szCs w:val="24"/>
          <w:lang w:eastAsia="es-CO"/>
        </w:rPr>
        <w:t>al desmantelamiento o cierre definitivo de EDS</w:t>
      </w:r>
      <w:r w:rsidRPr="00C76457">
        <w:rPr>
          <w:rFonts w:cs="Arial"/>
          <w:b w:val="0"/>
          <w:bCs/>
          <w:color w:val="auto"/>
          <w:sz w:val="22"/>
          <w:szCs w:val="24"/>
          <w:lang w:eastAsia="es-CO"/>
        </w:rPr>
        <w:t>.</w:t>
      </w:r>
    </w:p>
    <w:p w14:paraId="1759361A" w14:textId="77777777" w:rsidR="003C0018" w:rsidRPr="00C76457" w:rsidRDefault="003C0018" w:rsidP="00616FE1">
      <w:pPr>
        <w:spacing w:after="0"/>
        <w:jc w:val="both"/>
        <w:rPr>
          <w:rFonts w:ascii="Arial" w:hAnsi="Arial" w:cs="Arial"/>
        </w:rPr>
      </w:pPr>
    </w:p>
    <w:p w14:paraId="547D4DC6" w14:textId="77777777" w:rsidR="003C0018" w:rsidRPr="00C76457" w:rsidRDefault="003C0018" w:rsidP="00616FE1">
      <w:pPr>
        <w:pStyle w:val="Ttulo2"/>
        <w:numPr>
          <w:ilvl w:val="1"/>
          <w:numId w:val="8"/>
        </w:numPr>
        <w:spacing w:before="0"/>
        <w:jc w:val="both"/>
        <w:rPr>
          <w:rFonts w:cs="Arial"/>
          <w:color w:val="000000"/>
          <w:sz w:val="22"/>
          <w:szCs w:val="22"/>
          <w:lang w:eastAsia="es-CO"/>
        </w:rPr>
      </w:pPr>
      <w:bookmarkStart w:id="14" w:name="_Toc209707499"/>
      <w:bookmarkStart w:id="15" w:name="_Toc242091255"/>
      <w:r w:rsidRPr="00C76457">
        <w:rPr>
          <w:rFonts w:cs="Arial"/>
          <w:color w:val="000000"/>
          <w:sz w:val="22"/>
          <w:szCs w:val="22"/>
          <w:lang w:eastAsia="es-CO"/>
        </w:rPr>
        <w:t>Forma de adquirir el bien o servicio por otras empresas</w:t>
      </w:r>
      <w:bookmarkEnd w:id="14"/>
      <w:bookmarkEnd w:id="15"/>
    </w:p>
    <w:p w14:paraId="661D85F6" w14:textId="77777777" w:rsidR="003C0018" w:rsidRPr="00C76457" w:rsidRDefault="003C0018" w:rsidP="00616FE1">
      <w:pPr>
        <w:pStyle w:val="Default"/>
        <w:spacing w:line="276" w:lineRule="auto"/>
        <w:jc w:val="both"/>
        <w:rPr>
          <w:rFonts w:ascii="Arial" w:eastAsia="Calibri" w:hAnsi="Arial" w:cs="Arial"/>
          <w:color w:val="auto"/>
          <w:sz w:val="22"/>
          <w:szCs w:val="22"/>
        </w:rPr>
      </w:pPr>
    </w:p>
    <w:p w14:paraId="15A910D3" w14:textId="78D3D4A6" w:rsidR="003C0018" w:rsidRPr="00C76457" w:rsidRDefault="003C0018" w:rsidP="00616FE1">
      <w:pPr>
        <w:pStyle w:val="Default"/>
        <w:spacing w:line="276" w:lineRule="auto"/>
        <w:jc w:val="both"/>
        <w:rPr>
          <w:rFonts w:ascii="Arial" w:hAnsi="Arial" w:cs="Arial"/>
          <w:color w:val="auto"/>
          <w:sz w:val="22"/>
          <w:szCs w:val="22"/>
          <w:lang w:eastAsia="en-US"/>
        </w:rPr>
      </w:pPr>
      <w:r w:rsidRPr="00C76457">
        <w:rPr>
          <w:rFonts w:ascii="Arial" w:hAnsi="Arial" w:cs="Arial"/>
          <w:color w:val="auto"/>
          <w:sz w:val="22"/>
          <w:szCs w:val="22"/>
          <w:lang w:eastAsia="en-US"/>
        </w:rPr>
        <w:t xml:space="preserve">Con el propósito de contextualizar el objeto contractual en estudio, se realizó un análisis comparativo de la demanda de servicios relacionados con </w:t>
      </w:r>
      <w:r w:rsidR="00266FE7" w:rsidRPr="00C76457">
        <w:rPr>
          <w:rFonts w:ascii="Arial" w:hAnsi="Arial" w:cs="Arial"/>
          <w:color w:val="auto"/>
          <w:sz w:val="22"/>
          <w:szCs w:val="22"/>
          <w:lang w:eastAsia="en-US"/>
        </w:rPr>
        <w:t xml:space="preserve">el desmantelamiento de </w:t>
      </w:r>
      <w:r w:rsidR="009725BE" w:rsidRPr="00C76457">
        <w:rPr>
          <w:rFonts w:ascii="Arial" w:hAnsi="Arial" w:cs="Arial"/>
          <w:color w:val="auto"/>
          <w:sz w:val="22"/>
          <w:szCs w:val="22"/>
          <w:lang w:eastAsia="en-US"/>
        </w:rPr>
        <w:t>infraestructuras asociadas al almacenamiento y distribución de hidrocarburos</w:t>
      </w:r>
      <w:r w:rsidRPr="00C76457">
        <w:rPr>
          <w:rFonts w:ascii="Arial" w:hAnsi="Arial" w:cs="Arial"/>
          <w:color w:val="auto"/>
          <w:sz w:val="22"/>
          <w:szCs w:val="22"/>
          <w:lang w:eastAsia="en-US"/>
        </w:rPr>
        <w:t xml:space="preserve"> en otras entidades estatales del país. Este análisis se basó en la información disponible en la plataforma transaccional SECOP II, donde se publican los procesos de selección contractual de entidades públicas.</w:t>
      </w:r>
    </w:p>
    <w:p w14:paraId="11F73C0E" w14:textId="77777777" w:rsidR="003C0018" w:rsidRPr="00C76457" w:rsidRDefault="003C0018" w:rsidP="00616FE1">
      <w:pPr>
        <w:pStyle w:val="Default"/>
        <w:spacing w:line="276" w:lineRule="auto"/>
        <w:jc w:val="both"/>
        <w:rPr>
          <w:rFonts w:ascii="Arial" w:hAnsi="Arial" w:cs="Arial"/>
          <w:color w:val="auto"/>
          <w:sz w:val="22"/>
          <w:szCs w:val="22"/>
          <w:lang w:eastAsia="en-US"/>
        </w:rPr>
      </w:pPr>
    </w:p>
    <w:p w14:paraId="54C7B0EA" w14:textId="105373FA" w:rsidR="003C0018" w:rsidRDefault="003C0018" w:rsidP="00616FE1">
      <w:pPr>
        <w:pStyle w:val="Default"/>
        <w:spacing w:line="276" w:lineRule="auto"/>
        <w:jc w:val="both"/>
        <w:rPr>
          <w:rFonts w:ascii="Arial" w:hAnsi="Arial" w:cs="Arial"/>
          <w:color w:val="auto"/>
          <w:sz w:val="22"/>
          <w:szCs w:val="22"/>
          <w:lang w:eastAsia="en-US"/>
        </w:rPr>
      </w:pPr>
      <w:r w:rsidRPr="00C76457">
        <w:rPr>
          <w:rFonts w:ascii="Arial" w:hAnsi="Arial" w:cs="Arial"/>
          <w:color w:val="auto"/>
          <w:sz w:val="22"/>
          <w:szCs w:val="22"/>
          <w:lang w:eastAsia="en-US"/>
        </w:rPr>
        <w:t xml:space="preserve">Los resultados evidencian que diversas empresas del sector transporte y movilidad han iniciado procesos de contratación orientados al </w:t>
      </w:r>
      <w:r w:rsidR="00437BA9">
        <w:rPr>
          <w:rFonts w:ascii="Arial" w:hAnsi="Arial" w:cs="Arial"/>
          <w:color w:val="auto"/>
          <w:sz w:val="22"/>
          <w:szCs w:val="22"/>
          <w:lang w:eastAsia="en-US"/>
        </w:rPr>
        <w:t>desmantelamiento de estaciones de servicio EDS incluida la extracción de tanques de alma</w:t>
      </w:r>
      <w:r w:rsidR="00E9146B">
        <w:rPr>
          <w:rFonts w:ascii="Arial" w:hAnsi="Arial" w:cs="Arial"/>
          <w:color w:val="auto"/>
          <w:sz w:val="22"/>
          <w:szCs w:val="22"/>
          <w:lang w:eastAsia="en-US"/>
        </w:rPr>
        <w:t>cenamiento de combustibles</w:t>
      </w:r>
      <w:r w:rsidR="0080305C">
        <w:rPr>
          <w:rFonts w:ascii="Arial" w:hAnsi="Arial" w:cs="Arial"/>
          <w:color w:val="auto"/>
          <w:sz w:val="22"/>
          <w:szCs w:val="22"/>
          <w:lang w:eastAsia="en-US"/>
        </w:rPr>
        <w:t>.</w:t>
      </w:r>
    </w:p>
    <w:p w14:paraId="0BDAD3F5" w14:textId="77777777" w:rsidR="003C0018" w:rsidRDefault="003C0018" w:rsidP="00616FE1">
      <w:pPr>
        <w:pStyle w:val="Default"/>
        <w:spacing w:line="276" w:lineRule="auto"/>
        <w:jc w:val="both"/>
        <w:rPr>
          <w:rFonts w:ascii="Arial" w:hAnsi="Arial" w:cs="Arial"/>
          <w:color w:val="auto"/>
          <w:sz w:val="22"/>
          <w:szCs w:val="22"/>
          <w:lang w:eastAsia="en-US"/>
        </w:rPr>
      </w:pPr>
    </w:p>
    <w:tbl>
      <w:tblPr>
        <w:tblStyle w:val="Tablaconcuadrcula"/>
        <w:tblW w:w="9498" w:type="dxa"/>
        <w:tblInd w:w="-289" w:type="dxa"/>
        <w:tblLayout w:type="fixed"/>
        <w:tblLook w:val="04A0" w:firstRow="1" w:lastRow="0" w:firstColumn="1" w:lastColumn="0" w:noHBand="0" w:noVBand="1"/>
      </w:tblPr>
      <w:tblGrid>
        <w:gridCol w:w="1135"/>
        <w:gridCol w:w="1559"/>
        <w:gridCol w:w="2835"/>
        <w:gridCol w:w="1134"/>
        <w:gridCol w:w="851"/>
        <w:gridCol w:w="1134"/>
        <w:gridCol w:w="850"/>
      </w:tblGrid>
      <w:tr w:rsidR="00437BA9" w:rsidRPr="005544FE" w14:paraId="38A4E3C1" w14:textId="77777777" w:rsidTr="0089361B">
        <w:trPr>
          <w:trHeight w:val="337"/>
        </w:trPr>
        <w:tc>
          <w:tcPr>
            <w:tcW w:w="1135" w:type="dxa"/>
            <w:vAlign w:val="center"/>
          </w:tcPr>
          <w:p w14:paraId="760DB10F"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PROCESO</w:t>
            </w:r>
          </w:p>
        </w:tc>
        <w:tc>
          <w:tcPr>
            <w:tcW w:w="1559" w:type="dxa"/>
            <w:vAlign w:val="center"/>
          </w:tcPr>
          <w:p w14:paraId="064E7E92"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ENTIDAD</w:t>
            </w:r>
          </w:p>
        </w:tc>
        <w:tc>
          <w:tcPr>
            <w:tcW w:w="2835" w:type="dxa"/>
            <w:vAlign w:val="center"/>
          </w:tcPr>
          <w:p w14:paraId="0C5A4CBB"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OBJETO</w:t>
            </w:r>
          </w:p>
        </w:tc>
        <w:tc>
          <w:tcPr>
            <w:tcW w:w="1134" w:type="dxa"/>
            <w:vAlign w:val="center"/>
          </w:tcPr>
          <w:p w14:paraId="7F3E636B"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CUANTÍA</w:t>
            </w:r>
          </w:p>
          <w:p w14:paraId="1778F6A3"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 COP</w:t>
            </w:r>
          </w:p>
        </w:tc>
        <w:tc>
          <w:tcPr>
            <w:tcW w:w="851" w:type="dxa"/>
            <w:vAlign w:val="center"/>
          </w:tcPr>
          <w:p w14:paraId="169A7AF2"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PLAZO</w:t>
            </w:r>
          </w:p>
          <w:p w14:paraId="3F6B6470"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(MESES)</w:t>
            </w:r>
          </w:p>
        </w:tc>
        <w:tc>
          <w:tcPr>
            <w:tcW w:w="1134" w:type="dxa"/>
            <w:vAlign w:val="center"/>
          </w:tcPr>
          <w:p w14:paraId="15F90451"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TIPO</w:t>
            </w:r>
          </w:p>
        </w:tc>
        <w:tc>
          <w:tcPr>
            <w:tcW w:w="850" w:type="dxa"/>
            <w:vAlign w:val="center"/>
          </w:tcPr>
          <w:p w14:paraId="0D2752EC" w14:textId="77777777" w:rsidR="00437BA9" w:rsidRPr="005544FE" w:rsidRDefault="00437BA9" w:rsidP="00616FE1">
            <w:pPr>
              <w:pStyle w:val="Default"/>
              <w:spacing w:line="276" w:lineRule="auto"/>
              <w:jc w:val="center"/>
              <w:rPr>
                <w:rFonts w:ascii="Arial" w:hAnsi="Arial" w:cs="Arial"/>
                <w:b/>
                <w:bCs/>
                <w:color w:val="auto"/>
                <w:sz w:val="12"/>
                <w:szCs w:val="12"/>
                <w:lang w:eastAsia="en-US"/>
              </w:rPr>
            </w:pPr>
            <w:r w:rsidRPr="005544FE">
              <w:rPr>
                <w:rFonts w:ascii="Arial" w:hAnsi="Arial" w:cs="Arial"/>
                <w:b/>
                <w:bCs/>
                <w:color w:val="auto"/>
                <w:sz w:val="12"/>
                <w:szCs w:val="12"/>
                <w:lang w:eastAsia="en-US"/>
              </w:rPr>
              <w:t>FUENTE</w:t>
            </w:r>
          </w:p>
        </w:tc>
      </w:tr>
      <w:tr w:rsidR="00437BA9" w:rsidRPr="005544FE" w14:paraId="3FD28657" w14:textId="77777777" w:rsidTr="0089361B">
        <w:tc>
          <w:tcPr>
            <w:tcW w:w="1135" w:type="dxa"/>
            <w:vAlign w:val="center"/>
          </w:tcPr>
          <w:p w14:paraId="28C2298C"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EM-2025-0013</w:t>
            </w:r>
          </w:p>
        </w:tc>
        <w:tc>
          <w:tcPr>
            <w:tcW w:w="1559" w:type="dxa"/>
            <w:vAlign w:val="center"/>
          </w:tcPr>
          <w:p w14:paraId="3BC0AFCF"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CENIT TRANSPORTE Y LOGISTICA DE HIDROCARBUROS SAS</w:t>
            </w:r>
          </w:p>
        </w:tc>
        <w:tc>
          <w:tcPr>
            <w:tcW w:w="2835" w:type="dxa"/>
            <w:vAlign w:val="center"/>
          </w:tcPr>
          <w:p w14:paraId="6A256AC5" w14:textId="77777777" w:rsidR="00437BA9" w:rsidRPr="005544FE" w:rsidRDefault="00437BA9" w:rsidP="00616FE1">
            <w:pPr>
              <w:pStyle w:val="Default"/>
              <w:spacing w:line="276" w:lineRule="auto"/>
              <w:jc w:val="both"/>
              <w:rPr>
                <w:rFonts w:ascii="Arial" w:hAnsi="Arial" w:cs="Arial"/>
                <w:color w:val="auto"/>
                <w:sz w:val="12"/>
                <w:szCs w:val="12"/>
                <w:lang w:eastAsia="en-US"/>
              </w:rPr>
            </w:pPr>
            <w:r w:rsidRPr="005544FE">
              <w:rPr>
                <w:rFonts w:ascii="Arial" w:hAnsi="Arial" w:cs="Arial"/>
                <w:color w:val="auto"/>
                <w:sz w:val="12"/>
                <w:szCs w:val="12"/>
                <w:lang w:val="es-CO" w:eastAsia="en-US"/>
              </w:rPr>
              <w:t>SERVICIO DE LAVADO DE TANQUE Y DESMANTELAMIENTO RETIRO DE LA MEMBRANA INTERNA FLOTANTE DEL TK 8115 EN LA ESTACIÓN SEBASTOPOL, CON UNA CAPACIDAD NOMINAL APROXIMADA DE 50 KBLS, TIPO TECHO DOMO, EN LA ESTACIÓN SEBASTOPOL MUNICIPIO DE PUERTO OLAYA EN CIMITARRA - SANTANDER</w:t>
            </w:r>
          </w:p>
        </w:tc>
        <w:tc>
          <w:tcPr>
            <w:tcW w:w="1134" w:type="dxa"/>
            <w:vAlign w:val="center"/>
          </w:tcPr>
          <w:p w14:paraId="387DE7DA"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967.924.788</w:t>
            </w:r>
          </w:p>
        </w:tc>
        <w:tc>
          <w:tcPr>
            <w:tcW w:w="851" w:type="dxa"/>
            <w:vAlign w:val="center"/>
          </w:tcPr>
          <w:p w14:paraId="51345955"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eastAsia="en-US"/>
              </w:rPr>
              <w:t>1,5</w:t>
            </w:r>
          </w:p>
        </w:tc>
        <w:tc>
          <w:tcPr>
            <w:tcW w:w="1134" w:type="dxa"/>
            <w:vAlign w:val="center"/>
          </w:tcPr>
          <w:p w14:paraId="6053E220"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Contratación régimen especial</w:t>
            </w:r>
          </w:p>
        </w:tc>
        <w:tc>
          <w:tcPr>
            <w:tcW w:w="850" w:type="dxa"/>
            <w:vAlign w:val="center"/>
          </w:tcPr>
          <w:p w14:paraId="0D16D413" w14:textId="77777777" w:rsidR="00437BA9" w:rsidRPr="005544FE" w:rsidRDefault="00437BA9" w:rsidP="00616FE1">
            <w:pPr>
              <w:spacing w:line="276" w:lineRule="auto"/>
              <w:jc w:val="center"/>
              <w:rPr>
                <w:rFonts w:ascii="Arial" w:hAnsi="Arial" w:cs="Arial"/>
                <w:sz w:val="12"/>
                <w:szCs w:val="12"/>
              </w:rPr>
            </w:pPr>
            <w:hyperlink r:id="rId35" w:history="1">
              <w:r w:rsidRPr="005544FE">
                <w:rPr>
                  <w:rStyle w:val="Hipervnculo"/>
                  <w:rFonts w:ascii="Arial" w:hAnsi="Arial" w:cs="Arial"/>
                  <w:sz w:val="12"/>
                  <w:szCs w:val="12"/>
                </w:rPr>
                <w:t>Aviso de contrato</w:t>
              </w:r>
            </w:hyperlink>
          </w:p>
        </w:tc>
      </w:tr>
      <w:tr w:rsidR="00437BA9" w:rsidRPr="005544FE" w14:paraId="6B650063" w14:textId="77777777" w:rsidTr="0089361B">
        <w:tc>
          <w:tcPr>
            <w:tcW w:w="1135" w:type="dxa"/>
            <w:vAlign w:val="center"/>
          </w:tcPr>
          <w:p w14:paraId="0A787C3E"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Doc1625068468 - CW356593</w:t>
            </w:r>
          </w:p>
        </w:tc>
        <w:tc>
          <w:tcPr>
            <w:tcW w:w="1559" w:type="dxa"/>
            <w:vAlign w:val="center"/>
          </w:tcPr>
          <w:p w14:paraId="4B4318AF"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EMPRESA COLOMBIANA DE PETROLEOS – ECOPETROL S.A</w:t>
            </w:r>
          </w:p>
        </w:tc>
        <w:tc>
          <w:tcPr>
            <w:tcW w:w="2835" w:type="dxa"/>
            <w:vAlign w:val="center"/>
          </w:tcPr>
          <w:p w14:paraId="6816DA52" w14:textId="77777777" w:rsidR="00437BA9" w:rsidRPr="005544FE" w:rsidRDefault="00437BA9" w:rsidP="00616FE1">
            <w:pPr>
              <w:pStyle w:val="Default"/>
              <w:spacing w:line="276" w:lineRule="auto"/>
              <w:jc w:val="both"/>
              <w:rPr>
                <w:rFonts w:ascii="Arial" w:hAnsi="Arial" w:cs="Arial"/>
                <w:color w:val="auto"/>
                <w:sz w:val="12"/>
                <w:szCs w:val="12"/>
                <w:lang w:eastAsia="en-US"/>
              </w:rPr>
            </w:pPr>
            <w:r w:rsidRPr="005544FE">
              <w:rPr>
                <w:rFonts w:ascii="Arial" w:hAnsi="Arial" w:cs="Arial"/>
                <w:color w:val="auto"/>
                <w:sz w:val="12"/>
                <w:szCs w:val="12"/>
                <w:lang w:val="es-CO" w:eastAsia="en-US"/>
              </w:rPr>
              <w:t>OBRAS PARA EL DESMANTELAMIENTO Y DEMOLICIONES DE EQUIPOS Y ESTRUCTURAS DE ESTACION REFORMA LIBERTAD DE LA GERENCIA DE OPERACIONES Y MANTENIMIETNO CASTILLA - APIAY DE ECOPETROL SA</w:t>
            </w:r>
          </w:p>
        </w:tc>
        <w:tc>
          <w:tcPr>
            <w:tcW w:w="1134" w:type="dxa"/>
            <w:vAlign w:val="center"/>
          </w:tcPr>
          <w:p w14:paraId="4FC27971"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8.034.652.702</w:t>
            </w:r>
          </w:p>
        </w:tc>
        <w:tc>
          <w:tcPr>
            <w:tcW w:w="851" w:type="dxa"/>
            <w:vAlign w:val="center"/>
          </w:tcPr>
          <w:p w14:paraId="72B9D557"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eastAsia="en-US"/>
              </w:rPr>
              <w:t>19.33</w:t>
            </w:r>
          </w:p>
        </w:tc>
        <w:tc>
          <w:tcPr>
            <w:tcW w:w="1134" w:type="dxa"/>
            <w:vAlign w:val="center"/>
          </w:tcPr>
          <w:p w14:paraId="5E3A5D05"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Contratación régimen especial</w:t>
            </w:r>
          </w:p>
        </w:tc>
        <w:tc>
          <w:tcPr>
            <w:tcW w:w="850" w:type="dxa"/>
            <w:vAlign w:val="center"/>
          </w:tcPr>
          <w:p w14:paraId="000F70BF" w14:textId="77777777" w:rsidR="00437BA9" w:rsidRPr="005544FE" w:rsidRDefault="00437BA9" w:rsidP="00616FE1">
            <w:pPr>
              <w:pStyle w:val="Default"/>
              <w:spacing w:line="276" w:lineRule="auto"/>
              <w:jc w:val="center"/>
              <w:rPr>
                <w:rFonts w:ascii="Arial" w:hAnsi="Arial" w:cs="Arial"/>
                <w:color w:val="auto"/>
                <w:sz w:val="12"/>
                <w:szCs w:val="12"/>
                <w:lang w:eastAsia="en-US"/>
              </w:rPr>
            </w:pPr>
            <w:hyperlink r:id="rId36" w:history="1">
              <w:r w:rsidRPr="005544FE">
                <w:rPr>
                  <w:rStyle w:val="Hipervnculo"/>
                  <w:rFonts w:ascii="Arial" w:hAnsi="Arial" w:cs="Arial"/>
                  <w:sz w:val="12"/>
                  <w:szCs w:val="12"/>
                  <w:lang w:eastAsia="en-US"/>
                </w:rPr>
                <w:t>Aviso del contrato</w:t>
              </w:r>
            </w:hyperlink>
          </w:p>
        </w:tc>
      </w:tr>
      <w:tr w:rsidR="00437BA9" w:rsidRPr="005544FE" w14:paraId="367B48DF" w14:textId="77777777" w:rsidTr="0089361B">
        <w:tc>
          <w:tcPr>
            <w:tcW w:w="1135" w:type="dxa"/>
            <w:vAlign w:val="center"/>
          </w:tcPr>
          <w:p w14:paraId="1CCCCE3B"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Menor cuantía No 8 (Manifestación de interés (Menor Cuantía)) (Presentación de oferta)</w:t>
            </w:r>
          </w:p>
        </w:tc>
        <w:tc>
          <w:tcPr>
            <w:tcW w:w="1559" w:type="dxa"/>
            <w:vAlign w:val="center"/>
          </w:tcPr>
          <w:p w14:paraId="78105CB6"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IGAC Sede Central </w:t>
            </w:r>
          </w:p>
        </w:tc>
        <w:tc>
          <w:tcPr>
            <w:tcW w:w="2835" w:type="dxa"/>
            <w:vAlign w:val="center"/>
          </w:tcPr>
          <w:p w14:paraId="26C1A38F" w14:textId="77777777" w:rsidR="00437BA9" w:rsidRPr="005544FE" w:rsidRDefault="00437BA9" w:rsidP="00616FE1">
            <w:pPr>
              <w:pStyle w:val="Default"/>
              <w:tabs>
                <w:tab w:val="left" w:pos="687"/>
              </w:tabs>
              <w:spacing w:line="276" w:lineRule="auto"/>
              <w:jc w:val="both"/>
              <w:rPr>
                <w:rFonts w:ascii="Arial" w:hAnsi="Arial" w:cs="Arial"/>
                <w:color w:val="auto"/>
                <w:sz w:val="12"/>
                <w:szCs w:val="12"/>
                <w:lang w:eastAsia="en-US"/>
              </w:rPr>
            </w:pPr>
            <w:r w:rsidRPr="005544FE">
              <w:rPr>
                <w:rFonts w:ascii="Arial" w:hAnsi="Arial" w:cs="Arial"/>
                <w:color w:val="auto"/>
                <w:sz w:val="12"/>
                <w:szCs w:val="12"/>
                <w:lang w:val="es-CO" w:eastAsia="en-US"/>
              </w:rPr>
              <w:t>DESMANTELAMIENTO DE LA ESTACIÓN DE SERVICIO Y DESGASIFICACIÓN Y ABANDONO DE DOS TANQUES DE COMBUSTIBLE DE LA SEDE CENTRAL</w:t>
            </w:r>
          </w:p>
        </w:tc>
        <w:tc>
          <w:tcPr>
            <w:tcW w:w="1134" w:type="dxa"/>
            <w:vAlign w:val="center"/>
          </w:tcPr>
          <w:p w14:paraId="6DAC7F16"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125.045.200</w:t>
            </w:r>
          </w:p>
        </w:tc>
        <w:tc>
          <w:tcPr>
            <w:tcW w:w="851" w:type="dxa"/>
            <w:vAlign w:val="center"/>
          </w:tcPr>
          <w:p w14:paraId="0D945C8A"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eastAsia="en-US"/>
              </w:rPr>
              <w:t>2</w:t>
            </w:r>
          </w:p>
        </w:tc>
        <w:tc>
          <w:tcPr>
            <w:tcW w:w="1134" w:type="dxa"/>
            <w:vAlign w:val="center"/>
          </w:tcPr>
          <w:p w14:paraId="0FAEE331"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val="es-CO" w:eastAsia="en-US"/>
              </w:rPr>
              <w:t>Selección abreviada menor cantidad</w:t>
            </w:r>
          </w:p>
        </w:tc>
        <w:tc>
          <w:tcPr>
            <w:tcW w:w="850" w:type="dxa"/>
            <w:vAlign w:val="center"/>
          </w:tcPr>
          <w:p w14:paraId="434E8619" w14:textId="77777777" w:rsidR="00437BA9" w:rsidRPr="005544FE" w:rsidRDefault="00437BA9" w:rsidP="00616FE1">
            <w:pPr>
              <w:pStyle w:val="Default"/>
              <w:spacing w:line="276" w:lineRule="auto"/>
              <w:jc w:val="center"/>
              <w:rPr>
                <w:rFonts w:ascii="Arial" w:hAnsi="Arial" w:cs="Arial"/>
                <w:color w:val="auto"/>
                <w:sz w:val="12"/>
                <w:szCs w:val="12"/>
                <w:lang w:eastAsia="en-US"/>
              </w:rPr>
            </w:pPr>
            <w:hyperlink r:id="rId37" w:history="1">
              <w:r w:rsidRPr="005544FE">
                <w:rPr>
                  <w:rStyle w:val="Hipervnculo"/>
                  <w:rFonts w:ascii="Arial" w:hAnsi="Arial" w:cs="Arial"/>
                  <w:sz w:val="12"/>
                  <w:szCs w:val="12"/>
                  <w:lang w:eastAsia="en-US"/>
                </w:rPr>
                <w:t>Aviso del contrato</w:t>
              </w:r>
            </w:hyperlink>
          </w:p>
        </w:tc>
      </w:tr>
      <w:tr w:rsidR="00437BA9" w:rsidRPr="005544FE" w14:paraId="5CEE26A1" w14:textId="77777777" w:rsidTr="0089361B">
        <w:tc>
          <w:tcPr>
            <w:tcW w:w="1135" w:type="dxa"/>
            <w:vAlign w:val="center"/>
          </w:tcPr>
          <w:p w14:paraId="4D121149"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CONTRATO 005-2023</w:t>
            </w:r>
          </w:p>
        </w:tc>
        <w:tc>
          <w:tcPr>
            <w:tcW w:w="1559" w:type="dxa"/>
            <w:vAlign w:val="center"/>
          </w:tcPr>
          <w:p w14:paraId="492DFD6D"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GESTION ENERGETICA SA ESP</w:t>
            </w:r>
          </w:p>
        </w:tc>
        <w:tc>
          <w:tcPr>
            <w:tcW w:w="2835" w:type="dxa"/>
            <w:vAlign w:val="center"/>
          </w:tcPr>
          <w:p w14:paraId="04602B9F" w14:textId="77777777" w:rsidR="00437BA9" w:rsidRPr="005544FE" w:rsidRDefault="00437BA9" w:rsidP="00616FE1">
            <w:pPr>
              <w:pStyle w:val="Default"/>
              <w:tabs>
                <w:tab w:val="left" w:pos="687"/>
              </w:tabs>
              <w:spacing w:line="276" w:lineRule="auto"/>
              <w:jc w:val="both"/>
              <w:rPr>
                <w:rFonts w:ascii="Arial" w:hAnsi="Arial" w:cs="Arial"/>
                <w:color w:val="auto"/>
                <w:sz w:val="12"/>
                <w:szCs w:val="12"/>
                <w:lang w:val="es-CO" w:eastAsia="en-US"/>
              </w:rPr>
            </w:pPr>
            <w:r w:rsidRPr="005544FE">
              <w:rPr>
                <w:rFonts w:ascii="Arial" w:hAnsi="Arial" w:cs="Arial"/>
                <w:color w:val="auto"/>
                <w:sz w:val="12"/>
                <w:szCs w:val="12"/>
                <w:lang w:val="es-CO" w:eastAsia="en-US"/>
              </w:rPr>
              <w:t>EJECUCIÓN DE LAS OBRAS CIVILES PARA EL DESMANTELAMIENTO DE DOS TANQUES DE ALMACENAMIENTO DE COMBUSTIBLE, ACPM Y CC1 UBICADOS AL INTERIOR DE LA CENTRAL TERMOELÉCTRICA DE PAIPA.</w:t>
            </w:r>
          </w:p>
        </w:tc>
        <w:tc>
          <w:tcPr>
            <w:tcW w:w="1134" w:type="dxa"/>
            <w:vAlign w:val="center"/>
          </w:tcPr>
          <w:p w14:paraId="78763140"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179.630.516</w:t>
            </w:r>
          </w:p>
        </w:tc>
        <w:tc>
          <w:tcPr>
            <w:tcW w:w="851" w:type="dxa"/>
            <w:vAlign w:val="center"/>
          </w:tcPr>
          <w:p w14:paraId="694C50D2"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eastAsia="en-US"/>
              </w:rPr>
              <w:t>1.5</w:t>
            </w:r>
          </w:p>
        </w:tc>
        <w:tc>
          <w:tcPr>
            <w:tcW w:w="1134" w:type="dxa"/>
            <w:vAlign w:val="center"/>
          </w:tcPr>
          <w:p w14:paraId="2FC569C6"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Contratación régimen especial</w:t>
            </w:r>
          </w:p>
        </w:tc>
        <w:tc>
          <w:tcPr>
            <w:tcW w:w="850" w:type="dxa"/>
            <w:vAlign w:val="center"/>
          </w:tcPr>
          <w:p w14:paraId="43779078" w14:textId="77777777" w:rsidR="00437BA9" w:rsidRPr="005544FE" w:rsidRDefault="00437BA9" w:rsidP="00616FE1">
            <w:pPr>
              <w:pStyle w:val="Default"/>
              <w:spacing w:line="276" w:lineRule="auto"/>
              <w:jc w:val="center"/>
              <w:rPr>
                <w:sz w:val="12"/>
                <w:szCs w:val="12"/>
              </w:rPr>
            </w:pPr>
            <w:hyperlink r:id="rId38" w:history="1">
              <w:r w:rsidRPr="005544FE">
                <w:rPr>
                  <w:rStyle w:val="Hipervnculo"/>
                  <w:sz w:val="12"/>
                  <w:szCs w:val="12"/>
                </w:rPr>
                <w:t>Aviso del contrato</w:t>
              </w:r>
            </w:hyperlink>
          </w:p>
        </w:tc>
      </w:tr>
      <w:tr w:rsidR="00437BA9" w:rsidRPr="005544FE" w14:paraId="4D1D63F1" w14:textId="77777777" w:rsidTr="0089361B">
        <w:tc>
          <w:tcPr>
            <w:tcW w:w="1135" w:type="dxa"/>
            <w:vAlign w:val="center"/>
          </w:tcPr>
          <w:p w14:paraId="374CE2ED"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S23-0237</w:t>
            </w:r>
          </w:p>
        </w:tc>
        <w:tc>
          <w:tcPr>
            <w:tcW w:w="1559" w:type="dxa"/>
            <w:vAlign w:val="center"/>
          </w:tcPr>
          <w:p w14:paraId="1BAA8248"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HOCOL SA</w:t>
            </w:r>
          </w:p>
        </w:tc>
        <w:tc>
          <w:tcPr>
            <w:tcW w:w="2835" w:type="dxa"/>
            <w:vAlign w:val="center"/>
          </w:tcPr>
          <w:p w14:paraId="7754B202" w14:textId="77777777" w:rsidR="00437BA9" w:rsidRPr="005544FE" w:rsidRDefault="00437BA9" w:rsidP="00616FE1">
            <w:pPr>
              <w:pStyle w:val="Default"/>
              <w:tabs>
                <w:tab w:val="left" w:pos="687"/>
              </w:tabs>
              <w:spacing w:line="276" w:lineRule="auto"/>
              <w:jc w:val="both"/>
              <w:rPr>
                <w:rFonts w:ascii="Arial" w:hAnsi="Arial" w:cs="Arial"/>
                <w:color w:val="auto"/>
                <w:sz w:val="12"/>
                <w:szCs w:val="12"/>
                <w:lang w:val="es-CO" w:eastAsia="en-US"/>
              </w:rPr>
            </w:pPr>
            <w:r w:rsidRPr="005544FE">
              <w:rPr>
                <w:rFonts w:ascii="Arial" w:hAnsi="Arial" w:cs="Arial"/>
                <w:color w:val="auto"/>
                <w:sz w:val="12"/>
                <w:szCs w:val="12"/>
                <w:lang w:val="es-CO" w:eastAsia="en-US"/>
              </w:rPr>
              <w:t>ACTIVIDADES METALMECÁNICAS PARA DESMANTELAMIENTO DE INFRAESTRUCTURA, APOYO A LA OPERACIÓN EN LOS BLOQUES DE UPIA, LA PUNTA Y SANTO DOMINGO.</w:t>
            </w:r>
          </w:p>
        </w:tc>
        <w:tc>
          <w:tcPr>
            <w:tcW w:w="1134" w:type="dxa"/>
            <w:vAlign w:val="center"/>
          </w:tcPr>
          <w:p w14:paraId="073DFD3A"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1.439.799.820 </w:t>
            </w:r>
          </w:p>
        </w:tc>
        <w:tc>
          <w:tcPr>
            <w:tcW w:w="851" w:type="dxa"/>
            <w:vAlign w:val="center"/>
          </w:tcPr>
          <w:p w14:paraId="70284F57"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eastAsia="en-US"/>
              </w:rPr>
              <w:t>24</w:t>
            </w:r>
          </w:p>
        </w:tc>
        <w:tc>
          <w:tcPr>
            <w:tcW w:w="1134" w:type="dxa"/>
            <w:vAlign w:val="center"/>
          </w:tcPr>
          <w:p w14:paraId="5578C26D"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Contratación régimen especial</w:t>
            </w:r>
          </w:p>
        </w:tc>
        <w:tc>
          <w:tcPr>
            <w:tcW w:w="850" w:type="dxa"/>
            <w:vAlign w:val="center"/>
          </w:tcPr>
          <w:p w14:paraId="14C7B953" w14:textId="77777777" w:rsidR="00437BA9" w:rsidRPr="005544FE" w:rsidRDefault="00437BA9" w:rsidP="00616FE1">
            <w:pPr>
              <w:pStyle w:val="Default"/>
              <w:spacing w:line="276" w:lineRule="auto"/>
              <w:jc w:val="center"/>
              <w:rPr>
                <w:sz w:val="12"/>
                <w:szCs w:val="12"/>
              </w:rPr>
            </w:pPr>
            <w:hyperlink r:id="rId39" w:history="1">
              <w:r w:rsidRPr="005544FE">
                <w:rPr>
                  <w:rStyle w:val="Hipervnculo"/>
                  <w:sz w:val="12"/>
                  <w:szCs w:val="12"/>
                </w:rPr>
                <w:t>Aviso del contrato</w:t>
              </w:r>
            </w:hyperlink>
          </w:p>
        </w:tc>
      </w:tr>
      <w:tr w:rsidR="00437BA9" w:rsidRPr="005544FE" w14:paraId="5E0BE539" w14:textId="77777777" w:rsidTr="0089361B">
        <w:tc>
          <w:tcPr>
            <w:tcW w:w="1135" w:type="dxa"/>
            <w:vAlign w:val="center"/>
          </w:tcPr>
          <w:p w14:paraId="7B8FF6A1"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Doc1489969656 - CW308938</w:t>
            </w:r>
          </w:p>
        </w:tc>
        <w:tc>
          <w:tcPr>
            <w:tcW w:w="1559" w:type="dxa"/>
            <w:vAlign w:val="center"/>
          </w:tcPr>
          <w:p w14:paraId="5CF575C6"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ECOPETROL S.A.</w:t>
            </w:r>
          </w:p>
        </w:tc>
        <w:tc>
          <w:tcPr>
            <w:tcW w:w="2835" w:type="dxa"/>
            <w:vAlign w:val="center"/>
          </w:tcPr>
          <w:p w14:paraId="4FB40D5D" w14:textId="77777777" w:rsidR="00437BA9" w:rsidRPr="005544FE" w:rsidRDefault="00437BA9" w:rsidP="00616FE1">
            <w:pPr>
              <w:pStyle w:val="Default"/>
              <w:tabs>
                <w:tab w:val="left" w:pos="687"/>
              </w:tabs>
              <w:spacing w:line="276" w:lineRule="auto"/>
              <w:jc w:val="both"/>
              <w:rPr>
                <w:rFonts w:ascii="Arial" w:hAnsi="Arial" w:cs="Arial"/>
                <w:color w:val="auto"/>
                <w:sz w:val="12"/>
                <w:szCs w:val="12"/>
                <w:lang w:val="es-CO" w:eastAsia="en-US"/>
              </w:rPr>
            </w:pPr>
            <w:r w:rsidRPr="005544FE">
              <w:rPr>
                <w:rFonts w:ascii="Arial" w:hAnsi="Arial" w:cs="Arial"/>
                <w:color w:val="auto"/>
                <w:sz w:val="12"/>
                <w:szCs w:val="12"/>
                <w:lang w:val="es-CO" w:eastAsia="en-US"/>
              </w:rPr>
              <w:t>OBRAS PARA LA DESINCORPORACIÓN, DESMANTELAMIENTO Y/O DEMOLICIÓN DE FACILIDADES E INFRAESTRUCTURA DEL CAMPO CASTILLA</w:t>
            </w:r>
          </w:p>
        </w:tc>
        <w:tc>
          <w:tcPr>
            <w:tcW w:w="1134" w:type="dxa"/>
            <w:vAlign w:val="center"/>
          </w:tcPr>
          <w:p w14:paraId="497179DB"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4.504.895.915 </w:t>
            </w:r>
          </w:p>
        </w:tc>
        <w:tc>
          <w:tcPr>
            <w:tcW w:w="851" w:type="dxa"/>
            <w:vAlign w:val="center"/>
          </w:tcPr>
          <w:p w14:paraId="215CB4EE" w14:textId="77777777" w:rsidR="00437BA9" w:rsidRPr="005544FE" w:rsidRDefault="00437BA9" w:rsidP="00616FE1">
            <w:pPr>
              <w:pStyle w:val="Default"/>
              <w:spacing w:line="276" w:lineRule="auto"/>
              <w:jc w:val="center"/>
              <w:rPr>
                <w:rFonts w:ascii="Arial" w:hAnsi="Arial" w:cs="Arial"/>
                <w:color w:val="auto"/>
                <w:sz w:val="12"/>
                <w:szCs w:val="12"/>
                <w:lang w:eastAsia="en-US"/>
              </w:rPr>
            </w:pPr>
            <w:r w:rsidRPr="005544FE">
              <w:rPr>
                <w:rFonts w:ascii="Arial" w:hAnsi="Arial" w:cs="Arial"/>
                <w:color w:val="auto"/>
                <w:sz w:val="12"/>
                <w:szCs w:val="12"/>
                <w:lang w:eastAsia="en-US"/>
              </w:rPr>
              <w:t>12</w:t>
            </w:r>
          </w:p>
        </w:tc>
        <w:tc>
          <w:tcPr>
            <w:tcW w:w="1134" w:type="dxa"/>
            <w:vAlign w:val="center"/>
          </w:tcPr>
          <w:p w14:paraId="7C95D74A" w14:textId="77777777" w:rsidR="00437BA9" w:rsidRPr="005544FE" w:rsidRDefault="00437BA9" w:rsidP="00616FE1">
            <w:pPr>
              <w:pStyle w:val="Default"/>
              <w:spacing w:line="276" w:lineRule="auto"/>
              <w:jc w:val="center"/>
              <w:rPr>
                <w:rFonts w:ascii="Arial" w:hAnsi="Arial" w:cs="Arial"/>
                <w:color w:val="auto"/>
                <w:sz w:val="12"/>
                <w:szCs w:val="12"/>
                <w:lang w:val="es-CO" w:eastAsia="en-US"/>
              </w:rPr>
            </w:pPr>
            <w:r w:rsidRPr="005544FE">
              <w:rPr>
                <w:rFonts w:ascii="Arial" w:hAnsi="Arial" w:cs="Arial"/>
                <w:color w:val="auto"/>
                <w:sz w:val="12"/>
                <w:szCs w:val="12"/>
                <w:lang w:val="es-CO" w:eastAsia="en-US"/>
              </w:rPr>
              <w:t>Contratación régimen especial</w:t>
            </w:r>
          </w:p>
        </w:tc>
        <w:tc>
          <w:tcPr>
            <w:tcW w:w="850" w:type="dxa"/>
            <w:vAlign w:val="center"/>
          </w:tcPr>
          <w:p w14:paraId="1B712101" w14:textId="77777777" w:rsidR="00437BA9" w:rsidRPr="005544FE" w:rsidRDefault="00437BA9" w:rsidP="00616FE1">
            <w:pPr>
              <w:pStyle w:val="Default"/>
              <w:spacing w:line="276" w:lineRule="auto"/>
              <w:jc w:val="center"/>
              <w:rPr>
                <w:sz w:val="12"/>
                <w:szCs w:val="12"/>
              </w:rPr>
            </w:pPr>
            <w:hyperlink r:id="rId40" w:history="1">
              <w:r w:rsidRPr="005544FE">
                <w:rPr>
                  <w:rStyle w:val="Hipervnculo"/>
                  <w:sz w:val="12"/>
                  <w:szCs w:val="12"/>
                </w:rPr>
                <w:t>Aviso del contrato</w:t>
              </w:r>
            </w:hyperlink>
          </w:p>
        </w:tc>
      </w:tr>
    </w:tbl>
    <w:p w14:paraId="2F81DFF8" w14:textId="77777777" w:rsidR="002500B4" w:rsidRPr="00C76457" w:rsidRDefault="002500B4" w:rsidP="009F67DA">
      <w:pPr>
        <w:spacing w:after="0"/>
        <w:rPr>
          <w:rFonts w:ascii="Arial" w:hAnsi="Arial" w:cs="Arial"/>
          <w:color w:val="808080" w:themeColor="background1" w:themeShade="80"/>
          <w:lang w:eastAsia="es-CO"/>
        </w:rPr>
      </w:pPr>
    </w:p>
    <w:p w14:paraId="6D9D3366" w14:textId="77777777" w:rsidR="00CF174A" w:rsidRPr="00C76457" w:rsidRDefault="00CF174A" w:rsidP="00616FE1">
      <w:pPr>
        <w:pStyle w:val="Ttulo1"/>
        <w:numPr>
          <w:ilvl w:val="0"/>
          <w:numId w:val="8"/>
        </w:numPr>
        <w:spacing w:before="0"/>
        <w:ind w:left="360"/>
        <w:rPr>
          <w:rFonts w:cs="Arial"/>
          <w:color w:val="auto"/>
          <w:sz w:val="22"/>
          <w:szCs w:val="22"/>
        </w:rPr>
      </w:pPr>
      <w:bookmarkStart w:id="16" w:name="_Toc209707500"/>
      <w:bookmarkStart w:id="17" w:name="_Toc242091256"/>
      <w:r w:rsidRPr="00C76457">
        <w:rPr>
          <w:rFonts w:cs="Arial"/>
          <w:color w:val="auto"/>
          <w:sz w:val="22"/>
          <w:szCs w:val="22"/>
        </w:rPr>
        <w:t>INDICADORES HABILITANTES DE CAPACIDAD FINANCIERA Y CAPACIDAD ORGANIZACIONAL</w:t>
      </w:r>
      <w:bookmarkEnd w:id="16"/>
      <w:bookmarkEnd w:id="17"/>
      <w:r w:rsidRPr="00C76457">
        <w:rPr>
          <w:rFonts w:cs="Arial"/>
          <w:color w:val="auto"/>
          <w:sz w:val="22"/>
          <w:szCs w:val="22"/>
        </w:rPr>
        <w:t xml:space="preserve"> </w:t>
      </w:r>
    </w:p>
    <w:p w14:paraId="1106CFB4" w14:textId="77777777" w:rsidR="009D7061" w:rsidRPr="00C76457" w:rsidRDefault="009D7061" w:rsidP="002F1D05">
      <w:pPr>
        <w:spacing w:after="0"/>
        <w:rPr>
          <w:rFonts w:ascii="Arial" w:hAnsi="Arial" w:cs="Arial"/>
          <w:color w:val="808080" w:themeColor="background1" w:themeShade="80"/>
          <w:lang w:eastAsia="es-CO"/>
        </w:rPr>
      </w:pPr>
    </w:p>
    <w:p w14:paraId="157B7E5A" w14:textId="77777777" w:rsidR="002500B4" w:rsidRPr="00616FE1" w:rsidRDefault="002500B4" w:rsidP="00616FE1">
      <w:pPr>
        <w:spacing w:after="0"/>
        <w:jc w:val="both"/>
        <w:rPr>
          <w:rFonts w:ascii="Arial" w:hAnsi="Arial" w:cs="Arial"/>
        </w:rPr>
      </w:pPr>
      <w:r w:rsidRPr="00616FE1">
        <w:rPr>
          <w:rFonts w:ascii="Arial" w:hAnsi="Arial" w:cs="Arial"/>
        </w:rPr>
        <w:t xml:space="preserve">Con base en los análisis expuestos anteriormente, se establecen los indicadores de capacidad financiera y capacidad organizacional mínimos a ser acreditados por los </w:t>
      </w:r>
      <w:r w:rsidRPr="00616FE1">
        <w:rPr>
          <w:rFonts w:ascii="Arial" w:hAnsi="Arial" w:cs="Arial"/>
        </w:rPr>
        <w:lastRenderedPageBreak/>
        <w:t>proponentes, de acuerdo con lo establecido en el numeral 3 del artículo 2.2.1.1.1.5.3 del Decreto 1082 de 2015.</w:t>
      </w:r>
    </w:p>
    <w:p w14:paraId="3DAAFFEA" w14:textId="77777777" w:rsidR="002500B4" w:rsidRPr="00616FE1" w:rsidRDefault="002500B4" w:rsidP="00616FE1">
      <w:pPr>
        <w:spacing w:after="0"/>
        <w:jc w:val="both"/>
        <w:rPr>
          <w:rFonts w:ascii="Arial" w:hAnsi="Arial" w:cs="Arial"/>
        </w:rPr>
      </w:pPr>
    </w:p>
    <w:p w14:paraId="642876D8" w14:textId="77777777" w:rsidR="002500B4" w:rsidRPr="00616FE1" w:rsidRDefault="002500B4" w:rsidP="00616FE1">
      <w:pPr>
        <w:spacing w:after="0"/>
        <w:jc w:val="both"/>
        <w:rPr>
          <w:rFonts w:ascii="Arial" w:hAnsi="Arial" w:cs="Arial"/>
        </w:rPr>
      </w:pPr>
      <w:r w:rsidRPr="00616FE1">
        <w:rPr>
          <w:rFonts w:ascii="Arial" w:hAnsi="Arial" w:cs="Arial"/>
        </w:rPr>
        <w:t>La Entidad evaluará los requisitos habilitantes de capacidad financiera y organizacional teniendo en cuenta la información que conste en el Registro Único de Proponentes, para ello, se evaluarán los indicadores reflejados en el RUP de cada proponente, con corte a 31 de diciembre de 2025.</w:t>
      </w:r>
    </w:p>
    <w:p w14:paraId="3B3334AB" w14:textId="77777777" w:rsidR="00D81C2E" w:rsidRDefault="00D81C2E">
      <w:pPr>
        <w:rPr>
          <w:rFonts w:ascii="Arial" w:hAnsi="Arial" w:cs="Arial"/>
          <w:b/>
          <w:u w:val="single"/>
        </w:rPr>
      </w:pPr>
    </w:p>
    <w:p w14:paraId="3DDB24D2" w14:textId="76894437" w:rsidR="0093519A" w:rsidRDefault="0093519A" w:rsidP="00915023">
      <w:pPr>
        <w:rPr>
          <w:rFonts w:ascii="Arial" w:hAnsi="Arial" w:cs="Arial"/>
          <w:b/>
        </w:rPr>
      </w:pPr>
      <w:r w:rsidRPr="00C76457">
        <w:rPr>
          <w:rFonts w:ascii="Arial" w:hAnsi="Arial" w:cs="Arial"/>
          <w:b/>
          <w:u w:val="single"/>
        </w:rPr>
        <w:t xml:space="preserve">Indicadores de Capacidad Financiera </w:t>
      </w:r>
      <w:r w:rsidRPr="00C76457">
        <w:rPr>
          <w:rFonts w:ascii="Arial" w:hAnsi="Arial" w:cs="Arial"/>
          <w:b/>
        </w:rPr>
        <w:t xml:space="preserve"> </w:t>
      </w:r>
    </w:p>
    <w:p w14:paraId="4BDBE0C3" w14:textId="77777777" w:rsidR="002500B4" w:rsidRPr="00616FE1" w:rsidRDefault="002500B4" w:rsidP="00616FE1">
      <w:pPr>
        <w:spacing w:after="0"/>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2755"/>
        <w:gridCol w:w="2918"/>
        <w:gridCol w:w="3155"/>
      </w:tblGrid>
      <w:tr w:rsidR="002500B4" w:rsidRPr="002500B4" w14:paraId="717C636C" w14:textId="77777777">
        <w:trPr>
          <w:trHeight w:val="49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205ABE"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INDICADOR</w:t>
            </w:r>
          </w:p>
        </w:tc>
        <w:tc>
          <w:tcPr>
            <w:tcW w:w="0" w:type="auto"/>
            <w:tcBorders>
              <w:top w:val="single" w:sz="4" w:space="0" w:color="auto"/>
              <w:left w:val="nil"/>
              <w:bottom w:val="single" w:sz="4" w:space="0" w:color="auto"/>
              <w:right w:val="single" w:sz="4" w:space="0" w:color="auto"/>
            </w:tcBorders>
            <w:vAlign w:val="center"/>
            <w:hideMark/>
          </w:tcPr>
          <w:p w14:paraId="4345E551"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FÓRMULA</w:t>
            </w:r>
          </w:p>
        </w:tc>
        <w:tc>
          <w:tcPr>
            <w:tcW w:w="0" w:type="auto"/>
            <w:tcBorders>
              <w:top w:val="single" w:sz="4" w:space="0" w:color="auto"/>
              <w:left w:val="nil"/>
              <w:bottom w:val="single" w:sz="4" w:space="0" w:color="auto"/>
              <w:right w:val="single" w:sz="4" w:space="0" w:color="auto"/>
            </w:tcBorders>
            <w:vAlign w:val="center"/>
            <w:hideMark/>
          </w:tcPr>
          <w:p w14:paraId="6B7B3A67"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MARGEN SOLICITADO</w:t>
            </w:r>
          </w:p>
        </w:tc>
      </w:tr>
      <w:tr w:rsidR="002500B4" w:rsidRPr="002500B4" w14:paraId="49947AB1" w14:textId="77777777">
        <w:trPr>
          <w:trHeight w:val="560"/>
          <w:jc w:val="center"/>
        </w:trPr>
        <w:tc>
          <w:tcPr>
            <w:tcW w:w="0" w:type="auto"/>
            <w:tcBorders>
              <w:top w:val="nil"/>
              <w:left w:val="single" w:sz="4" w:space="0" w:color="auto"/>
              <w:bottom w:val="single" w:sz="4" w:space="0" w:color="auto"/>
              <w:right w:val="single" w:sz="4" w:space="0" w:color="auto"/>
            </w:tcBorders>
            <w:vAlign w:val="center"/>
            <w:hideMark/>
          </w:tcPr>
          <w:p w14:paraId="4BFF168D"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Índice de Liquidez</w:t>
            </w:r>
          </w:p>
        </w:tc>
        <w:tc>
          <w:tcPr>
            <w:tcW w:w="0" w:type="auto"/>
            <w:tcBorders>
              <w:top w:val="nil"/>
              <w:left w:val="nil"/>
              <w:bottom w:val="single" w:sz="4" w:space="0" w:color="auto"/>
              <w:right w:val="single" w:sz="4" w:space="0" w:color="auto"/>
            </w:tcBorders>
            <w:vAlign w:val="center"/>
            <w:hideMark/>
          </w:tcPr>
          <w:p w14:paraId="141103DB" w14:textId="77777777" w:rsidR="002500B4" w:rsidRPr="00616FE1" w:rsidRDefault="002500B4" w:rsidP="00616FE1">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Activo Corriente / Pasivo Corriente</w:t>
            </w:r>
          </w:p>
        </w:tc>
        <w:tc>
          <w:tcPr>
            <w:tcW w:w="0" w:type="auto"/>
            <w:tcBorders>
              <w:top w:val="nil"/>
              <w:left w:val="nil"/>
              <w:bottom w:val="single" w:sz="4" w:space="0" w:color="auto"/>
              <w:right w:val="single" w:sz="4" w:space="0" w:color="auto"/>
            </w:tcBorders>
            <w:vAlign w:val="center"/>
            <w:hideMark/>
          </w:tcPr>
          <w:p w14:paraId="6BCD99DC" w14:textId="2C8A264B" w:rsidR="002500B4" w:rsidRPr="00616FE1" w:rsidRDefault="002500B4" w:rsidP="00915023">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 2</w:t>
            </w:r>
            <w:r w:rsidR="00571E28">
              <w:rPr>
                <w:rFonts w:ascii="Arial" w:eastAsia="Times New Roman" w:hAnsi="Arial" w:cs="Arial"/>
                <w:color w:val="000000"/>
                <w:lang w:eastAsia="es-CO"/>
              </w:rPr>
              <w:t>,06</w:t>
            </w:r>
            <w:r w:rsidRPr="00616FE1">
              <w:rPr>
                <w:rFonts w:ascii="Arial" w:eastAsia="Times New Roman" w:hAnsi="Arial" w:cs="Arial"/>
                <w:color w:val="000000"/>
                <w:lang w:eastAsia="es-CO"/>
              </w:rPr>
              <w:t xml:space="preserve"> Veces</w:t>
            </w:r>
          </w:p>
        </w:tc>
      </w:tr>
      <w:tr w:rsidR="002500B4" w:rsidRPr="002500B4" w14:paraId="5020C141" w14:textId="77777777">
        <w:trPr>
          <w:trHeight w:val="560"/>
          <w:jc w:val="center"/>
        </w:trPr>
        <w:tc>
          <w:tcPr>
            <w:tcW w:w="0" w:type="auto"/>
            <w:tcBorders>
              <w:top w:val="nil"/>
              <w:left w:val="single" w:sz="4" w:space="0" w:color="auto"/>
              <w:bottom w:val="single" w:sz="4" w:space="0" w:color="auto"/>
              <w:right w:val="single" w:sz="4" w:space="0" w:color="auto"/>
            </w:tcBorders>
            <w:vAlign w:val="center"/>
            <w:hideMark/>
          </w:tcPr>
          <w:p w14:paraId="6033B62F"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Índice de Endeudamiento</w:t>
            </w:r>
          </w:p>
        </w:tc>
        <w:tc>
          <w:tcPr>
            <w:tcW w:w="0" w:type="auto"/>
            <w:tcBorders>
              <w:top w:val="nil"/>
              <w:left w:val="nil"/>
              <w:bottom w:val="single" w:sz="4" w:space="0" w:color="auto"/>
              <w:right w:val="single" w:sz="4" w:space="0" w:color="auto"/>
            </w:tcBorders>
            <w:vAlign w:val="center"/>
            <w:hideMark/>
          </w:tcPr>
          <w:p w14:paraId="3AE119C4" w14:textId="77777777" w:rsidR="002500B4" w:rsidRPr="00616FE1" w:rsidRDefault="002500B4" w:rsidP="00616FE1">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Pasivo Total / Activo Total</w:t>
            </w:r>
          </w:p>
        </w:tc>
        <w:tc>
          <w:tcPr>
            <w:tcW w:w="0" w:type="auto"/>
            <w:tcBorders>
              <w:top w:val="nil"/>
              <w:left w:val="nil"/>
              <w:bottom w:val="single" w:sz="4" w:space="0" w:color="auto"/>
              <w:right w:val="single" w:sz="4" w:space="0" w:color="auto"/>
            </w:tcBorders>
            <w:vAlign w:val="center"/>
            <w:hideMark/>
          </w:tcPr>
          <w:p w14:paraId="68A6553C" w14:textId="357F2EFF" w:rsidR="002500B4" w:rsidRPr="00616FE1" w:rsidRDefault="002500B4" w:rsidP="00915023">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Menor o igual al 5</w:t>
            </w:r>
            <w:r w:rsidR="00571E28">
              <w:rPr>
                <w:rFonts w:ascii="Arial" w:eastAsia="Times New Roman" w:hAnsi="Arial" w:cs="Arial"/>
                <w:color w:val="000000"/>
                <w:lang w:eastAsia="es-CO"/>
              </w:rPr>
              <w:t>9</w:t>
            </w:r>
            <w:r w:rsidR="006E1C7C">
              <w:rPr>
                <w:rFonts w:ascii="Arial" w:eastAsia="Times New Roman" w:hAnsi="Arial" w:cs="Arial"/>
                <w:color w:val="000000"/>
                <w:lang w:eastAsia="es-CO"/>
              </w:rPr>
              <w:t>,14</w:t>
            </w:r>
            <w:r w:rsidRPr="00616FE1">
              <w:rPr>
                <w:rFonts w:ascii="Arial" w:eastAsia="Times New Roman" w:hAnsi="Arial" w:cs="Arial"/>
                <w:color w:val="000000"/>
                <w:lang w:eastAsia="es-CO"/>
              </w:rPr>
              <w:t>%</w:t>
            </w:r>
          </w:p>
        </w:tc>
      </w:tr>
      <w:tr w:rsidR="002500B4" w:rsidRPr="002500B4" w14:paraId="5D756034" w14:textId="77777777">
        <w:trPr>
          <w:trHeight w:val="697"/>
          <w:jc w:val="center"/>
        </w:trPr>
        <w:tc>
          <w:tcPr>
            <w:tcW w:w="0" w:type="auto"/>
            <w:tcBorders>
              <w:top w:val="nil"/>
              <w:left w:val="single" w:sz="4" w:space="0" w:color="auto"/>
              <w:bottom w:val="single" w:sz="4" w:space="0" w:color="auto"/>
              <w:right w:val="single" w:sz="4" w:space="0" w:color="auto"/>
            </w:tcBorders>
            <w:vAlign w:val="center"/>
            <w:hideMark/>
          </w:tcPr>
          <w:p w14:paraId="13A2A804"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Razón de Cobertura de Intereses</w:t>
            </w:r>
          </w:p>
        </w:tc>
        <w:tc>
          <w:tcPr>
            <w:tcW w:w="0" w:type="auto"/>
            <w:tcBorders>
              <w:top w:val="nil"/>
              <w:left w:val="nil"/>
              <w:bottom w:val="single" w:sz="4" w:space="0" w:color="auto"/>
              <w:right w:val="single" w:sz="4" w:space="0" w:color="auto"/>
            </w:tcBorders>
            <w:vAlign w:val="center"/>
            <w:hideMark/>
          </w:tcPr>
          <w:p w14:paraId="62146D47" w14:textId="77777777" w:rsidR="002500B4" w:rsidRPr="00616FE1" w:rsidRDefault="002500B4" w:rsidP="00616FE1">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Utilidad Operacional / Gastos de Intereses</w:t>
            </w:r>
          </w:p>
        </w:tc>
        <w:tc>
          <w:tcPr>
            <w:tcW w:w="0" w:type="auto"/>
            <w:tcBorders>
              <w:top w:val="nil"/>
              <w:left w:val="nil"/>
              <w:bottom w:val="single" w:sz="4" w:space="0" w:color="auto"/>
              <w:right w:val="single" w:sz="4" w:space="0" w:color="auto"/>
            </w:tcBorders>
            <w:vAlign w:val="center"/>
            <w:hideMark/>
          </w:tcPr>
          <w:p w14:paraId="44B1361A" w14:textId="471F88A7" w:rsidR="002500B4" w:rsidRPr="00616FE1" w:rsidRDefault="002500B4" w:rsidP="00915023">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Mayor o Igual a 2,</w:t>
            </w:r>
            <w:r w:rsidR="00571E28">
              <w:rPr>
                <w:rFonts w:ascii="Arial" w:eastAsia="Times New Roman" w:hAnsi="Arial" w:cs="Arial"/>
                <w:color w:val="000000"/>
                <w:lang w:eastAsia="es-CO"/>
              </w:rPr>
              <w:t>29</w:t>
            </w:r>
            <w:r w:rsidRPr="00616FE1">
              <w:rPr>
                <w:rFonts w:ascii="Arial" w:eastAsia="Times New Roman" w:hAnsi="Arial" w:cs="Arial"/>
                <w:color w:val="000000"/>
                <w:lang w:eastAsia="es-CO"/>
              </w:rPr>
              <w:t xml:space="preserve"> Veces</w:t>
            </w:r>
          </w:p>
        </w:tc>
      </w:tr>
      <w:tr w:rsidR="002500B4" w:rsidRPr="002500B4" w14:paraId="4DCEA5B0" w14:textId="77777777">
        <w:trPr>
          <w:trHeight w:val="693"/>
          <w:jc w:val="center"/>
        </w:trPr>
        <w:tc>
          <w:tcPr>
            <w:tcW w:w="0" w:type="auto"/>
            <w:tcBorders>
              <w:top w:val="nil"/>
              <w:left w:val="single" w:sz="4" w:space="0" w:color="auto"/>
              <w:bottom w:val="single" w:sz="4" w:space="0" w:color="auto"/>
              <w:right w:val="single" w:sz="4" w:space="0" w:color="auto"/>
            </w:tcBorders>
            <w:vAlign w:val="center"/>
            <w:hideMark/>
          </w:tcPr>
          <w:p w14:paraId="7AF8A625" w14:textId="77777777" w:rsidR="002500B4" w:rsidRPr="00616FE1" w:rsidRDefault="002500B4" w:rsidP="00616FE1">
            <w:pPr>
              <w:spacing w:after="0"/>
              <w:jc w:val="center"/>
              <w:rPr>
                <w:rFonts w:ascii="Arial" w:eastAsia="Times New Roman" w:hAnsi="Arial" w:cs="Arial"/>
                <w:b/>
                <w:bCs/>
                <w:color w:val="000000"/>
                <w:lang w:eastAsia="es-CO"/>
              </w:rPr>
            </w:pPr>
            <w:r w:rsidRPr="00616FE1">
              <w:rPr>
                <w:rFonts w:ascii="Arial" w:eastAsia="Times New Roman" w:hAnsi="Arial" w:cs="Arial"/>
                <w:b/>
                <w:bCs/>
                <w:color w:val="000000"/>
                <w:lang w:eastAsia="es-CO"/>
              </w:rPr>
              <w:t>Capital de Trabajo</w:t>
            </w:r>
          </w:p>
        </w:tc>
        <w:tc>
          <w:tcPr>
            <w:tcW w:w="0" w:type="auto"/>
            <w:tcBorders>
              <w:top w:val="nil"/>
              <w:left w:val="nil"/>
              <w:bottom w:val="single" w:sz="4" w:space="0" w:color="auto"/>
              <w:right w:val="single" w:sz="4" w:space="0" w:color="auto"/>
            </w:tcBorders>
            <w:vAlign w:val="center"/>
            <w:hideMark/>
          </w:tcPr>
          <w:p w14:paraId="300AD1ED" w14:textId="597DC7A5" w:rsidR="002500B4" w:rsidRPr="00616FE1" w:rsidRDefault="002500B4" w:rsidP="00616FE1">
            <w:pPr>
              <w:spacing w:after="0"/>
              <w:jc w:val="both"/>
              <w:rPr>
                <w:rFonts w:ascii="Arial" w:eastAsia="Times New Roman" w:hAnsi="Arial" w:cs="Arial"/>
                <w:color w:val="000000"/>
                <w:lang w:eastAsia="es-CO"/>
              </w:rPr>
            </w:pPr>
            <w:r w:rsidRPr="00616FE1">
              <w:rPr>
                <w:rFonts w:ascii="Arial" w:eastAsia="Times New Roman" w:hAnsi="Arial" w:cs="Arial"/>
                <w:color w:val="000000"/>
                <w:lang w:eastAsia="es-CO"/>
              </w:rPr>
              <w:t>Activo Corriente</w:t>
            </w:r>
            <w:r w:rsidR="006A79C6">
              <w:rPr>
                <w:rFonts w:ascii="Arial" w:eastAsia="Times New Roman" w:hAnsi="Arial" w:cs="Arial"/>
                <w:color w:val="000000"/>
                <w:lang w:eastAsia="es-CO"/>
              </w:rPr>
              <w:t xml:space="preserve"> -</w:t>
            </w:r>
            <w:r w:rsidRPr="00616FE1">
              <w:rPr>
                <w:rFonts w:ascii="Arial" w:eastAsia="Times New Roman" w:hAnsi="Arial" w:cs="Arial"/>
                <w:color w:val="000000"/>
                <w:lang w:eastAsia="es-CO"/>
              </w:rPr>
              <w:t xml:space="preserve"> Pasivo Corriente</w:t>
            </w:r>
          </w:p>
        </w:tc>
        <w:tc>
          <w:tcPr>
            <w:tcW w:w="0" w:type="auto"/>
            <w:tcBorders>
              <w:top w:val="nil"/>
              <w:left w:val="nil"/>
              <w:bottom w:val="single" w:sz="4" w:space="0" w:color="auto"/>
              <w:right w:val="single" w:sz="4" w:space="0" w:color="auto"/>
            </w:tcBorders>
            <w:vAlign w:val="center"/>
            <w:hideMark/>
          </w:tcPr>
          <w:p w14:paraId="2A244DEF" w14:textId="67B9FCF0" w:rsidR="002500B4" w:rsidRPr="00616FE1" w:rsidRDefault="002500B4" w:rsidP="00915023">
            <w:pPr>
              <w:spacing w:after="0"/>
              <w:jc w:val="center"/>
              <w:rPr>
                <w:rFonts w:ascii="Arial" w:eastAsia="Times New Roman" w:hAnsi="Arial" w:cs="Arial"/>
                <w:color w:val="000000"/>
                <w:lang w:eastAsia="es-CO"/>
              </w:rPr>
            </w:pPr>
            <w:r w:rsidRPr="00616FE1">
              <w:rPr>
                <w:rFonts w:ascii="Arial" w:eastAsia="Times New Roman" w:hAnsi="Arial" w:cs="Arial"/>
                <w:color w:val="000000"/>
                <w:lang w:eastAsia="es-CO"/>
              </w:rPr>
              <w:t xml:space="preserve">Mayor o igual al </w:t>
            </w:r>
            <w:r w:rsidR="00571E28">
              <w:rPr>
                <w:rFonts w:ascii="Arial" w:eastAsia="Times New Roman" w:hAnsi="Arial" w:cs="Arial"/>
                <w:color w:val="000000"/>
                <w:lang w:eastAsia="es-CO"/>
              </w:rPr>
              <w:t>100% del presupuesto oficial</w:t>
            </w:r>
          </w:p>
        </w:tc>
      </w:tr>
    </w:tbl>
    <w:p w14:paraId="0BB71EF1" w14:textId="77777777" w:rsidR="0093519A" w:rsidRPr="00C76457" w:rsidRDefault="0093519A" w:rsidP="00616FE1">
      <w:pPr>
        <w:spacing w:after="0"/>
        <w:jc w:val="both"/>
        <w:rPr>
          <w:rFonts w:ascii="Arial" w:hAnsi="Arial" w:cs="Arial"/>
        </w:rPr>
      </w:pPr>
    </w:p>
    <w:p w14:paraId="20C5CED2" w14:textId="1C81E46C" w:rsidR="0093519A" w:rsidRPr="00FF1ACF" w:rsidRDefault="0093519A" w:rsidP="00FF1ACF">
      <w:pPr>
        <w:spacing w:after="0"/>
        <w:jc w:val="both"/>
        <w:rPr>
          <w:rFonts w:ascii="Arial" w:hAnsi="Arial" w:cs="Arial"/>
        </w:rPr>
      </w:pPr>
      <w:r w:rsidRPr="00C76457">
        <w:rPr>
          <w:rFonts w:ascii="Arial" w:hAnsi="Arial" w:cs="Arial"/>
        </w:rPr>
        <w:t xml:space="preserve">Cuando la cuenta de Gastos de Intereses sea igual a cero ($ 0), debido a que el proponente no tiene obligaciones financieras, ocasionando que la Razón de Cobertura de Intereses resulte en indefinido o indeterminado, se considera que el proponente cumple con el Indicador de Razón de Cobertura de Intereses. </w:t>
      </w:r>
    </w:p>
    <w:p w14:paraId="21ED0126" w14:textId="77777777" w:rsidR="00DE2587" w:rsidRPr="00616FE1" w:rsidRDefault="00DE2587" w:rsidP="00616FE1">
      <w:pPr>
        <w:pStyle w:val="Prrafodelista"/>
        <w:spacing w:after="0"/>
        <w:ind w:left="284"/>
        <w:jc w:val="both"/>
        <w:rPr>
          <w:rFonts w:ascii="Arial" w:hAnsi="Arial" w:cs="Arial"/>
        </w:rPr>
      </w:pPr>
    </w:p>
    <w:p w14:paraId="5F9C183E" w14:textId="77777777" w:rsidR="0093519A" w:rsidRPr="00C76457" w:rsidRDefault="0093519A" w:rsidP="00616FE1">
      <w:pPr>
        <w:spacing w:after="0"/>
        <w:jc w:val="both"/>
        <w:rPr>
          <w:rFonts w:ascii="Arial" w:hAnsi="Arial" w:cs="Arial"/>
        </w:rPr>
      </w:pPr>
      <w:r w:rsidRPr="00C76457">
        <w:rPr>
          <w:rFonts w:ascii="Arial" w:hAnsi="Arial" w:cs="Arial"/>
        </w:rPr>
        <w:t xml:space="preserve"> </w:t>
      </w:r>
      <w:r w:rsidRPr="00C76457">
        <w:rPr>
          <w:rFonts w:ascii="Arial" w:hAnsi="Arial" w:cs="Arial"/>
          <w:b/>
          <w:u w:val="single"/>
        </w:rPr>
        <w:t xml:space="preserve">Indicadores de Capacidad Organizacional </w:t>
      </w:r>
      <w:r w:rsidRPr="00C76457">
        <w:rPr>
          <w:rFonts w:ascii="Arial" w:hAnsi="Arial" w:cs="Arial"/>
          <w:b/>
        </w:rPr>
        <w:t xml:space="preserve"> </w:t>
      </w:r>
    </w:p>
    <w:p w14:paraId="025AE715" w14:textId="77777777" w:rsidR="0093519A" w:rsidRPr="00C76457" w:rsidRDefault="0093519A" w:rsidP="00616FE1">
      <w:pPr>
        <w:spacing w:after="0"/>
        <w:jc w:val="both"/>
        <w:rPr>
          <w:rFonts w:ascii="Arial" w:hAnsi="Arial" w:cs="Arial"/>
        </w:rPr>
      </w:pPr>
    </w:p>
    <w:p w14:paraId="0D69C020" w14:textId="24B9B6FD" w:rsidR="0093519A" w:rsidRPr="00C76457" w:rsidRDefault="0093519A" w:rsidP="00616FE1">
      <w:pPr>
        <w:spacing w:after="0"/>
        <w:jc w:val="both"/>
        <w:rPr>
          <w:rFonts w:ascii="Arial" w:hAnsi="Arial" w:cs="Arial"/>
        </w:rPr>
      </w:pPr>
      <w:r w:rsidRPr="00C76457">
        <w:rPr>
          <w:rFonts w:ascii="Arial" w:hAnsi="Arial" w:cs="Arial"/>
        </w:rPr>
        <w:t xml:space="preserve">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 </w:t>
      </w:r>
    </w:p>
    <w:p w14:paraId="17946143" w14:textId="77777777" w:rsidR="002500B4" w:rsidRPr="00616FE1" w:rsidRDefault="002500B4" w:rsidP="00616FE1">
      <w:pPr>
        <w:spacing w:after="0"/>
        <w:jc w:val="both"/>
        <w:rPr>
          <w:rFonts w:ascii="Arial" w:hAnsi="Arial" w:cs="Arial"/>
        </w:rPr>
      </w:pPr>
    </w:p>
    <w:tbl>
      <w:tblPr>
        <w:tblW w:w="8779" w:type="dxa"/>
        <w:tblInd w:w="7" w:type="dxa"/>
        <w:tblCellMar>
          <w:top w:w="11" w:type="dxa"/>
          <w:left w:w="149" w:type="dxa"/>
        </w:tblCellMar>
        <w:tblLook w:val="04A0" w:firstRow="1" w:lastRow="0" w:firstColumn="1" w:lastColumn="0" w:noHBand="0" w:noVBand="1"/>
      </w:tblPr>
      <w:tblGrid>
        <w:gridCol w:w="2547"/>
        <w:gridCol w:w="3636"/>
        <w:gridCol w:w="2596"/>
      </w:tblGrid>
      <w:tr w:rsidR="002500B4" w:rsidRPr="002500B4" w14:paraId="0A76F1DF" w14:textId="77777777">
        <w:trPr>
          <w:trHeight w:val="238"/>
        </w:trPr>
        <w:tc>
          <w:tcPr>
            <w:tcW w:w="2547" w:type="dxa"/>
            <w:tcBorders>
              <w:top w:val="single" w:sz="4" w:space="0" w:color="000000"/>
              <w:left w:val="single" w:sz="4" w:space="0" w:color="000000"/>
              <w:bottom w:val="single" w:sz="4" w:space="0" w:color="000000"/>
              <w:right w:val="single" w:sz="4" w:space="0" w:color="000000"/>
            </w:tcBorders>
            <w:vAlign w:val="center"/>
          </w:tcPr>
          <w:p w14:paraId="3264157E" w14:textId="77777777" w:rsidR="002500B4" w:rsidRPr="00616FE1" w:rsidRDefault="002500B4" w:rsidP="00616FE1">
            <w:pPr>
              <w:spacing w:after="0"/>
              <w:jc w:val="center"/>
              <w:rPr>
                <w:rFonts w:ascii="Arial" w:hAnsi="Arial" w:cs="Arial"/>
              </w:rPr>
            </w:pPr>
            <w:r w:rsidRPr="00616FE1">
              <w:rPr>
                <w:rFonts w:ascii="Arial" w:hAnsi="Arial" w:cs="Arial"/>
                <w:b/>
              </w:rPr>
              <w:t>INDICADOR</w:t>
            </w:r>
          </w:p>
        </w:tc>
        <w:tc>
          <w:tcPr>
            <w:tcW w:w="3636" w:type="dxa"/>
            <w:tcBorders>
              <w:top w:val="single" w:sz="4" w:space="0" w:color="000000"/>
              <w:left w:val="single" w:sz="4" w:space="0" w:color="000000"/>
              <w:bottom w:val="single" w:sz="4" w:space="0" w:color="000000"/>
              <w:right w:val="single" w:sz="4" w:space="0" w:color="000000"/>
            </w:tcBorders>
            <w:vAlign w:val="center"/>
          </w:tcPr>
          <w:p w14:paraId="4499478F" w14:textId="77777777" w:rsidR="002500B4" w:rsidRPr="00616FE1" w:rsidRDefault="002500B4" w:rsidP="00616FE1">
            <w:pPr>
              <w:spacing w:after="0"/>
              <w:jc w:val="center"/>
              <w:rPr>
                <w:rFonts w:ascii="Arial" w:hAnsi="Arial" w:cs="Arial"/>
              </w:rPr>
            </w:pPr>
            <w:r w:rsidRPr="00616FE1">
              <w:rPr>
                <w:rFonts w:ascii="Arial" w:hAnsi="Arial" w:cs="Arial"/>
                <w:b/>
              </w:rPr>
              <w:t>FÓRMULA</w:t>
            </w:r>
          </w:p>
        </w:tc>
        <w:tc>
          <w:tcPr>
            <w:tcW w:w="2596" w:type="dxa"/>
            <w:tcBorders>
              <w:top w:val="single" w:sz="4" w:space="0" w:color="000000"/>
              <w:left w:val="single" w:sz="4" w:space="0" w:color="000000"/>
              <w:bottom w:val="single" w:sz="4" w:space="0" w:color="000000"/>
              <w:right w:val="single" w:sz="4" w:space="0" w:color="000000"/>
            </w:tcBorders>
            <w:vAlign w:val="center"/>
          </w:tcPr>
          <w:p w14:paraId="475B090C" w14:textId="77777777" w:rsidR="002500B4" w:rsidRPr="00616FE1" w:rsidRDefault="002500B4" w:rsidP="00616FE1">
            <w:pPr>
              <w:spacing w:after="0"/>
              <w:jc w:val="center"/>
              <w:rPr>
                <w:rFonts w:ascii="Arial" w:hAnsi="Arial" w:cs="Arial"/>
              </w:rPr>
            </w:pPr>
            <w:r w:rsidRPr="00616FE1">
              <w:rPr>
                <w:rFonts w:ascii="Arial" w:hAnsi="Arial" w:cs="Arial"/>
                <w:b/>
              </w:rPr>
              <w:t>MARGEN SOLICITADO</w:t>
            </w:r>
          </w:p>
        </w:tc>
      </w:tr>
      <w:tr w:rsidR="002500B4" w:rsidRPr="002500B4" w14:paraId="19D6B82E" w14:textId="77777777">
        <w:trPr>
          <w:trHeight w:val="472"/>
        </w:trPr>
        <w:tc>
          <w:tcPr>
            <w:tcW w:w="2547" w:type="dxa"/>
            <w:tcBorders>
              <w:top w:val="single" w:sz="4" w:space="0" w:color="000000"/>
              <w:left w:val="single" w:sz="4" w:space="0" w:color="000000"/>
              <w:bottom w:val="single" w:sz="4" w:space="0" w:color="000000"/>
              <w:right w:val="single" w:sz="4" w:space="0" w:color="000000"/>
            </w:tcBorders>
            <w:vAlign w:val="center"/>
          </w:tcPr>
          <w:p w14:paraId="1029A9B1" w14:textId="77777777" w:rsidR="002500B4" w:rsidRPr="00616FE1" w:rsidRDefault="002500B4" w:rsidP="00616FE1">
            <w:pPr>
              <w:spacing w:after="0"/>
              <w:jc w:val="center"/>
              <w:rPr>
                <w:rFonts w:ascii="Arial" w:hAnsi="Arial" w:cs="Arial"/>
              </w:rPr>
            </w:pPr>
            <w:r w:rsidRPr="00616FE1">
              <w:rPr>
                <w:rFonts w:ascii="Arial" w:hAnsi="Arial" w:cs="Arial"/>
                <w:b/>
              </w:rPr>
              <w:t>Rentabilidad del Patrimonio</w:t>
            </w:r>
          </w:p>
        </w:tc>
        <w:tc>
          <w:tcPr>
            <w:tcW w:w="3636" w:type="dxa"/>
            <w:tcBorders>
              <w:top w:val="single" w:sz="4" w:space="0" w:color="000000"/>
              <w:left w:val="single" w:sz="4" w:space="0" w:color="000000"/>
              <w:bottom w:val="single" w:sz="4" w:space="0" w:color="000000"/>
              <w:right w:val="single" w:sz="4" w:space="0" w:color="000000"/>
            </w:tcBorders>
            <w:vAlign w:val="center"/>
          </w:tcPr>
          <w:p w14:paraId="295FAF30" w14:textId="77777777" w:rsidR="002500B4" w:rsidRPr="00616FE1" w:rsidRDefault="002500B4" w:rsidP="00616FE1">
            <w:pPr>
              <w:spacing w:after="0"/>
              <w:jc w:val="both"/>
              <w:rPr>
                <w:rFonts w:ascii="Arial" w:hAnsi="Arial" w:cs="Arial"/>
              </w:rPr>
            </w:pPr>
            <w:r w:rsidRPr="00616FE1">
              <w:rPr>
                <w:rFonts w:ascii="Arial" w:hAnsi="Arial" w:cs="Arial"/>
              </w:rPr>
              <w:t>Utilidad Operacional sobre Patrimonio</w:t>
            </w:r>
          </w:p>
        </w:tc>
        <w:tc>
          <w:tcPr>
            <w:tcW w:w="2596" w:type="dxa"/>
            <w:tcBorders>
              <w:top w:val="single" w:sz="4" w:space="0" w:color="000000"/>
              <w:left w:val="single" w:sz="4" w:space="0" w:color="000000"/>
              <w:bottom w:val="single" w:sz="4" w:space="0" w:color="000000"/>
              <w:right w:val="single" w:sz="4" w:space="0" w:color="000000"/>
            </w:tcBorders>
            <w:vAlign w:val="center"/>
          </w:tcPr>
          <w:p w14:paraId="56D08DA4" w14:textId="2E12F77D" w:rsidR="002500B4" w:rsidRPr="00616FE1" w:rsidRDefault="002500B4" w:rsidP="00616FE1">
            <w:pPr>
              <w:spacing w:after="0"/>
              <w:jc w:val="center"/>
              <w:rPr>
                <w:rFonts w:ascii="Arial" w:hAnsi="Arial" w:cs="Arial"/>
                <w:bCs/>
              </w:rPr>
            </w:pPr>
            <w:r w:rsidRPr="00616FE1">
              <w:rPr>
                <w:rFonts w:ascii="Arial" w:hAnsi="Arial" w:cs="Arial"/>
                <w:bCs/>
              </w:rPr>
              <w:t xml:space="preserve">Mayor o igual a </w:t>
            </w:r>
            <w:r w:rsidR="00571E28">
              <w:rPr>
                <w:rFonts w:ascii="Arial" w:hAnsi="Arial" w:cs="Arial"/>
                <w:bCs/>
              </w:rPr>
              <w:t>6</w:t>
            </w:r>
            <w:r w:rsidRPr="00616FE1">
              <w:rPr>
                <w:rFonts w:ascii="Arial" w:hAnsi="Arial" w:cs="Arial"/>
                <w:bCs/>
              </w:rPr>
              <w:t>%</w:t>
            </w:r>
          </w:p>
        </w:tc>
      </w:tr>
      <w:tr w:rsidR="002500B4" w:rsidRPr="002500B4" w14:paraId="434E9B95" w14:textId="77777777">
        <w:trPr>
          <w:trHeight w:val="240"/>
        </w:trPr>
        <w:tc>
          <w:tcPr>
            <w:tcW w:w="2547" w:type="dxa"/>
            <w:tcBorders>
              <w:top w:val="single" w:sz="4" w:space="0" w:color="000000"/>
              <w:left w:val="single" w:sz="4" w:space="0" w:color="000000"/>
              <w:bottom w:val="single" w:sz="4" w:space="0" w:color="auto"/>
              <w:right w:val="single" w:sz="4" w:space="0" w:color="000000"/>
            </w:tcBorders>
            <w:vAlign w:val="center"/>
          </w:tcPr>
          <w:p w14:paraId="5D6469E4" w14:textId="77777777" w:rsidR="002500B4" w:rsidRPr="00616FE1" w:rsidRDefault="002500B4" w:rsidP="00616FE1">
            <w:pPr>
              <w:spacing w:after="0"/>
              <w:jc w:val="center"/>
              <w:rPr>
                <w:rFonts w:ascii="Arial" w:hAnsi="Arial" w:cs="Arial"/>
              </w:rPr>
            </w:pPr>
            <w:r w:rsidRPr="00616FE1">
              <w:rPr>
                <w:rFonts w:ascii="Arial" w:hAnsi="Arial" w:cs="Arial"/>
                <w:b/>
              </w:rPr>
              <w:t>Rentabilidad del Activo</w:t>
            </w:r>
          </w:p>
        </w:tc>
        <w:tc>
          <w:tcPr>
            <w:tcW w:w="3636" w:type="dxa"/>
            <w:tcBorders>
              <w:top w:val="single" w:sz="4" w:space="0" w:color="000000"/>
              <w:left w:val="single" w:sz="4" w:space="0" w:color="000000"/>
              <w:bottom w:val="single" w:sz="4" w:space="0" w:color="auto"/>
              <w:right w:val="single" w:sz="4" w:space="0" w:color="000000"/>
            </w:tcBorders>
            <w:vAlign w:val="center"/>
          </w:tcPr>
          <w:p w14:paraId="703F3DF8" w14:textId="77777777" w:rsidR="002500B4" w:rsidRPr="00616FE1" w:rsidRDefault="002500B4" w:rsidP="00616FE1">
            <w:pPr>
              <w:spacing w:after="0"/>
              <w:jc w:val="both"/>
              <w:rPr>
                <w:rFonts w:ascii="Arial" w:hAnsi="Arial" w:cs="Arial"/>
              </w:rPr>
            </w:pPr>
            <w:r w:rsidRPr="00616FE1">
              <w:rPr>
                <w:rFonts w:ascii="Arial" w:hAnsi="Arial" w:cs="Arial"/>
              </w:rPr>
              <w:t>Utilidad Operacional sobre Activo Total</w:t>
            </w:r>
          </w:p>
        </w:tc>
        <w:tc>
          <w:tcPr>
            <w:tcW w:w="2596" w:type="dxa"/>
            <w:tcBorders>
              <w:top w:val="single" w:sz="4" w:space="0" w:color="000000"/>
              <w:left w:val="single" w:sz="4" w:space="0" w:color="000000"/>
              <w:bottom w:val="single" w:sz="4" w:space="0" w:color="auto"/>
              <w:right w:val="single" w:sz="4" w:space="0" w:color="000000"/>
            </w:tcBorders>
            <w:vAlign w:val="center"/>
          </w:tcPr>
          <w:p w14:paraId="453953BF" w14:textId="7454FB73" w:rsidR="002500B4" w:rsidRPr="00616FE1" w:rsidRDefault="002500B4" w:rsidP="00616FE1">
            <w:pPr>
              <w:spacing w:after="0"/>
              <w:jc w:val="center"/>
              <w:rPr>
                <w:rFonts w:ascii="Arial" w:hAnsi="Arial" w:cs="Arial"/>
                <w:bCs/>
              </w:rPr>
            </w:pPr>
            <w:r w:rsidRPr="00616FE1">
              <w:rPr>
                <w:rFonts w:ascii="Arial" w:hAnsi="Arial" w:cs="Arial"/>
                <w:bCs/>
              </w:rPr>
              <w:t xml:space="preserve">Mayor o igual a </w:t>
            </w:r>
            <w:r w:rsidR="00571E28">
              <w:rPr>
                <w:rFonts w:ascii="Arial" w:hAnsi="Arial" w:cs="Arial"/>
                <w:bCs/>
              </w:rPr>
              <w:t>2</w:t>
            </w:r>
            <w:r w:rsidRPr="00616FE1">
              <w:rPr>
                <w:rFonts w:ascii="Arial" w:hAnsi="Arial" w:cs="Arial"/>
                <w:bCs/>
              </w:rPr>
              <w:t>%</w:t>
            </w:r>
          </w:p>
        </w:tc>
      </w:tr>
    </w:tbl>
    <w:p w14:paraId="5C0956EE" w14:textId="77777777" w:rsidR="0093519A" w:rsidRPr="00C76457" w:rsidRDefault="0093519A" w:rsidP="00616FE1">
      <w:pPr>
        <w:spacing w:after="0"/>
        <w:jc w:val="both"/>
        <w:rPr>
          <w:rFonts w:ascii="Arial" w:hAnsi="Arial" w:cs="Arial"/>
        </w:rPr>
      </w:pPr>
    </w:p>
    <w:p w14:paraId="03677B86" w14:textId="16D1A3E9" w:rsidR="0093519A" w:rsidRDefault="0093519A" w:rsidP="00061283">
      <w:pPr>
        <w:spacing w:after="0"/>
        <w:jc w:val="both"/>
        <w:rPr>
          <w:rFonts w:ascii="Arial" w:hAnsi="Arial" w:cs="Arial"/>
        </w:rPr>
      </w:pPr>
      <w:r w:rsidRPr="00C76457">
        <w:rPr>
          <w:rFonts w:ascii="Arial" w:hAnsi="Arial" w:cs="Arial"/>
        </w:rPr>
        <w:lastRenderedPageBreak/>
        <w:t xml:space="preserve">En el Pliego de Condiciones del proceso de selección se establece la forma como deberán acreditar los proponentes los Indicadores de Capacidad Financiera y Organizacional. </w:t>
      </w:r>
    </w:p>
    <w:p w14:paraId="53EF39A6" w14:textId="77777777" w:rsidR="00571E28" w:rsidRDefault="00571E28" w:rsidP="00061283">
      <w:pPr>
        <w:spacing w:after="0"/>
        <w:jc w:val="both"/>
        <w:rPr>
          <w:rFonts w:ascii="Arial" w:hAnsi="Arial" w:cs="Arial"/>
        </w:rPr>
      </w:pPr>
    </w:p>
    <w:p w14:paraId="1E6537EF" w14:textId="52AC46C5" w:rsidR="00571E28" w:rsidRPr="00571E28" w:rsidRDefault="00571E28" w:rsidP="00571E28">
      <w:pPr>
        <w:pStyle w:val="Prrafodelista"/>
        <w:numPr>
          <w:ilvl w:val="1"/>
          <w:numId w:val="18"/>
        </w:numPr>
        <w:spacing w:after="0"/>
        <w:jc w:val="both"/>
        <w:rPr>
          <w:rFonts w:ascii="Arial" w:hAnsi="Arial" w:cs="Arial"/>
          <w:b/>
          <w:bCs/>
          <w:lang w:eastAsia="es-CO"/>
        </w:rPr>
      </w:pPr>
      <w:r w:rsidRPr="00571E28">
        <w:rPr>
          <w:rFonts w:ascii="Arial" w:hAnsi="Arial" w:cs="Arial"/>
          <w:b/>
          <w:bCs/>
          <w:lang w:eastAsia="es-CO"/>
        </w:rPr>
        <w:t>Capacidad residual.</w:t>
      </w:r>
    </w:p>
    <w:p w14:paraId="176EF63D" w14:textId="77777777" w:rsidR="00571E28" w:rsidRPr="00571E28" w:rsidRDefault="00571E28" w:rsidP="00571E28">
      <w:pPr>
        <w:spacing w:after="0"/>
        <w:jc w:val="both"/>
        <w:rPr>
          <w:rFonts w:ascii="Arial" w:hAnsi="Arial" w:cs="Arial"/>
          <w:lang w:eastAsia="es-CO"/>
        </w:rPr>
      </w:pPr>
    </w:p>
    <w:p w14:paraId="79DB7A03" w14:textId="77777777" w:rsidR="00571E28" w:rsidRPr="00571E28" w:rsidRDefault="00571E28" w:rsidP="00571E28">
      <w:pPr>
        <w:pStyle w:val="Default"/>
        <w:jc w:val="both"/>
        <w:rPr>
          <w:rFonts w:ascii="Arial" w:hAnsi="Arial" w:cs="Arial"/>
          <w:sz w:val="22"/>
          <w:szCs w:val="22"/>
        </w:rPr>
      </w:pPr>
      <w:r w:rsidRPr="00571E28">
        <w:rPr>
          <w:rFonts w:ascii="Arial" w:hAnsi="Arial" w:cs="Arial"/>
          <w:sz w:val="22"/>
          <w:szCs w:val="22"/>
        </w:rPr>
        <w:t xml:space="preserve">La Capacidad Residual es la aptitud de un contratista para cumplir oportuna y cabalmente con el objeto de un contrato, sin que sus otros compromisos contractuales afecten su habilidad de responder con el contrato objeto del Proceso de Selección. </w:t>
      </w:r>
    </w:p>
    <w:p w14:paraId="73E4B9FA" w14:textId="77777777" w:rsidR="00571E28" w:rsidRPr="00571E28" w:rsidRDefault="00571E28" w:rsidP="00571E28">
      <w:pPr>
        <w:pStyle w:val="Default"/>
        <w:jc w:val="both"/>
        <w:rPr>
          <w:rFonts w:ascii="Arial" w:hAnsi="Arial" w:cs="Arial"/>
          <w:sz w:val="22"/>
          <w:szCs w:val="22"/>
        </w:rPr>
      </w:pPr>
    </w:p>
    <w:p w14:paraId="28BF9373" w14:textId="77777777" w:rsidR="00571E28" w:rsidRPr="00571E28" w:rsidRDefault="00571E28" w:rsidP="00571E28">
      <w:pPr>
        <w:pStyle w:val="Default"/>
        <w:jc w:val="both"/>
        <w:rPr>
          <w:rFonts w:ascii="Arial" w:hAnsi="Arial" w:cs="Arial"/>
          <w:sz w:val="22"/>
          <w:szCs w:val="22"/>
        </w:rPr>
      </w:pPr>
      <w:r w:rsidRPr="00571E28">
        <w:rPr>
          <w:rFonts w:ascii="Arial" w:hAnsi="Arial" w:cs="Arial"/>
          <w:sz w:val="22"/>
          <w:szCs w:val="22"/>
        </w:rPr>
        <w:t>El proponente debe demostrar que su operación o actividad comercial le permite asumir nuevas obligaciones derivadas del contrato objeto del Proceso de Contratación. Por lo cual, el proponente en un Proceso de Contratación debe presentar la siguiente información para acreditar su Capacidad Residual:</w:t>
      </w:r>
    </w:p>
    <w:p w14:paraId="58885E58" w14:textId="77777777" w:rsidR="00571E28" w:rsidRPr="00571E28" w:rsidRDefault="00571E28" w:rsidP="00571E28">
      <w:pPr>
        <w:pStyle w:val="Default"/>
        <w:jc w:val="both"/>
        <w:rPr>
          <w:rFonts w:ascii="Arial" w:hAnsi="Arial" w:cs="Arial"/>
          <w:sz w:val="22"/>
          <w:szCs w:val="22"/>
        </w:rPr>
      </w:pPr>
    </w:p>
    <w:p w14:paraId="02983F52" w14:textId="77777777" w:rsidR="00571E28" w:rsidRPr="00571E28" w:rsidRDefault="00571E28" w:rsidP="00571E28">
      <w:pPr>
        <w:pStyle w:val="Default"/>
        <w:numPr>
          <w:ilvl w:val="0"/>
          <w:numId w:val="56"/>
        </w:numPr>
        <w:jc w:val="both"/>
        <w:rPr>
          <w:rFonts w:ascii="Arial" w:hAnsi="Arial" w:cs="Arial"/>
          <w:sz w:val="22"/>
          <w:szCs w:val="22"/>
        </w:rPr>
      </w:pPr>
      <w:r w:rsidRPr="00571E28">
        <w:rPr>
          <w:rFonts w:ascii="Arial" w:hAnsi="Arial" w:cs="Arial"/>
          <w:sz w:val="22"/>
          <w:szCs w:val="22"/>
        </w:rPr>
        <w:t>La lista de los Contratos en Ejecución, así como el valor y plazo de tales contratos.</w:t>
      </w:r>
    </w:p>
    <w:p w14:paraId="25C1EF1A" w14:textId="77777777" w:rsidR="00571E28" w:rsidRPr="00571E28" w:rsidRDefault="00571E28" w:rsidP="00571E28">
      <w:pPr>
        <w:pStyle w:val="Default"/>
        <w:numPr>
          <w:ilvl w:val="0"/>
          <w:numId w:val="56"/>
        </w:numPr>
        <w:jc w:val="both"/>
        <w:rPr>
          <w:rFonts w:ascii="Arial" w:hAnsi="Arial" w:cs="Arial"/>
          <w:sz w:val="22"/>
          <w:szCs w:val="22"/>
        </w:rPr>
      </w:pPr>
      <w:r w:rsidRPr="00571E28">
        <w:rPr>
          <w:rFonts w:ascii="Arial" w:hAnsi="Arial" w:cs="Arial"/>
          <w:sz w:val="22"/>
          <w:szCs w:val="22"/>
        </w:rPr>
        <w:t>La lista de los Contratos en Ejecución, suscritos por sociedades, consorcios o uniones temporales, en los cuales el proponente tenga participación, así como el valor y plazo de tales contratos.</w:t>
      </w:r>
    </w:p>
    <w:p w14:paraId="1BFE88C6" w14:textId="77777777" w:rsidR="00571E28" w:rsidRPr="00571E28" w:rsidRDefault="00571E28" w:rsidP="00571E28">
      <w:pPr>
        <w:pStyle w:val="Default"/>
        <w:numPr>
          <w:ilvl w:val="0"/>
          <w:numId w:val="56"/>
        </w:numPr>
        <w:jc w:val="both"/>
        <w:rPr>
          <w:rFonts w:ascii="Arial" w:hAnsi="Arial" w:cs="Arial"/>
          <w:sz w:val="22"/>
          <w:szCs w:val="22"/>
        </w:rPr>
      </w:pPr>
      <w:r w:rsidRPr="00571E28">
        <w:rPr>
          <w:rFonts w:ascii="Arial" w:hAnsi="Arial" w:cs="Arial"/>
          <w:sz w:val="22"/>
          <w:szCs w:val="22"/>
        </w:rPr>
        <w:t>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w:t>
      </w:r>
    </w:p>
    <w:p w14:paraId="0ED1D39F" w14:textId="77777777" w:rsidR="00571E28" w:rsidRPr="00571E28" w:rsidRDefault="00571E28" w:rsidP="00571E28">
      <w:pPr>
        <w:pStyle w:val="Default"/>
        <w:ind w:left="720"/>
        <w:jc w:val="both"/>
        <w:rPr>
          <w:rFonts w:ascii="Arial" w:hAnsi="Arial" w:cs="Arial"/>
          <w:sz w:val="22"/>
          <w:szCs w:val="22"/>
          <w:highlight w:val="yellow"/>
        </w:rPr>
      </w:pPr>
    </w:p>
    <w:p w14:paraId="22B03D60" w14:textId="77777777" w:rsidR="00571E28" w:rsidRPr="00571E28" w:rsidRDefault="00571E28" w:rsidP="00571E28">
      <w:pPr>
        <w:pStyle w:val="Default"/>
        <w:jc w:val="both"/>
        <w:rPr>
          <w:rFonts w:ascii="Arial" w:hAnsi="Arial" w:cs="Arial"/>
          <w:sz w:val="22"/>
          <w:szCs w:val="22"/>
        </w:rPr>
      </w:pPr>
      <w:r w:rsidRPr="00571E28">
        <w:rPr>
          <w:rFonts w:ascii="Arial" w:hAnsi="Arial" w:cs="Arial"/>
          <w:sz w:val="22"/>
          <w:szCs w:val="22"/>
        </w:rPr>
        <w:t xml:space="preserve">La Capacidad Residual debe ser calculada por cada oferente, y adjuntar junto a la propuesta el </w:t>
      </w:r>
      <w:r w:rsidRPr="00571E28">
        <w:rPr>
          <w:rFonts w:ascii="Arial" w:hAnsi="Arial" w:cs="Arial"/>
          <w:b/>
          <w:bCs/>
          <w:sz w:val="22"/>
          <w:szCs w:val="22"/>
        </w:rPr>
        <w:t xml:space="preserve">Anexo 1 - Certificación de contratos para acreditación de experiencia y el Anexo 2 - Certificación de la Capacidad Técnica </w:t>
      </w:r>
      <w:r w:rsidRPr="00571E28">
        <w:rPr>
          <w:rFonts w:ascii="Arial" w:hAnsi="Arial" w:cs="Arial"/>
          <w:sz w:val="22"/>
          <w:szCs w:val="22"/>
        </w:rPr>
        <w:t>de la Guía para Determinar y Verificar la Capacidad Residual del Proponente en los Procesos de Contratación de Obra Pública, de Colombia Compra Eficiente, estos documentos deberán estar escaneados y firmados por el Representante Legal, el Contador y/o el Revisor Fiscal (si la sociedad está obligada), de acuerdo con la “Guía para Determinar y Verificar la Capacidad Residual del Proponente en los Procesos de Contratación de Obra Pública” de Colombia Compra Eficiente.</w:t>
      </w:r>
    </w:p>
    <w:p w14:paraId="5E2F51B5" w14:textId="77777777" w:rsidR="00571E28" w:rsidRPr="00571E28" w:rsidRDefault="00571E28" w:rsidP="00571E28">
      <w:pPr>
        <w:pStyle w:val="Default"/>
        <w:jc w:val="both"/>
        <w:rPr>
          <w:rFonts w:ascii="Arial" w:hAnsi="Arial" w:cs="Arial"/>
          <w:sz w:val="22"/>
          <w:szCs w:val="22"/>
        </w:rPr>
      </w:pPr>
    </w:p>
    <w:p w14:paraId="585E71AE" w14:textId="77777777" w:rsidR="00571E28" w:rsidRPr="00571E28" w:rsidRDefault="00571E28" w:rsidP="00571E28">
      <w:pPr>
        <w:pStyle w:val="Default"/>
        <w:jc w:val="both"/>
        <w:rPr>
          <w:rFonts w:ascii="Arial" w:hAnsi="Arial" w:cs="Arial"/>
          <w:sz w:val="22"/>
          <w:szCs w:val="22"/>
        </w:rPr>
      </w:pPr>
      <w:r w:rsidRPr="00571E28">
        <w:rPr>
          <w:rFonts w:ascii="Arial" w:hAnsi="Arial" w:cs="Arial"/>
          <w:sz w:val="22"/>
          <w:szCs w:val="22"/>
        </w:rPr>
        <w:t>Los proponentes extranjeros sin sucursal en Colombia deben acreditar los factores de ponderación para el cálculo de la Capacidad Residual de la siguiente forma:</w:t>
      </w:r>
    </w:p>
    <w:p w14:paraId="3A3C13C0" w14:textId="77777777" w:rsidR="00571E28" w:rsidRPr="00571E28" w:rsidRDefault="00571E28" w:rsidP="00571E28">
      <w:pPr>
        <w:pStyle w:val="Default"/>
        <w:jc w:val="both"/>
        <w:rPr>
          <w:rFonts w:ascii="Arial" w:hAnsi="Arial" w:cs="Arial"/>
          <w:sz w:val="22"/>
          <w:szCs w:val="22"/>
        </w:rPr>
      </w:pPr>
    </w:p>
    <w:p w14:paraId="2DCE8A0A" w14:textId="77777777" w:rsidR="00571E28" w:rsidRPr="00571E28" w:rsidRDefault="00571E28" w:rsidP="00571E28">
      <w:pPr>
        <w:pStyle w:val="Default"/>
        <w:numPr>
          <w:ilvl w:val="0"/>
          <w:numId w:val="57"/>
        </w:numPr>
        <w:jc w:val="both"/>
        <w:rPr>
          <w:rFonts w:ascii="Arial" w:hAnsi="Arial" w:cs="Arial"/>
          <w:sz w:val="22"/>
          <w:szCs w:val="22"/>
        </w:rPr>
      </w:pPr>
      <w:r w:rsidRPr="00571E28">
        <w:rPr>
          <w:rFonts w:ascii="Arial" w:hAnsi="Arial" w:cs="Arial"/>
          <w:sz w:val="22"/>
          <w:szCs w:val="22"/>
        </w:rPr>
        <w:t>Capacidad de organización y financiera: deben presentar sus estados financieros en la moneda legal del país en el cual fueron emitidos y adicionalmente en pesos colombianos. El proponente y Transmilenio S.A para efectos de acreditar y verificar los requisitos tendrán en cuenta la tasa representativa del mercado vigente en la fecha en la cual los estados financieros fueron expedidos. Para el efecto, el proponente y la Entidad tendrán en cuenta las tasas de cambio certificadas por la Superintendencia Financiera.</w:t>
      </w:r>
    </w:p>
    <w:p w14:paraId="67925A94" w14:textId="77777777" w:rsidR="00571E28" w:rsidRPr="00571E28" w:rsidRDefault="00571E28" w:rsidP="00571E28">
      <w:pPr>
        <w:pStyle w:val="Default"/>
        <w:numPr>
          <w:ilvl w:val="0"/>
          <w:numId w:val="57"/>
        </w:numPr>
        <w:jc w:val="both"/>
        <w:rPr>
          <w:rFonts w:ascii="Arial" w:hAnsi="Arial" w:cs="Arial"/>
          <w:sz w:val="22"/>
          <w:szCs w:val="22"/>
        </w:rPr>
      </w:pPr>
      <w:r w:rsidRPr="00571E28">
        <w:rPr>
          <w:rFonts w:ascii="Arial" w:hAnsi="Arial" w:cs="Arial"/>
          <w:sz w:val="22"/>
          <w:szCs w:val="22"/>
        </w:rPr>
        <w:lastRenderedPageBreak/>
        <w:t>Experiencia: deben presentar el Anexo 1 - Certificación de contratos para acreditación de experiencia, suscrito por el representante legal y revisor fiscal o contador del proponente, de acuerdo con la “Guía para Determinar y Verificar la Capacidad Residual del Proponente en los Procesos de Contratación de Obra Pública” de Colombia Compra Eficiente. El proponente debe aportar copia de los contratos ejecutados o certificaciones de terceros que hubieran recibido los servicios de construcción de obras civiles con terceros, bien sean públicos o privados.</w:t>
      </w:r>
    </w:p>
    <w:p w14:paraId="74A9BB66" w14:textId="77777777" w:rsidR="00571E28" w:rsidRPr="00571E28" w:rsidRDefault="00571E28" w:rsidP="00571E28">
      <w:pPr>
        <w:pStyle w:val="Default"/>
        <w:jc w:val="both"/>
        <w:rPr>
          <w:rFonts w:ascii="Arial" w:hAnsi="Arial" w:cs="Arial"/>
          <w:sz w:val="22"/>
          <w:szCs w:val="22"/>
        </w:rPr>
      </w:pPr>
    </w:p>
    <w:p w14:paraId="2E873DE1" w14:textId="77777777" w:rsidR="00571E28" w:rsidRPr="00571E28" w:rsidRDefault="00571E28" w:rsidP="00571E28">
      <w:pPr>
        <w:pStyle w:val="Default"/>
        <w:jc w:val="both"/>
        <w:rPr>
          <w:rFonts w:ascii="Arial" w:hAnsi="Arial" w:cs="Arial"/>
          <w:sz w:val="22"/>
          <w:szCs w:val="22"/>
        </w:rPr>
      </w:pPr>
      <w:r w:rsidRPr="00571E28">
        <w:rPr>
          <w:rFonts w:ascii="Arial" w:hAnsi="Arial" w:cs="Arial"/>
          <w:sz w:val="22"/>
          <w:szCs w:val="22"/>
        </w:rPr>
        <w:t xml:space="preserve">Los proponentes extranjeros que de acuerdo con las normas aplicables aprueben sus estados financieros auditados con corte a 31 de diciembre en una fecha posterior al quinto día hábil del mes de abril, pueden presentar sus estados financieros a 31 de diciembre suscritos por el representante legal junto con un </w:t>
      </w:r>
      <w:proofErr w:type="spellStart"/>
      <w:r w:rsidRPr="00571E28">
        <w:rPr>
          <w:rFonts w:ascii="Arial" w:hAnsi="Arial" w:cs="Arial"/>
          <w:sz w:val="22"/>
          <w:szCs w:val="22"/>
        </w:rPr>
        <w:t>pre-informe</w:t>
      </w:r>
      <w:proofErr w:type="spellEnd"/>
      <w:r w:rsidRPr="00571E28">
        <w:rPr>
          <w:rFonts w:ascii="Arial" w:hAnsi="Arial" w:cs="Arial"/>
          <w:sz w:val="22"/>
          <w:szCs w:val="22"/>
        </w:rPr>
        <w:t xml:space="preserve"> de auditoría en el cual el auditor o el revisor fiscal certifique que: </w:t>
      </w:r>
    </w:p>
    <w:p w14:paraId="155DA41A" w14:textId="77777777" w:rsidR="00571E28" w:rsidRPr="00571E28" w:rsidRDefault="00571E28" w:rsidP="00571E28">
      <w:pPr>
        <w:pStyle w:val="Default"/>
        <w:jc w:val="both"/>
        <w:rPr>
          <w:rFonts w:ascii="Arial" w:hAnsi="Arial" w:cs="Arial"/>
          <w:sz w:val="22"/>
          <w:szCs w:val="22"/>
        </w:rPr>
      </w:pPr>
    </w:p>
    <w:p w14:paraId="446D383C" w14:textId="77777777" w:rsidR="00571E28" w:rsidRPr="00571E28" w:rsidRDefault="00571E28" w:rsidP="00571E28">
      <w:pPr>
        <w:pStyle w:val="Default"/>
        <w:numPr>
          <w:ilvl w:val="0"/>
          <w:numId w:val="58"/>
        </w:numPr>
        <w:jc w:val="both"/>
        <w:rPr>
          <w:rFonts w:ascii="Arial" w:hAnsi="Arial" w:cs="Arial"/>
          <w:sz w:val="22"/>
          <w:szCs w:val="22"/>
        </w:rPr>
      </w:pPr>
      <w:r w:rsidRPr="00571E28">
        <w:rPr>
          <w:rFonts w:ascii="Arial" w:hAnsi="Arial" w:cs="Arial"/>
          <w:sz w:val="22"/>
          <w:szCs w:val="22"/>
        </w:rPr>
        <w:t>la información financiera presentada a TRANSMILENIO S.A es la entregada al auditor o revisor fiscal para cumplir su función de auditoría.</w:t>
      </w:r>
    </w:p>
    <w:p w14:paraId="2D1337E1" w14:textId="77777777" w:rsidR="00571E28" w:rsidRPr="00571E28" w:rsidRDefault="00571E28" w:rsidP="00571E28">
      <w:pPr>
        <w:pStyle w:val="Default"/>
        <w:numPr>
          <w:ilvl w:val="0"/>
          <w:numId w:val="58"/>
        </w:numPr>
        <w:jc w:val="both"/>
        <w:rPr>
          <w:rFonts w:ascii="Arial" w:hAnsi="Arial" w:cs="Arial"/>
          <w:sz w:val="22"/>
          <w:szCs w:val="22"/>
        </w:rPr>
      </w:pPr>
      <w:r w:rsidRPr="00571E28">
        <w:rPr>
          <w:rFonts w:ascii="Arial" w:hAnsi="Arial" w:cs="Arial"/>
          <w:sz w:val="22"/>
          <w:szCs w:val="22"/>
        </w:rPr>
        <w:t>el proponente en forma regular y para ejercicios contables anteriores ha adoptado normas y principios de contabilidad generalmente aceptados para preparar su información y estados financieros. Esta disposición también es aplicable para la información que el proponente en estas condiciones debe presentar para inscribirse en el RUP de acuerdo con el Decreto 1082 de 2015.</w:t>
      </w:r>
    </w:p>
    <w:p w14:paraId="555383A9" w14:textId="77777777" w:rsidR="00571E28" w:rsidRPr="00571E28" w:rsidRDefault="00571E28" w:rsidP="00571E28">
      <w:pPr>
        <w:pStyle w:val="Default"/>
        <w:jc w:val="both"/>
        <w:rPr>
          <w:rFonts w:ascii="Arial" w:hAnsi="Arial" w:cs="Arial"/>
          <w:sz w:val="22"/>
          <w:szCs w:val="22"/>
        </w:rPr>
      </w:pPr>
    </w:p>
    <w:p w14:paraId="7FEECAD3" w14:textId="77777777" w:rsidR="00571E28" w:rsidRPr="00571E28" w:rsidRDefault="00571E28" w:rsidP="00571E28">
      <w:pPr>
        <w:pStyle w:val="Default"/>
        <w:jc w:val="both"/>
        <w:rPr>
          <w:rFonts w:ascii="Arial" w:hAnsi="Arial" w:cs="Arial"/>
          <w:sz w:val="22"/>
          <w:szCs w:val="22"/>
        </w:rPr>
      </w:pPr>
      <w:r w:rsidRPr="00571E28">
        <w:rPr>
          <w:rFonts w:ascii="Arial" w:hAnsi="Arial" w:cs="Arial"/>
          <w:sz w:val="22"/>
          <w:szCs w:val="22"/>
        </w:rPr>
        <w:t>La Capacidad Residual de un proponente plural debe ser la suma de la Capacidad Residual de cada uno de sus integrantes.</w:t>
      </w:r>
    </w:p>
    <w:p w14:paraId="06E7F818" w14:textId="77777777" w:rsidR="00571E28" w:rsidRPr="00571E28" w:rsidRDefault="00571E28" w:rsidP="00571E28">
      <w:pPr>
        <w:pStyle w:val="Default"/>
        <w:jc w:val="both"/>
        <w:rPr>
          <w:rFonts w:ascii="Arial" w:hAnsi="Arial" w:cs="Arial"/>
          <w:color w:val="58595B"/>
          <w:sz w:val="22"/>
          <w:szCs w:val="22"/>
        </w:rPr>
      </w:pPr>
    </w:p>
    <w:p w14:paraId="0C255284" w14:textId="77777777" w:rsidR="00571E28" w:rsidRPr="00571E28" w:rsidRDefault="00571E28" w:rsidP="00571E28">
      <w:pPr>
        <w:pStyle w:val="Default"/>
        <w:jc w:val="both"/>
        <w:rPr>
          <w:rFonts w:ascii="Arial" w:hAnsi="Arial" w:cs="Arial"/>
          <w:b/>
          <w:sz w:val="22"/>
          <w:szCs w:val="22"/>
          <w:u w:val="single"/>
        </w:rPr>
      </w:pPr>
      <w:r w:rsidRPr="00571E28">
        <w:rPr>
          <w:rFonts w:ascii="Arial" w:hAnsi="Arial" w:cs="Arial"/>
          <w:sz w:val="22"/>
          <w:szCs w:val="22"/>
        </w:rPr>
        <w:t xml:space="preserve">La Capacidad Residual que debe tener cada proponente para el presente Proceso de Contratación debe ser mayor o igual, al valor del presupuesto oficial menos el anticipo, sin embargo, toda vez que para el presente proceso de selección no se estableció anticipo, la capacidad residual es igual al valor del presupuesto oficial, es decir </w:t>
      </w:r>
      <w:r w:rsidRPr="00571E28">
        <w:rPr>
          <w:rFonts w:ascii="Arial" w:hAnsi="Arial" w:cs="Arial"/>
          <w:b/>
          <w:sz w:val="22"/>
          <w:szCs w:val="22"/>
          <w:u w:val="single"/>
        </w:rPr>
        <w:t>$3.757.773.272.</w:t>
      </w:r>
    </w:p>
    <w:p w14:paraId="35B19CDC" w14:textId="77777777" w:rsidR="00571E28" w:rsidRPr="00571E28" w:rsidRDefault="00571E28" w:rsidP="00571E28">
      <w:pPr>
        <w:spacing w:after="0"/>
        <w:jc w:val="both"/>
        <w:rPr>
          <w:rFonts w:ascii="Arial" w:hAnsi="Arial" w:cs="Arial"/>
          <w:lang w:eastAsia="es-CO"/>
        </w:rPr>
      </w:pPr>
    </w:p>
    <w:p w14:paraId="33FA823F" w14:textId="77777777" w:rsidR="0093519A" w:rsidRPr="00616FE1" w:rsidRDefault="0093519A" w:rsidP="00616FE1">
      <w:pPr>
        <w:spacing w:after="0"/>
        <w:rPr>
          <w:rFonts w:ascii="Arial" w:hAnsi="Arial" w:cs="Arial"/>
          <w:lang w:eastAsia="es-CO"/>
        </w:rPr>
      </w:pPr>
    </w:p>
    <w:p w14:paraId="678FD19E" w14:textId="77777777" w:rsidR="0093519A" w:rsidRPr="00C76457" w:rsidRDefault="0093519A" w:rsidP="00616FE1">
      <w:pPr>
        <w:pStyle w:val="Ttulo1"/>
        <w:numPr>
          <w:ilvl w:val="0"/>
          <w:numId w:val="9"/>
        </w:numPr>
        <w:tabs>
          <w:tab w:val="left" w:pos="142"/>
        </w:tabs>
        <w:spacing w:before="0"/>
        <w:ind w:left="720"/>
        <w:rPr>
          <w:rFonts w:cs="Arial"/>
          <w:color w:val="auto"/>
          <w:sz w:val="22"/>
          <w:szCs w:val="22"/>
          <w:lang w:val="es-MX" w:eastAsia="es-CO"/>
        </w:rPr>
      </w:pPr>
      <w:bookmarkStart w:id="18" w:name="_Toc233125477"/>
      <w:bookmarkStart w:id="19" w:name="_Toc233125478"/>
      <w:bookmarkStart w:id="20" w:name="_Toc233125479"/>
      <w:bookmarkStart w:id="21" w:name="_Toc233125480"/>
      <w:bookmarkStart w:id="22" w:name="_Toc233125481"/>
      <w:bookmarkStart w:id="23" w:name="_Toc233125482"/>
      <w:bookmarkStart w:id="24" w:name="_Toc233125483"/>
      <w:bookmarkStart w:id="25" w:name="_Toc233125504"/>
      <w:bookmarkStart w:id="26" w:name="_Toc233125505"/>
      <w:bookmarkStart w:id="27" w:name="_Toc233125506"/>
      <w:bookmarkStart w:id="28" w:name="_Toc233125507"/>
      <w:bookmarkStart w:id="29" w:name="_Toc233125508"/>
      <w:bookmarkStart w:id="30" w:name="_Toc233125509"/>
      <w:bookmarkStart w:id="31" w:name="_Toc233125510"/>
      <w:bookmarkStart w:id="32" w:name="_Toc233125511"/>
      <w:bookmarkStart w:id="33" w:name="_Toc233125512"/>
      <w:bookmarkStart w:id="34" w:name="_Toc233125513"/>
      <w:bookmarkStart w:id="35" w:name="_Toc233125514"/>
      <w:bookmarkStart w:id="36" w:name="_Toc233125515"/>
      <w:bookmarkStart w:id="37" w:name="_Toc233125516"/>
      <w:bookmarkStart w:id="38" w:name="_Toc233125517"/>
      <w:bookmarkStart w:id="39" w:name="_Toc233125518"/>
      <w:bookmarkStart w:id="40" w:name="_Toc233125519"/>
      <w:bookmarkStart w:id="41" w:name="_Toc233125532"/>
      <w:bookmarkStart w:id="42" w:name="_Toc233125533"/>
      <w:bookmarkStart w:id="43" w:name="_Toc233125534"/>
      <w:bookmarkStart w:id="44" w:name="_Toc233125535"/>
      <w:bookmarkStart w:id="45" w:name="_Toc233125536"/>
      <w:bookmarkStart w:id="46" w:name="_Toc233125537"/>
      <w:bookmarkStart w:id="47" w:name="_Toc233125538"/>
      <w:bookmarkStart w:id="48" w:name="_Toc233125539"/>
      <w:bookmarkStart w:id="49" w:name="_Toc233125540"/>
      <w:bookmarkStart w:id="50" w:name="_Toc233125541"/>
      <w:bookmarkStart w:id="51" w:name="_Toc233125542"/>
      <w:bookmarkStart w:id="52" w:name="_Toc209707501"/>
      <w:bookmarkStart w:id="53" w:name="_Toc24209125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C76457">
        <w:rPr>
          <w:rFonts w:cs="Arial"/>
          <w:color w:val="auto"/>
          <w:sz w:val="22"/>
          <w:szCs w:val="22"/>
          <w:lang w:val="es-MX" w:eastAsia="es-CO"/>
        </w:rPr>
        <w:t>ANÁLISIS DE COSTOS Y/O PRECIOS PROMEDIO DE SECTOR</w:t>
      </w:r>
      <w:bookmarkEnd w:id="52"/>
      <w:bookmarkEnd w:id="53"/>
    </w:p>
    <w:p w14:paraId="34A0FE6C" w14:textId="77777777" w:rsidR="009D7061" w:rsidRDefault="009D7061" w:rsidP="002F1D05">
      <w:pPr>
        <w:spacing w:after="0"/>
        <w:rPr>
          <w:rFonts w:ascii="Arial" w:hAnsi="Arial" w:cs="Arial"/>
          <w:color w:val="808080" w:themeColor="background1" w:themeShade="80"/>
          <w:lang w:val="es-MX" w:eastAsia="es-CO"/>
        </w:rPr>
      </w:pPr>
    </w:p>
    <w:p w14:paraId="2C9D5AE4" w14:textId="46425B1C" w:rsidR="008E2A08" w:rsidRPr="00915023" w:rsidRDefault="008E2A08" w:rsidP="00915023">
      <w:pPr>
        <w:pStyle w:val="Prrafodelista"/>
        <w:numPr>
          <w:ilvl w:val="1"/>
          <w:numId w:val="9"/>
        </w:numPr>
        <w:spacing w:after="0"/>
        <w:rPr>
          <w:rFonts w:ascii="Arial" w:hAnsi="Arial" w:cs="Arial"/>
          <w:b/>
          <w:bCs/>
        </w:rPr>
      </w:pPr>
      <w:r w:rsidRPr="00915023">
        <w:rPr>
          <w:rFonts w:ascii="Arial" w:hAnsi="Arial" w:cs="Arial"/>
          <w:b/>
          <w:bCs/>
        </w:rPr>
        <w:t>Precios promedio del Sector</w:t>
      </w:r>
    </w:p>
    <w:p w14:paraId="243C5E17" w14:textId="4BD944BB" w:rsidR="002623FA" w:rsidRPr="00C76457" w:rsidRDefault="002623FA" w:rsidP="00616FE1">
      <w:pPr>
        <w:spacing w:after="0"/>
        <w:jc w:val="both"/>
        <w:rPr>
          <w:rFonts w:ascii="Arial" w:hAnsi="Arial" w:cs="Arial"/>
        </w:rPr>
      </w:pPr>
      <w:r w:rsidRPr="00C76457">
        <w:rPr>
          <w:rFonts w:ascii="Arial" w:hAnsi="Arial" w:cs="Arial"/>
        </w:rPr>
        <w:t xml:space="preserve">Con el propósito de establecer los precios promedio del mercado para los servicios requeridos </w:t>
      </w:r>
      <w:r w:rsidR="0059064C" w:rsidRPr="00C76457">
        <w:rPr>
          <w:rFonts w:ascii="Arial" w:hAnsi="Arial" w:cs="Arial"/>
        </w:rPr>
        <w:t>para el desmantelamiento de las estaciones de servicio EDS Diesel de los patios troncales Calle 80, Suba y Américas</w:t>
      </w:r>
      <w:r w:rsidRPr="00C76457">
        <w:rPr>
          <w:rFonts w:ascii="Arial" w:hAnsi="Arial" w:cs="Arial"/>
        </w:rPr>
        <w:t xml:space="preserve"> y verificar la suficiencia del presupuesto previamente asignado para este proceso contractual, se llevó a cabo una solicitud de cotización a través de la plataforma transaccional SECOP II.</w:t>
      </w:r>
      <w:r w:rsidRPr="00C76457">
        <w:rPr>
          <w:rStyle w:val="Refdenotaalpie"/>
          <w:rFonts w:ascii="Arial" w:hAnsi="Arial" w:cs="Arial"/>
          <w:lang w:val="es-ES_tradnl"/>
        </w:rPr>
        <w:footnoteReference w:id="60"/>
      </w:r>
    </w:p>
    <w:p w14:paraId="3AF252FD" w14:textId="77777777" w:rsidR="002623FA" w:rsidRPr="00C76457" w:rsidRDefault="002623FA" w:rsidP="00616FE1">
      <w:pPr>
        <w:spacing w:after="0"/>
        <w:jc w:val="both"/>
        <w:rPr>
          <w:rFonts w:ascii="Arial" w:hAnsi="Arial" w:cs="Arial"/>
        </w:rPr>
      </w:pPr>
    </w:p>
    <w:p w14:paraId="7D667FB2" w14:textId="77777777" w:rsidR="002623FA" w:rsidRPr="00C76457" w:rsidRDefault="002623FA" w:rsidP="00616FE1">
      <w:pPr>
        <w:spacing w:after="0"/>
        <w:jc w:val="both"/>
        <w:rPr>
          <w:rFonts w:ascii="Arial" w:hAnsi="Arial" w:cs="Arial"/>
          <w:lang w:val="es-ES_tradnl"/>
        </w:rPr>
      </w:pPr>
      <w:r w:rsidRPr="00C76457">
        <w:rPr>
          <w:rFonts w:ascii="Arial" w:hAnsi="Arial" w:cs="Arial"/>
        </w:rPr>
        <w:t xml:space="preserve">Para tal fin, se elaboró un documento técnico que consolidó la información relevante sobre las necesidades específicas de la Entidad, el alcance del servicio requerido, los productos </w:t>
      </w:r>
      <w:r w:rsidRPr="00C76457">
        <w:rPr>
          <w:rFonts w:ascii="Arial" w:hAnsi="Arial" w:cs="Arial"/>
        </w:rPr>
        <w:lastRenderedPageBreak/>
        <w:t>esperados, el marco normativo aplicable, así como las condiciones técnicas y contractuales que rigen la contratación. Este ejercicio permitió obtener referencias de mercado confiables, alineadas con los estándares del sector, y sirvió como insumo para validar la viabilidad financiera del proceso.</w:t>
      </w:r>
      <w:r w:rsidRPr="00C76457">
        <w:rPr>
          <w:rFonts w:ascii="Arial" w:hAnsi="Arial" w:cs="Arial"/>
          <w:lang w:val="es-ES_tradnl"/>
        </w:rPr>
        <w:t xml:space="preserve"> </w:t>
      </w:r>
    </w:p>
    <w:p w14:paraId="603DD8A2" w14:textId="77777777" w:rsidR="002623FA" w:rsidRPr="00C76457" w:rsidRDefault="002623FA" w:rsidP="00616FE1">
      <w:pPr>
        <w:spacing w:after="0"/>
        <w:jc w:val="both"/>
        <w:rPr>
          <w:rFonts w:ascii="Arial" w:hAnsi="Arial" w:cs="Arial"/>
          <w:lang w:val="es-ES_tradnl"/>
        </w:rPr>
      </w:pPr>
    </w:p>
    <w:p w14:paraId="3FAC9A31" w14:textId="7CF3BC10" w:rsidR="002623FA" w:rsidRDefault="002623FA" w:rsidP="00616FE1">
      <w:pPr>
        <w:spacing w:after="0"/>
        <w:jc w:val="both"/>
        <w:rPr>
          <w:rFonts w:ascii="Arial" w:hAnsi="Arial" w:cs="Arial"/>
          <w:lang w:val="es-ES_tradnl"/>
        </w:rPr>
      </w:pPr>
      <w:r w:rsidRPr="00C76457">
        <w:rPr>
          <w:rFonts w:ascii="Arial" w:hAnsi="Arial" w:cs="Arial"/>
          <w:lang w:val="es-ES_tradnl"/>
        </w:rPr>
        <w:t>El formato de solicitud de cotización se estructuró con el fin de obtener el valor total a todo costo, incluyendo IVA y todos los gastos, impuestos, deducciones, retenciones, tasas y gravámenes que legalmente haya lugar, así como los costos directos e indirectos que se generen</w:t>
      </w:r>
      <w:r w:rsidR="003A355A">
        <w:rPr>
          <w:rFonts w:ascii="Arial" w:hAnsi="Arial" w:cs="Arial"/>
          <w:lang w:val="es-ES_tradnl"/>
        </w:rPr>
        <w:t xml:space="preserve"> para las actividades necesarias para el desmantelamiento de las EDS Diesel</w:t>
      </w:r>
      <w:r w:rsidRPr="00C76457">
        <w:rPr>
          <w:rFonts w:ascii="Arial" w:hAnsi="Arial" w:cs="Arial"/>
          <w:lang w:val="es-ES_tradnl"/>
        </w:rPr>
        <w:t>.</w:t>
      </w:r>
    </w:p>
    <w:p w14:paraId="7F1D58AF" w14:textId="77777777" w:rsidR="00157B4F" w:rsidRPr="00C76457" w:rsidRDefault="00157B4F" w:rsidP="00616FE1">
      <w:pPr>
        <w:spacing w:after="0"/>
        <w:jc w:val="both"/>
        <w:rPr>
          <w:rFonts w:ascii="Arial" w:hAnsi="Arial" w:cs="Arial"/>
          <w:lang w:val="es-ES_tradnl"/>
        </w:rPr>
      </w:pPr>
    </w:p>
    <w:p w14:paraId="3FA262A9" w14:textId="77777777" w:rsidR="002623FA" w:rsidRPr="00C76457" w:rsidRDefault="002623FA" w:rsidP="00616FE1">
      <w:pPr>
        <w:spacing w:after="0"/>
        <w:jc w:val="both"/>
        <w:rPr>
          <w:rFonts w:ascii="Arial" w:hAnsi="Arial" w:cs="Arial"/>
          <w:lang w:val="es-ES_tradnl"/>
        </w:rPr>
      </w:pPr>
      <w:r w:rsidRPr="00C76457">
        <w:rPr>
          <w:rFonts w:ascii="Arial" w:hAnsi="Arial" w:cs="Arial"/>
          <w:lang w:val="es-ES_tradnl"/>
        </w:rPr>
        <w:t>Se desarrolló el siguiente cronograma:</w:t>
      </w:r>
    </w:p>
    <w:p w14:paraId="71D4351C" w14:textId="77777777" w:rsidR="009D7061" w:rsidRPr="00C76457" w:rsidRDefault="009D7061" w:rsidP="002F1D05">
      <w:pPr>
        <w:spacing w:after="0"/>
        <w:rPr>
          <w:rFonts w:ascii="Arial" w:hAnsi="Arial" w:cs="Arial"/>
          <w:color w:val="808080" w:themeColor="background1" w:themeShade="80"/>
          <w:lang w:val="es-ES_tradnl" w:eastAsia="es-CO"/>
        </w:rPr>
      </w:pPr>
    </w:p>
    <w:tbl>
      <w:tblPr>
        <w:tblW w:w="8781" w:type="dxa"/>
        <w:shd w:val="clear" w:color="auto" w:fill="FFFFFF"/>
        <w:tblCellMar>
          <w:top w:w="15" w:type="dxa"/>
          <w:left w:w="15" w:type="dxa"/>
          <w:bottom w:w="15" w:type="dxa"/>
          <w:right w:w="15" w:type="dxa"/>
        </w:tblCellMar>
        <w:tblLook w:val="04A0" w:firstRow="1" w:lastRow="0" w:firstColumn="1" w:lastColumn="0" w:noHBand="0" w:noVBand="1"/>
      </w:tblPr>
      <w:tblGrid>
        <w:gridCol w:w="2610"/>
        <w:gridCol w:w="1988"/>
        <w:gridCol w:w="1875"/>
        <w:gridCol w:w="2308"/>
      </w:tblGrid>
      <w:tr w:rsidR="00FF6DD6" w:rsidRPr="00BE5871" w14:paraId="2EA895C4" w14:textId="77777777" w:rsidTr="0089361B">
        <w:trPr>
          <w:trHeight w:val="429"/>
        </w:trPr>
        <w:tc>
          <w:tcPr>
            <w:tcW w:w="2610"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D9457D8" w14:textId="77777777" w:rsidR="00FF6DD6" w:rsidRPr="00BE5871" w:rsidRDefault="00FF6DD6" w:rsidP="00616FE1">
            <w:pPr>
              <w:spacing w:after="0"/>
              <w:jc w:val="center"/>
              <w:rPr>
                <w:rFonts w:ascii="Arial" w:eastAsia="Times New Roman" w:hAnsi="Arial" w:cs="Arial"/>
                <w:color w:val="000000"/>
                <w:sz w:val="18"/>
                <w:szCs w:val="18"/>
                <w:lang w:eastAsia="es-CO"/>
              </w:rPr>
            </w:pPr>
            <w:r w:rsidRPr="00BE5871">
              <w:rPr>
                <w:rFonts w:ascii="Arial" w:eastAsia="Times New Roman" w:hAnsi="Arial" w:cs="Arial"/>
                <w:color w:val="000000"/>
                <w:sz w:val="18"/>
                <w:szCs w:val="18"/>
                <w:bdr w:val="none" w:sz="0" w:space="0" w:color="auto" w:frame="1"/>
                <w:lang w:eastAsia="es-CO"/>
              </w:rPr>
              <w:t> </w:t>
            </w:r>
            <w:r w:rsidRPr="00BE5871">
              <w:rPr>
                <w:rFonts w:ascii="Arial" w:eastAsia="Times New Roman" w:hAnsi="Arial" w:cs="Arial"/>
                <w:b/>
                <w:bCs/>
                <w:color w:val="201F1E"/>
                <w:sz w:val="18"/>
                <w:szCs w:val="18"/>
                <w:bdr w:val="none" w:sz="0" w:space="0" w:color="auto" w:frame="1"/>
                <w:lang w:eastAsia="es-CO"/>
              </w:rPr>
              <w:t>ACTIVIDAD</w:t>
            </w:r>
          </w:p>
        </w:tc>
        <w:tc>
          <w:tcPr>
            <w:tcW w:w="1988"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EFAD3E9" w14:textId="77777777" w:rsidR="00FF6DD6" w:rsidRPr="00BE5871" w:rsidRDefault="00FF6DD6" w:rsidP="00616FE1">
            <w:pPr>
              <w:spacing w:after="0"/>
              <w:jc w:val="center"/>
              <w:rPr>
                <w:rFonts w:ascii="Arial" w:eastAsia="Times New Roman" w:hAnsi="Arial" w:cs="Arial"/>
                <w:color w:val="000000"/>
                <w:sz w:val="18"/>
                <w:szCs w:val="18"/>
                <w:lang w:eastAsia="es-CO"/>
              </w:rPr>
            </w:pPr>
            <w:r w:rsidRPr="00BE5871">
              <w:rPr>
                <w:rFonts w:ascii="Arial" w:eastAsia="Times New Roman" w:hAnsi="Arial" w:cs="Arial"/>
                <w:b/>
                <w:bCs/>
                <w:color w:val="201F1E"/>
                <w:sz w:val="18"/>
                <w:szCs w:val="18"/>
                <w:bdr w:val="none" w:sz="0" w:space="0" w:color="auto" w:frame="1"/>
                <w:lang w:eastAsia="es-CO"/>
              </w:rPr>
              <w:t>RESPONSABLE</w:t>
            </w:r>
          </w:p>
        </w:tc>
        <w:tc>
          <w:tcPr>
            <w:tcW w:w="1875"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7A04E56" w14:textId="77777777" w:rsidR="00FF6DD6" w:rsidRPr="00BE5871" w:rsidRDefault="00FF6DD6" w:rsidP="00616FE1">
            <w:pPr>
              <w:spacing w:after="0"/>
              <w:jc w:val="center"/>
              <w:rPr>
                <w:rFonts w:ascii="Arial" w:eastAsia="Times New Roman" w:hAnsi="Arial" w:cs="Arial"/>
                <w:color w:val="000000"/>
                <w:sz w:val="18"/>
                <w:szCs w:val="18"/>
                <w:lang w:eastAsia="es-CO"/>
              </w:rPr>
            </w:pPr>
            <w:r w:rsidRPr="00BE5871">
              <w:rPr>
                <w:rFonts w:ascii="Arial" w:eastAsia="Times New Roman" w:hAnsi="Arial" w:cs="Arial"/>
                <w:b/>
                <w:bCs/>
                <w:color w:val="201F1E"/>
                <w:sz w:val="18"/>
                <w:szCs w:val="18"/>
                <w:bdr w:val="none" w:sz="0" w:space="0" w:color="auto" w:frame="1"/>
                <w:lang w:eastAsia="es-CO"/>
              </w:rPr>
              <w:t>PLAZO</w:t>
            </w:r>
          </w:p>
        </w:tc>
        <w:tc>
          <w:tcPr>
            <w:tcW w:w="2308"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BEA1808" w14:textId="77777777" w:rsidR="00FF6DD6" w:rsidRPr="00BE5871" w:rsidRDefault="00FF6DD6" w:rsidP="00616FE1">
            <w:pPr>
              <w:spacing w:after="0"/>
              <w:jc w:val="center"/>
              <w:rPr>
                <w:rFonts w:ascii="Arial" w:eastAsia="Times New Roman" w:hAnsi="Arial" w:cs="Arial"/>
                <w:color w:val="000000"/>
                <w:sz w:val="18"/>
                <w:szCs w:val="18"/>
                <w:lang w:eastAsia="es-CO"/>
              </w:rPr>
            </w:pPr>
            <w:r w:rsidRPr="00BE5871">
              <w:rPr>
                <w:rFonts w:ascii="Arial" w:eastAsia="Times New Roman" w:hAnsi="Arial" w:cs="Arial"/>
                <w:b/>
                <w:bCs/>
                <w:color w:val="201F1E"/>
                <w:sz w:val="18"/>
                <w:szCs w:val="18"/>
                <w:bdr w:val="none" w:sz="0" w:space="0" w:color="auto" w:frame="1"/>
                <w:lang w:eastAsia="es-CO"/>
              </w:rPr>
              <w:t>DESTINO</w:t>
            </w:r>
          </w:p>
        </w:tc>
      </w:tr>
      <w:tr w:rsidR="00FF6DD6" w:rsidRPr="00BE5871" w14:paraId="66728AFD" w14:textId="77777777" w:rsidTr="0089361B">
        <w:trPr>
          <w:trHeight w:val="1092"/>
        </w:trPr>
        <w:tc>
          <w:tcPr>
            <w:tcW w:w="261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4865626" w14:textId="77777777" w:rsidR="00FF6DD6" w:rsidRPr="00BE5871" w:rsidRDefault="00FF6DD6" w:rsidP="00616FE1">
            <w:pPr>
              <w:spacing w:after="0"/>
              <w:jc w:val="both"/>
              <w:rPr>
                <w:rFonts w:ascii="Arial" w:eastAsia="Times New Roman" w:hAnsi="Arial" w:cs="Arial"/>
                <w:color w:val="000000"/>
                <w:sz w:val="18"/>
                <w:szCs w:val="18"/>
                <w:lang w:eastAsia="es-CO"/>
              </w:rPr>
            </w:pPr>
            <w:r w:rsidRPr="00BE5871">
              <w:rPr>
                <w:rFonts w:ascii="Arial" w:eastAsia="Times New Roman" w:hAnsi="Arial" w:cs="Arial"/>
                <w:color w:val="000000"/>
                <w:sz w:val="18"/>
                <w:szCs w:val="18"/>
                <w:bdr w:val="none" w:sz="0" w:space="0" w:color="auto" w:frame="1"/>
                <w:lang w:eastAsia="es-CO"/>
              </w:rPr>
              <w:t>Envío de la solicitud de cotización a través de la plataforma transaccional SECOP 2</w:t>
            </w:r>
          </w:p>
        </w:tc>
        <w:tc>
          <w:tcPr>
            <w:tcW w:w="198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0A3B066" w14:textId="77777777" w:rsidR="00FF6DD6" w:rsidRPr="00BE5871" w:rsidRDefault="00FF6DD6" w:rsidP="00616FE1">
            <w:pPr>
              <w:spacing w:after="0"/>
              <w:jc w:val="center"/>
              <w:rPr>
                <w:rFonts w:ascii="Arial" w:eastAsia="Times New Roman" w:hAnsi="Arial" w:cs="Arial"/>
                <w:color w:val="000000"/>
                <w:sz w:val="18"/>
                <w:szCs w:val="18"/>
                <w:lang w:eastAsia="es-CO"/>
              </w:rPr>
            </w:pPr>
            <w:r w:rsidRPr="00BE5871">
              <w:rPr>
                <w:rFonts w:ascii="Arial" w:eastAsia="Times New Roman" w:hAnsi="Arial" w:cs="Arial"/>
                <w:color w:val="000000"/>
                <w:sz w:val="18"/>
                <w:szCs w:val="18"/>
                <w:bdr w:val="none" w:sz="0" w:space="0" w:color="auto" w:frame="1"/>
                <w:lang w:eastAsia="es-CO"/>
              </w:rPr>
              <w:t>TRANSMILENIO S.A.</w:t>
            </w:r>
          </w:p>
        </w:tc>
        <w:tc>
          <w:tcPr>
            <w:tcW w:w="18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B2DC33" w14:textId="77777777" w:rsidR="00FF6DD6" w:rsidRPr="00BE5871" w:rsidRDefault="00FF6DD6" w:rsidP="00616FE1">
            <w:pPr>
              <w:spacing w:after="0"/>
              <w:jc w:val="both"/>
              <w:rPr>
                <w:rFonts w:ascii="Arial" w:eastAsia="Times New Roman" w:hAnsi="Arial" w:cs="Arial"/>
                <w:b/>
                <w:bCs/>
                <w:color w:val="000000"/>
                <w:sz w:val="18"/>
                <w:szCs w:val="18"/>
                <w:lang w:eastAsia="es-CO"/>
              </w:rPr>
            </w:pPr>
            <w:r w:rsidRPr="00BE5871">
              <w:rPr>
                <w:rFonts w:ascii="Arial" w:eastAsia="Times New Roman" w:hAnsi="Arial" w:cs="Arial"/>
                <w:b/>
                <w:bCs/>
                <w:color w:val="000000" w:themeColor="text1"/>
                <w:sz w:val="18"/>
                <w:szCs w:val="18"/>
                <w:lang w:eastAsia="es-CO"/>
              </w:rPr>
              <w:t>Martes, 24 de marzo de 2026</w:t>
            </w:r>
          </w:p>
        </w:tc>
        <w:tc>
          <w:tcPr>
            <w:tcW w:w="230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2B64B46" w14:textId="77777777" w:rsidR="00FF6DD6" w:rsidRPr="00BE5871" w:rsidRDefault="00FF6DD6" w:rsidP="00616FE1">
            <w:pPr>
              <w:spacing w:after="0"/>
              <w:jc w:val="both"/>
              <w:rPr>
                <w:rFonts w:ascii="Arial" w:eastAsia="Times New Roman" w:hAnsi="Arial" w:cs="Arial"/>
                <w:sz w:val="18"/>
                <w:szCs w:val="18"/>
                <w:lang w:eastAsia="es-CO"/>
              </w:rPr>
            </w:pPr>
            <w:r w:rsidRPr="00BE5871">
              <w:rPr>
                <w:rFonts w:ascii="Arial" w:eastAsia="Times New Roman" w:hAnsi="Arial" w:cs="Arial"/>
                <w:sz w:val="18"/>
                <w:szCs w:val="18"/>
                <w:lang w:eastAsia="es-CO"/>
              </w:rPr>
              <w:t xml:space="preserve">Proveedores </w:t>
            </w:r>
          </w:p>
        </w:tc>
      </w:tr>
      <w:tr w:rsidR="00FF6DD6" w:rsidRPr="00BE5871" w14:paraId="76E3E0C2" w14:textId="77777777" w:rsidTr="00C76457">
        <w:trPr>
          <w:trHeight w:val="310"/>
        </w:trPr>
        <w:tc>
          <w:tcPr>
            <w:tcW w:w="261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34B0A3D" w14:textId="77777777" w:rsidR="00FF6DD6" w:rsidRPr="00BE5871" w:rsidRDefault="00FF6DD6" w:rsidP="0089361B">
            <w:pPr>
              <w:spacing w:after="0"/>
              <w:jc w:val="both"/>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Confirmación asistencia visitas técnicas a los patios troncales Calle 80, Suba y Américas (EDS Diesel)</w:t>
            </w:r>
          </w:p>
        </w:tc>
        <w:tc>
          <w:tcPr>
            <w:tcW w:w="198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0D4A972" w14:textId="77777777" w:rsidR="00FF6DD6" w:rsidRPr="00BE5871" w:rsidRDefault="00FF6DD6" w:rsidP="0089361B">
            <w:pPr>
              <w:spacing w:after="0"/>
              <w:jc w:val="center"/>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PROVEEDORES</w:t>
            </w:r>
          </w:p>
        </w:tc>
        <w:tc>
          <w:tcPr>
            <w:tcW w:w="18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752160" w14:textId="77777777" w:rsidR="00FF6DD6" w:rsidRPr="00BE5871" w:rsidRDefault="00FF6DD6" w:rsidP="0089361B">
            <w:pPr>
              <w:spacing w:after="0"/>
              <w:jc w:val="both"/>
              <w:rPr>
                <w:rFonts w:ascii="Arial" w:eastAsia="Tahoma" w:hAnsi="Arial" w:cs="Arial"/>
                <w:b/>
                <w:bCs/>
                <w:color w:val="000000" w:themeColor="text1"/>
                <w:sz w:val="18"/>
                <w:szCs w:val="18"/>
              </w:rPr>
            </w:pPr>
            <w:r w:rsidRPr="00BE5871">
              <w:rPr>
                <w:rFonts w:ascii="Arial" w:eastAsia="Tahoma" w:hAnsi="Arial" w:cs="Arial"/>
                <w:b/>
                <w:bCs/>
                <w:color w:val="000000" w:themeColor="text1"/>
                <w:sz w:val="18"/>
                <w:szCs w:val="18"/>
              </w:rPr>
              <w:t>Viernes 27, de marzo de 2026</w:t>
            </w:r>
          </w:p>
        </w:tc>
        <w:tc>
          <w:tcPr>
            <w:tcW w:w="230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D8E4B1A" w14:textId="77777777" w:rsidR="00FF6DD6" w:rsidRPr="00BE5871" w:rsidRDefault="00FF6DD6" w:rsidP="0089361B">
            <w:pPr>
              <w:spacing w:after="0"/>
              <w:jc w:val="both"/>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 xml:space="preserve">A TRANSMILENIO S.A. mediante correo electrónico </w:t>
            </w:r>
          </w:p>
        </w:tc>
      </w:tr>
      <w:tr w:rsidR="00FF6DD6" w:rsidRPr="00BE5871" w14:paraId="3D3C4473" w14:textId="77777777" w:rsidTr="0089361B">
        <w:trPr>
          <w:trHeight w:val="844"/>
        </w:trPr>
        <w:tc>
          <w:tcPr>
            <w:tcW w:w="261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F327B26" w14:textId="77777777" w:rsidR="00FF6DD6" w:rsidRPr="00BE5871" w:rsidRDefault="00FF6DD6" w:rsidP="0089361B">
            <w:pPr>
              <w:spacing w:after="0"/>
              <w:jc w:val="both"/>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Visitas técnicas a los patios troncales Calle 80, Suba y Américas (EDS Diesel)</w:t>
            </w:r>
          </w:p>
          <w:p w14:paraId="6EAB2044" w14:textId="77777777" w:rsidR="00FF6DD6" w:rsidRPr="00BE5871" w:rsidRDefault="00FF6DD6" w:rsidP="0089361B">
            <w:pPr>
              <w:spacing w:after="0"/>
              <w:jc w:val="both"/>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Confirmar asistencia</w:t>
            </w:r>
          </w:p>
        </w:tc>
        <w:tc>
          <w:tcPr>
            <w:tcW w:w="198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601CB23" w14:textId="77777777" w:rsidR="00FF6DD6" w:rsidRPr="00BE5871" w:rsidRDefault="00FF6DD6" w:rsidP="0089361B">
            <w:pPr>
              <w:spacing w:after="0"/>
              <w:jc w:val="center"/>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PROVEEDORES</w:t>
            </w:r>
          </w:p>
        </w:tc>
        <w:tc>
          <w:tcPr>
            <w:tcW w:w="18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DAD00F" w14:textId="77777777" w:rsidR="00FF6DD6" w:rsidRPr="00BE5871" w:rsidRDefault="00FF6DD6" w:rsidP="0089361B">
            <w:pPr>
              <w:spacing w:after="0"/>
              <w:jc w:val="both"/>
              <w:rPr>
                <w:rFonts w:ascii="Arial" w:eastAsia="Tahoma" w:hAnsi="Arial" w:cs="Arial"/>
                <w:b/>
                <w:bCs/>
                <w:color w:val="000000" w:themeColor="text1"/>
                <w:sz w:val="18"/>
                <w:szCs w:val="18"/>
              </w:rPr>
            </w:pPr>
            <w:r w:rsidRPr="00BE5871">
              <w:rPr>
                <w:rFonts w:ascii="Arial" w:eastAsia="Tahoma" w:hAnsi="Arial" w:cs="Arial"/>
                <w:b/>
                <w:bCs/>
                <w:color w:val="000000" w:themeColor="text1"/>
                <w:sz w:val="18"/>
                <w:szCs w:val="18"/>
              </w:rPr>
              <w:t>Martes, 7 de abril de 2026</w:t>
            </w:r>
          </w:p>
        </w:tc>
        <w:tc>
          <w:tcPr>
            <w:tcW w:w="230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E6CC131" w14:textId="77777777" w:rsidR="00FF6DD6" w:rsidRPr="00BE5871" w:rsidRDefault="00FF6DD6" w:rsidP="0089361B">
            <w:pPr>
              <w:spacing w:after="0"/>
              <w:jc w:val="both"/>
              <w:rPr>
                <w:rFonts w:ascii="Arial" w:eastAsia="Tahoma" w:hAnsi="Arial" w:cs="Arial"/>
                <w:color w:val="000000" w:themeColor="text1"/>
                <w:sz w:val="18"/>
                <w:szCs w:val="18"/>
              </w:rPr>
            </w:pPr>
            <w:r w:rsidRPr="00BE5871">
              <w:rPr>
                <w:rFonts w:ascii="Arial" w:eastAsia="Tahoma" w:hAnsi="Arial" w:cs="Arial"/>
                <w:color w:val="000000" w:themeColor="text1"/>
                <w:sz w:val="18"/>
                <w:szCs w:val="18"/>
              </w:rPr>
              <w:t>Patios troncales</w:t>
            </w:r>
          </w:p>
        </w:tc>
      </w:tr>
      <w:tr w:rsidR="00FF6DD6" w:rsidRPr="00BE5871" w14:paraId="7915A78E" w14:textId="77777777" w:rsidTr="0089361B">
        <w:trPr>
          <w:trHeight w:val="844"/>
        </w:trPr>
        <w:tc>
          <w:tcPr>
            <w:tcW w:w="261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C1ACCD6" w14:textId="77777777" w:rsidR="00FF6DD6" w:rsidRPr="00BE5871" w:rsidRDefault="00FF6DD6" w:rsidP="00616FE1">
            <w:pPr>
              <w:spacing w:after="0"/>
              <w:jc w:val="both"/>
              <w:rPr>
                <w:rFonts w:ascii="Arial" w:eastAsia="Times New Roman" w:hAnsi="Arial" w:cs="Arial"/>
                <w:color w:val="000000" w:themeColor="text1"/>
                <w:sz w:val="18"/>
                <w:szCs w:val="18"/>
                <w:lang w:eastAsia="es-CO"/>
              </w:rPr>
            </w:pPr>
            <w:r w:rsidRPr="00BE5871">
              <w:rPr>
                <w:rFonts w:ascii="Arial" w:eastAsia="Times New Roman" w:hAnsi="Arial" w:cs="Arial"/>
                <w:color w:val="000000" w:themeColor="text1"/>
                <w:sz w:val="18"/>
                <w:szCs w:val="18"/>
                <w:lang w:eastAsia="es-CO"/>
              </w:rPr>
              <w:t>Envío de observaciones a la solicitud de cotización</w:t>
            </w:r>
          </w:p>
        </w:tc>
        <w:tc>
          <w:tcPr>
            <w:tcW w:w="198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B311E83" w14:textId="77777777" w:rsidR="00FF6DD6" w:rsidRPr="00BE5871" w:rsidRDefault="00FF6DD6" w:rsidP="00616FE1">
            <w:pPr>
              <w:spacing w:after="0"/>
              <w:jc w:val="center"/>
              <w:rPr>
                <w:rFonts w:ascii="Arial" w:eastAsia="Times New Roman" w:hAnsi="Arial" w:cs="Arial"/>
                <w:color w:val="000000" w:themeColor="text1"/>
                <w:sz w:val="18"/>
                <w:szCs w:val="18"/>
                <w:lang w:eastAsia="es-CO"/>
              </w:rPr>
            </w:pPr>
            <w:r w:rsidRPr="00BE5871">
              <w:rPr>
                <w:rFonts w:ascii="Arial" w:eastAsia="Times New Roman" w:hAnsi="Arial" w:cs="Arial"/>
                <w:color w:val="000000" w:themeColor="text1"/>
                <w:sz w:val="18"/>
                <w:szCs w:val="18"/>
                <w:lang w:eastAsia="es-CO"/>
              </w:rPr>
              <w:t>PROVEEDORES</w:t>
            </w:r>
          </w:p>
        </w:tc>
        <w:tc>
          <w:tcPr>
            <w:tcW w:w="18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6C493A" w14:textId="77777777" w:rsidR="00FF6DD6" w:rsidRPr="00BE5871" w:rsidRDefault="00FF6DD6" w:rsidP="00616FE1">
            <w:pPr>
              <w:spacing w:after="0"/>
              <w:jc w:val="both"/>
              <w:rPr>
                <w:rFonts w:ascii="Arial" w:eastAsia="Times New Roman" w:hAnsi="Arial" w:cs="Arial"/>
                <w:b/>
                <w:bCs/>
                <w:color w:val="000000" w:themeColor="text1"/>
                <w:sz w:val="18"/>
                <w:szCs w:val="18"/>
                <w:lang w:eastAsia="es-CO"/>
              </w:rPr>
            </w:pPr>
            <w:r w:rsidRPr="00BE5871">
              <w:rPr>
                <w:rFonts w:ascii="Arial" w:eastAsia="Times New Roman" w:hAnsi="Arial" w:cs="Arial"/>
                <w:b/>
                <w:bCs/>
                <w:color w:val="000000" w:themeColor="text1"/>
                <w:sz w:val="18"/>
                <w:szCs w:val="18"/>
                <w:lang w:eastAsia="es-CO"/>
              </w:rPr>
              <w:t>Jueves, 9 de abril de 2026</w:t>
            </w:r>
          </w:p>
        </w:tc>
        <w:tc>
          <w:tcPr>
            <w:tcW w:w="230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3421467" w14:textId="77777777" w:rsidR="00FF6DD6" w:rsidRPr="00BE5871" w:rsidRDefault="00FF6DD6" w:rsidP="00616FE1">
            <w:pPr>
              <w:spacing w:after="0"/>
              <w:jc w:val="both"/>
              <w:rPr>
                <w:rFonts w:ascii="Arial" w:eastAsia="Times New Roman" w:hAnsi="Arial" w:cs="Arial"/>
                <w:sz w:val="18"/>
                <w:szCs w:val="18"/>
                <w:lang w:eastAsia="es-CO"/>
              </w:rPr>
            </w:pPr>
            <w:r w:rsidRPr="00BE5871">
              <w:rPr>
                <w:rFonts w:ascii="Arial" w:eastAsia="Times New Roman" w:hAnsi="Arial" w:cs="Arial"/>
                <w:color w:val="000000" w:themeColor="text1"/>
                <w:sz w:val="18"/>
                <w:szCs w:val="18"/>
                <w:lang w:eastAsia="es-CO"/>
              </w:rPr>
              <w:t>A TRANSMILENIO S.A. a través de la plataforma transaccional SECOP 2</w:t>
            </w:r>
          </w:p>
        </w:tc>
      </w:tr>
      <w:tr w:rsidR="00FF6DD6" w:rsidRPr="00BE5871" w14:paraId="4511C146" w14:textId="77777777" w:rsidTr="0089361B">
        <w:trPr>
          <w:trHeight w:val="662"/>
        </w:trPr>
        <w:tc>
          <w:tcPr>
            <w:tcW w:w="261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EC9E141" w14:textId="77777777" w:rsidR="00FF6DD6" w:rsidRPr="00BE5871" w:rsidRDefault="00FF6DD6" w:rsidP="00616FE1">
            <w:pPr>
              <w:spacing w:after="0"/>
              <w:jc w:val="both"/>
              <w:rPr>
                <w:rFonts w:ascii="Arial" w:eastAsia="Times New Roman" w:hAnsi="Arial" w:cs="Arial"/>
                <w:color w:val="000000"/>
                <w:sz w:val="18"/>
                <w:szCs w:val="18"/>
                <w:bdr w:val="none" w:sz="0" w:space="0" w:color="auto" w:frame="1"/>
                <w:lang w:eastAsia="es-CO"/>
              </w:rPr>
            </w:pPr>
            <w:r w:rsidRPr="00BE5871">
              <w:rPr>
                <w:rFonts w:ascii="Arial" w:eastAsia="Times New Roman" w:hAnsi="Arial" w:cs="Arial"/>
                <w:color w:val="000000"/>
                <w:sz w:val="18"/>
                <w:szCs w:val="18"/>
                <w:bdr w:val="none" w:sz="0" w:space="0" w:color="auto" w:frame="1"/>
                <w:lang w:eastAsia="es-CO"/>
              </w:rPr>
              <w:t>Envío de cotización en formato PDF, firmada por el cotizante y dirigida a TRANSMILENIO S.A.</w:t>
            </w:r>
          </w:p>
          <w:p w14:paraId="31D35F65" w14:textId="77777777" w:rsidR="00FF6DD6" w:rsidRPr="00BE5871" w:rsidRDefault="00FF6DD6" w:rsidP="00616FE1">
            <w:pPr>
              <w:spacing w:after="0"/>
              <w:jc w:val="both"/>
              <w:rPr>
                <w:rFonts w:ascii="Arial" w:eastAsia="Times New Roman" w:hAnsi="Arial" w:cs="Arial"/>
                <w:color w:val="000000"/>
                <w:sz w:val="18"/>
                <w:szCs w:val="18"/>
                <w:lang w:eastAsia="es-CO"/>
              </w:rPr>
            </w:pPr>
            <w:r w:rsidRPr="00BE5871">
              <w:rPr>
                <w:rFonts w:ascii="Arial" w:eastAsia="Times New Roman" w:hAnsi="Arial" w:cs="Arial"/>
                <w:color w:val="000000" w:themeColor="text1"/>
                <w:sz w:val="18"/>
                <w:szCs w:val="18"/>
                <w:lang w:eastAsia="es-CO"/>
              </w:rPr>
              <w:t>Subgerencia de Infraestructura.</w:t>
            </w:r>
          </w:p>
        </w:tc>
        <w:tc>
          <w:tcPr>
            <w:tcW w:w="198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4FF64EF" w14:textId="77777777" w:rsidR="00FF6DD6" w:rsidRPr="00BE5871" w:rsidRDefault="00FF6DD6" w:rsidP="00616FE1">
            <w:pPr>
              <w:spacing w:after="0"/>
              <w:jc w:val="center"/>
              <w:rPr>
                <w:rFonts w:ascii="Arial" w:eastAsia="Times New Roman" w:hAnsi="Arial" w:cs="Arial"/>
                <w:color w:val="000000"/>
                <w:sz w:val="18"/>
                <w:szCs w:val="18"/>
                <w:lang w:eastAsia="es-CO"/>
              </w:rPr>
            </w:pPr>
            <w:r w:rsidRPr="00BE5871">
              <w:rPr>
                <w:rFonts w:ascii="Arial" w:eastAsia="Times New Roman" w:hAnsi="Arial" w:cs="Arial"/>
                <w:color w:val="000000"/>
                <w:sz w:val="18"/>
                <w:szCs w:val="18"/>
                <w:bdr w:val="none" w:sz="0" w:space="0" w:color="auto" w:frame="1"/>
                <w:lang w:eastAsia="es-CO"/>
              </w:rPr>
              <w:t>PROVEEDORES</w:t>
            </w:r>
          </w:p>
        </w:tc>
        <w:tc>
          <w:tcPr>
            <w:tcW w:w="18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CFE3FE" w14:textId="6640713B" w:rsidR="00FF6DD6" w:rsidRPr="00BE5871" w:rsidRDefault="00FF6DD6" w:rsidP="00616FE1">
            <w:pPr>
              <w:spacing w:after="0"/>
              <w:jc w:val="both"/>
              <w:rPr>
                <w:rFonts w:ascii="Arial" w:eastAsia="Times New Roman" w:hAnsi="Arial" w:cs="Arial"/>
                <w:b/>
                <w:bCs/>
                <w:color w:val="000000"/>
                <w:sz w:val="18"/>
                <w:szCs w:val="18"/>
                <w:bdr w:val="none" w:sz="0" w:space="0" w:color="auto" w:frame="1"/>
                <w:shd w:val="clear" w:color="auto" w:fill="FFFF00"/>
                <w:lang w:eastAsia="es-CO"/>
              </w:rPr>
            </w:pPr>
            <w:r w:rsidRPr="00BE5871">
              <w:rPr>
                <w:rFonts w:ascii="Arial" w:eastAsia="Times New Roman" w:hAnsi="Arial" w:cs="Arial"/>
                <w:b/>
                <w:bCs/>
                <w:color w:val="000000"/>
                <w:sz w:val="18"/>
                <w:szCs w:val="18"/>
                <w:bdr w:val="none" w:sz="0" w:space="0" w:color="auto" w:frame="1"/>
                <w:lang w:eastAsia="es-CO"/>
              </w:rPr>
              <w:t xml:space="preserve">Jueves, </w:t>
            </w:r>
            <w:r w:rsidR="004D17C8" w:rsidRPr="00BE5871">
              <w:rPr>
                <w:rFonts w:ascii="Arial" w:eastAsia="Times New Roman" w:hAnsi="Arial" w:cs="Arial"/>
                <w:b/>
                <w:bCs/>
                <w:color w:val="000000"/>
                <w:sz w:val="18"/>
                <w:szCs w:val="18"/>
                <w:bdr w:val="none" w:sz="0" w:space="0" w:color="auto" w:frame="1"/>
                <w:lang w:eastAsia="es-CO"/>
              </w:rPr>
              <w:t>30</w:t>
            </w:r>
            <w:r w:rsidRPr="00BE5871">
              <w:rPr>
                <w:rFonts w:ascii="Arial" w:eastAsia="Times New Roman" w:hAnsi="Arial" w:cs="Arial"/>
                <w:b/>
                <w:bCs/>
                <w:color w:val="000000"/>
                <w:sz w:val="18"/>
                <w:szCs w:val="18"/>
                <w:bdr w:val="none" w:sz="0" w:space="0" w:color="auto" w:frame="1"/>
                <w:lang w:eastAsia="es-CO"/>
              </w:rPr>
              <w:t xml:space="preserve"> de abril de 2026</w:t>
            </w:r>
          </w:p>
        </w:tc>
        <w:tc>
          <w:tcPr>
            <w:tcW w:w="230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66A3F78" w14:textId="77777777" w:rsidR="00FF6DD6" w:rsidRPr="00BE5871" w:rsidRDefault="00FF6DD6" w:rsidP="00616FE1">
            <w:pPr>
              <w:spacing w:after="0"/>
              <w:jc w:val="both"/>
              <w:rPr>
                <w:rFonts w:ascii="Arial" w:eastAsia="Times New Roman" w:hAnsi="Arial" w:cs="Arial"/>
                <w:color w:val="000000"/>
                <w:sz w:val="18"/>
                <w:szCs w:val="18"/>
                <w:lang w:eastAsia="es-CO"/>
              </w:rPr>
            </w:pPr>
            <w:r w:rsidRPr="00BE5871">
              <w:rPr>
                <w:rFonts w:ascii="Arial" w:eastAsia="Times New Roman" w:hAnsi="Arial" w:cs="Arial"/>
                <w:color w:val="000000"/>
                <w:sz w:val="18"/>
                <w:szCs w:val="18"/>
                <w:bdr w:val="none" w:sz="0" w:space="0" w:color="auto" w:frame="1"/>
                <w:lang w:eastAsia="es-CO"/>
              </w:rPr>
              <w:t>A TRANSMILENIO S.A. a través de la plataforma transaccional SECOP 2</w:t>
            </w:r>
          </w:p>
        </w:tc>
      </w:tr>
    </w:tbl>
    <w:p w14:paraId="779E6DEB" w14:textId="6EC5E507" w:rsidR="00816806" w:rsidRPr="00C76457" w:rsidRDefault="00816806" w:rsidP="00616FE1">
      <w:pPr>
        <w:spacing w:after="0"/>
        <w:jc w:val="both"/>
        <w:rPr>
          <w:rFonts w:ascii="Arial" w:hAnsi="Arial" w:cs="Arial"/>
          <w:lang w:val="es-ES_tradnl"/>
        </w:rPr>
      </w:pPr>
      <w:r w:rsidRPr="00C76457">
        <w:rPr>
          <w:rFonts w:ascii="Arial" w:hAnsi="Arial" w:cs="Arial"/>
          <w:lang w:val="es-ES_tradnl"/>
        </w:rPr>
        <w:t>En desarrollo del estudio de mercado, las siguientes empresas remitieron</w:t>
      </w:r>
      <w:r w:rsidR="00BB72D2" w:rsidRPr="00C76457">
        <w:rPr>
          <w:rFonts w:ascii="Arial" w:hAnsi="Arial" w:cs="Arial"/>
          <w:lang w:val="es-ES_tradnl"/>
        </w:rPr>
        <w:t xml:space="preserve"> 72</w:t>
      </w:r>
      <w:r w:rsidRPr="00C76457">
        <w:rPr>
          <w:rFonts w:ascii="Arial" w:hAnsi="Arial" w:cs="Arial"/>
          <w:lang w:val="es-ES_tradnl"/>
        </w:rPr>
        <w:t xml:space="preserve"> preguntas con respecto a la solicitud de cotización:</w:t>
      </w:r>
    </w:p>
    <w:p w14:paraId="13EBC93C" w14:textId="77777777" w:rsidR="00816806" w:rsidRPr="00C76457" w:rsidRDefault="00816806" w:rsidP="00616FE1">
      <w:pPr>
        <w:spacing w:after="0"/>
        <w:jc w:val="both"/>
        <w:rPr>
          <w:rFonts w:ascii="Arial" w:hAnsi="Arial" w:cs="Arial"/>
          <w:color w:val="808080" w:themeColor="background1" w:themeShade="8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2"/>
        <w:gridCol w:w="4493"/>
      </w:tblGrid>
      <w:tr w:rsidR="00816806" w:rsidRPr="00421A29" w14:paraId="6CF3DC7D" w14:textId="77777777" w:rsidTr="00915023">
        <w:trPr>
          <w:trHeight w:val="362"/>
          <w:tblHeader/>
          <w:jc w:val="center"/>
        </w:trPr>
        <w:tc>
          <w:tcPr>
            <w:tcW w:w="1172" w:type="dxa"/>
            <w:shd w:val="clear" w:color="auto" w:fill="D9D9D9"/>
            <w:vAlign w:val="center"/>
          </w:tcPr>
          <w:p w14:paraId="5793B5D2" w14:textId="77777777" w:rsidR="00816806" w:rsidRPr="00915023" w:rsidRDefault="00816806" w:rsidP="00616FE1">
            <w:pPr>
              <w:spacing w:after="0"/>
              <w:jc w:val="center"/>
              <w:rPr>
                <w:rFonts w:ascii="Arial" w:hAnsi="Arial" w:cs="Arial"/>
                <w:b/>
                <w:sz w:val="16"/>
                <w:szCs w:val="16"/>
                <w:lang w:eastAsia="es-CO"/>
              </w:rPr>
            </w:pPr>
            <w:r w:rsidRPr="00915023">
              <w:rPr>
                <w:rFonts w:ascii="Arial" w:hAnsi="Arial" w:cs="Arial"/>
                <w:b/>
                <w:sz w:val="16"/>
                <w:szCs w:val="16"/>
                <w:lang w:eastAsia="es-CO"/>
              </w:rPr>
              <w:t>No.</w:t>
            </w:r>
          </w:p>
        </w:tc>
        <w:tc>
          <w:tcPr>
            <w:tcW w:w="4493" w:type="dxa"/>
            <w:shd w:val="clear" w:color="auto" w:fill="D9D9D9"/>
            <w:vAlign w:val="center"/>
          </w:tcPr>
          <w:p w14:paraId="58B32DE0" w14:textId="77777777" w:rsidR="00816806" w:rsidRPr="00915023" w:rsidRDefault="00816806" w:rsidP="00616FE1">
            <w:pPr>
              <w:spacing w:after="0"/>
              <w:jc w:val="center"/>
              <w:rPr>
                <w:rFonts w:ascii="Arial" w:hAnsi="Arial" w:cs="Arial"/>
                <w:b/>
                <w:sz w:val="16"/>
                <w:szCs w:val="16"/>
                <w:lang w:eastAsia="es-CO"/>
              </w:rPr>
            </w:pPr>
            <w:r w:rsidRPr="00915023">
              <w:rPr>
                <w:rFonts w:ascii="Arial" w:hAnsi="Arial" w:cs="Arial"/>
                <w:b/>
                <w:sz w:val="16"/>
                <w:szCs w:val="16"/>
                <w:lang w:eastAsia="es-CO"/>
              </w:rPr>
              <w:t>EMPRESA</w:t>
            </w:r>
          </w:p>
        </w:tc>
      </w:tr>
      <w:tr w:rsidR="002B183A" w:rsidRPr="00421A29" w14:paraId="622B4A1C" w14:textId="77777777" w:rsidTr="00915023">
        <w:trPr>
          <w:trHeight w:val="362"/>
          <w:jc w:val="center"/>
        </w:trPr>
        <w:tc>
          <w:tcPr>
            <w:tcW w:w="1172" w:type="dxa"/>
            <w:vAlign w:val="center"/>
          </w:tcPr>
          <w:p w14:paraId="625E99C0" w14:textId="77777777" w:rsidR="002B183A" w:rsidRPr="00915023" w:rsidRDefault="002B183A" w:rsidP="00616FE1">
            <w:pPr>
              <w:spacing w:after="0"/>
              <w:jc w:val="center"/>
              <w:rPr>
                <w:rFonts w:ascii="Arial" w:hAnsi="Arial" w:cs="Arial"/>
                <w:sz w:val="16"/>
                <w:szCs w:val="16"/>
                <w:lang w:eastAsia="es-CO"/>
              </w:rPr>
            </w:pPr>
            <w:r w:rsidRPr="00915023">
              <w:rPr>
                <w:rFonts w:ascii="Arial" w:hAnsi="Arial" w:cs="Arial"/>
                <w:sz w:val="16"/>
                <w:szCs w:val="16"/>
                <w:lang w:eastAsia="es-CO"/>
              </w:rPr>
              <w:t>1</w:t>
            </w:r>
          </w:p>
        </w:tc>
        <w:tc>
          <w:tcPr>
            <w:tcW w:w="4493" w:type="dxa"/>
            <w:vAlign w:val="center"/>
          </w:tcPr>
          <w:p w14:paraId="623D3BC8" w14:textId="2383C781" w:rsidR="002B183A" w:rsidRPr="00915023" w:rsidRDefault="002B183A" w:rsidP="00616FE1">
            <w:pPr>
              <w:spacing w:after="0"/>
              <w:jc w:val="both"/>
              <w:rPr>
                <w:rFonts w:ascii="Arial" w:hAnsi="Arial" w:cs="Arial"/>
                <w:sz w:val="16"/>
                <w:szCs w:val="16"/>
                <w:lang w:eastAsia="es-CO"/>
              </w:rPr>
            </w:pPr>
            <w:r w:rsidRPr="00915023">
              <w:rPr>
                <w:rFonts w:ascii="Arial" w:hAnsi="Arial" w:cs="Arial"/>
                <w:color w:val="000000"/>
                <w:sz w:val="16"/>
                <w:szCs w:val="16"/>
              </w:rPr>
              <w:t>AMBIPAR</w:t>
            </w:r>
          </w:p>
        </w:tc>
      </w:tr>
      <w:tr w:rsidR="002B183A" w:rsidRPr="00421A29" w14:paraId="2F26511E" w14:textId="77777777" w:rsidTr="00915023">
        <w:trPr>
          <w:trHeight w:val="362"/>
          <w:jc w:val="center"/>
        </w:trPr>
        <w:tc>
          <w:tcPr>
            <w:tcW w:w="1172" w:type="dxa"/>
            <w:vAlign w:val="center"/>
          </w:tcPr>
          <w:p w14:paraId="6BCD1FA1" w14:textId="15CD4107" w:rsidR="002B183A" w:rsidRPr="00915023" w:rsidRDefault="004337CB" w:rsidP="00616FE1">
            <w:pPr>
              <w:spacing w:after="0"/>
              <w:jc w:val="center"/>
              <w:rPr>
                <w:rFonts w:ascii="Arial" w:hAnsi="Arial" w:cs="Arial"/>
                <w:sz w:val="16"/>
                <w:szCs w:val="16"/>
                <w:lang w:eastAsia="es-CO"/>
              </w:rPr>
            </w:pPr>
            <w:r w:rsidRPr="00915023">
              <w:rPr>
                <w:rFonts w:ascii="Arial" w:hAnsi="Arial" w:cs="Arial"/>
                <w:sz w:val="16"/>
                <w:szCs w:val="16"/>
                <w:lang w:eastAsia="es-CO"/>
              </w:rPr>
              <w:t>2</w:t>
            </w:r>
          </w:p>
        </w:tc>
        <w:tc>
          <w:tcPr>
            <w:tcW w:w="4493" w:type="dxa"/>
            <w:vAlign w:val="center"/>
          </w:tcPr>
          <w:p w14:paraId="3743627E" w14:textId="5DF70B81" w:rsidR="002B183A" w:rsidRPr="00915023" w:rsidRDefault="002B183A" w:rsidP="00616FE1">
            <w:pPr>
              <w:spacing w:after="0"/>
              <w:jc w:val="both"/>
              <w:rPr>
                <w:rFonts w:ascii="Arial" w:hAnsi="Arial" w:cs="Arial"/>
                <w:sz w:val="16"/>
                <w:szCs w:val="16"/>
              </w:rPr>
            </w:pPr>
            <w:r w:rsidRPr="00915023">
              <w:rPr>
                <w:rFonts w:ascii="Arial" w:hAnsi="Arial" w:cs="Arial"/>
                <w:color w:val="000000"/>
                <w:sz w:val="16"/>
                <w:szCs w:val="16"/>
              </w:rPr>
              <w:t>NOVAMBIENTTI SOLUCIONES AMBIENTALES S.A.S</w:t>
            </w:r>
          </w:p>
        </w:tc>
      </w:tr>
      <w:tr w:rsidR="002B183A" w:rsidRPr="00421A29" w14:paraId="5B53C393" w14:textId="77777777" w:rsidTr="00915023">
        <w:trPr>
          <w:trHeight w:val="362"/>
          <w:jc w:val="center"/>
        </w:trPr>
        <w:tc>
          <w:tcPr>
            <w:tcW w:w="1172" w:type="dxa"/>
            <w:vAlign w:val="center"/>
          </w:tcPr>
          <w:p w14:paraId="6C02C177" w14:textId="23B0AC73" w:rsidR="002B183A" w:rsidRPr="00915023" w:rsidRDefault="004337CB" w:rsidP="00616FE1">
            <w:pPr>
              <w:spacing w:after="0"/>
              <w:jc w:val="center"/>
              <w:rPr>
                <w:rFonts w:ascii="Arial" w:hAnsi="Arial" w:cs="Arial"/>
                <w:sz w:val="16"/>
                <w:szCs w:val="16"/>
                <w:lang w:eastAsia="es-CO"/>
              </w:rPr>
            </w:pPr>
            <w:r w:rsidRPr="00915023">
              <w:rPr>
                <w:rFonts w:ascii="Arial" w:hAnsi="Arial" w:cs="Arial"/>
                <w:sz w:val="16"/>
                <w:szCs w:val="16"/>
                <w:lang w:eastAsia="es-CO"/>
              </w:rPr>
              <w:t>3</w:t>
            </w:r>
          </w:p>
        </w:tc>
        <w:tc>
          <w:tcPr>
            <w:tcW w:w="4493" w:type="dxa"/>
            <w:vAlign w:val="center"/>
          </w:tcPr>
          <w:p w14:paraId="40C4DCB4" w14:textId="1FB136CD" w:rsidR="002B183A" w:rsidRPr="00915023" w:rsidRDefault="002B183A" w:rsidP="00616FE1">
            <w:pPr>
              <w:spacing w:after="0"/>
              <w:jc w:val="both"/>
              <w:rPr>
                <w:rFonts w:ascii="Arial" w:hAnsi="Arial" w:cs="Arial"/>
                <w:sz w:val="16"/>
                <w:szCs w:val="16"/>
              </w:rPr>
            </w:pPr>
            <w:r w:rsidRPr="00915023">
              <w:rPr>
                <w:rFonts w:ascii="Arial" w:hAnsi="Arial" w:cs="Arial"/>
                <w:color w:val="000000"/>
                <w:sz w:val="16"/>
                <w:szCs w:val="16"/>
              </w:rPr>
              <w:t>INERCO CONSULTORÍA COLOMBIA LTDA</w:t>
            </w:r>
          </w:p>
        </w:tc>
      </w:tr>
    </w:tbl>
    <w:p w14:paraId="41DF3FC9" w14:textId="77777777" w:rsidR="00816806" w:rsidRPr="00C76457" w:rsidRDefault="00816806" w:rsidP="00616FE1">
      <w:pPr>
        <w:spacing w:after="0"/>
        <w:jc w:val="both"/>
        <w:rPr>
          <w:rFonts w:ascii="Arial" w:hAnsi="Arial" w:cs="Arial"/>
        </w:rPr>
      </w:pPr>
    </w:p>
    <w:p w14:paraId="2C9EE0CE" w14:textId="32DED7E1" w:rsidR="00816806" w:rsidRPr="00C76457" w:rsidRDefault="00816806" w:rsidP="00616FE1">
      <w:pPr>
        <w:spacing w:after="0"/>
        <w:jc w:val="both"/>
        <w:rPr>
          <w:rFonts w:ascii="Arial" w:hAnsi="Arial" w:cs="Arial"/>
          <w:b/>
        </w:rPr>
      </w:pPr>
      <w:r w:rsidRPr="00C76457">
        <w:rPr>
          <w:rFonts w:ascii="Arial" w:hAnsi="Arial" w:cs="Arial"/>
        </w:rPr>
        <w:lastRenderedPageBreak/>
        <w:t xml:space="preserve">Las preguntas fueron analizadas y resueltas por la </w:t>
      </w:r>
      <w:r w:rsidR="00BB72D2" w:rsidRPr="00C76457">
        <w:rPr>
          <w:rFonts w:ascii="Arial" w:hAnsi="Arial" w:cs="Arial"/>
        </w:rPr>
        <w:t>Subgerencia</w:t>
      </w:r>
      <w:r w:rsidRPr="00C76457">
        <w:rPr>
          <w:rFonts w:ascii="Arial" w:hAnsi="Arial" w:cs="Arial"/>
        </w:rPr>
        <w:t xml:space="preserve"> de Infraestructura, y remitidas a los proveedores mediante la plataforma transaccional SECOP II.</w:t>
      </w:r>
    </w:p>
    <w:p w14:paraId="6623100E" w14:textId="77777777" w:rsidR="00816806" w:rsidRPr="00C76457" w:rsidRDefault="00816806" w:rsidP="00616FE1">
      <w:pPr>
        <w:spacing w:after="0"/>
        <w:jc w:val="both"/>
        <w:rPr>
          <w:rFonts w:ascii="Arial" w:hAnsi="Arial" w:cs="Arial"/>
          <w:b/>
        </w:rPr>
      </w:pPr>
    </w:p>
    <w:p w14:paraId="6A2BE564" w14:textId="04BC6CB1" w:rsidR="00816806" w:rsidRPr="00C76457" w:rsidRDefault="00816806" w:rsidP="00616FE1">
      <w:pPr>
        <w:spacing w:after="0"/>
        <w:jc w:val="both"/>
        <w:rPr>
          <w:rFonts w:ascii="Arial" w:hAnsi="Arial" w:cs="Arial"/>
          <w:lang w:eastAsia="es-CO"/>
        </w:rPr>
      </w:pPr>
      <w:r w:rsidRPr="00C76457">
        <w:rPr>
          <w:rFonts w:ascii="Arial" w:hAnsi="Arial" w:cs="Arial"/>
          <w:lang w:eastAsia="es-CO"/>
        </w:rPr>
        <w:t xml:space="preserve">De acuerdo con la solicitud de cotización adelantada, se obtuvo respuesta por parte </w:t>
      </w:r>
      <w:r w:rsidR="00BB72D2" w:rsidRPr="00C76457">
        <w:rPr>
          <w:rFonts w:ascii="Arial" w:hAnsi="Arial" w:cs="Arial"/>
          <w:lang w:eastAsia="es-CO"/>
        </w:rPr>
        <w:t>cinco</w:t>
      </w:r>
      <w:r w:rsidRPr="00C76457">
        <w:rPr>
          <w:rFonts w:ascii="Arial" w:hAnsi="Arial" w:cs="Arial"/>
          <w:lang w:eastAsia="es-CO"/>
        </w:rPr>
        <w:t xml:space="preserve"> (</w:t>
      </w:r>
      <w:r w:rsidR="00BB72D2" w:rsidRPr="00C76457">
        <w:rPr>
          <w:rFonts w:ascii="Arial" w:hAnsi="Arial" w:cs="Arial"/>
          <w:lang w:eastAsia="es-CO"/>
        </w:rPr>
        <w:t>5</w:t>
      </w:r>
      <w:r w:rsidRPr="00C76457">
        <w:rPr>
          <w:rFonts w:ascii="Arial" w:hAnsi="Arial" w:cs="Arial"/>
          <w:lang w:eastAsia="es-CO"/>
        </w:rPr>
        <w:t>) empresas, las cuales remitieron las correspondientes ofertas económicas para los servicios requeridos por la Entidad, en las condiciones, términos y requisitos establecidos en el documento de solicitud de cotización</w:t>
      </w:r>
      <w:r w:rsidR="000D06F6">
        <w:rPr>
          <w:rFonts w:ascii="Arial" w:hAnsi="Arial" w:cs="Arial"/>
          <w:lang w:eastAsia="es-CO"/>
        </w:rPr>
        <w:t xml:space="preserve"> </w:t>
      </w:r>
      <w:r w:rsidRPr="00C76457">
        <w:rPr>
          <w:rFonts w:ascii="Arial" w:hAnsi="Arial" w:cs="Arial"/>
          <w:lang w:eastAsia="es-CO"/>
        </w:rPr>
        <w:t>conocido por los proveedores:</w:t>
      </w:r>
    </w:p>
    <w:p w14:paraId="310C1448" w14:textId="77777777" w:rsidR="00816806" w:rsidRPr="00C76457" w:rsidRDefault="00816806" w:rsidP="00616FE1">
      <w:pPr>
        <w:spacing w:after="0"/>
        <w:jc w:val="both"/>
        <w:rPr>
          <w:rFonts w:ascii="Arial" w:hAnsi="Arial" w:cs="Arial"/>
          <w:lang w:eastAsia="es-CO"/>
        </w:rPr>
      </w:pPr>
    </w:p>
    <w:tbl>
      <w:tblPr>
        <w:tblW w:w="7372" w:type="dxa"/>
        <w:jc w:val="center"/>
        <w:tblCellMar>
          <w:left w:w="70" w:type="dxa"/>
          <w:right w:w="70" w:type="dxa"/>
        </w:tblCellMar>
        <w:tblLook w:val="04A0" w:firstRow="1" w:lastRow="0" w:firstColumn="1" w:lastColumn="0" w:noHBand="0" w:noVBand="1"/>
      </w:tblPr>
      <w:tblGrid>
        <w:gridCol w:w="5246"/>
        <w:gridCol w:w="2126"/>
      </w:tblGrid>
      <w:tr w:rsidR="00CD42E9" w:rsidRPr="00C76457" w14:paraId="0F574C1A" w14:textId="77777777" w:rsidTr="00C32532">
        <w:trPr>
          <w:trHeight w:val="735"/>
          <w:jc w:val="center"/>
        </w:trPr>
        <w:tc>
          <w:tcPr>
            <w:tcW w:w="52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FC14775" w14:textId="77777777" w:rsidR="00CD42E9" w:rsidRPr="00C76457" w:rsidRDefault="00CD42E9" w:rsidP="00616FE1">
            <w:pPr>
              <w:spacing w:after="0"/>
              <w:jc w:val="center"/>
              <w:rPr>
                <w:rFonts w:ascii="Arial" w:eastAsia="Times New Roman" w:hAnsi="Arial" w:cs="Arial"/>
                <w:b/>
                <w:bCs/>
                <w:color w:val="000000"/>
                <w:sz w:val="20"/>
                <w:szCs w:val="20"/>
                <w:lang w:eastAsia="es-CO"/>
              </w:rPr>
            </w:pPr>
            <w:r w:rsidRPr="00C76457">
              <w:rPr>
                <w:rFonts w:ascii="Arial" w:eastAsia="Times New Roman" w:hAnsi="Arial" w:cs="Arial"/>
                <w:b/>
                <w:bCs/>
                <w:color w:val="000000"/>
                <w:sz w:val="20"/>
                <w:szCs w:val="20"/>
                <w:lang w:eastAsia="es-CO"/>
              </w:rPr>
              <w:t>EMPRESA</w:t>
            </w:r>
          </w:p>
        </w:tc>
        <w:tc>
          <w:tcPr>
            <w:tcW w:w="2126"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7A82D3FD" w14:textId="77777777" w:rsidR="00CD42E9" w:rsidRPr="00C76457" w:rsidRDefault="00CD42E9" w:rsidP="00616FE1">
            <w:pPr>
              <w:spacing w:after="0"/>
              <w:jc w:val="center"/>
              <w:rPr>
                <w:rFonts w:ascii="Arial" w:eastAsia="Times New Roman" w:hAnsi="Arial" w:cs="Arial"/>
                <w:b/>
                <w:bCs/>
                <w:color w:val="000000"/>
                <w:sz w:val="20"/>
                <w:szCs w:val="20"/>
                <w:lang w:eastAsia="es-CO"/>
              </w:rPr>
            </w:pPr>
            <w:r w:rsidRPr="00C76457">
              <w:rPr>
                <w:rFonts w:ascii="Arial" w:eastAsia="Times New Roman" w:hAnsi="Arial" w:cs="Arial"/>
                <w:b/>
                <w:bCs/>
                <w:color w:val="000000"/>
                <w:sz w:val="20"/>
                <w:szCs w:val="20"/>
                <w:lang w:eastAsia="es-CO"/>
              </w:rPr>
              <w:t xml:space="preserve">TOTAL OFERTA ECONÓMICA </w:t>
            </w:r>
          </w:p>
          <w:p w14:paraId="54DF233A" w14:textId="63354ED1" w:rsidR="0030338F" w:rsidRPr="00C76457" w:rsidRDefault="0030338F" w:rsidP="00616FE1">
            <w:pPr>
              <w:spacing w:after="0"/>
              <w:jc w:val="center"/>
              <w:rPr>
                <w:rFonts w:ascii="Arial" w:eastAsia="Times New Roman" w:hAnsi="Arial" w:cs="Arial"/>
                <w:b/>
                <w:bCs/>
                <w:color w:val="000000"/>
                <w:sz w:val="20"/>
                <w:szCs w:val="20"/>
                <w:lang w:eastAsia="es-CO"/>
              </w:rPr>
            </w:pPr>
            <w:r w:rsidRPr="00C76457">
              <w:rPr>
                <w:rFonts w:ascii="Arial" w:eastAsia="Times New Roman" w:hAnsi="Arial" w:cs="Arial"/>
                <w:b/>
                <w:bCs/>
                <w:color w:val="000000"/>
                <w:sz w:val="20"/>
                <w:szCs w:val="20"/>
                <w:lang w:eastAsia="es-CO"/>
              </w:rPr>
              <w:t>PRECIO GLOBAL*</w:t>
            </w:r>
          </w:p>
        </w:tc>
      </w:tr>
      <w:tr w:rsidR="00CD42E9" w:rsidRPr="00C76457" w14:paraId="4DF528BA" w14:textId="77777777" w:rsidTr="00C32532">
        <w:trPr>
          <w:trHeight w:val="300"/>
          <w:jc w:val="center"/>
        </w:trPr>
        <w:tc>
          <w:tcPr>
            <w:tcW w:w="5246" w:type="dxa"/>
            <w:tcBorders>
              <w:top w:val="nil"/>
              <w:left w:val="single" w:sz="4" w:space="0" w:color="000000"/>
              <w:bottom w:val="single" w:sz="4" w:space="0" w:color="000000"/>
              <w:right w:val="single" w:sz="4" w:space="0" w:color="000000"/>
            </w:tcBorders>
            <w:vAlign w:val="center"/>
            <w:hideMark/>
          </w:tcPr>
          <w:p w14:paraId="230F47BB"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AMBIPAR</w:t>
            </w:r>
          </w:p>
        </w:tc>
        <w:tc>
          <w:tcPr>
            <w:tcW w:w="2126" w:type="dxa"/>
            <w:tcBorders>
              <w:top w:val="nil"/>
              <w:left w:val="nil"/>
              <w:bottom w:val="single" w:sz="4" w:space="0" w:color="000000"/>
              <w:right w:val="single" w:sz="4" w:space="0" w:color="000000"/>
            </w:tcBorders>
            <w:noWrap/>
            <w:vAlign w:val="center"/>
            <w:hideMark/>
          </w:tcPr>
          <w:p w14:paraId="1C3F92F3" w14:textId="01F20F31"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$ 1.8</w:t>
            </w:r>
            <w:r w:rsidR="00A355BF">
              <w:rPr>
                <w:rFonts w:ascii="Arial" w:eastAsia="Times New Roman" w:hAnsi="Arial" w:cs="Arial"/>
                <w:color w:val="000000"/>
                <w:sz w:val="20"/>
                <w:szCs w:val="20"/>
                <w:lang w:eastAsia="es-CO"/>
              </w:rPr>
              <w:t>70</w:t>
            </w:r>
            <w:r w:rsidRPr="00C76457">
              <w:rPr>
                <w:rFonts w:ascii="Arial" w:eastAsia="Times New Roman" w:hAnsi="Arial" w:cs="Arial"/>
                <w:color w:val="000000"/>
                <w:sz w:val="20"/>
                <w:szCs w:val="20"/>
                <w:lang w:eastAsia="es-CO"/>
              </w:rPr>
              <w:t>.29</w:t>
            </w:r>
            <w:r w:rsidR="003E5943">
              <w:rPr>
                <w:rFonts w:ascii="Arial" w:eastAsia="Times New Roman" w:hAnsi="Arial" w:cs="Arial"/>
                <w:color w:val="000000"/>
                <w:sz w:val="20"/>
                <w:szCs w:val="20"/>
                <w:lang w:eastAsia="es-CO"/>
              </w:rPr>
              <w:t>6</w:t>
            </w:r>
            <w:r w:rsidRPr="00C76457">
              <w:rPr>
                <w:rFonts w:ascii="Arial" w:eastAsia="Times New Roman" w:hAnsi="Arial" w:cs="Arial"/>
                <w:color w:val="000000"/>
                <w:sz w:val="20"/>
                <w:szCs w:val="20"/>
                <w:lang w:eastAsia="es-CO"/>
              </w:rPr>
              <w:t>.582</w:t>
            </w:r>
          </w:p>
        </w:tc>
      </w:tr>
      <w:tr w:rsidR="00CD42E9" w:rsidRPr="00C76457" w14:paraId="5DF8DD01" w14:textId="77777777" w:rsidTr="00C32532">
        <w:trPr>
          <w:trHeight w:val="300"/>
          <w:jc w:val="center"/>
        </w:trPr>
        <w:tc>
          <w:tcPr>
            <w:tcW w:w="5246" w:type="dxa"/>
            <w:tcBorders>
              <w:top w:val="nil"/>
              <w:left w:val="single" w:sz="4" w:space="0" w:color="000000"/>
              <w:bottom w:val="single" w:sz="4" w:space="0" w:color="000000"/>
              <w:right w:val="single" w:sz="4" w:space="0" w:color="000000"/>
            </w:tcBorders>
            <w:vAlign w:val="center"/>
            <w:hideMark/>
          </w:tcPr>
          <w:p w14:paraId="5128471A"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2M Estudio SAS</w:t>
            </w:r>
          </w:p>
        </w:tc>
        <w:tc>
          <w:tcPr>
            <w:tcW w:w="2126" w:type="dxa"/>
            <w:tcBorders>
              <w:top w:val="nil"/>
              <w:left w:val="nil"/>
              <w:bottom w:val="single" w:sz="4" w:space="0" w:color="000000"/>
              <w:right w:val="single" w:sz="4" w:space="0" w:color="000000"/>
            </w:tcBorders>
            <w:noWrap/>
            <w:vAlign w:val="center"/>
            <w:hideMark/>
          </w:tcPr>
          <w:p w14:paraId="113CA0FE"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$ 1.564.073.148</w:t>
            </w:r>
          </w:p>
        </w:tc>
      </w:tr>
      <w:tr w:rsidR="00CD42E9" w:rsidRPr="00C76457" w14:paraId="2C637C1A" w14:textId="77777777" w:rsidTr="00C32532">
        <w:trPr>
          <w:trHeight w:val="300"/>
          <w:jc w:val="center"/>
        </w:trPr>
        <w:tc>
          <w:tcPr>
            <w:tcW w:w="5246" w:type="dxa"/>
            <w:tcBorders>
              <w:top w:val="nil"/>
              <w:left w:val="single" w:sz="4" w:space="0" w:color="000000"/>
              <w:bottom w:val="single" w:sz="4" w:space="0" w:color="000000"/>
              <w:right w:val="single" w:sz="4" w:space="0" w:color="000000"/>
            </w:tcBorders>
            <w:vAlign w:val="center"/>
            <w:hideMark/>
          </w:tcPr>
          <w:p w14:paraId="2F435A10"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HIDROGEOLOGIA COLOMBIANA SAS</w:t>
            </w:r>
          </w:p>
        </w:tc>
        <w:tc>
          <w:tcPr>
            <w:tcW w:w="2126" w:type="dxa"/>
            <w:tcBorders>
              <w:top w:val="nil"/>
              <w:left w:val="nil"/>
              <w:bottom w:val="single" w:sz="4" w:space="0" w:color="000000"/>
              <w:right w:val="single" w:sz="4" w:space="0" w:color="000000"/>
            </w:tcBorders>
            <w:vAlign w:val="center"/>
            <w:hideMark/>
          </w:tcPr>
          <w:p w14:paraId="45E2E477"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$ 3.197.922.530</w:t>
            </w:r>
          </w:p>
        </w:tc>
      </w:tr>
      <w:tr w:rsidR="00CD42E9" w:rsidRPr="00C76457" w14:paraId="1FA1B819" w14:textId="77777777" w:rsidTr="00C32532">
        <w:trPr>
          <w:trHeight w:val="300"/>
          <w:jc w:val="center"/>
        </w:trPr>
        <w:tc>
          <w:tcPr>
            <w:tcW w:w="5246" w:type="dxa"/>
            <w:tcBorders>
              <w:top w:val="nil"/>
              <w:left w:val="single" w:sz="4" w:space="0" w:color="000000"/>
              <w:bottom w:val="single" w:sz="4" w:space="0" w:color="000000"/>
              <w:right w:val="single" w:sz="4" w:space="0" w:color="000000"/>
            </w:tcBorders>
            <w:vAlign w:val="center"/>
            <w:hideMark/>
          </w:tcPr>
          <w:p w14:paraId="7F9CC73C"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NOVAMBIENTTI SOLUCIONES AMBIENTALES S.A.S</w:t>
            </w:r>
          </w:p>
        </w:tc>
        <w:tc>
          <w:tcPr>
            <w:tcW w:w="2126" w:type="dxa"/>
            <w:tcBorders>
              <w:top w:val="nil"/>
              <w:left w:val="nil"/>
              <w:bottom w:val="single" w:sz="4" w:space="0" w:color="000000"/>
              <w:right w:val="single" w:sz="4" w:space="0" w:color="000000"/>
            </w:tcBorders>
            <w:vAlign w:val="center"/>
            <w:hideMark/>
          </w:tcPr>
          <w:p w14:paraId="3C94482D"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$ 5.543.917.195</w:t>
            </w:r>
          </w:p>
        </w:tc>
      </w:tr>
      <w:tr w:rsidR="00CD42E9" w:rsidRPr="00C76457" w14:paraId="15D9A6A4" w14:textId="77777777" w:rsidTr="00C32532">
        <w:trPr>
          <w:trHeight w:val="300"/>
          <w:jc w:val="center"/>
        </w:trPr>
        <w:tc>
          <w:tcPr>
            <w:tcW w:w="5246" w:type="dxa"/>
            <w:tcBorders>
              <w:top w:val="nil"/>
              <w:left w:val="single" w:sz="4" w:space="0" w:color="000000"/>
              <w:bottom w:val="single" w:sz="4" w:space="0" w:color="000000"/>
              <w:right w:val="single" w:sz="4" w:space="0" w:color="000000"/>
            </w:tcBorders>
            <w:vAlign w:val="center"/>
            <w:hideMark/>
          </w:tcPr>
          <w:p w14:paraId="1A205114"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INERCO CONSULTORÍA COLOMBIA LTDA</w:t>
            </w:r>
          </w:p>
        </w:tc>
        <w:tc>
          <w:tcPr>
            <w:tcW w:w="2126" w:type="dxa"/>
            <w:tcBorders>
              <w:top w:val="nil"/>
              <w:left w:val="nil"/>
              <w:bottom w:val="single" w:sz="4" w:space="0" w:color="000000"/>
              <w:right w:val="single" w:sz="4" w:space="0" w:color="000000"/>
            </w:tcBorders>
            <w:vAlign w:val="center"/>
            <w:hideMark/>
          </w:tcPr>
          <w:p w14:paraId="64D3365E" w14:textId="77777777" w:rsidR="00CD42E9" w:rsidRPr="00C76457" w:rsidRDefault="00CD42E9" w:rsidP="00616FE1">
            <w:pPr>
              <w:spacing w:after="0"/>
              <w:jc w:val="center"/>
              <w:rPr>
                <w:rFonts w:ascii="Arial" w:eastAsia="Times New Roman" w:hAnsi="Arial" w:cs="Arial"/>
                <w:color w:val="000000"/>
                <w:sz w:val="20"/>
                <w:szCs w:val="20"/>
                <w:lang w:eastAsia="es-CO"/>
              </w:rPr>
            </w:pPr>
            <w:r w:rsidRPr="00C76457">
              <w:rPr>
                <w:rFonts w:ascii="Arial" w:eastAsia="Times New Roman" w:hAnsi="Arial" w:cs="Arial"/>
                <w:color w:val="000000"/>
                <w:sz w:val="20"/>
                <w:szCs w:val="20"/>
                <w:lang w:eastAsia="es-CO"/>
              </w:rPr>
              <w:t>$ 3.784.545.626</w:t>
            </w:r>
          </w:p>
        </w:tc>
      </w:tr>
    </w:tbl>
    <w:p w14:paraId="4D9CF085" w14:textId="77777777" w:rsidR="00C76457" w:rsidRDefault="00C76457" w:rsidP="00616FE1">
      <w:pPr>
        <w:pStyle w:val="Sinespaciado"/>
        <w:spacing w:line="276" w:lineRule="auto"/>
        <w:ind w:left="284" w:right="333"/>
        <w:rPr>
          <w:rFonts w:cs="Arial"/>
          <w:b w:val="0"/>
          <w:bCs/>
          <w:color w:val="auto"/>
          <w:sz w:val="18"/>
          <w:szCs w:val="20"/>
          <w:lang w:eastAsia="es-CO"/>
        </w:rPr>
      </w:pPr>
    </w:p>
    <w:p w14:paraId="7D18CA91" w14:textId="217CD8FC" w:rsidR="0030338F" w:rsidRPr="00C76457" w:rsidRDefault="0030338F" w:rsidP="00616FE1">
      <w:pPr>
        <w:pStyle w:val="Sinespaciado"/>
        <w:spacing w:line="276" w:lineRule="auto"/>
        <w:ind w:left="284" w:right="333"/>
        <w:rPr>
          <w:rFonts w:cs="Arial"/>
          <w:color w:val="808080" w:themeColor="background1" w:themeShade="80"/>
          <w:lang w:eastAsia="es-CO"/>
        </w:rPr>
      </w:pPr>
      <w:r w:rsidRPr="00C76457">
        <w:rPr>
          <w:rFonts w:cs="Arial"/>
          <w:b w:val="0"/>
          <w:bCs/>
          <w:color w:val="auto"/>
          <w:sz w:val="18"/>
          <w:szCs w:val="20"/>
          <w:lang w:eastAsia="es-CO"/>
        </w:rPr>
        <w:t>* El valor total ofertado incluye IVA y todos los gastos, impuestos, deducciones, retenciones, tasas y gravámenes a que legalmente haya lugar, así como los costos directos e indirectos que se generen.</w:t>
      </w:r>
    </w:p>
    <w:p w14:paraId="07F6BE89" w14:textId="3B200FEB" w:rsidR="009D7061" w:rsidRPr="00C76457" w:rsidRDefault="009D7061" w:rsidP="002F1D05">
      <w:pPr>
        <w:spacing w:after="0"/>
        <w:rPr>
          <w:rFonts w:ascii="Arial" w:hAnsi="Arial" w:cs="Arial"/>
          <w:color w:val="808080" w:themeColor="background1" w:themeShade="80"/>
          <w:lang w:eastAsia="es-CO"/>
        </w:rPr>
      </w:pPr>
    </w:p>
    <w:p w14:paraId="447362D7" w14:textId="77777777" w:rsidR="00EE0E22" w:rsidRPr="00C76457" w:rsidRDefault="00EE0E22" w:rsidP="00616FE1">
      <w:pPr>
        <w:spacing w:after="0"/>
        <w:jc w:val="both"/>
        <w:rPr>
          <w:rFonts w:ascii="Arial" w:eastAsia="Times New Roman" w:hAnsi="Arial" w:cs="Arial"/>
          <w:lang w:eastAsia="es-CO"/>
        </w:rPr>
      </w:pPr>
      <w:r w:rsidRPr="00C76457">
        <w:rPr>
          <w:rFonts w:ascii="Arial" w:eastAsia="Times New Roman" w:hAnsi="Arial" w:cs="Arial"/>
          <w:lang w:eastAsia="es-CO"/>
        </w:rPr>
        <w:t>Al analizar los datos obtenidos, se identificó la presencia de valores extremos, tanto artificialmente bajos como elevados, que podrían distorsionar el análisis si se utilizara una medida de tendencia central sensible como el promedio aritmético.</w:t>
      </w:r>
    </w:p>
    <w:p w14:paraId="19A3B83C" w14:textId="2A232305" w:rsidR="00EE0E22" w:rsidRPr="00C76457" w:rsidRDefault="00EE0E22" w:rsidP="00616FE1">
      <w:pPr>
        <w:spacing w:after="0"/>
        <w:jc w:val="both"/>
        <w:rPr>
          <w:rFonts w:ascii="Arial" w:eastAsia="Times New Roman" w:hAnsi="Arial" w:cs="Arial"/>
          <w:lang w:eastAsia="es-CO"/>
        </w:rPr>
      </w:pPr>
    </w:p>
    <w:p w14:paraId="1219DD7E" w14:textId="4BA282E3" w:rsidR="009D7061" w:rsidRDefault="0061230A" w:rsidP="00616FE1">
      <w:pPr>
        <w:spacing w:after="0"/>
        <w:jc w:val="both"/>
        <w:rPr>
          <w:rFonts w:ascii="Arial" w:eastAsia="Times New Roman" w:hAnsi="Arial" w:cs="Arial"/>
          <w:lang w:eastAsia="es-CO"/>
        </w:rPr>
      </w:pPr>
      <w:r w:rsidRPr="00C76457">
        <w:rPr>
          <w:rFonts w:ascii="Arial" w:eastAsia="Times New Roman" w:hAnsi="Arial" w:cs="Arial"/>
          <w:lang w:eastAsia="es-CO"/>
        </w:rPr>
        <w:t>Conforme a los lineamientos establecidos en la Circular Interna No. 017 del 10 de septiembre de 2025</w:t>
      </w:r>
      <w:r w:rsidR="00627E42" w:rsidRPr="00C76457">
        <w:rPr>
          <w:rFonts w:ascii="Arial" w:eastAsia="Times New Roman" w:hAnsi="Arial" w:cs="Arial"/>
          <w:lang w:eastAsia="es-CO"/>
        </w:rPr>
        <w:t xml:space="preserve"> mediante la cual la Dirección Corporativa informa el procedimiento que adopta frente a los estudios de sector que le sean remitidos, específicamente en lo relacionado con el componente de análisis de mercado para bienes y servicios</w:t>
      </w:r>
      <w:r w:rsidR="001240D7" w:rsidRPr="00C76457">
        <w:rPr>
          <w:rFonts w:ascii="Arial" w:eastAsia="Times New Roman" w:hAnsi="Arial" w:cs="Arial"/>
          <w:lang w:eastAsia="es-CO"/>
        </w:rPr>
        <w:t xml:space="preserve">, así </w:t>
      </w:r>
      <w:r w:rsidR="00062CAA">
        <w:rPr>
          <w:rFonts w:ascii="Arial" w:eastAsia="Times New Roman" w:hAnsi="Arial" w:cs="Arial"/>
          <w:lang w:eastAsia="es-CO"/>
        </w:rPr>
        <w:t>como la</w:t>
      </w:r>
      <w:r w:rsidR="00C47BB9">
        <w:rPr>
          <w:rFonts w:ascii="Arial" w:eastAsia="Times New Roman" w:hAnsi="Arial" w:cs="Arial"/>
          <w:lang w:eastAsia="es-CO"/>
        </w:rPr>
        <w:t>s</w:t>
      </w:r>
      <w:r w:rsidR="001240D7" w:rsidRPr="00C76457">
        <w:rPr>
          <w:rFonts w:ascii="Arial" w:eastAsia="Times New Roman" w:hAnsi="Arial" w:cs="Arial"/>
          <w:lang w:eastAsia="es-CO"/>
        </w:rPr>
        <w:t xml:space="preserve"> metodologías</w:t>
      </w:r>
      <w:r w:rsidR="00FD5C82" w:rsidRPr="00C76457">
        <w:rPr>
          <w:rFonts w:ascii="Arial" w:eastAsia="Times New Roman" w:hAnsi="Arial" w:cs="Arial"/>
          <w:lang w:eastAsia="es-CO"/>
        </w:rPr>
        <w:t xml:space="preserve"> para el análisis de cotizaciones y definición del presupuesto oficial de contratación.</w:t>
      </w:r>
    </w:p>
    <w:p w14:paraId="3711B047" w14:textId="77777777" w:rsidR="00DC3118" w:rsidRPr="00C76457" w:rsidRDefault="00DC3118" w:rsidP="00616FE1">
      <w:pPr>
        <w:spacing w:after="0"/>
        <w:jc w:val="both"/>
        <w:rPr>
          <w:rFonts w:ascii="Arial" w:eastAsia="Times New Roman" w:hAnsi="Arial" w:cs="Arial"/>
          <w:lang w:eastAsia="es-CO"/>
        </w:rPr>
      </w:pPr>
    </w:p>
    <w:p w14:paraId="2B81AF55" w14:textId="4546D546" w:rsidR="00193307" w:rsidRPr="00C76457" w:rsidRDefault="00253D8D" w:rsidP="00616FE1">
      <w:pPr>
        <w:spacing w:after="0"/>
        <w:jc w:val="both"/>
        <w:rPr>
          <w:rFonts w:ascii="Arial" w:eastAsia="Times New Roman" w:hAnsi="Arial" w:cs="Arial"/>
          <w:lang w:eastAsia="es-CO"/>
        </w:rPr>
      </w:pPr>
      <w:r w:rsidRPr="00C76457">
        <w:rPr>
          <w:rFonts w:ascii="Arial" w:eastAsia="Times New Roman" w:hAnsi="Arial" w:cs="Arial"/>
          <w:lang w:eastAsia="es-CO"/>
        </w:rPr>
        <w:t xml:space="preserve">En este contexto, </w:t>
      </w:r>
      <w:r w:rsidR="0024089B" w:rsidRPr="00C76457">
        <w:rPr>
          <w:rFonts w:ascii="Arial" w:eastAsia="Times New Roman" w:hAnsi="Arial" w:cs="Arial"/>
          <w:lang w:eastAsia="es-CO"/>
        </w:rPr>
        <w:t xml:space="preserve">se adopta el método de promedio acotado por desviación estándar para el análisis de cotizaciones, </w:t>
      </w:r>
      <w:r w:rsidR="00172535">
        <w:rPr>
          <w:rFonts w:ascii="Arial" w:eastAsia="Times New Roman" w:hAnsi="Arial" w:cs="Arial"/>
          <w:lang w:eastAsia="es-CO"/>
        </w:rPr>
        <w:t>pues</w:t>
      </w:r>
      <w:r w:rsidR="0024089B" w:rsidRPr="00C76457">
        <w:rPr>
          <w:rFonts w:ascii="Arial" w:eastAsia="Times New Roman" w:hAnsi="Arial" w:cs="Arial"/>
          <w:lang w:eastAsia="es-CO"/>
        </w:rPr>
        <w:t xml:space="preserve"> permite obtener un valor representativo más confiable al mitigar la influencia de datos atípicos o extremos (valores excesivamente altos o bajos) que pueden distorsionar el promedio simple. Este enfoque consiste en identificar la dispersión de las cotizaciones mediante la desviación estándar y acotar dentro de un rango razonable, aquellas ofertas que se alejan significativamente del comportamiento general del conjunto de datos.</w:t>
      </w:r>
    </w:p>
    <w:p w14:paraId="3322BE8A" w14:textId="77777777" w:rsidR="00193307" w:rsidRPr="00C76457" w:rsidRDefault="00193307" w:rsidP="00616FE1">
      <w:pPr>
        <w:spacing w:after="0"/>
        <w:jc w:val="both"/>
        <w:rPr>
          <w:rFonts w:ascii="Arial" w:eastAsia="Times New Roman" w:hAnsi="Arial" w:cs="Arial"/>
          <w:lang w:eastAsia="es-CO"/>
        </w:rPr>
      </w:pPr>
    </w:p>
    <w:p w14:paraId="1565FC3E" w14:textId="5B313173" w:rsidR="001958C9" w:rsidRPr="00C76457" w:rsidRDefault="001958C9" w:rsidP="00616FE1">
      <w:pPr>
        <w:spacing w:after="0"/>
        <w:jc w:val="both"/>
        <w:rPr>
          <w:rFonts w:ascii="Arial" w:eastAsia="Times New Roman" w:hAnsi="Arial" w:cs="Arial"/>
          <w:lang w:val="es-419" w:eastAsia="es-CO"/>
        </w:rPr>
      </w:pPr>
      <w:r w:rsidRPr="00C76457">
        <w:rPr>
          <w:rFonts w:ascii="Arial" w:eastAsia="Times New Roman" w:hAnsi="Arial" w:cs="Arial"/>
          <w:lang w:val="es-419" w:eastAsia="es-CO"/>
        </w:rPr>
        <w:t>Se siguió el siguiente procedimiento para el cálculo del promedio acotado por desviación estándar:</w:t>
      </w:r>
    </w:p>
    <w:p w14:paraId="02143AF7" w14:textId="77777777" w:rsidR="002D2689" w:rsidRPr="00C76457" w:rsidRDefault="002D2689" w:rsidP="00616FE1">
      <w:pPr>
        <w:spacing w:after="0"/>
        <w:jc w:val="both"/>
        <w:rPr>
          <w:rFonts w:ascii="Arial" w:eastAsia="Times New Roman" w:hAnsi="Arial" w:cs="Arial"/>
          <w:lang w:val="es-419" w:eastAsia="es-CO"/>
        </w:rPr>
      </w:pPr>
    </w:p>
    <w:p w14:paraId="5B010837" w14:textId="74CA5807" w:rsidR="00125502" w:rsidRPr="00616FE1" w:rsidRDefault="00D36D6D" w:rsidP="00616FE1">
      <w:pPr>
        <w:pStyle w:val="Prrafodelista"/>
        <w:numPr>
          <w:ilvl w:val="0"/>
          <w:numId w:val="35"/>
        </w:numPr>
        <w:spacing w:after="0"/>
        <w:jc w:val="both"/>
        <w:rPr>
          <w:rFonts w:ascii="Arial" w:eastAsia="Times New Roman" w:hAnsi="Arial" w:cs="Arial"/>
          <w:u w:val="single"/>
          <w:lang w:val="es-419" w:eastAsia="es-CO"/>
        </w:rPr>
      </w:pPr>
      <w:r w:rsidRPr="00616FE1">
        <w:rPr>
          <w:rFonts w:ascii="Arial" w:eastAsia="Times New Roman" w:hAnsi="Arial" w:cs="Arial"/>
          <w:u w:val="single"/>
          <w:lang w:val="es-419" w:eastAsia="es-CO"/>
        </w:rPr>
        <w:lastRenderedPageBreak/>
        <w:t>Elaboración del Plan de Desmantelamiento conforme a los lineamientos y requerimientos fijados en el marco normativo, por la Entidad y la Autoridad Ambiental</w:t>
      </w:r>
    </w:p>
    <w:p w14:paraId="774031FB" w14:textId="77777777" w:rsidR="00D36D6D" w:rsidRPr="00C76457" w:rsidRDefault="00D36D6D" w:rsidP="00616FE1">
      <w:pPr>
        <w:spacing w:after="0"/>
        <w:jc w:val="both"/>
        <w:rPr>
          <w:rFonts w:ascii="Arial" w:eastAsia="Times New Roman" w:hAnsi="Arial" w:cs="Arial"/>
          <w:lang w:val="es-419" w:eastAsia="es-CO"/>
        </w:rPr>
      </w:pPr>
    </w:p>
    <w:tbl>
      <w:tblPr>
        <w:tblStyle w:val="Tablaconcuadrcula"/>
        <w:tblW w:w="0" w:type="auto"/>
        <w:tblLook w:val="04A0" w:firstRow="1" w:lastRow="0" w:firstColumn="1" w:lastColumn="0" w:noHBand="0" w:noVBand="1"/>
      </w:tblPr>
      <w:tblGrid>
        <w:gridCol w:w="3768"/>
        <w:gridCol w:w="2920"/>
        <w:gridCol w:w="2140"/>
      </w:tblGrid>
      <w:tr w:rsidR="00125502" w:rsidRPr="00C76457" w14:paraId="7CF0B5B8" w14:textId="77777777" w:rsidTr="00616FE1">
        <w:trPr>
          <w:trHeight w:val="289"/>
        </w:trPr>
        <w:tc>
          <w:tcPr>
            <w:tcW w:w="3768" w:type="dxa"/>
            <w:shd w:val="clear" w:color="auto" w:fill="D9D9D9" w:themeFill="background1" w:themeFillShade="D9"/>
            <w:vAlign w:val="center"/>
            <w:hideMark/>
          </w:tcPr>
          <w:p w14:paraId="77554BBE" w14:textId="77777777" w:rsidR="00125502" w:rsidRPr="00C76457" w:rsidRDefault="00125502" w:rsidP="00616FE1">
            <w:pPr>
              <w:spacing w:line="276" w:lineRule="auto"/>
              <w:jc w:val="center"/>
              <w:rPr>
                <w:rFonts w:ascii="Arial" w:hAnsi="Arial" w:cs="Arial"/>
                <w:b/>
                <w:bCs/>
                <w:lang w:eastAsia="es-CO"/>
              </w:rPr>
            </w:pPr>
            <w:r w:rsidRPr="00C76457">
              <w:rPr>
                <w:rFonts w:ascii="Arial" w:hAnsi="Arial" w:cs="Arial"/>
                <w:b/>
                <w:bCs/>
                <w:lang w:eastAsia="es-CO"/>
              </w:rPr>
              <w:t>EMPRESA</w:t>
            </w:r>
          </w:p>
        </w:tc>
        <w:tc>
          <w:tcPr>
            <w:tcW w:w="2920" w:type="dxa"/>
            <w:shd w:val="clear" w:color="auto" w:fill="D9D9D9" w:themeFill="background1" w:themeFillShade="D9"/>
            <w:vAlign w:val="center"/>
            <w:hideMark/>
          </w:tcPr>
          <w:p w14:paraId="1E47BCB9" w14:textId="77777777" w:rsidR="00125502" w:rsidRPr="00C76457" w:rsidRDefault="00125502" w:rsidP="00616FE1">
            <w:pPr>
              <w:spacing w:line="276" w:lineRule="auto"/>
              <w:jc w:val="center"/>
              <w:rPr>
                <w:rFonts w:ascii="Arial" w:hAnsi="Arial" w:cs="Arial"/>
                <w:b/>
                <w:bCs/>
                <w:lang w:eastAsia="es-CO"/>
              </w:rPr>
            </w:pPr>
            <w:r w:rsidRPr="00C76457">
              <w:rPr>
                <w:rFonts w:ascii="Arial" w:hAnsi="Arial" w:cs="Arial"/>
                <w:b/>
                <w:bCs/>
                <w:lang w:eastAsia="es-CO"/>
              </w:rPr>
              <w:t>VALOR TOTAL</w:t>
            </w:r>
          </w:p>
        </w:tc>
        <w:tc>
          <w:tcPr>
            <w:tcW w:w="2140" w:type="dxa"/>
            <w:shd w:val="clear" w:color="auto" w:fill="D9D9D9" w:themeFill="background1" w:themeFillShade="D9"/>
            <w:vAlign w:val="center"/>
            <w:hideMark/>
          </w:tcPr>
          <w:p w14:paraId="411FD30F" w14:textId="2E895C70" w:rsidR="00125502" w:rsidRPr="00C76457" w:rsidRDefault="00125502" w:rsidP="00616FE1">
            <w:pPr>
              <w:spacing w:line="276" w:lineRule="auto"/>
              <w:jc w:val="center"/>
              <w:rPr>
                <w:rFonts w:ascii="Arial" w:hAnsi="Arial" w:cs="Arial"/>
                <w:b/>
                <w:bCs/>
                <w:lang w:eastAsia="es-CO"/>
              </w:rPr>
            </w:pPr>
            <w:r w:rsidRPr="00C76457">
              <w:rPr>
                <w:rFonts w:ascii="Arial" w:hAnsi="Arial" w:cs="Arial"/>
                <w:b/>
                <w:bCs/>
                <w:lang w:eastAsia="es-CO"/>
              </w:rPr>
              <w:t xml:space="preserve">OFERTAS </w:t>
            </w:r>
            <w:r w:rsidR="00F7512F">
              <w:rPr>
                <w:rFonts w:ascii="Arial" w:hAnsi="Arial" w:cs="Arial"/>
                <w:b/>
                <w:bCs/>
                <w:lang w:eastAsia="es-CO"/>
              </w:rPr>
              <w:t>VÁLIDA</w:t>
            </w:r>
            <w:r w:rsidRPr="00C76457">
              <w:rPr>
                <w:rFonts w:ascii="Arial" w:hAnsi="Arial" w:cs="Arial"/>
                <w:b/>
                <w:bCs/>
                <w:lang w:eastAsia="es-CO"/>
              </w:rPr>
              <w:t>S</w:t>
            </w:r>
          </w:p>
        </w:tc>
      </w:tr>
      <w:tr w:rsidR="00125502" w:rsidRPr="00C76457" w14:paraId="642EDBF9" w14:textId="77777777" w:rsidTr="00616FE1">
        <w:trPr>
          <w:trHeight w:val="315"/>
        </w:trPr>
        <w:tc>
          <w:tcPr>
            <w:tcW w:w="3768" w:type="dxa"/>
            <w:vAlign w:val="center"/>
            <w:hideMark/>
          </w:tcPr>
          <w:p w14:paraId="39785ACA"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AMBIPAR</w:t>
            </w:r>
          </w:p>
        </w:tc>
        <w:tc>
          <w:tcPr>
            <w:tcW w:w="2920" w:type="dxa"/>
            <w:noWrap/>
            <w:vAlign w:val="center"/>
            <w:hideMark/>
          </w:tcPr>
          <w:p w14:paraId="593FD677"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$ 12.852.000</w:t>
            </w:r>
          </w:p>
        </w:tc>
        <w:tc>
          <w:tcPr>
            <w:tcW w:w="2140" w:type="dxa"/>
            <w:vAlign w:val="center"/>
            <w:hideMark/>
          </w:tcPr>
          <w:p w14:paraId="01138055" w14:textId="6D779399" w:rsidR="00125502" w:rsidRPr="00C76457" w:rsidRDefault="00F7512F" w:rsidP="00616FE1">
            <w:pPr>
              <w:spacing w:line="276" w:lineRule="auto"/>
              <w:jc w:val="center"/>
              <w:rPr>
                <w:rFonts w:ascii="Arial" w:hAnsi="Arial" w:cs="Arial"/>
                <w:b/>
                <w:bCs/>
                <w:lang w:eastAsia="es-CO"/>
              </w:rPr>
            </w:pPr>
            <w:r>
              <w:rPr>
                <w:rFonts w:ascii="Arial" w:hAnsi="Arial" w:cs="Arial"/>
                <w:b/>
                <w:bCs/>
                <w:lang w:eastAsia="es-CO"/>
              </w:rPr>
              <w:t>VÁLIDA</w:t>
            </w:r>
          </w:p>
        </w:tc>
      </w:tr>
      <w:tr w:rsidR="00125502" w:rsidRPr="00C76457" w14:paraId="6B715AA2" w14:textId="77777777" w:rsidTr="00616FE1">
        <w:trPr>
          <w:trHeight w:val="315"/>
        </w:trPr>
        <w:tc>
          <w:tcPr>
            <w:tcW w:w="3768" w:type="dxa"/>
            <w:vAlign w:val="center"/>
            <w:hideMark/>
          </w:tcPr>
          <w:p w14:paraId="74B9C7E8"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2M Estudio SAS</w:t>
            </w:r>
          </w:p>
        </w:tc>
        <w:tc>
          <w:tcPr>
            <w:tcW w:w="2920" w:type="dxa"/>
            <w:noWrap/>
            <w:vAlign w:val="center"/>
            <w:hideMark/>
          </w:tcPr>
          <w:p w14:paraId="1636FC88"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$ 965.600</w:t>
            </w:r>
          </w:p>
        </w:tc>
        <w:tc>
          <w:tcPr>
            <w:tcW w:w="2140" w:type="dxa"/>
            <w:vAlign w:val="center"/>
            <w:hideMark/>
          </w:tcPr>
          <w:p w14:paraId="56829A96" w14:textId="31798FAB" w:rsidR="00125502" w:rsidRPr="00616FE1" w:rsidRDefault="00125502" w:rsidP="00616FE1">
            <w:pPr>
              <w:spacing w:line="276" w:lineRule="auto"/>
              <w:jc w:val="center"/>
              <w:rPr>
                <w:rFonts w:ascii="Arial" w:hAnsi="Arial" w:cs="Arial"/>
                <w:lang w:eastAsia="es-CO"/>
              </w:rPr>
            </w:pPr>
            <w:r w:rsidRPr="00616FE1">
              <w:rPr>
                <w:rFonts w:ascii="Arial" w:hAnsi="Arial" w:cs="Arial"/>
                <w:lang w:eastAsia="es-CO"/>
              </w:rPr>
              <w:t xml:space="preserve">NO </w:t>
            </w:r>
            <w:r w:rsidR="00F7512F">
              <w:rPr>
                <w:rFonts w:ascii="Arial" w:hAnsi="Arial" w:cs="Arial"/>
                <w:lang w:eastAsia="es-CO"/>
              </w:rPr>
              <w:t>VÁLIDA</w:t>
            </w:r>
          </w:p>
        </w:tc>
      </w:tr>
      <w:tr w:rsidR="00125502" w:rsidRPr="00C76457" w14:paraId="4AC833DA" w14:textId="77777777" w:rsidTr="00616FE1">
        <w:trPr>
          <w:trHeight w:val="315"/>
        </w:trPr>
        <w:tc>
          <w:tcPr>
            <w:tcW w:w="3768" w:type="dxa"/>
            <w:vAlign w:val="center"/>
            <w:hideMark/>
          </w:tcPr>
          <w:p w14:paraId="76AEF980"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HIDROGEOLOGIA COLOMBIANA SAS</w:t>
            </w:r>
          </w:p>
        </w:tc>
        <w:tc>
          <w:tcPr>
            <w:tcW w:w="2920" w:type="dxa"/>
            <w:vAlign w:val="center"/>
            <w:hideMark/>
          </w:tcPr>
          <w:p w14:paraId="31A69F0F"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$ 2.320.500</w:t>
            </w:r>
          </w:p>
        </w:tc>
        <w:tc>
          <w:tcPr>
            <w:tcW w:w="2140" w:type="dxa"/>
            <w:vAlign w:val="center"/>
            <w:hideMark/>
          </w:tcPr>
          <w:p w14:paraId="6030CA27" w14:textId="735A2B3D" w:rsidR="00125502" w:rsidRPr="00616FE1" w:rsidRDefault="00125502" w:rsidP="00616FE1">
            <w:pPr>
              <w:spacing w:line="276" w:lineRule="auto"/>
              <w:jc w:val="center"/>
              <w:rPr>
                <w:rFonts w:ascii="Arial" w:hAnsi="Arial" w:cs="Arial"/>
                <w:lang w:eastAsia="es-CO"/>
              </w:rPr>
            </w:pPr>
            <w:r w:rsidRPr="00616FE1">
              <w:rPr>
                <w:rFonts w:ascii="Arial" w:hAnsi="Arial" w:cs="Arial"/>
                <w:lang w:eastAsia="es-CO"/>
              </w:rPr>
              <w:t xml:space="preserve">NO </w:t>
            </w:r>
            <w:r w:rsidR="00F7512F">
              <w:rPr>
                <w:rFonts w:ascii="Arial" w:hAnsi="Arial" w:cs="Arial"/>
                <w:lang w:eastAsia="es-CO"/>
              </w:rPr>
              <w:t>VÁLIDA</w:t>
            </w:r>
          </w:p>
        </w:tc>
      </w:tr>
      <w:tr w:rsidR="00125502" w:rsidRPr="00C76457" w14:paraId="6004BDE5" w14:textId="77777777" w:rsidTr="00616FE1">
        <w:trPr>
          <w:trHeight w:val="315"/>
        </w:trPr>
        <w:tc>
          <w:tcPr>
            <w:tcW w:w="3768" w:type="dxa"/>
            <w:vAlign w:val="center"/>
            <w:hideMark/>
          </w:tcPr>
          <w:p w14:paraId="7D7A0B6E"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NOVAMBIENTTI SOLUCIONES AMBIENTALES S.A.S</w:t>
            </w:r>
          </w:p>
        </w:tc>
        <w:tc>
          <w:tcPr>
            <w:tcW w:w="2920" w:type="dxa"/>
            <w:vAlign w:val="center"/>
            <w:hideMark/>
          </w:tcPr>
          <w:p w14:paraId="4E1587FA"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$ 19.400.094</w:t>
            </w:r>
          </w:p>
        </w:tc>
        <w:tc>
          <w:tcPr>
            <w:tcW w:w="2140" w:type="dxa"/>
            <w:vAlign w:val="center"/>
            <w:hideMark/>
          </w:tcPr>
          <w:p w14:paraId="2B0E55F7" w14:textId="728489EA" w:rsidR="00125502" w:rsidRPr="00616FE1" w:rsidRDefault="00125502" w:rsidP="00616FE1">
            <w:pPr>
              <w:spacing w:line="276" w:lineRule="auto"/>
              <w:jc w:val="center"/>
              <w:rPr>
                <w:rFonts w:ascii="Arial" w:hAnsi="Arial" w:cs="Arial"/>
                <w:lang w:eastAsia="es-CO"/>
              </w:rPr>
            </w:pPr>
            <w:r w:rsidRPr="00616FE1">
              <w:rPr>
                <w:rFonts w:ascii="Arial" w:hAnsi="Arial" w:cs="Arial"/>
                <w:lang w:eastAsia="es-CO"/>
              </w:rPr>
              <w:t xml:space="preserve">NO </w:t>
            </w:r>
            <w:r w:rsidR="00F7512F">
              <w:rPr>
                <w:rFonts w:ascii="Arial" w:hAnsi="Arial" w:cs="Arial"/>
                <w:lang w:eastAsia="es-CO"/>
              </w:rPr>
              <w:t>VÁLIDA</w:t>
            </w:r>
          </w:p>
        </w:tc>
      </w:tr>
      <w:tr w:rsidR="00125502" w:rsidRPr="00C76457" w14:paraId="7C790F92" w14:textId="77777777" w:rsidTr="00616FE1">
        <w:trPr>
          <w:trHeight w:val="330"/>
        </w:trPr>
        <w:tc>
          <w:tcPr>
            <w:tcW w:w="3768" w:type="dxa"/>
            <w:vAlign w:val="center"/>
            <w:hideMark/>
          </w:tcPr>
          <w:p w14:paraId="30F5D9E0"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INERCO CONSULTORÍA COLOMBIA LTDA</w:t>
            </w:r>
          </w:p>
        </w:tc>
        <w:tc>
          <w:tcPr>
            <w:tcW w:w="2920" w:type="dxa"/>
            <w:vAlign w:val="center"/>
            <w:hideMark/>
          </w:tcPr>
          <w:p w14:paraId="62B43E7D" w14:textId="77777777" w:rsidR="00125502" w:rsidRPr="00C76457" w:rsidRDefault="00125502" w:rsidP="00616FE1">
            <w:pPr>
              <w:spacing w:line="276" w:lineRule="auto"/>
              <w:jc w:val="center"/>
              <w:rPr>
                <w:rFonts w:ascii="Arial" w:hAnsi="Arial" w:cs="Arial"/>
                <w:lang w:eastAsia="es-CO"/>
              </w:rPr>
            </w:pPr>
            <w:r w:rsidRPr="00C76457">
              <w:rPr>
                <w:rFonts w:ascii="Arial" w:hAnsi="Arial" w:cs="Arial"/>
                <w:lang w:eastAsia="es-CO"/>
              </w:rPr>
              <w:t>$ 19.615.146</w:t>
            </w:r>
          </w:p>
        </w:tc>
        <w:tc>
          <w:tcPr>
            <w:tcW w:w="2140" w:type="dxa"/>
            <w:vAlign w:val="center"/>
            <w:hideMark/>
          </w:tcPr>
          <w:p w14:paraId="37CE32A1" w14:textId="15576932" w:rsidR="00125502" w:rsidRPr="00616FE1" w:rsidRDefault="00125502" w:rsidP="00616FE1">
            <w:pPr>
              <w:spacing w:line="276" w:lineRule="auto"/>
              <w:jc w:val="center"/>
              <w:rPr>
                <w:rFonts w:ascii="Arial" w:hAnsi="Arial" w:cs="Arial"/>
                <w:lang w:eastAsia="es-CO"/>
              </w:rPr>
            </w:pPr>
            <w:r w:rsidRPr="00616FE1">
              <w:rPr>
                <w:rFonts w:ascii="Arial" w:hAnsi="Arial" w:cs="Arial"/>
                <w:lang w:eastAsia="es-CO"/>
              </w:rPr>
              <w:t xml:space="preserve">NO </w:t>
            </w:r>
            <w:r w:rsidR="00F7512F">
              <w:rPr>
                <w:rFonts w:ascii="Arial" w:hAnsi="Arial" w:cs="Arial"/>
                <w:lang w:eastAsia="es-CO"/>
              </w:rPr>
              <w:t>VÁLIDA</w:t>
            </w:r>
          </w:p>
        </w:tc>
      </w:tr>
      <w:tr w:rsidR="00500F74" w:rsidRPr="00C76457" w14:paraId="539623F4" w14:textId="77777777" w:rsidTr="00616FE1">
        <w:trPr>
          <w:gridAfter w:val="1"/>
          <w:wAfter w:w="2140" w:type="dxa"/>
          <w:trHeight w:val="315"/>
        </w:trPr>
        <w:tc>
          <w:tcPr>
            <w:tcW w:w="3768" w:type="dxa"/>
            <w:vAlign w:val="center"/>
            <w:hideMark/>
          </w:tcPr>
          <w:p w14:paraId="4B574003" w14:textId="403078AA"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MEDIA ARI</w:t>
            </w:r>
            <w:r w:rsidR="00E828CF">
              <w:rPr>
                <w:rFonts w:ascii="Arial" w:hAnsi="Arial" w:cs="Arial"/>
                <w:b/>
                <w:bCs/>
                <w:lang w:eastAsia="es-CO"/>
              </w:rPr>
              <w:t>T</w:t>
            </w:r>
            <w:r w:rsidRPr="00C76457">
              <w:rPr>
                <w:rFonts w:ascii="Arial" w:hAnsi="Arial" w:cs="Arial"/>
                <w:b/>
                <w:bCs/>
                <w:lang w:eastAsia="es-CO"/>
              </w:rPr>
              <w:t>MÉTICA</w:t>
            </w:r>
          </w:p>
        </w:tc>
        <w:tc>
          <w:tcPr>
            <w:tcW w:w="2920" w:type="dxa"/>
            <w:vAlign w:val="center"/>
            <w:hideMark/>
          </w:tcPr>
          <w:p w14:paraId="6D3F8330"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$ 11.030.668</w:t>
            </w:r>
          </w:p>
        </w:tc>
      </w:tr>
      <w:tr w:rsidR="00500F74" w:rsidRPr="00C76457" w14:paraId="58A59768" w14:textId="77777777" w:rsidTr="00616FE1">
        <w:trPr>
          <w:gridAfter w:val="1"/>
          <w:wAfter w:w="2140" w:type="dxa"/>
          <w:trHeight w:val="315"/>
        </w:trPr>
        <w:tc>
          <w:tcPr>
            <w:tcW w:w="3768" w:type="dxa"/>
            <w:vAlign w:val="center"/>
            <w:hideMark/>
          </w:tcPr>
          <w:p w14:paraId="41EE31E4"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DESVIACIÓN ESTÁNDAR</w:t>
            </w:r>
          </w:p>
        </w:tc>
        <w:tc>
          <w:tcPr>
            <w:tcW w:w="2920" w:type="dxa"/>
            <w:vAlign w:val="center"/>
            <w:hideMark/>
          </w:tcPr>
          <w:p w14:paraId="69FCC108"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$ 8.052.707</w:t>
            </w:r>
          </w:p>
        </w:tc>
      </w:tr>
      <w:tr w:rsidR="00500F74" w:rsidRPr="00C76457" w14:paraId="65B6CFA7" w14:textId="77777777" w:rsidTr="00616FE1">
        <w:trPr>
          <w:gridAfter w:val="1"/>
          <w:wAfter w:w="2140" w:type="dxa"/>
          <w:trHeight w:val="315"/>
        </w:trPr>
        <w:tc>
          <w:tcPr>
            <w:tcW w:w="3768" w:type="dxa"/>
            <w:vAlign w:val="center"/>
            <w:hideMark/>
          </w:tcPr>
          <w:p w14:paraId="63AE5EED"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LÍMITE SUPERIOR</w:t>
            </w:r>
          </w:p>
        </w:tc>
        <w:tc>
          <w:tcPr>
            <w:tcW w:w="2920" w:type="dxa"/>
            <w:vAlign w:val="center"/>
            <w:hideMark/>
          </w:tcPr>
          <w:p w14:paraId="337C8463"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$ 19.083.375</w:t>
            </w:r>
          </w:p>
        </w:tc>
      </w:tr>
      <w:tr w:rsidR="00500F74" w:rsidRPr="00C76457" w14:paraId="0C5B6B9D" w14:textId="77777777" w:rsidTr="00616FE1">
        <w:trPr>
          <w:gridAfter w:val="1"/>
          <w:wAfter w:w="2140" w:type="dxa"/>
          <w:trHeight w:val="315"/>
        </w:trPr>
        <w:tc>
          <w:tcPr>
            <w:tcW w:w="3768" w:type="dxa"/>
            <w:vAlign w:val="center"/>
            <w:hideMark/>
          </w:tcPr>
          <w:p w14:paraId="31493081"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LÍMITE INFERIOR</w:t>
            </w:r>
          </w:p>
        </w:tc>
        <w:tc>
          <w:tcPr>
            <w:tcW w:w="2920" w:type="dxa"/>
            <w:vAlign w:val="center"/>
            <w:hideMark/>
          </w:tcPr>
          <w:p w14:paraId="5FD6A1D9"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$ 2.977.961</w:t>
            </w:r>
          </w:p>
        </w:tc>
      </w:tr>
      <w:tr w:rsidR="00500F74" w:rsidRPr="00C76457" w14:paraId="7DA64E4F" w14:textId="77777777" w:rsidTr="00616FE1">
        <w:trPr>
          <w:gridAfter w:val="1"/>
          <w:wAfter w:w="2140" w:type="dxa"/>
          <w:trHeight w:val="330"/>
        </w:trPr>
        <w:tc>
          <w:tcPr>
            <w:tcW w:w="3768" w:type="dxa"/>
            <w:vAlign w:val="center"/>
            <w:hideMark/>
          </w:tcPr>
          <w:p w14:paraId="2A3C1DA2"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NUEVO PROMEDIO</w:t>
            </w:r>
          </w:p>
        </w:tc>
        <w:tc>
          <w:tcPr>
            <w:tcW w:w="2920" w:type="dxa"/>
            <w:vAlign w:val="center"/>
            <w:hideMark/>
          </w:tcPr>
          <w:p w14:paraId="5F49A126"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$ 12.852.000</w:t>
            </w:r>
          </w:p>
        </w:tc>
      </w:tr>
    </w:tbl>
    <w:p w14:paraId="31CC6185" w14:textId="77777777" w:rsidR="008D5EEC" w:rsidRDefault="008D5EEC" w:rsidP="00A357EF">
      <w:pPr>
        <w:pStyle w:val="Prrafodelista"/>
        <w:spacing w:after="0"/>
        <w:rPr>
          <w:rFonts w:ascii="Arial" w:eastAsia="Times New Roman" w:hAnsi="Arial" w:cs="Arial"/>
          <w:lang w:val="es-419" w:eastAsia="es-CO"/>
        </w:rPr>
      </w:pPr>
    </w:p>
    <w:p w14:paraId="7CDDC5D5" w14:textId="27F45625" w:rsidR="002D2689" w:rsidRPr="00616FE1" w:rsidRDefault="002D2689" w:rsidP="00A357EF">
      <w:pPr>
        <w:pStyle w:val="Prrafodelista"/>
        <w:numPr>
          <w:ilvl w:val="0"/>
          <w:numId w:val="35"/>
        </w:numPr>
        <w:spacing w:after="0"/>
        <w:rPr>
          <w:rFonts w:ascii="Arial" w:eastAsia="Times New Roman" w:hAnsi="Arial" w:cs="Arial"/>
          <w:u w:val="single"/>
          <w:lang w:val="es-419" w:eastAsia="es-CO"/>
        </w:rPr>
      </w:pPr>
      <w:r w:rsidRPr="00616FE1">
        <w:rPr>
          <w:rFonts w:ascii="Arial" w:eastAsia="Times New Roman" w:hAnsi="Arial" w:cs="Arial"/>
          <w:u w:val="single"/>
          <w:lang w:val="es-419" w:eastAsia="es-CO"/>
        </w:rPr>
        <w:t>Desmantelamiento EDS y sus elementos constitutivos</w:t>
      </w:r>
    </w:p>
    <w:p w14:paraId="7623C07C" w14:textId="77777777" w:rsidR="002447F2" w:rsidRPr="00C76457" w:rsidRDefault="002447F2" w:rsidP="00616FE1">
      <w:pPr>
        <w:pStyle w:val="Prrafodelista"/>
        <w:spacing w:after="0"/>
        <w:rPr>
          <w:rFonts w:ascii="Arial" w:eastAsia="Times New Roman" w:hAnsi="Arial" w:cs="Arial"/>
          <w:lang w:val="es-419" w:eastAsia="es-CO"/>
        </w:rPr>
      </w:pPr>
    </w:p>
    <w:tbl>
      <w:tblPr>
        <w:tblStyle w:val="Tablaconcuadrcula"/>
        <w:tblW w:w="0" w:type="auto"/>
        <w:tblLook w:val="04A0" w:firstRow="1" w:lastRow="0" w:firstColumn="1" w:lastColumn="0" w:noHBand="0" w:noVBand="1"/>
      </w:tblPr>
      <w:tblGrid>
        <w:gridCol w:w="3768"/>
        <w:gridCol w:w="2920"/>
        <w:gridCol w:w="2140"/>
      </w:tblGrid>
      <w:tr w:rsidR="00D36D6D" w:rsidRPr="00C76457" w14:paraId="7A9E5CC0" w14:textId="77777777" w:rsidTr="00616FE1">
        <w:trPr>
          <w:trHeight w:val="630"/>
        </w:trPr>
        <w:tc>
          <w:tcPr>
            <w:tcW w:w="3768" w:type="dxa"/>
            <w:shd w:val="clear" w:color="auto" w:fill="D9D9D9" w:themeFill="background1" w:themeFillShade="D9"/>
            <w:vAlign w:val="center"/>
            <w:hideMark/>
          </w:tcPr>
          <w:p w14:paraId="25A9B426" w14:textId="77777777" w:rsidR="00D36D6D" w:rsidRPr="00C76457" w:rsidRDefault="00D36D6D"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EMPRESA</w:t>
            </w:r>
          </w:p>
        </w:tc>
        <w:tc>
          <w:tcPr>
            <w:tcW w:w="2920" w:type="dxa"/>
            <w:shd w:val="clear" w:color="auto" w:fill="D9D9D9" w:themeFill="background1" w:themeFillShade="D9"/>
            <w:vAlign w:val="center"/>
            <w:hideMark/>
          </w:tcPr>
          <w:p w14:paraId="3B5C7E3B" w14:textId="77777777" w:rsidR="001B2488" w:rsidRDefault="00D36D6D"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xml:space="preserve">VALOR TOTAL </w:t>
            </w:r>
          </w:p>
          <w:p w14:paraId="7A70DAF6" w14:textId="6393E246" w:rsidR="00D36D6D" w:rsidRPr="00C76457" w:rsidRDefault="00D36D6D"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EDS PATIO CALLE 80</w:t>
            </w:r>
          </w:p>
        </w:tc>
        <w:tc>
          <w:tcPr>
            <w:tcW w:w="2140" w:type="dxa"/>
            <w:shd w:val="clear" w:color="auto" w:fill="D9D9D9" w:themeFill="background1" w:themeFillShade="D9"/>
            <w:vAlign w:val="center"/>
            <w:hideMark/>
          </w:tcPr>
          <w:p w14:paraId="568D024E" w14:textId="7F1CF687" w:rsidR="00D36D6D" w:rsidRPr="00C76457" w:rsidRDefault="00D36D6D"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xml:space="preserve">OFERTAS </w:t>
            </w:r>
            <w:r w:rsidR="00F7512F">
              <w:rPr>
                <w:rFonts w:ascii="Arial" w:hAnsi="Arial" w:cs="Arial"/>
                <w:b/>
                <w:bCs/>
                <w:color w:val="000000"/>
                <w:lang w:eastAsia="es-CO"/>
              </w:rPr>
              <w:t>VÁLIDA</w:t>
            </w:r>
            <w:r w:rsidRPr="00C76457">
              <w:rPr>
                <w:rFonts w:ascii="Arial" w:hAnsi="Arial" w:cs="Arial"/>
                <w:b/>
                <w:bCs/>
                <w:color w:val="000000"/>
                <w:lang w:eastAsia="es-CO"/>
              </w:rPr>
              <w:t>S</w:t>
            </w:r>
          </w:p>
        </w:tc>
      </w:tr>
      <w:tr w:rsidR="00D36D6D" w:rsidRPr="00C76457" w14:paraId="17B8D767" w14:textId="77777777" w:rsidTr="00616FE1">
        <w:trPr>
          <w:trHeight w:val="315"/>
        </w:trPr>
        <w:tc>
          <w:tcPr>
            <w:tcW w:w="3768" w:type="dxa"/>
            <w:vAlign w:val="center"/>
            <w:hideMark/>
          </w:tcPr>
          <w:p w14:paraId="2859199A"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AMBIPAR</w:t>
            </w:r>
          </w:p>
        </w:tc>
        <w:tc>
          <w:tcPr>
            <w:tcW w:w="2920" w:type="dxa"/>
            <w:noWrap/>
            <w:vAlign w:val="center"/>
            <w:hideMark/>
          </w:tcPr>
          <w:p w14:paraId="7D37F97D"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$ 610.580.194</w:t>
            </w:r>
          </w:p>
        </w:tc>
        <w:tc>
          <w:tcPr>
            <w:tcW w:w="2140" w:type="dxa"/>
            <w:vAlign w:val="center"/>
            <w:hideMark/>
          </w:tcPr>
          <w:p w14:paraId="676B3ABA" w14:textId="2045809E" w:rsidR="00D36D6D" w:rsidRPr="00C76457" w:rsidRDefault="00F7512F" w:rsidP="00616FE1">
            <w:pPr>
              <w:spacing w:line="276" w:lineRule="auto"/>
              <w:jc w:val="center"/>
              <w:rPr>
                <w:rFonts w:ascii="Arial" w:hAnsi="Arial" w:cs="Arial"/>
                <w:b/>
                <w:bCs/>
                <w:color w:val="000000"/>
                <w:lang w:eastAsia="es-CO"/>
              </w:rPr>
            </w:pPr>
            <w:r>
              <w:rPr>
                <w:rFonts w:ascii="Arial" w:hAnsi="Arial" w:cs="Arial"/>
                <w:b/>
                <w:bCs/>
                <w:color w:val="000000"/>
                <w:lang w:eastAsia="es-CO"/>
              </w:rPr>
              <w:t>VÁLIDA</w:t>
            </w:r>
          </w:p>
        </w:tc>
      </w:tr>
      <w:tr w:rsidR="00D36D6D" w:rsidRPr="00C76457" w14:paraId="76303975" w14:textId="77777777" w:rsidTr="00616FE1">
        <w:trPr>
          <w:trHeight w:val="315"/>
        </w:trPr>
        <w:tc>
          <w:tcPr>
            <w:tcW w:w="3768" w:type="dxa"/>
            <w:vAlign w:val="center"/>
            <w:hideMark/>
          </w:tcPr>
          <w:p w14:paraId="292C3820"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2M Estudio SAS</w:t>
            </w:r>
          </w:p>
        </w:tc>
        <w:tc>
          <w:tcPr>
            <w:tcW w:w="2920" w:type="dxa"/>
            <w:noWrap/>
            <w:vAlign w:val="center"/>
            <w:hideMark/>
          </w:tcPr>
          <w:p w14:paraId="2071F5D3"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$ 428.369.210</w:t>
            </w:r>
          </w:p>
        </w:tc>
        <w:tc>
          <w:tcPr>
            <w:tcW w:w="2140" w:type="dxa"/>
            <w:vAlign w:val="center"/>
            <w:hideMark/>
          </w:tcPr>
          <w:p w14:paraId="4EF05D18" w14:textId="03FE9FD1" w:rsidR="00D36D6D" w:rsidRPr="00616FE1" w:rsidRDefault="00D36D6D" w:rsidP="00616FE1">
            <w:pPr>
              <w:spacing w:line="276" w:lineRule="auto"/>
              <w:jc w:val="center"/>
              <w:rPr>
                <w:rFonts w:ascii="Arial" w:hAnsi="Arial" w:cs="Arial"/>
                <w:color w:val="000000"/>
                <w:lang w:eastAsia="es-CO"/>
              </w:rPr>
            </w:pPr>
            <w:r w:rsidRPr="00616FE1">
              <w:rPr>
                <w:rFonts w:ascii="Arial" w:hAnsi="Arial" w:cs="Arial"/>
                <w:color w:val="000000"/>
                <w:lang w:eastAsia="es-CO"/>
              </w:rPr>
              <w:t xml:space="preserve">NO </w:t>
            </w:r>
            <w:r w:rsidR="00F7512F">
              <w:rPr>
                <w:rFonts w:ascii="Arial" w:hAnsi="Arial" w:cs="Arial"/>
                <w:color w:val="000000"/>
                <w:lang w:eastAsia="es-CO"/>
              </w:rPr>
              <w:t>VÁLIDA</w:t>
            </w:r>
          </w:p>
        </w:tc>
      </w:tr>
      <w:tr w:rsidR="00D36D6D" w:rsidRPr="00C76457" w14:paraId="4A00BCE5" w14:textId="77777777" w:rsidTr="00616FE1">
        <w:trPr>
          <w:trHeight w:val="315"/>
        </w:trPr>
        <w:tc>
          <w:tcPr>
            <w:tcW w:w="3768" w:type="dxa"/>
            <w:vAlign w:val="center"/>
            <w:hideMark/>
          </w:tcPr>
          <w:p w14:paraId="3319323E"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HIDROGEOLOGIA COLOMBIANA SAS</w:t>
            </w:r>
          </w:p>
        </w:tc>
        <w:tc>
          <w:tcPr>
            <w:tcW w:w="2920" w:type="dxa"/>
            <w:vAlign w:val="center"/>
            <w:hideMark/>
          </w:tcPr>
          <w:p w14:paraId="68A94E5C"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$ 946.213.072</w:t>
            </w:r>
          </w:p>
        </w:tc>
        <w:tc>
          <w:tcPr>
            <w:tcW w:w="2140" w:type="dxa"/>
            <w:vAlign w:val="center"/>
            <w:hideMark/>
          </w:tcPr>
          <w:p w14:paraId="42301775" w14:textId="43E3750B" w:rsidR="00D36D6D" w:rsidRPr="00C76457" w:rsidRDefault="00F7512F" w:rsidP="00616FE1">
            <w:pPr>
              <w:spacing w:line="276" w:lineRule="auto"/>
              <w:jc w:val="center"/>
              <w:rPr>
                <w:rFonts w:ascii="Arial" w:hAnsi="Arial" w:cs="Arial"/>
                <w:b/>
                <w:bCs/>
                <w:color w:val="000000"/>
                <w:lang w:eastAsia="es-CO"/>
              </w:rPr>
            </w:pPr>
            <w:r>
              <w:rPr>
                <w:rFonts w:ascii="Arial" w:hAnsi="Arial" w:cs="Arial"/>
                <w:b/>
                <w:bCs/>
                <w:color w:val="000000"/>
                <w:lang w:eastAsia="es-CO"/>
              </w:rPr>
              <w:t>VÁLIDA</w:t>
            </w:r>
          </w:p>
        </w:tc>
      </w:tr>
      <w:tr w:rsidR="00D36D6D" w:rsidRPr="00C76457" w14:paraId="46583F54" w14:textId="77777777" w:rsidTr="00616FE1">
        <w:trPr>
          <w:trHeight w:val="315"/>
        </w:trPr>
        <w:tc>
          <w:tcPr>
            <w:tcW w:w="3768" w:type="dxa"/>
            <w:vAlign w:val="center"/>
            <w:hideMark/>
          </w:tcPr>
          <w:p w14:paraId="195B6B6B"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NOVAMBIENTTI SOLUCIONES AMBIENTALES S.A.S</w:t>
            </w:r>
          </w:p>
        </w:tc>
        <w:tc>
          <w:tcPr>
            <w:tcW w:w="2920" w:type="dxa"/>
            <w:vAlign w:val="center"/>
            <w:hideMark/>
          </w:tcPr>
          <w:p w14:paraId="6334B39F"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$ 1.656.871.962</w:t>
            </w:r>
          </w:p>
        </w:tc>
        <w:tc>
          <w:tcPr>
            <w:tcW w:w="2140" w:type="dxa"/>
            <w:vAlign w:val="center"/>
            <w:hideMark/>
          </w:tcPr>
          <w:p w14:paraId="77DBCD19" w14:textId="1E342D0B" w:rsidR="00D36D6D" w:rsidRPr="00616FE1" w:rsidRDefault="00D36D6D" w:rsidP="00616FE1">
            <w:pPr>
              <w:spacing w:line="276" w:lineRule="auto"/>
              <w:jc w:val="center"/>
              <w:rPr>
                <w:rFonts w:ascii="Arial" w:hAnsi="Arial" w:cs="Arial"/>
                <w:color w:val="000000"/>
                <w:lang w:eastAsia="es-CO"/>
              </w:rPr>
            </w:pPr>
            <w:r w:rsidRPr="00616FE1">
              <w:rPr>
                <w:rFonts w:ascii="Arial" w:hAnsi="Arial" w:cs="Arial"/>
                <w:color w:val="000000"/>
                <w:lang w:eastAsia="es-CO"/>
              </w:rPr>
              <w:t xml:space="preserve">NO </w:t>
            </w:r>
            <w:r w:rsidR="00F7512F">
              <w:rPr>
                <w:rFonts w:ascii="Arial" w:hAnsi="Arial" w:cs="Arial"/>
                <w:color w:val="000000"/>
                <w:lang w:eastAsia="es-CO"/>
              </w:rPr>
              <w:t>VÁLIDA</w:t>
            </w:r>
          </w:p>
        </w:tc>
      </w:tr>
      <w:tr w:rsidR="00D36D6D" w:rsidRPr="00C76457" w14:paraId="04FB0630" w14:textId="77777777" w:rsidTr="00616FE1">
        <w:trPr>
          <w:trHeight w:val="330"/>
        </w:trPr>
        <w:tc>
          <w:tcPr>
            <w:tcW w:w="3768" w:type="dxa"/>
            <w:vAlign w:val="center"/>
            <w:hideMark/>
          </w:tcPr>
          <w:p w14:paraId="42824E1C"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INERCO CONSULTORÍA COLOMBIA LTDA</w:t>
            </w:r>
          </w:p>
        </w:tc>
        <w:tc>
          <w:tcPr>
            <w:tcW w:w="2920" w:type="dxa"/>
            <w:vAlign w:val="center"/>
            <w:hideMark/>
          </w:tcPr>
          <w:p w14:paraId="1BFB64C9" w14:textId="77777777" w:rsidR="00D36D6D" w:rsidRPr="00C76457" w:rsidRDefault="00D36D6D" w:rsidP="00616FE1">
            <w:pPr>
              <w:spacing w:line="276" w:lineRule="auto"/>
              <w:jc w:val="center"/>
              <w:rPr>
                <w:rFonts w:ascii="Arial" w:hAnsi="Arial" w:cs="Arial"/>
                <w:color w:val="000000"/>
                <w:lang w:eastAsia="es-CO"/>
              </w:rPr>
            </w:pPr>
            <w:r w:rsidRPr="00C76457">
              <w:rPr>
                <w:rFonts w:ascii="Arial" w:hAnsi="Arial" w:cs="Arial"/>
                <w:color w:val="000000"/>
                <w:lang w:eastAsia="es-CO"/>
              </w:rPr>
              <w:t>$ 1.086.281.120</w:t>
            </w:r>
          </w:p>
        </w:tc>
        <w:tc>
          <w:tcPr>
            <w:tcW w:w="2140" w:type="dxa"/>
            <w:vAlign w:val="center"/>
            <w:hideMark/>
          </w:tcPr>
          <w:p w14:paraId="165639FB" w14:textId="620EA2DB" w:rsidR="00D36D6D" w:rsidRPr="00C76457" w:rsidRDefault="00F7512F" w:rsidP="00616FE1">
            <w:pPr>
              <w:spacing w:line="276" w:lineRule="auto"/>
              <w:jc w:val="center"/>
              <w:rPr>
                <w:rFonts w:ascii="Arial" w:hAnsi="Arial" w:cs="Arial"/>
                <w:b/>
                <w:bCs/>
                <w:color w:val="000000"/>
                <w:lang w:eastAsia="es-CO"/>
              </w:rPr>
            </w:pPr>
            <w:r>
              <w:rPr>
                <w:rFonts w:ascii="Arial" w:hAnsi="Arial" w:cs="Arial"/>
                <w:b/>
                <w:bCs/>
                <w:color w:val="000000"/>
                <w:lang w:eastAsia="es-CO"/>
              </w:rPr>
              <w:t>VÁLIDA</w:t>
            </w:r>
          </w:p>
        </w:tc>
      </w:tr>
      <w:tr w:rsidR="00500F74" w:rsidRPr="00C76457" w14:paraId="4090D041" w14:textId="77777777" w:rsidTr="00616FE1">
        <w:trPr>
          <w:gridAfter w:val="1"/>
          <w:wAfter w:w="2140" w:type="dxa"/>
          <w:trHeight w:val="315"/>
        </w:trPr>
        <w:tc>
          <w:tcPr>
            <w:tcW w:w="3768" w:type="dxa"/>
            <w:vAlign w:val="center"/>
            <w:hideMark/>
          </w:tcPr>
          <w:p w14:paraId="2D29152A" w14:textId="0EE69D62"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MEDIA ARI</w:t>
            </w:r>
            <w:r w:rsidR="00E828CF">
              <w:rPr>
                <w:rFonts w:ascii="Arial" w:hAnsi="Arial" w:cs="Arial"/>
                <w:b/>
                <w:bCs/>
                <w:color w:val="000000"/>
                <w:lang w:eastAsia="es-CO"/>
              </w:rPr>
              <w:t>T</w:t>
            </w:r>
            <w:r w:rsidRPr="00C76457">
              <w:rPr>
                <w:rFonts w:ascii="Arial" w:hAnsi="Arial" w:cs="Arial"/>
                <w:b/>
                <w:bCs/>
                <w:color w:val="000000"/>
                <w:lang w:eastAsia="es-CO"/>
              </w:rPr>
              <w:t>MÉTICA</w:t>
            </w:r>
          </w:p>
        </w:tc>
        <w:tc>
          <w:tcPr>
            <w:tcW w:w="2920" w:type="dxa"/>
            <w:vAlign w:val="center"/>
            <w:hideMark/>
          </w:tcPr>
          <w:p w14:paraId="1C1DA8CD"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$ 945.663.112</w:t>
            </w:r>
          </w:p>
        </w:tc>
      </w:tr>
      <w:tr w:rsidR="00500F74" w:rsidRPr="00C76457" w14:paraId="75FB344B" w14:textId="77777777" w:rsidTr="00616FE1">
        <w:trPr>
          <w:gridAfter w:val="1"/>
          <w:wAfter w:w="2140" w:type="dxa"/>
          <w:trHeight w:val="315"/>
        </w:trPr>
        <w:tc>
          <w:tcPr>
            <w:tcW w:w="3768" w:type="dxa"/>
            <w:vAlign w:val="center"/>
            <w:hideMark/>
          </w:tcPr>
          <w:p w14:paraId="0E9222CF"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DESVIACIÓN ESTÁNDAR</w:t>
            </w:r>
          </w:p>
        </w:tc>
        <w:tc>
          <w:tcPr>
            <w:tcW w:w="2920" w:type="dxa"/>
            <w:vAlign w:val="center"/>
            <w:hideMark/>
          </w:tcPr>
          <w:p w14:paraId="174E26D5"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$ 425.550.302</w:t>
            </w:r>
          </w:p>
        </w:tc>
      </w:tr>
      <w:tr w:rsidR="00500F74" w:rsidRPr="00C76457" w14:paraId="3494BE95" w14:textId="77777777" w:rsidTr="00616FE1">
        <w:trPr>
          <w:gridAfter w:val="1"/>
          <w:wAfter w:w="2140" w:type="dxa"/>
          <w:trHeight w:val="315"/>
        </w:trPr>
        <w:tc>
          <w:tcPr>
            <w:tcW w:w="3768" w:type="dxa"/>
            <w:vAlign w:val="center"/>
            <w:hideMark/>
          </w:tcPr>
          <w:p w14:paraId="41120786"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LÍMITE SUPERIOR</w:t>
            </w:r>
          </w:p>
        </w:tc>
        <w:tc>
          <w:tcPr>
            <w:tcW w:w="2920" w:type="dxa"/>
            <w:vAlign w:val="center"/>
            <w:hideMark/>
          </w:tcPr>
          <w:p w14:paraId="6BB77745"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$ 1.371.213.414</w:t>
            </w:r>
          </w:p>
        </w:tc>
      </w:tr>
      <w:tr w:rsidR="00500F74" w:rsidRPr="00C76457" w14:paraId="7870C1CD" w14:textId="77777777" w:rsidTr="00616FE1">
        <w:trPr>
          <w:gridAfter w:val="1"/>
          <w:wAfter w:w="2140" w:type="dxa"/>
          <w:trHeight w:val="315"/>
        </w:trPr>
        <w:tc>
          <w:tcPr>
            <w:tcW w:w="3768" w:type="dxa"/>
            <w:vAlign w:val="center"/>
            <w:hideMark/>
          </w:tcPr>
          <w:p w14:paraId="49601D31"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LÍMITE INFERIOR</w:t>
            </w:r>
          </w:p>
        </w:tc>
        <w:tc>
          <w:tcPr>
            <w:tcW w:w="2920" w:type="dxa"/>
            <w:vAlign w:val="center"/>
            <w:hideMark/>
          </w:tcPr>
          <w:p w14:paraId="074CAA16"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$ 520.112.810</w:t>
            </w:r>
          </w:p>
        </w:tc>
      </w:tr>
      <w:tr w:rsidR="00500F74" w:rsidRPr="00C76457" w14:paraId="0E870A05" w14:textId="77777777" w:rsidTr="00616FE1">
        <w:trPr>
          <w:gridAfter w:val="1"/>
          <w:wAfter w:w="2140" w:type="dxa"/>
          <w:trHeight w:val="330"/>
        </w:trPr>
        <w:tc>
          <w:tcPr>
            <w:tcW w:w="3768" w:type="dxa"/>
            <w:vAlign w:val="center"/>
            <w:hideMark/>
          </w:tcPr>
          <w:p w14:paraId="18C7C3FF"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NUEVO PROMEDIO</w:t>
            </w:r>
          </w:p>
        </w:tc>
        <w:tc>
          <w:tcPr>
            <w:tcW w:w="2920" w:type="dxa"/>
            <w:vAlign w:val="center"/>
            <w:hideMark/>
          </w:tcPr>
          <w:p w14:paraId="42B6BE1E" w14:textId="77777777" w:rsidR="00500F74" w:rsidRPr="00C76457" w:rsidRDefault="00500F74" w:rsidP="00616FE1">
            <w:pPr>
              <w:spacing w:line="276" w:lineRule="auto"/>
              <w:jc w:val="center"/>
              <w:rPr>
                <w:rFonts w:ascii="Arial" w:hAnsi="Arial" w:cs="Arial"/>
                <w:b/>
                <w:bCs/>
                <w:color w:val="000000"/>
                <w:lang w:eastAsia="es-CO"/>
              </w:rPr>
            </w:pPr>
            <w:r w:rsidRPr="00C76457">
              <w:rPr>
                <w:rFonts w:ascii="Arial" w:hAnsi="Arial" w:cs="Arial"/>
                <w:b/>
                <w:bCs/>
                <w:color w:val="000000"/>
                <w:lang w:eastAsia="es-CO"/>
              </w:rPr>
              <w:t>$ 881.024.795</w:t>
            </w:r>
          </w:p>
        </w:tc>
      </w:tr>
    </w:tbl>
    <w:p w14:paraId="58B1BD13" w14:textId="77777777" w:rsidR="009D7061" w:rsidRPr="00C76457" w:rsidRDefault="009D7061" w:rsidP="00616FE1">
      <w:pPr>
        <w:spacing w:after="0"/>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3768"/>
        <w:gridCol w:w="2920"/>
        <w:gridCol w:w="2140"/>
      </w:tblGrid>
      <w:tr w:rsidR="00822DBE" w:rsidRPr="00C76457" w14:paraId="4E5A4C69" w14:textId="77777777" w:rsidTr="00500F74">
        <w:trPr>
          <w:trHeight w:val="495"/>
        </w:trPr>
        <w:tc>
          <w:tcPr>
            <w:tcW w:w="3768" w:type="dxa"/>
            <w:shd w:val="clear" w:color="auto" w:fill="D9D9D9" w:themeFill="background1" w:themeFillShade="D9"/>
            <w:vAlign w:val="center"/>
            <w:hideMark/>
          </w:tcPr>
          <w:p w14:paraId="7A0227E2" w14:textId="77777777" w:rsidR="00822DBE" w:rsidRPr="00C76457" w:rsidRDefault="00822DBE" w:rsidP="00616FE1">
            <w:pPr>
              <w:spacing w:line="276" w:lineRule="auto"/>
              <w:jc w:val="center"/>
              <w:rPr>
                <w:rFonts w:ascii="Arial" w:hAnsi="Arial" w:cs="Arial"/>
                <w:b/>
                <w:bCs/>
                <w:lang w:eastAsia="es-CO"/>
              </w:rPr>
            </w:pPr>
            <w:r w:rsidRPr="00C76457">
              <w:rPr>
                <w:rFonts w:ascii="Arial" w:hAnsi="Arial" w:cs="Arial"/>
                <w:b/>
                <w:bCs/>
                <w:lang w:eastAsia="es-CO"/>
              </w:rPr>
              <w:t>EMPRESA</w:t>
            </w:r>
          </w:p>
        </w:tc>
        <w:tc>
          <w:tcPr>
            <w:tcW w:w="2920" w:type="dxa"/>
            <w:shd w:val="clear" w:color="auto" w:fill="D9D9D9" w:themeFill="background1" w:themeFillShade="D9"/>
            <w:vAlign w:val="center"/>
            <w:hideMark/>
          </w:tcPr>
          <w:p w14:paraId="2E990514" w14:textId="77777777" w:rsidR="001B2488" w:rsidRDefault="00822DBE" w:rsidP="00616FE1">
            <w:pPr>
              <w:spacing w:line="276" w:lineRule="auto"/>
              <w:jc w:val="center"/>
              <w:rPr>
                <w:rFonts w:ascii="Arial" w:hAnsi="Arial" w:cs="Arial"/>
                <w:b/>
                <w:bCs/>
                <w:lang w:eastAsia="es-CO"/>
              </w:rPr>
            </w:pPr>
            <w:r w:rsidRPr="00C76457">
              <w:rPr>
                <w:rFonts w:ascii="Arial" w:hAnsi="Arial" w:cs="Arial"/>
                <w:b/>
                <w:bCs/>
                <w:lang w:eastAsia="es-CO"/>
              </w:rPr>
              <w:t xml:space="preserve">VALOR TOTAL </w:t>
            </w:r>
          </w:p>
          <w:p w14:paraId="3FC0F107" w14:textId="37D98390" w:rsidR="00822DBE" w:rsidRPr="00C76457" w:rsidRDefault="00822DBE" w:rsidP="00616FE1">
            <w:pPr>
              <w:spacing w:line="276" w:lineRule="auto"/>
              <w:jc w:val="center"/>
              <w:rPr>
                <w:rFonts w:ascii="Arial" w:hAnsi="Arial" w:cs="Arial"/>
                <w:b/>
                <w:bCs/>
                <w:lang w:eastAsia="es-CO"/>
              </w:rPr>
            </w:pPr>
            <w:r w:rsidRPr="00C76457">
              <w:rPr>
                <w:rFonts w:ascii="Arial" w:hAnsi="Arial" w:cs="Arial"/>
                <w:b/>
                <w:bCs/>
                <w:lang w:eastAsia="es-CO"/>
              </w:rPr>
              <w:t>EDS PATIO SUBA</w:t>
            </w:r>
          </w:p>
        </w:tc>
        <w:tc>
          <w:tcPr>
            <w:tcW w:w="2140" w:type="dxa"/>
            <w:shd w:val="clear" w:color="auto" w:fill="D9D9D9" w:themeFill="background1" w:themeFillShade="D9"/>
            <w:vAlign w:val="center"/>
            <w:hideMark/>
          </w:tcPr>
          <w:p w14:paraId="67EB70FB" w14:textId="6F7F19EF" w:rsidR="00822DBE" w:rsidRPr="00C76457" w:rsidRDefault="00822DBE" w:rsidP="00616FE1">
            <w:pPr>
              <w:spacing w:line="276" w:lineRule="auto"/>
              <w:jc w:val="center"/>
              <w:rPr>
                <w:rFonts w:ascii="Arial" w:hAnsi="Arial" w:cs="Arial"/>
                <w:b/>
                <w:bCs/>
                <w:lang w:eastAsia="es-CO"/>
              </w:rPr>
            </w:pPr>
            <w:r w:rsidRPr="00C76457">
              <w:rPr>
                <w:rFonts w:ascii="Arial" w:hAnsi="Arial" w:cs="Arial"/>
                <w:b/>
                <w:bCs/>
                <w:lang w:eastAsia="es-CO"/>
              </w:rPr>
              <w:t xml:space="preserve">OFERTAS </w:t>
            </w:r>
            <w:r w:rsidR="00F7512F">
              <w:rPr>
                <w:rFonts w:ascii="Arial" w:hAnsi="Arial" w:cs="Arial"/>
                <w:b/>
                <w:bCs/>
                <w:lang w:eastAsia="es-CO"/>
              </w:rPr>
              <w:t>VÁLIDA</w:t>
            </w:r>
            <w:r w:rsidRPr="00C76457">
              <w:rPr>
                <w:rFonts w:ascii="Arial" w:hAnsi="Arial" w:cs="Arial"/>
                <w:b/>
                <w:bCs/>
                <w:lang w:eastAsia="es-CO"/>
              </w:rPr>
              <w:t>S</w:t>
            </w:r>
          </w:p>
        </w:tc>
      </w:tr>
      <w:tr w:rsidR="00822DBE" w:rsidRPr="00C76457" w14:paraId="3CE561BA" w14:textId="77777777" w:rsidTr="00500F74">
        <w:trPr>
          <w:trHeight w:val="315"/>
        </w:trPr>
        <w:tc>
          <w:tcPr>
            <w:tcW w:w="3768" w:type="dxa"/>
            <w:vAlign w:val="center"/>
            <w:hideMark/>
          </w:tcPr>
          <w:p w14:paraId="79324251"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AMBIPAR</w:t>
            </w:r>
          </w:p>
        </w:tc>
        <w:tc>
          <w:tcPr>
            <w:tcW w:w="2920" w:type="dxa"/>
            <w:noWrap/>
            <w:vAlign w:val="center"/>
            <w:hideMark/>
          </w:tcPr>
          <w:p w14:paraId="18270607"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$ 610.580.194</w:t>
            </w:r>
          </w:p>
        </w:tc>
        <w:tc>
          <w:tcPr>
            <w:tcW w:w="2140" w:type="dxa"/>
            <w:vAlign w:val="center"/>
            <w:hideMark/>
          </w:tcPr>
          <w:p w14:paraId="2C1F03E6" w14:textId="3FF024CF" w:rsidR="00822DBE" w:rsidRPr="00C76457" w:rsidRDefault="00F7512F" w:rsidP="00616FE1">
            <w:pPr>
              <w:spacing w:line="276" w:lineRule="auto"/>
              <w:jc w:val="center"/>
              <w:rPr>
                <w:rFonts w:ascii="Arial" w:hAnsi="Arial" w:cs="Arial"/>
                <w:b/>
                <w:bCs/>
                <w:lang w:eastAsia="es-CO"/>
              </w:rPr>
            </w:pPr>
            <w:r>
              <w:rPr>
                <w:rFonts w:ascii="Arial" w:hAnsi="Arial" w:cs="Arial"/>
                <w:b/>
                <w:bCs/>
                <w:lang w:eastAsia="es-CO"/>
              </w:rPr>
              <w:t>VÁLIDA</w:t>
            </w:r>
          </w:p>
        </w:tc>
      </w:tr>
      <w:tr w:rsidR="00822DBE" w:rsidRPr="00C76457" w14:paraId="0DD44C51" w14:textId="77777777" w:rsidTr="00500F74">
        <w:trPr>
          <w:trHeight w:val="315"/>
        </w:trPr>
        <w:tc>
          <w:tcPr>
            <w:tcW w:w="3768" w:type="dxa"/>
            <w:vAlign w:val="center"/>
            <w:hideMark/>
          </w:tcPr>
          <w:p w14:paraId="46E2E7E0"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2M Estudio SAS</w:t>
            </w:r>
          </w:p>
        </w:tc>
        <w:tc>
          <w:tcPr>
            <w:tcW w:w="2920" w:type="dxa"/>
            <w:noWrap/>
            <w:vAlign w:val="center"/>
            <w:hideMark/>
          </w:tcPr>
          <w:p w14:paraId="09E644E9"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$ 519.393.599</w:t>
            </w:r>
          </w:p>
        </w:tc>
        <w:tc>
          <w:tcPr>
            <w:tcW w:w="2140" w:type="dxa"/>
            <w:vAlign w:val="center"/>
            <w:hideMark/>
          </w:tcPr>
          <w:p w14:paraId="61EE4B86" w14:textId="1473ADA3" w:rsidR="00822DBE" w:rsidRPr="00915023" w:rsidRDefault="00F7512F" w:rsidP="00616FE1">
            <w:pPr>
              <w:spacing w:line="276" w:lineRule="auto"/>
              <w:jc w:val="center"/>
              <w:rPr>
                <w:rFonts w:ascii="Arial" w:hAnsi="Arial" w:cs="Arial"/>
                <w:b/>
                <w:bCs/>
                <w:lang w:eastAsia="es-CO"/>
              </w:rPr>
            </w:pPr>
            <w:r w:rsidRPr="00915023">
              <w:rPr>
                <w:rFonts w:ascii="Arial" w:hAnsi="Arial" w:cs="Arial"/>
                <w:b/>
                <w:bCs/>
                <w:lang w:eastAsia="es-CO"/>
              </w:rPr>
              <w:t>VÁLIDA</w:t>
            </w:r>
          </w:p>
        </w:tc>
      </w:tr>
      <w:tr w:rsidR="00822DBE" w:rsidRPr="00C76457" w14:paraId="5837C003" w14:textId="77777777" w:rsidTr="00500F74">
        <w:trPr>
          <w:trHeight w:val="315"/>
        </w:trPr>
        <w:tc>
          <w:tcPr>
            <w:tcW w:w="3768" w:type="dxa"/>
            <w:vAlign w:val="center"/>
            <w:hideMark/>
          </w:tcPr>
          <w:p w14:paraId="248083D6"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HIDROGEOLOGIA COLOMBIANA SAS</w:t>
            </w:r>
          </w:p>
        </w:tc>
        <w:tc>
          <w:tcPr>
            <w:tcW w:w="2920" w:type="dxa"/>
            <w:vAlign w:val="center"/>
            <w:hideMark/>
          </w:tcPr>
          <w:p w14:paraId="714E7C5C"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$ 879.579.893</w:t>
            </w:r>
          </w:p>
        </w:tc>
        <w:tc>
          <w:tcPr>
            <w:tcW w:w="2140" w:type="dxa"/>
            <w:vAlign w:val="center"/>
            <w:hideMark/>
          </w:tcPr>
          <w:p w14:paraId="6B05CA88" w14:textId="7E9E66D9" w:rsidR="00822DBE" w:rsidRPr="00C76457" w:rsidRDefault="00F7512F" w:rsidP="00616FE1">
            <w:pPr>
              <w:spacing w:line="276" w:lineRule="auto"/>
              <w:jc w:val="center"/>
              <w:rPr>
                <w:rFonts w:ascii="Arial" w:hAnsi="Arial" w:cs="Arial"/>
                <w:b/>
                <w:bCs/>
                <w:lang w:eastAsia="es-CO"/>
              </w:rPr>
            </w:pPr>
            <w:r>
              <w:rPr>
                <w:rFonts w:ascii="Arial" w:hAnsi="Arial" w:cs="Arial"/>
                <w:b/>
                <w:bCs/>
                <w:lang w:eastAsia="es-CO"/>
              </w:rPr>
              <w:t>VÁLIDA</w:t>
            </w:r>
          </w:p>
        </w:tc>
      </w:tr>
      <w:tr w:rsidR="00822DBE" w:rsidRPr="00C76457" w14:paraId="3C38734A" w14:textId="77777777" w:rsidTr="00500F74">
        <w:trPr>
          <w:trHeight w:val="315"/>
        </w:trPr>
        <w:tc>
          <w:tcPr>
            <w:tcW w:w="3768" w:type="dxa"/>
            <w:vAlign w:val="center"/>
            <w:hideMark/>
          </w:tcPr>
          <w:p w14:paraId="6DCE0FA0"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lastRenderedPageBreak/>
              <w:t>NOVAMBIENTTI SOLUCIONES AMBIENTALES S.A.S</w:t>
            </w:r>
          </w:p>
        </w:tc>
        <w:tc>
          <w:tcPr>
            <w:tcW w:w="2920" w:type="dxa"/>
            <w:vAlign w:val="center"/>
            <w:hideMark/>
          </w:tcPr>
          <w:p w14:paraId="153A537B"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$ 2.145.543.199</w:t>
            </w:r>
          </w:p>
        </w:tc>
        <w:tc>
          <w:tcPr>
            <w:tcW w:w="2140" w:type="dxa"/>
            <w:vAlign w:val="center"/>
            <w:hideMark/>
          </w:tcPr>
          <w:p w14:paraId="79A14DF4" w14:textId="2F8EEE36" w:rsidR="00822DBE" w:rsidRPr="00616FE1" w:rsidRDefault="00822DBE" w:rsidP="00616FE1">
            <w:pPr>
              <w:spacing w:line="276" w:lineRule="auto"/>
              <w:jc w:val="center"/>
              <w:rPr>
                <w:rFonts w:ascii="Arial" w:hAnsi="Arial" w:cs="Arial"/>
                <w:lang w:eastAsia="es-CO"/>
              </w:rPr>
            </w:pPr>
            <w:r w:rsidRPr="00616FE1">
              <w:rPr>
                <w:rFonts w:ascii="Arial" w:hAnsi="Arial" w:cs="Arial"/>
                <w:lang w:eastAsia="es-CO"/>
              </w:rPr>
              <w:t xml:space="preserve">NO </w:t>
            </w:r>
            <w:r w:rsidR="00F7512F">
              <w:rPr>
                <w:rFonts w:ascii="Arial" w:hAnsi="Arial" w:cs="Arial"/>
                <w:lang w:eastAsia="es-CO"/>
              </w:rPr>
              <w:t>VÁLIDA</w:t>
            </w:r>
          </w:p>
        </w:tc>
      </w:tr>
      <w:tr w:rsidR="00822DBE" w:rsidRPr="00C76457" w14:paraId="2C6E2662" w14:textId="77777777" w:rsidTr="00500F74">
        <w:trPr>
          <w:trHeight w:val="330"/>
        </w:trPr>
        <w:tc>
          <w:tcPr>
            <w:tcW w:w="3768" w:type="dxa"/>
            <w:vAlign w:val="center"/>
            <w:hideMark/>
          </w:tcPr>
          <w:p w14:paraId="5CABBC37"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INERCO CONSULTORÍA COLOMBIA LTDA</w:t>
            </w:r>
          </w:p>
        </w:tc>
        <w:tc>
          <w:tcPr>
            <w:tcW w:w="2920" w:type="dxa"/>
            <w:vAlign w:val="center"/>
            <w:hideMark/>
          </w:tcPr>
          <w:p w14:paraId="43607E1F"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$ 1.262.401.128</w:t>
            </w:r>
          </w:p>
        </w:tc>
        <w:tc>
          <w:tcPr>
            <w:tcW w:w="2140" w:type="dxa"/>
            <w:vAlign w:val="center"/>
            <w:hideMark/>
          </w:tcPr>
          <w:p w14:paraId="67D33391" w14:textId="7A104076" w:rsidR="00822DBE" w:rsidRPr="00C76457" w:rsidRDefault="00F7512F" w:rsidP="00616FE1">
            <w:pPr>
              <w:spacing w:line="276" w:lineRule="auto"/>
              <w:jc w:val="center"/>
              <w:rPr>
                <w:rFonts w:ascii="Arial" w:hAnsi="Arial" w:cs="Arial"/>
                <w:b/>
                <w:bCs/>
                <w:lang w:eastAsia="es-CO"/>
              </w:rPr>
            </w:pPr>
            <w:r>
              <w:rPr>
                <w:rFonts w:ascii="Arial" w:hAnsi="Arial" w:cs="Arial"/>
                <w:b/>
                <w:bCs/>
                <w:lang w:eastAsia="es-CO"/>
              </w:rPr>
              <w:t>VÁLIDA</w:t>
            </w:r>
          </w:p>
        </w:tc>
      </w:tr>
      <w:tr w:rsidR="00500F74" w:rsidRPr="00C76457" w14:paraId="06E4DDF9" w14:textId="77777777" w:rsidTr="00500F74">
        <w:trPr>
          <w:gridAfter w:val="1"/>
          <w:wAfter w:w="2140" w:type="dxa"/>
          <w:trHeight w:val="315"/>
        </w:trPr>
        <w:tc>
          <w:tcPr>
            <w:tcW w:w="3768" w:type="dxa"/>
            <w:vAlign w:val="center"/>
            <w:hideMark/>
          </w:tcPr>
          <w:p w14:paraId="18C335E0" w14:textId="03E1F7A8"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MEDIA ARI</w:t>
            </w:r>
            <w:r w:rsidR="00E828CF">
              <w:rPr>
                <w:rFonts w:ascii="Arial" w:hAnsi="Arial" w:cs="Arial"/>
                <w:b/>
                <w:bCs/>
                <w:lang w:eastAsia="es-CO"/>
              </w:rPr>
              <w:t>T</w:t>
            </w:r>
            <w:r w:rsidRPr="00C76457">
              <w:rPr>
                <w:rFonts w:ascii="Arial" w:hAnsi="Arial" w:cs="Arial"/>
                <w:b/>
                <w:bCs/>
                <w:lang w:eastAsia="es-CO"/>
              </w:rPr>
              <w:t>MÉTICA</w:t>
            </w:r>
          </w:p>
        </w:tc>
        <w:tc>
          <w:tcPr>
            <w:tcW w:w="2920" w:type="dxa"/>
            <w:vAlign w:val="center"/>
            <w:hideMark/>
          </w:tcPr>
          <w:p w14:paraId="13F695AA"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$ 1.083.499.603</w:t>
            </w:r>
          </w:p>
        </w:tc>
      </w:tr>
      <w:tr w:rsidR="00500F74" w:rsidRPr="00C76457" w14:paraId="20039B21" w14:textId="77777777" w:rsidTr="00500F74">
        <w:trPr>
          <w:gridAfter w:val="1"/>
          <w:wAfter w:w="2140" w:type="dxa"/>
          <w:trHeight w:val="315"/>
        </w:trPr>
        <w:tc>
          <w:tcPr>
            <w:tcW w:w="3768" w:type="dxa"/>
            <w:vAlign w:val="center"/>
            <w:hideMark/>
          </w:tcPr>
          <w:p w14:paraId="152443A5"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DESVIACIÓN ESTÁNDAR</w:t>
            </w:r>
          </w:p>
        </w:tc>
        <w:tc>
          <w:tcPr>
            <w:tcW w:w="2920" w:type="dxa"/>
            <w:vAlign w:val="center"/>
            <w:hideMark/>
          </w:tcPr>
          <w:p w14:paraId="2B43CE89"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$ 590.490.297</w:t>
            </w:r>
          </w:p>
        </w:tc>
      </w:tr>
      <w:tr w:rsidR="00500F74" w:rsidRPr="00C76457" w14:paraId="2C907B8D" w14:textId="77777777" w:rsidTr="00500F74">
        <w:trPr>
          <w:gridAfter w:val="1"/>
          <w:wAfter w:w="2140" w:type="dxa"/>
          <w:trHeight w:val="315"/>
        </w:trPr>
        <w:tc>
          <w:tcPr>
            <w:tcW w:w="3768" w:type="dxa"/>
            <w:vAlign w:val="center"/>
            <w:hideMark/>
          </w:tcPr>
          <w:p w14:paraId="4562F510"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LÍMITE SUPERIOR</w:t>
            </w:r>
          </w:p>
        </w:tc>
        <w:tc>
          <w:tcPr>
            <w:tcW w:w="2920" w:type="dxa"/>
            <w:vAlign w:val="center"/>
            <w:hideMark/>
          </w:tcPr>
          <w:p w14:paraId="006049DF"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$ 1.673.989.900</w:t>
            </w:r>
          </w:p>
        </w:tc>
      </w:tr>
      <w:tr w:rsidR="00500F74" w:rsidRPr="00C76457" w14:paraId="6E1935A1" w14:textId="77777777" w:rsidTr="00500F74">
        <w:trPr>
          <w:gridAfter w:val="1"/>
          <w:wAfter w:w="2140" w:type="dxa"/>
          <w:trHeight w:val="315"/>
        </w:trPr>
        <w:tc>
          <w:tcPr>
            <w:tcW w:w="3768" w:type="dxa"/>
            <w:vAlign w:val="center"/>
            <w:hideMark/>
          </w:tcPr>
          <w:p w14:paraId="3DE08E2E"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LÍMITE INFERIOR</w:t>
            </w:r>
          </w:p>
        </w:tc>
        <w:tc>
          <w:tcPr>
            <w:tcW w:w="2920" w:type="dxa"/>
            <w:vAlign w:val="center"/>
            <w:hideMark/>
          </w:tcPr>
          <w:p w14:paraId="6ABB4D9E"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$ 493.009.306</w:t>
            </w:r>
          </w:p>
        </w:tc>
      </w:tr>
      <w:tr w:rsidR="00500F74" w:rsidRPr="00C76457" w14:paraId="1DD260F7" w14:textId="77777777" w:rsidTr="00500F74">
        <w:trPr>
          <w:gridAfter w:val="1"/>
          <w:wAfter w:w="2140" w:type="dxa"/>
          <w:trHeight w:val="330"/>
        </w:trPr>
        <w:tc>
          <w:tcPr>
            <w:tcW w:w="3768" w:type="dxa"/>
            <w:vAlign w:val="center"/>
            <w:hideMark/>
          </w:tcPr>
          <w:p w14:paraId="582B448B"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NUEVO PROMEDIO</w:t>
            </w:r>
          </w:p>
        </w:tc>
        <w:tc>
          <w:tcPr>
            <w:tcW w:w="2920" w:type="dxa"/>
            <w:vAlign w:val="center"/>
            <w:hideMark/>
          </w:tcPr>
          <w:p w14:paraId="0EF1676F" w14:textId="28067BCB" w:rsidR="00500F74" w:rsidRPr="00FD7BC9" w:rsidRDefault="00500F74" w:rsidP="00616FE1">
            <w:pPr>
              <w:spacing w:line="276" w:lineRule="auto"/>
              <w:jc w:val="center"/>
              <w:rPr>
                <w:rFonts w:ascii="Arial" w:hAnsi="Arial" w:cs="Arial"/>
                <w:b/>
                <w:bCs/>
                <w:lang w:eastAsia="es-CO"/>
              </w:rPr>
            </w:pPr>
            <w:r w:rsidRPr="00C76457">
              <w:rPr>
                <w:rFonts w:ascii="Arial" w:hAnsi="Arial" w:cs="Arial"/>
                <w:b/>
                <w:bCs/>
                <w:lang w:eastAsia="es-CO"/>
              </w:rPr>
              <w:t xml:space="preserve">$ </w:t>
            </w:r>
            <w:r w:rsidR="00FD7BC9">
              <w:rPr>
                <w:rFonts w:ascii="Arial" w:hAnsi="Arial" w:cs="Arial"/>
                <w:b/>
                <w:bCs/>
                <w:lang w:eastAsia="es-CO"/>
              </w:rPr>
              <w:t>817.988.704</w:t>
            </w:r>
          </w:p>
        </w:tc>
      </w:tr>
    </w:tbl>
    <w:p w14:paraId="2450CED5" w14:textId="77777777" w:rsidR="009D7061" w:rsidRPr="00C76457" w:rsidRDefault="009D7061" w:rsidP="002F1D05">
      <w:pPr>
        <w:spacing w:after="0"/>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3768"/>
        <w:gridCol w:w="2920"/>
        <w:gridCol w:w="2140"/>
      </w:tblGrid>
      <w:tr w:rsidR="00822DBE" w:rsidRPr="00C76457" w14:paraId="3BBFCCE4" w14:textId="77777777" w:rsidTr="00500F74">
        <w:trPr>
          <w:trHeight w:val="630"/>
        </w:trPr>
        <w:tc>
          <w:tcPr>
            <w:tcW w:w="3768" w:type="dxa"/>
            <w:shd w:val="clear" w:color="auto" w:fill="D9D9D9" w:themeFill="background1" w:themeFillShade="D9"/>
            <w:vAlign w:val="center"/>
            <w:hideMark/>
          </w:tcPr>
          <w:p w14:paraId="1158738E" w14:textId="77777777" w:rsidR="00822DBE" w:rsidRPr="00C76457" w:rsidRDefault="00822DBE" w:rsidP="00616FE1">
            <w:pPr>
              <w:spacing w:line="276" w:lineRule="auto"/>
              <w:jc w:val="center"/>
              <w:rPr>
                <w:rFonts w:ascii="Arial" w:hAnsi="Arial" w:cs="Arial"/>
                <w:b/>
                <w:bCs/>
                <w:lang w:eastAsia="es-CO"/>
              </w:rPr>
            </w:pPr>
            <w:r w:rsidRPr="00C76457">
              <w:rPr>
                <w:rFonts w:ascii="Arial" w:hAnsi="Arial" w:cs="Arial"/>
                <w:b/>
                <w:bCs/>
                <w:lang w:eastAsia="es-CO"/>
              </w:rPr>
              <w:t>EMPRESA</w:t>
            </w:r>
          </w:p>
        </w:tc>
        <w:tc>
          <w:tcPr>
            <w:tcW w:w="2920" w:type="dxa"/>
            <w:shd w:val="clear" w:color="auto" w:fill="D9D9D9" w:themeFill="background1" w:themeFillShade="D9"/>
            <w:vAlign w:val="center"/>
            <w:hideMark/>
          </w:tcPr>
          <w:p w14:paraId="0955C271" w14:textId="77777777" w:rsidR="00822DBE" w:rsidRPr="00C76457" w:rsidRDefault="00822DBE" w:rsidP="00616FE1">
            <w:pPr>
              <w:spacing w:line="276" w:lineRule="auto"/>
              <w:jc w:val="center"/>
              <w:rPr>
                <w:rFonts w:ascii="Arial" w:hAnsi="Arial" w:cs="Arial"/>
                <w:b/>
                <w:bCs/>
                <w:lang w:eastAsia="es-CO"/>
              </w:rPr>
            </w:pPr>
            <w:r w:rsidRPr="00C76457">
              <w:rPr>
                <w:rFonts w:ascii="Arial" w:hAnsi="Arial" w:cs="Arial"/>
                <w:b/>
                <w:bCs/>
                <w:lang w:eastAsia="es-CO"/>
              </w:rPr>
              <w:t>VALOR TOTAL EDS PATIO AMÉRICAS</w:t>
            </w:r>
          </w:p>
        </w:tc>
        <w:tc>
          <w:tcPr>
            <w:tcW w:w="2140" w:type="dxa"/>
            <w:shd w:val="clear" w:color="auto" w:fill="D9D9D9" w:themeFill="background1" w:themeFillShade="D9"/>
            <w:vAlign w:val="center"/>
            <w:hideMark/>
          </w:tcPr>
          <w:p w14:paraId="3A1110D7" w14:textId="17348E41" w:rsidR="00822DBE" w:rsidRPr="00C76457" w:rsidRDefault="00822DBE" w:rsidP="00616FE1">
            <w:pPr>
              <w:spacing w:line="276" w:lineRule="auto"/>
              <w:jc w:val="center"/>
              <w:rPr>
                <w:rFonts w:ascii="Arial" w:hAnsi="Arial" w:cs="Arial"/>
                <w:b/>
                <w:bCs/>
                <w:lang w:eastAsia="es-CO"/>
              </w:rPr>
            </w:pPr>
            <w:r w:rsidRPr="00C76457">
              <w:rPr>
                <w:rFonts w:ascii="Arial" w:hAnsi="Arial" w:cs="Arial"/>
                <w:b/>
                <w:bCs/>
                <w:lang w:eastAsia="es-CO"/>
              </w:rPr>
              <w:t xml:space="preserve">OFERTAS </w:t>
            </w:r>
            <w:r w:rsidR="00F7512F">
              <w:rPr>
                <w:rFonts w:ascii="Arial" w:hAnsi="Arial" w:cs="Arial"/>
                <w:b/>
                <w:bCs/>
                <w:lang w:eastAsia="es-CO"/>
              </w:rPr>
              <w:t>VÁLIDA</w:t>
            </w:r>
            <w:r w:rsidRPr="00C76457">
              <w:rPr>
                <w:rFonts w:ascii="Arial" w:hAnsi="Arial" w:cs="Arial"/>
                <w:b/>
                <w:bCs/>
                <w:lang w:eastAsia="es-CO"/>
              </w:rPr>
              <w:t>S</w:t>
            </w:r>
          </w:p>
        </w:tc>
      </w:tr>
      <w:tr w:rsidR="00822DBE" w:rsidRPr="00C76457" w14:paraId="3C97BC95" w14:textId="77777777" w:rsidTr="00500F74">
        <w:trPr>
          <w:trHeight w:val="315"/>
        </w:trPr>
        <w:tc>
          <w:tcPr>
            <w:tcW w:w="3768" w:type="dxa"/>
            <w:vAlign w:val="center"/>
            <w:hideMark/>
          </w:tcPr>
          <w:p w14:paraId="482416ED"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AMBIPAR</w:t>
            </w:r>
          </w:p>
        </w:tc>
        <w:tc>
          <w:tcPr>
            <w:tcW w:w="2920" w:type="dxa"/>
            <w:noWrap/>
            <w:vAlign w:val="center"/>
            <w:hideMark/>
          </w:tcPr>
          <w:p w14:paraId="2B90629B"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$ 610.580.194</w:t>
            </w:r>
          </w:p>
        </w:tc>
        <w:tc>
          <w:tcPr>
            <w:tcW w:w="2140" w:type="dxa"/>
            <w:vAlign w:val="center"/>
            <w:hideMark/>
          </w:tcPr>
          <w:p w14:paraId="5D23AC59" w14:textId="124DB78B" w:rsidR="00822DBE" w:rsidRPr="00C76457" w:rsidRDefault="00C51883" w:rsidP="00616FE1">
            <w:pPr>
              <w:spacing w:line="276" w:lineRule="auto"/>
              <w:jc w:val="center"/>
              <w:rPr>
                <w:rFonts w:ascii="Arial" w:hAnsi="Arial" w:cs="Arial"/>
                <w:b/>
                <w:bCs/>
                <w:lang w:eastAsia="es-CO"/>
              </w:rPr>
            </w:pPr>
            <w:r w:rsidRPr="00616FE1">
              <w:rPr>
                <w:rFonts w:ascii="Arial" w:hAnsi="Arial" w:cs="Arial"/>
                <w:lang w:eastAsia="es-CO"/>
              </w:rPr>
              <w:t xml:space="preserve">NO </w:t>
            </w:r>
            <w:r>
              <w:rPr>
                <w:rFonts w:ascii="Arial" w:hAnsi="Arial" w:cs="Arial"/>
                <w:lang w:eastAsia="es-CO"/>
              </w:rPr>
              <w:t>VÁLIDA</w:t>
            </w:r>
          </w:p>
        </w:tc>
      </w:tr>
      <w:tr w:rsidR="00822DBE" w:rsidRPr="00C76457" w14:paraId="0585D06F" w14:textId="77777777" w:rsidTr="00500F74">
        <w:trPr>
          <w:trHeight w:val="315"/>
        </w:trPr>
        <w:tc>
          <w:tcPr>
            <w:tcW w:w="3768" w:type="dxa"/>
            <w:vAlign w:val="center"/>
            <w:hideMark/>
          </w:tcPr>
          <w:p w14:paraId="242A6956"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2M Estudio SAS</w:t>
            </w:r>
          </w:p>
        </w:tc>
        <w:tc>
          <w:tcPr>
            <w:tcW w:w="2920" w:type="dxa"/>
            <w:noWrap/>
            <w:vAlign w:val="center"/>
            <w:hideMark/>
          </w:tcPr>
          <w:p w14:paraId="0A17CD7B"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$ 613.413.539</w:t>
            </w:r>
          </w:p>
        </w:tc>
        <w:tc>
          <w:tcPr>
            <w:tcW w:w="2140" w:type="dxa"/>
            <w:vAlign w:val="center"/>
            <w:hideMark/>
          </w:tcPr>
          <w:p w14:paraId="4E3294DD" w14:textId="14F9DD1E" w:rsidR="00822DBE" w:rsidRPr="00C76457" w:rsidRDefault="00C51883" w:rsidP="00616FE1">
            <w:pPr>
              <w:spacing w:line="276" w:lineRule="auto"/>
              <w:jc w:val="center"/>
              <w:rPr>
                <w:rFonts w:ascii="Arial" w:hAnsi="Arial" w:cs="Arial"/>
                <w:b/>
                <w:bCs/>
                <w:lang w:eastAsia="es-CO"/>
              </w:rPr>
            </w:pPr>
            <w:r w:rsidRPr="00616FE1">
              <w:rPr>
                <w:rFonts w:ascii="Arial" w:hAnsi="Arial" w:cs="Arial"/>
                <w:lang w:eastAsia="es-CO"/>
              </w:rPr>
              <w:t xml:space="preserve">NO </w:t>
            </w:r>
            <w:r>
              <w:rPr>
                <w:rFonts w:ascii="Arial" w:hAnsi="Arial" w:cs="Arial"/>
                <w:lang w:eastAsia="es-CO"/>
              </w:rPr>
              <w:t>VÁLIDA</w:t>
            </w:r>
          </w:p>
        </w:tc>
      </w:tr>
      <w:tr w:rsidR="00822DBE" w:rsidRPr="00C76457" w14:paraId="0977C1D3" w14:textId="77777777" w:rsidTr="00500F74">
        <w:trPr>
          <w:trHeight w:val="315"/>
        </w:trPr>
        <w:tc>
          <w:tcPr>
            <w:tcW w:w="3768" w:type="dxa"/>
            <w:vAlign w:val="center"/>
            <w:hideMark/>
          </w:tcPr>
          <w:p w14:paraId="7999E63F"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HIDROGEOLOGIA COLOMBIANA SAS</w:t>
            </w:r>
          </w:p>
        </w:tc>
        <w:tc>
          <w:tcPr>
            <w:tcW w:w="2920" w:type="dxa"/>
            <w:vAlign w:val="center"/>
            <w:hideMark/>
          </w:tcPr>
          <w:p w14:paraId="2022FA5F"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$ 1.365.168.065</w:t>
            </w:r>
          </w:p>
        </w:tc>
        <w:tc>
          <w:tcPr>
            <w:tcW w:w="2140" w:type="dxa"/>
            <w:vAlign w:val="center"/>
            <w:hideMark/>
          </w:tcPr>
          <w:p w14:paraId="78EBCF2C" w14:textId="410648F4" w:rsidR="00822DBE" w:rsidRPr="00C76457" w:rsidRDefault="00F7512F" w:rsidP="00616FE1">
            <w:pPr>
              <w:spacing w:line="276" w:lineRule="auto"/>
              <w:jc w:val="center"/>
              <w:rPr>
                <w:rFonts w:ascii="Arial" w:hAnsi="Arial" w:cs="Arial"/>
                <w:b/>
                <w:bCs/>
                <w:lang w:eastAsia="es-CO"/>
              </w:rPr>
            </w:pPr>
            <w:r>
              <w:rPr>
                <w:rFonts w:ascii="Arial" w:hAnsi="Arial" w:cs="Arial"/>
                <w:b/>
                <w:bCs/>
                <w:lang w:eastAsia="es-CO"/>
              </w:rPr>
              <w:t>VÁLIDA</w:t>
            </w:r>
          </w:p>
        </w:tc>
      </w:tr>
      <w:tr w:rsidR="00822DBE" w:rsidRPr="00C76457" w14:paraId="55F0F82A" w14:textId="77777777" w:rsidTr="00500F74">
        <w:trPr>
          <w:trHeight w:val="315"/>
        </w:trPr>
        <w:tc>
          <w:tcPr>
            <w:tcW w:w="3768" w:type="dxa"/>
            <w:vAlign w:val="center"/>
            <w:hideMark/>
          </w:tcPr>
          <w:p w14:paraId="5253726D"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NOVAMBIENTTI SOLUCIONES AMBIENTALES S.A.S</w:t>
            </w:r>
          </w:p>
        </w:tc>
        <w:tc>
          <w:tcPr>
            <w:tcW w:w="2920" w:type="dxa"/>
            <w:vAlign w:val="center"/>
            <w:hideMark/>
          </w:tcPr>
          <w:p w14:paraId="665990F8"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$ 1.683.301.752</w:t>
            </w:r>
          </w:p>
        </w:tc>
        <w:tc>
          <w:tcPr>
            <w:tcW w:w="2140" w:type="dxa"/>
            <w:vAlign w:val="center"/>
            <w:hideMark/>
          </w:tcPr>
          <w:p w14:paraId="151B5DFA" w14:textId="390AFFB2" w:rsidR="00822DBE" w:rsidRPr="00616FE1" w:rsidRDefault="00822DBE" w:rsidP="00616FE1">
            <w:pPr>
              <w:spacing w:line="276" w:lineRule="auto"/>
              <w:jc w:val="center"/>
              <w:rPr>
                <w:rFonts w:ascii="Arial" w:hAnsi="Arial" w:cs="Arial"/>
                <w:lang w:eastAsia="es-CO"/>
              </w:rPr>
            </w:pPr>
            <w:r w:rsidRPr="00616FE1">
              <w:rPr>
                <w:rFonts w:ascii="Arial" w:hAnsi="Arial" w:cs="Arial"/>
                <w:lang w:eastAsia="es-CO"/>
              </w:rPr>
              <w:t xml:space="preserve">NO </w:t>
            </w:r>
            <w:r w:rsidR="00F7512F">
              <w:rPr>
                <w:rFonts w:ascii="Arial" w:hAnsi="Arial" w:cs="Arial"/>
                <w:lang w:eastAsia="es-CO"/>
              </w:rPr>
              <w:t>VÁLIDA</w:t>
            </w:r>
          </w:p>
        </w:tc>
      </w:tr>
      <w:tr w:rsidR="00822DBE" w:rsidRPr="00C76457" w14:paraId="1A4532BB" w14:textId="77777777" w:rsidTr="00500F74">
        <w:trPr>
          <w:trHeight w:val="330"/>
        </w:trPr>
        <w:tc>
          <w:tcPr>
            <w:tcW w:w="3768" w:type="dxa"/>
            <w:vAlign w:val="center"/>
            <w:hideMark/>
          </w:tcPr>
          <w:p w14:paraId="186D53E1"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INERCO CONSULTORÍA COLOMBIA LTDA</w:t>
            </w:r>
          </w:p>
        </w:tc>
        <w:tc>
          <w:tcPr>
            <w:tcW w:w="2920" w:type="dxa"/>
            <w:vAlign w:val="center"/>
            <w:hideMark/>
          </w:tcPr>
          <w:p w14:paraId="35379271" w14:textId="77777777" w:rsidR="00822DBE" w:rsidRPr="00C76457" w:rsidRDefault="00822DBE" w:rsidP="00616FE1">
            <w:pPr>
              <w:spacing w:line="276" w:lineRule="auto"/>
              <w:jc w:val="center"/>
              <w:rPr>
                <w:rFonts w:ascii="Arial" w:hAnsi="Arial" w:cs="Arial"/>
                <w:lang w:eastAsia="es-CO"/>
              </w:rPr>
            </w:pPr>
            <w:r w:rsidRPr="00C76457">
              <w:rPr>
                <w:rFonts w:ascii="Arial" w:hAnsi="Arial" w:cs="Arial"/>
                <w:lang w:eastAsia="es-CO"/>
              </w:rPr>
              <w:t>$ 1.377.017.940</w:t>
            </w:r>
          </w:p>
        </w:tc>
        <w:tc>
          <w:tcPr>
            <w:tcW w:w="2140" w:type="dxa"/>
            <w:vAlign w:val="center"/>
            <w:hideMark/>
          </w:tcPr>
          <w:p w14:paraId="2FF9B944" w14:textId="6D49CEAE" w:rsidR="00822DBE" w:rsidRPr="00915023" w:rsidRDefault="00F7512F" w:rsidP="00616FE1">
            <w:pPr>
              <w:spacing w:line="276" w:lineRule="auto"/>
              <w:jc w:val="center"/>
              <w:rPr>
                <w:rFonts w:ascii="Arial" w:hAnsi="Arial" w:cs="Arial"/>
                <w:b/>
                <w:bCs/>
                <w:lang w:eastAsia="es-CO"/>
              </w:rPr>
            </w:pPr>
            <w:r w:rsidRPr="00915023">
              <w:rPr>
                <w:rFonts w:ascii="Arial" w:hAnsi="Arial" w:cs="Arial"/>
                <w:b/>
                <w:bCs/>
                <w:lang w:eastAsia="es-CO"/>
              </w:rPr>
              <w:t>VÁLIDA</w:t>
            </w:r>
          </w:p>
        </w:tc>
      </w:tr>
      <w:tr w:rsidR="00500F74" w:rsidRPr="00C76457" w14:paraId="40E3FFD2" w14:textId="77777777" w:rsidTr="00500F74">
        <w:trPr>
          <w:gridAfter w:val="1"/>
          <w:wAfter w:w="2140" w:type="dxa"/>
          <w:trHeight w:val="315"/>
        </w:trPr>
        <w:tc>
          <w:tcPr>
            <w:tcW w:w="3768" w:type="dxa"/>
            <w:vAlign w:val="center"/>
            <w:hideMark/>
          </w:tcPr>
          <w:p w14:paraId="6BB7FF48" w14:textId="5A76352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MEDIA ARI</w:t>
            </w:r>
            <w:r w:rsidR="00E828CF">
              <w:rPr>
                <w:rFonts w:ascii="Arial" w:hAnsi="Arial" w:cs="Arial"/>
                <w:b/>
                <w:bCs/>
                <w:lang w:eastAsia="es-CO"/>
              </w:rPr>
              <w:t>T</w:t>
            </w:r>
            <w:r w:rsidRPr="00C76457">
              <w:rPr>
                <w:rFonts w:ascii="Arial" w:hAnsi="Arial" w:cs="Arial"/>
                <w:b/>
                <w:bCs/>
                <w:lang w:eastAsia="es-CO"/>
              </w:rPr>
              <w:t>MÉTICA</w:t>
            </w:r>
          </w:p>
        </w:tc>
        <w:tc>
          <w:tcPr>
            <w:tcW w:w="2920" w:type="dxa"/>
            <w:vAlign w:val="center"/>
            <w:hideMark/>
          </w:tcPr>
          <w:p w14:paraId="0CC954B6"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$ 1.129.896.298</w:t>
            </w:r>
          </w:p>
        </w:tc>
      </w:tr>
      <w:tr w:rsidR="00500F74" w:rsidRPr="00C76457" w14:paraId="1847093B" w14:textId="77777777" w:rsidTr="00500F74">
        <w:trPr>
          <w:gridAfter w:val="1"/>
          <w:wAfter w:w="2140" w:type="dxa"/>
          <w:trHeight w:val="315"/>
        </w:trPr>
        <w:tc>
          <w:tcPr>
            <w:tcW w:w="3768" w:type="dxa"/>
            <w:vAlign w:val="center"/>
            <w:hideMark/>
          </w:tcPr>
          <w:p w14:paraId="05D9FF79"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DESVIACIÓN ESTÁNDAR</w:t>
            </w:r>
          </w:p>
        </w:tc>
        <w:tc>
          <w:tcPr>
            <w:tcW w:w="2920" w:type="dxa"/>
            <w:vAlign w:val="center"/>
            <w:hideMark/>
          </w:tcPr>
          <w:p w14:paraId="172A72D1"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$ 437.977.891</w:t>
            </w:r>
          </w:p>
        </w:tc>
      </w:tr>
      <w:tr w:rsidR="00500F74" w:rsidRPr="00C76457" w14:paraId="6769AF80" w14:textId="77777777" w:rsidTr="00500F74">
        <w:trPr>
          <w:gridAfter w:val="1"/>
          <w:wAfter w:w="2140" w:type="dxa"/>
          <w:trHeight w:val="315"/>
        </w:trPr>
        <w:tc>
          <w:tcPr>
            <w:tcW w:w="3768" w:type="dxa"/>
            <w:vAlign w:val="center"/>
            <w:hideMark/>
          </w:tcPr>
          <w:p w14:paraId="7839CE8F"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LÍMITE SUPERIOR</w:t>
            </w:r>
          </w:p>
        </w:tc>
        <w:tc>
          <w:tcPr>
            <w:tcW w:w="2920" w:type="dxa"/>
            <w:vAlign w:val="center"/>
            <w:hideMark/>
          </w:tcPr>
          <w:p w14:paraId="5CB631A5"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$ 1.567.874.189</w:t>
            </w:r>
          </w:p>
        </w:tc>
      </w:tr>
      <w:tr w:rsidR="00500F74" w:rsidRPr="00C76457" w14:paraId="0C3CF9E9" w14:textId="77777777" w:rsidTr="00500F74">
        <w:trPr>
          <w:gridAfter w:val="1"/>
          <w:wAfter w:w="2140" w:type="dxa"/>
          <w:trHeight w:val="315"/>
        </w:trPr>
        <w:tc>
          <w:tcPr>
            <w:tcW w:w="3768" w:type="dxa"/>
            <w:vAlign w:val="center"/>
            <w:hideMark/>
          </w:tcPr>
          <w:p w14:paraId="5C7EA647"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LÍMITE INFERIOR</w:t>
            </w:r>
          </w:p>
        </w:tc>
        <w:tc>
          <w:tcPr>
            <w:tcW w:w="2920" w:type="dxa"/>
            <w:vAlign w:val="center"/>
            <w:hideMark/>
          </w:tcPr>
          <w:p w14:paraId="01BDD766"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$ 691.918.407</w:t>
            </w:r>
          </w:p>
        </w:tc>
      </w:tr>
      <w:tr w:rsidR="00500F74" w:rsidRPr="00C76457" w14:paraId="6383E1D7" w14:textId="77777777" w:rsidTr="00500F74">
        <w:trPr>
          <w:gridAfter w:val="1"/>
          <w:wAfter w:w="2140" w:type="dxa"/>
          <w:trHeight w:val="330"/>
        </w:trPr>
        <w:tc>
          <w:tcPr>
            <w:tcW w:w="3768" w:type="dxa"/>
            <w:vAlign w:val="center"/>
            <w:hideMark/>
          </w:tcPr>
          <w:p w14:paraId="1A4C0CAE" w14:textId="77777777" w:rsidR="00500F74" w:rsidRPr="00C76457" w:rsidRDefault="00500F74" w:rsidP="00616FE1">
            <w:pPr>
              <w:spacing w:line="276" w:lineRule="auto"/>
              <w:jc w:val="center"/>
              <w:rPr>
                <w:rFonts w:ascii="Arial" w:hAnsi="Arial" w:cs="Arial"/>
                <w:b/>
                <w:bCs/>
                <w:lang w:eastAsia="es-CO"/>
              </w:rPr>
            </w:pPr>
            <w:r w:rsidRPr="00C76457">
              <w:rPr>
                <w:rFonts w:ascii="Arial" w:hAnsi="Arial" w:cs="Arial"/>
                <w:b/>
                <w:bCs/>
                <w:lang w:eastAsia="es-CO"/>
              </w:rPr>
              <w:t>NUEVO PROMEDIO</w:t>
            </w:r>
          </w:p>
        </w:tc>
        <w:tc>
          <w:tcPr>
            <w:tcW w:w="2920" w:type="dxa"/>
            <w:vAlign w:val="center"/>
            <w:hideMark/>
          </w:tcPr>
          <w:p w14:paraId="728F290E" w14:textId="3456D12F" w:rsidR="00500F74" w:rsidRPr="00857730" w:rsidRDefault="00500F74" w:rsidP="00616FE1">
            <w:pPr>
              <w:spacing w:line="276" w:lineRule="auto"/>
              <w:jc w:val="center"/>
              <w:rPr>
                <w:rFonts w:ascii="Arial" w:hAnsi="Arial" w:cs="Arial"/>
                <w:b/>
                <w:bCs/>
                <w:lang w:eastAsia="es-CO"/>
              </w:rPr>
            </w:pPr>
            <w:r w:rsidRPr="00C76457">
              <w:rPr>
                <w:rFonts w:ascii="Arial" w:hAnsi="Arial" w:cs="Arial"/>
                <w:b/>
                <w:bCs/>
                <w:lang w:eastAsia="es-CO"/>
              </w:rPr>
              <w:t xml:space="preserve">$ </w:t>
            </w:r>
            <w:r w:rsidR="00857730">
              <w:rPr>
                <w:rFonts w:ascii="Arial" w:hAnsi="Arial" w:cs="Arial"/>
                <w:b/>
                <w:bCs/>
                <w:lang w:eastAsia="es-CO"/>
              </w:rPr>
              <w:t>1.371.093.003</w:t>
            </w:r>
          </w:p>
        </w:tc>
      </w:tr>
    </w:tbl>
    <w:p w14:paraId="1D5B2360" w14:textId="38201E8F" w:rsidR="00231C58" w:rsidRDefault="00231C58" w:rsidP="002F1D05">
      <w:pPr>
        <w:spacing w:after="0"/>
        <w:rPr>
          <w:rFonts w:ascii="Arial" w:eastAsia="Times New Roman" w:hAnsi="Arial" w:cs="Arial"/>
          <w:lang w:eastAsia="es-CO"/>
        </w:rPr>
      </w:pPr>
    </w:p>
    <w:p w14:paraId="4F0EBD1B" w14:textId="77777777" w:rsidR="00B56452" w:rsidRDefault="00B56452" w:rsidP="002F1D05">
      <w:pPr>
        <w:spacing w:after="0"/>
        <w:rPr>
          <w:rFonts w:ascii="Arial" w:eastAsia="Times New Roman" w:hAnsi="Arial" w:cs="Arial"/>
          <w:lang w:eastAsia="es-CO"/>
        </w:rPr>
      </w:pPr>
    </w:p>
    <w:p w14:paraId="057A8797" w14:textId="611898D7" w:rsidR="00231C58" w:rsidRDefault="003E37C8" w:rsidP="00915023">
      <w:pPr>
        <w:pStyle w:val="Prrafodelista"/>
        <w:numPr>
          <w:ilvl w:val="1"/>
          <w:numId w:val="9"/>
        </w:numPr>
        <w:spacing w:after="0"/>
        <w:rPr>
          <w:rFonts w:ascii="Arial" w:eastAsia="Times New Roman" w:hAnsi="Arial" w:cs="Arial"/>
          <w:b/>
          <w:bCs/>
          <w:lang w:eastAsia="es-CO"/>
        </w:rPr>
      </w:pPr>
      <w:r w:rsidRPr="00B209F7">
        <w:rPr>
          <w:rFonts w:ascii="Arial" w:eastAsiaTheme="minorEastAsia" w:hAnsi="Arial" w:cs="Arial"/>
          <w:b/>
          <w:bCs/>
        </w:rPr>
        <w:t xml:space="preserve">Bolsa para </w:t>
      </w:r>
      <w:r>
        <w:rPr>
          <w:rFonts w:ascii="Arial" w:eastAsiaTheme="minorEastAsia" w:hAnsi="Arial" w:cs="Arial"/>
          <w:b/>
          <w:bCs/>
        </w:rPr>
        <w:t>a</w:t>
      </w:r>
      <w:r w:rsidRPr="00B209F7">
        <w:rPr>
          <w:rFonts w:ascii="Arial" w:eastAsiaTheme="minorEastAsia" w:hAnsi="Arial" w:cs="Arial"/>
          <w:b/>
          <w:bCs/>
        </w:rPr>
        <w:t xml:space="preserve">ctividades </w:t>
      </w:r>
      <w:r>
        <w:rPr>
          <w:rFonts w:ascii="Arial" w:eastAsiaTheme="minorEastAsia" w:hAnsi="Arial" w:cs="Arial"/>
          <w:b/>
          <w:bCs/>
        </w:rPr>
        <w:t>i</w:t>
      </w:r>
      <w:r w:rsidRPr="00B209F7">
        <w:rPr>
          <w:rFonts w:ascii="Arial" w:eastAsiaTheme="minorEastAsia" w:hAnsi="Arial" w:cs="Arial"/>
          <w:b/>
          <w:bCs/>
        </w:rPr>
        <w:t xml:space="preserve">dentificadas </w:t>
      </w:r>
      <w:r>
        <w:rPr>
          <w:rFonts w:ascii="Arial" w:eastAsiaTheme="minorEastAsia" w:hAnsi="Arial" w:cs="Arial"/>
          <w:b/>
          <w:bCs/>
        </w:rPr>
        <w:t>d</w:t>
      </w:r>
      <w:r w:rsidRPr="00B209F7">
        <w:rPr>
          <w:rFonts w:ascii="Arial" w:eastAsiaTheme="minorEastAsia" w:hAnsi="Arial" w:cs="Arial"/>
          <w:b/>
          <w:bCs/>
        </w:rPr>
        <w:t xml:space="preserve">urante la </w:t>
      </w:r>
      <w:r>
        <w:rPr>
          <w:rFonts w:ascii="Arial" w:eastAsiaTheme="minorEastAsia" w:hAnsi="Arial" w:cs="Arial"/>
          <w:b/>
          <w:bCs/>
        </w:rPr>
        <w:t>e</w:t>
      </w:r>
      <w:r w:rsidRPr="00B209F7">
        <w:rPr>
          <w:rFonts w:ascii="Arial" w:eastAsiaTheme="minorEastAsia" w:hAnsi="Arial" w:cs="Arial"/>
          <w:b/>
          <w:bCs/>
        </w:rPr>
        <w:t xml:space="preserve">jecución </w:t>
      </w:r>
      <w:r>
        <w:rPr>
          <w:rFonts w:ascii="Arial" w:eastAsiaTheme="minorEastAsia" w:hAnsi="Arial" w:cs="Arial"/>
          <w:b/>
          <w:bCs/>
        </w:rPr>
        <w:t>c</w:t>
      </w:r>
      <w:r w:rsidRPr="00B209F7">
        <w:rPr>
          <w:rFonts w:ascii="Arial" w:eastAsiaTheme="minorEastAsia" w:hAnsi="Arial" w:cs="Arial"/>
          <w:b/>
          <w:bCs/>
        </w:rPr>
        <w:t>ontractual</w:t>
      </w:r>
    </w:p>
    <w:p w14:paraId="6D86CB17" w14:textId="77777777" w:rsidR="0097279F" w:rsidRPr="00915023" w:rsidRDefault="0097279F" w:rsidP="0097279F">
      <w:pPr>
        <w:pStyle w:val="Prrafodelista"/>
        <w:spacing w:after="0"/>
        <w:rPr>
          <w:rFonts w:ascii="Arial" w:eastAsia="Times New Roman" w:hAnsi="Arial" w:cs="Arial"/>
          <w:b/>
          <w:bCs/>
          <w:lang w:eastAsia="es-CO"/>
        </w:rPr>
      </w:pPr>
    </w:p>
    <w:p w14:paraId="2EC9136E" w14:textId="5C38BFA4" w:rsidR="0045263E" w:rsidRDefault="003E37C8" w:rsidP="00926CB4">
      <w:pPr>
        <w:spacing w:after="0"/>
        <w:jc w:val="both"/>
        <w:rPr>
          <w:rFonts w:ascii="Arial" w:hAnsi="Arial" w:cs="Arial"/>
        </w:rPr>
      </w:pPr>
      <w:r w:rsidRPr="005D2121">
        <w:rPr>
          <w:rFonts w:ascii="Arial" w:eastAsiaTheme="minorEastAsia" w:hAnsi="Arial" w:cs="Arial"/>
        </w:rPr>
        <w:t xml:space="preserve">Con el fin de garantizar la adecuada gestión de contingencias técnicas, ambientales y constructivas inherentes a las actividades de desmantelamiento de las EDS Diésel, se considera procedente la constitución de una bolsa </w:t>
      </w:r>
      <w:r w:rsidRPr="00B209F7">
        <w:rPr>
          <w:rFonts w:ascii="Arial" w:eastAsiaTheme="minorEastAsia" w:hAnsi="Arial" w:cs="Arial"/>
        </w:rPr>
        <w:t xml:space="preserve">para Actividades Identificadas </w:t>
      </w:r>
      <w:r>
        <w:rPr>
          <w:rFonts w:ascii="Arial" w:eastAsiaTheme="minorEastAsia" w:hAnsi="Arial" w:cs="Arial"/>
        </w:rPr>
        <w:t>d</w:t>
      </w:r>
      <w:r w:rsidRPr="00B209F7">
        <w:rPr>
          <w:rFonts w:ascii="Arial" w:eastAsiaTheme="minorEastAsia" w:hAnsi="Arial" w:cs="Arial"/>
        </w:rPr>
        <w:t xml:space="preserve">urante la </w:t>
      </w:r>
      <w:r>
        <w:rPr>
          <w:rFonts w:ascii="Arial" w:eastAsiaTheme="minorEastAsia" w:hAnsi="Arial" w:cs="Arial"/>
        </w:rPr>
        <w:t>e</w:t>
      </w:r>
      <w:r w:rsidRPr="00B209F7">
        <w:rPr>
          <w:rFonts w:ascii="Arial" w:eastAsiaTheme="minorEastAsia" w:hAnsi="Arial" w:cs="Arial"/>
        </w:rPr>
        <w:t xml:space="preserve">jecución </w:t>
      </w:r>
      <w:r>
        <w:rPr>
          <w:rFonts w:ascii="Arial" w:eastAsiaTheme="minorEastAsia" w:hAnsi="Arial" w:cs="Arial"/>
        </w:rPr>
        <w:t>c</w:t>
      </w:r>
      <w:r w:rsidRPr="00B209F7">
        <w:rPr>
          <w:rFonts w:ascii="Arial" w:eastAsiaTheme="minorEastAsia" w:hAnsi="Arial" w:cs="Arial"/>
        </w:rPr>
        <w:t>ontractual</w:t>
      </w:r>
      <w:r w:rsidRPr="005D2121">
        <w:rPr>
          <w:rFonts w:ascii="Arial" w:eastAsiaTheme="minorEastAsia" w:hAnsi="Arial" w:cs="Arial"/>
        </w:rPr>
        <w:t xml:space="preserve"> destinada a cubrir costos asociados a actividades cuya existencia, alcance y magnitud solo pueden determinarse durante la ejecución de las intervenciones</w:t>
      </w:r>
      <w:r w:rsidR="00C62A92" w:rsidRPr="00C62A92">
        <w:rPr>
          <w:rFonts w:ascii="Arial" w:hAnsi="Arial" w:cs="Arial"/>
        </w:rPr>
        <w:t>.</w:t>
      </w:r>
      <w:r w:rsidR="00926CB4" w:rsidRPr="0041342E">
        <w:rPr>
          <w:rFonts w:ascii="Arial" w:hAnsi="Arial" w:cs="Arial"/>
        </w:rPr>
        <w:t xml:space="preserve"> </w:t>
      </w:r>
    </w:p>
    <w:p w14:paraId="29C8C81F" w14:textId="77777777" w:rsidR="0045263E" w:rsidRDefault="0045263E" w:rsidP="00926CB4">
      <w:pPr>
        <w:spacing w:after="0"/>
        <w:jc w:val="both"/>
        <w:rPr>
          <w:rFonts w:ascii="Arial" w:hAnsi="Arial" w:cs="Arial"/>
        </w:rPr>
      </w:pPr>
    </w:p>
    <w:p w14:paraId="10BE9E77" w14:textId="42A21DD1" w:rsidR="00614DB0" w:rsidRDefault="00614DB0" w:rsidP="00926CB4">
      <w:pPr>
        <w:spacing w:after="0"/>
        <w:jc w:val="both"/>
        <w:rPr>
          <w:rFonts w:ascii="Arial" w:hAnsi="Arial" w:cs="Arial"/>
        </w:rPr>
      </w:pPr>
      <w:r w:rsidRPr="00614DB0">
        <w:rPr>
          <w:rFonts w:ascii="Arial" w:hAnsi="Arial" w:cs="Arial"/>
        </w:rPr>
        <w:t xml:space="preserve">En particular, esta provisión </w:t>
      </w:r>
      <w:r w:rsidR="003E37C8">
        <w:rPr>
          <w:rFonts w:ascii="Arial" w:hAnsi="Arial" w:cs="Arial"/>
        </w:rPr>
        <w:t xml:space="preserve">inicial </w:t>
      </w:r>
      <w:r w:rsidRPr="00614DB0">
        <w:rPr>
          <w:rFonts w:ascii="Arial" w:hAnsi="Arial" w:cs="Arial"/>
        </w:rPr>
        <w:t xml:space="preserve">contempla: </w:t>
      </w:r>
      <w:r w:rsidRPr="00915023">
        <w:rPr>
          <w:rFonts w:ascii="Arial" w:hAnsi="Arial" w:cs="Arial"/>
          <w:b/>
          <w:bCs/>
        </w:rPr>
        <w:t>(i)</w:t>
      </w:r>
      <w:r w:rsidRPr="00614DB0">
        <w:rPr>
          <w:rFonts w:ascii="Arial" w:hAnsi="Arial" w:cs="Arial"/>
        </w:rPr>
        <w:t xml:space="preserve"> la gestión y disposición de suelos potencialmente afectados, estimada bajo un escenario conservador que considera afectación puntual hasta dos (2) metros por debajo de la cota inferior de la fosa de tanques, considerando la baja probabilidad de ocurrencia evidenciada en la evaluación de riesgos y en un contexto de ausencia de producto libre, la inexistencia de afectación a aguas subterráneas, el carácter puntual del impacto identificado y los antecedentes ambientales favorables respaldados por los conceptos de la Autoridad Ambiental</w:t>
      </w:r>
      <w:r w:rsidR="00FA4389">
        <w:rPr>
          <w:rFonts w:ascii="Arial" w:hAnsi="Arial" w:cs="Arial"/>
        </w:rPr>
        <w:t xml:space="preserve"> y</w:t>
      </w:r>
      <w:r w:rsidRPr="00614DB0">
        <w:rPr>
          <w:rFonts w:ascii="Arial" w:hAnsi="Arial" w:cs="Arial"/>
        </w:rPr>
        <w:t xml:space="preserve"> </w:t>
      </w:r>
      <w:r w:rsidRPr="00915023">
        <w:rPr>
          <w:rFonts w:ascii="Arial" w:hAnsi="Arial" w:cs="Arial"/>
          <w:b/>
          <w:bCs/>
        </w:rPr>
        <w:t>(</w:t>
      </w:r>
      <w:proofErr w:type="spellStart"/>
      <w:r w:rsidRPr="00915023">
        <w:rPr>
          <w:rFonts w:ascii="Arial" w:hAnsi="Arial" w:cs="Arial"/>
          <w:b/>
          <w:bCs/>
        </w:rPr>
        <w:t>ii</w:t>
      </w:r>
      <w:proofErr w:type="spellEnd"/>
      <w:r w:rsidRPr="00915023">
        <w:rPr>
          <w:rFonts w:ascii="Arial" w:hAnsi="Arial" w:cs="Arial"/>
          <w:b/>
          <w:bCs/>
        </w:rPr>
        <w:t>)</w:t>
      </w:r>
      <w:r w:rsidRPr="00614DB0">
        <w:rPr>
          <w:rFonts w:ascii="Arial" w:hAnsi="Arial" w:cs="Arial"/>
        </w:rPr>
        <w:t xml:space="preserve"> el manejo, </w:t>
      </w:r>
      <w:r w:rsidRPr="00614DB0">
        <w:rPr>
          <w:rFonts w:ascii="Arial" w:hAnsi="Arial" w:cs="Arial"/>
        </w:rPr>
        <w:lastRenderedPageBreak/>
        <w:t>transporte y disposición de tanques de almacenamiento como residuos peligrosos, valorado bajo un escenario crítico en el que la totalidad de los diez (10) tanques deba gestionarse conforme a los requisitos establecidos en el Decreto 1076 de 2015 y los lineamientos de la autoridad competente</w:t>
      </w:r>
      <w:r w:rsidR="00B93299">
        <w:rPr>
          <w:rFonts w:ascii="Arial" w:hAnsi="Arial" w:cs="Arial"/>
        </w:rPr>
        <w:t>.</w:t>
      </w:r>
    </w:p>
    <w:p w14:paraId="3EABC8BF" w14:textId="77777777" w:rsidR="008A6004" w:rsidRDefault="008A6004" w:rsidP="00926CB4">
      <w:pPr>
        <w:spacing w:after="0"/>
        <w:jc w:val="both"/>
        <w:rPr>
          <w:rFonts w:ascii="Arial" w:hAnsi="Arial" w:cs="Arial"/>
        </w:rPr>
      </w:pPr>
    </w:p>
    <w:p w14:paraId="2143E97E" w14:textId="6C621A64" w:rsidR="000F42C2" w:rsidRDefault="000F42C2" w:rsidP="000F42C2">
      <w:pPr>
        <w:spacing w:after="0"/>
        <w:jc w:val="both"/>
        <w:rPr>
          <w:rFonts w:ascii="Arial" w:hAnsi="Arial" w:cs="Arial"/>
        </w:rPr>
      </w:pPr>
      <w:r w:rsidRPr="00947CAC">
        <w:rPr>
          <w:rFonts w:ascii="Arial" w:hAnsi="Arial" w:cs="Arial"/>
        </w:rPr>
        <w:t xml:space="preserve">Su estimación se efectuó con base en escenarios técnicos definidos conforme a la información disponible y a las condiciones de incertidumbre inherentes a este tipo de intervenciones, utilizando cantidades proyectadas y precios unitarios derivados del estudio de mercado complementario realizado para tal fin. La ejecución de estos recursos estará estrictamente condicionada a la materialización efectiva de las actividades </w:t>
      </w:r>
      <w:r w:rsidR="001216EB">
        <w:rPr>
          <w:rFonts w:ascii="Arial" w:hAnsi="Arial" w:cs="Arial"/>
        </w:rPr>
        <w:t>que se identifiquen durante la ejecución contractual</w:t>
      </w:r>
      <w:r w:rsidRPr="00947CAC">
        <w:rPr>
          <w:rFonts w:ascii="Arial" w:hAnsi="Arial" w:cs="Arial"/>
        </w:rPr>
        <w:t>, a la autorización previa de la Interventoría, y a la acreditación de su ejecución mediante los soportes técnicos, administrativos y documentales correspondientes</w:t>
      </w:r>
      <w:r>
        <w:rPr>
          <w:rFonts w:ascii="Arial" w:hAnsi="Arial" w:cs="Arial"/>
        </w:rPr>
        <w:t>.</w:t>
      </w:r>
      <w:r w:rsidRPr="0041342E" w:rsidDel="00947CAC">
        <w:rPr>
          <w:rFonts w:ascii="Arial" w:hAnsi="Arial" w:cs="Arial"/>
        </w:rPr>
        <w:t xml:space="preserve"> </w:t>
      </w:r>
    </w:p>
    <w:p w14:paraId="484F8BFA" w14:textId="77777777" w:rsidR="000F42C2" w:rsidRDefault="000F42C2" w:rsidP="00926CB4">
      <w:pPr>
        <w:spacing w:after="0"/>
        <w:jc w:val="both"/>
        <w:rPr>
          <w:rFonts w:ascii="Arial" w:hAnsi="Arial" w:cs="Arial"/>
        </w:rPr>
      </w:pPr>
    </w:p>
    <w:p w14:paraId="235DF471" w14:textId="4ED101ED" w:rsidR="00926CB4" w:rsidRDefault="00926CB4" w:rsidP="00926CB4">
      <w:pPr>
        <w:spacing w:after="0"/>
        <w:jc w:val="both"/>
        <w:rPr>
          <w:rFonts w:ascii="Arial" w:hAnsi="Arial" w:cs="Arial"/>
        </w:rPr>
      </w:pPr>
      <w:r w:rsidRPr="00E80498">
        <w:rPr>
          <w:rFonts w:ascii="Arial" w:hAnsi="Arial" w:cs="Arial"/>
        </w:rPr>
        <w:t xml:space="preserve">Para determinar el volumen de suelo potencialmente afectado, se estimó el área en planta de cada tanque a partir de su volumen nominal (10.000 galones, equivalentes a 37,85 m³) y el diámetro reportado por cada EDS, asumiendo una geometría cilíndrica. Dicha área, multiplicada por la cantidad de tanques y por la altura de afectación </w:t>
      </w:r>
      <w:r w:rsidR="00C97CA4">
        <w:rPr>
          <w:rFonts w:ascii="Arial" w:hAnsi="Arial" w:cs="Arial"/>
        </w:rPr>
        <w:t xml:space="preserve">estimada </w:t>
      </w:r>
      <w:r w:rsidRPr="00E80498">
        <w:rPr>
          <w:rFonts w:ascii="Arial" w:hAnsi="Arial" w:cs="Arial"/>
        </w:rPr>
        <w:t>de dos (2) metros adoptada en el escenario conservador, permite obtener el volumen afectado por estación, conforme se detalla a continuación</w:t>
      </w:r>
      <w:r>
        <w:rPr>
          <w:rFonts w:ascii="Arial" w:hAnsi="Arial" w:cs="Arial"/>
        </w:rPr>
        <w:t>:</w:t>
      </w:r>
    </w:p>
    <w:p w14:paraId="0D8544EB" w14:textId="77777777" w:rsidR="00926CB4" w:rsidRDefault="00926CB4" w:rsidP="00926CB4">
      <w:pPr>
        <w:spacing w:after="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1985"/>
        <w:gridCol w:w="1553"/>
        <w:gridCol w:w="1849"/>
        <w:gridCol w:w="1745"/>
      </w:tblGrid>
      <w:tr w:rsidR="00926CB4" w:rsidRPr="00A02474" w14:paraId="6C759F7D" w14:textId="77777777" w:rsidTr="00915023">
        <w:trPr>
          <w:trHeight w:val="655"/>
        </w:trPr>
        <w:tc>
          <w:tcPr>
            <w:tcW w:w="1696" w:type="dxa"/>
            <w:shd w:val="clear" w:color="auto" w:fill="D9D9D9" w:themeFill="background1" w:themeFillShade="D9"/>
            <w:vAlign w:val="center"/>
            <w:hideMark/>
          </w:tcPr>
          <w:p w14:paraId="4CB1AA63" w14:textId="77777777" w:rsidR="00926CB4" w:rsidRPr="00A02474" w:rsidRDefault="00926CB4">
            <w:pPr>
              <w:spacing w:after="0" w:line="240" w:lineRule="auto"/>
              <w:jc w:val="center"/>
              <w:rPr>
                <w:rFonts w:ascii="Arial" w:eastAsia="Times New Roman" w:hAnsi="Arial" w:cs="Arial"/>
                <w:b/>
                <w:bCs/>
                <w:color w:val="000000"/>
                <w:sz w:val="20"/>
                <w:szCs w:val="20"/>
                <w:u w:val="single"/>
                <w:lang w:eastAsia="es-CO"/>
              </w:rPr>
            </w:pPr>
            <w:r w:rsidRPr="00A02474">
              <w:rPr>
                <w:rFonts w:ascii="Arial" w:eastAsia="Times New Roman" w:hAnsi="Arial" w:cs="Arial"/>
                <w:b/>
                <w:bCs/>
                <w:color w:val="000000"/>
                <w:sz w:val="20"/>
                <w:szCs w:val="20"/>
                <w:u w:val="single"/>
                <w:lang w:eastAsia="es-CO"/>
              </w:rPr>
              <w:t>ESTACIÓN DE SERVICIO (EDS)</w:t>
            </w:r>
          </w:p>
        </w:tc>
        <w:tc>
          <w:tcPr>
            <w:tcW w:w="1985" w:type="dxa"/>
            <w:shd w:val="clear" w:color="auto" w:fill="D9D9D9" w:themeFill="background1" w:themeFillShade="D9"/>
            <w:noWrap/>
            <w:vAlign w:val="center"/>
            <w:hideMark/>
          </w:tcPr>
          <w:p w14:paraId="56E26896" w14:textId="77777777" w:rsidR="00926CB4" w:rsidRPr="00A02474" w:rsidRDefault="00926CB4">
            <w:pPr>
              <w:spacing w:after="0" w:line="240" w:lineRule="auto"/>
              <w:jc w:val="center"/>
              <w:rPr>
                <w:rFonts w:ascii="Arial" w:eastAsia="Times New Roman" w:hAnsi="Arial" w:cs="Arial"/>
                <w:b/>
                <w:bCs/>
                <w:color w:val="000000"/>
                <w:sz w:val="20"/>
                <w:szCs w:val="20"/>
                <w:u w:val="single"/>
                <w:lang w:eastAsia="es-CO"/>
              </w:rPr>
            </w:pPr>
            <w:r w:rsidRPr="00A02474">
              <w:rPr>
                <w:rFonts w:ascii="Arial" w:eastAsia="Times New Roman" w:hAnsi="Arial" w:cs="Arial"/>
                <w:b/>
                <w:bCs/>
                <w:color w:val="000000"/>
                <w:sz w:val="20"/>
                <w:szCs w:val="20"/>
                <w:u w:val="single"/>
                <w:lang w:eastAsia="es-CO"/>
              </w:rPr>
              <w:t>ÁREA DEL TANQUE (</w:t>
            </w:r>
            <w:r>
              <w:rPr>
                <w:rFonts w:ascii="Arial" w:eastAsia="Times New Roman" w:hAnsi="Arial" w:cs="Arial"/>
                <w:b/>
                <w:bCs/>
                <w:color w:val="000000"/>
                <w:sz w:val="20"/>
                <w:szCs w:val="20"/>
                <w:u w:val="single"/>
                <w:lang w:eastAsia="es-CO"/>
              </w:rPr>
              <w:t>m</w:t>
            </w:r>
            <w:r w:rsidRPr="00A02474">
              <w:rPr>
                <w:rFonts w:ascii="Arial" w:eastAsia="Times New Roman" w:hAnsi="Arial" w:cs="Arial"/>
                <w:b/>
                <w:bCs/>
                <w:color w:val="000000"/>
                <w:sz w:val="20"/>
                <w:szCs w:val="20"/>
                <w:vertAlign w:val="superscript"/>
                <w:lang w:eastAsia="es-CO"/>
              </w:rPr>
              <w:t>2</w:t>
            </w:r>
            <w:r w:rsidRPr="00A02474">
              <w:rPr>
                <w:rFonts w:ascii="Arial" w:eastAsia="Times New Roman" w:hAnsi="Arial" w:cs="Arial"/>
                <w:b/>
                <w:bCs/>
                <w:color w:val="000000"/>
                <w:sz w:val="20"/>
                <w:szCs w:val="20"/>
                <w:lang w:eastAsia="es-CO"/>
              </w:rPr>
              <w:t>)</w:t>
            </w:r>
          </w:p>
        </w:tc>
        <w:tc>
          <w:tcPr>
            <w:tcW w:w="1553" w:type="dxa"/>
            <w:shd w:val="clear" w:color="auto" w:fill="D9D9D9" w:themeFill="background1" w:themeFillShade="D9"/>
            <w:noWrap/>
            <w:vAlign w:val="center"/>
            <w:hideMark/>
          </w:tcPr>
          <w:p w14:paraId="46D32D6A" w14:textId="77777777" w:rsidR="00926CB4" w:rsidRPr="00A02474" w:rsidRDefault="00926CB4">
            <w:pPr>
              <w:spacing w:after="0" w:line="240" w:lineRule="auto"/>
              <w:jc w:val="center"/>
              <w:rPr>
                <w:rFonts w:ascii="Arial" w:eastAsia="Times New Roman" w:hAnsi="Arial" w:cs="Arial"/>
                <w:b/>
                <w:bCs/>
                <w:color w:val="000000"/>
                <w:sz w:val="20"/>
                <w:szCs w:val="20"/>
                <w:u w:val="single"/>
                <w:lang w:eastAsia="es-CO"/>
              </w:rPr>
            </w:pPr>
            <w:r w:rsidRPr="00A02474">
              <w:rPr>
                <w:rFonts w:ascii="Arial" w:eastAsia="Times New Roman" w:hAnsi="Arial" w:cs="Arial"/>
                <w:b/>
                <w:bCs/>
                <w:color w:val="000000"/>
                <w:sz w:val="20"/>
                <w:szCs w:val="20"/>
                <w:u w:val="single"/>
                <w:lang w:eastAsia="es-CO"/>
              </w:rPr>
              <w:t>CANTIDAD DE TANQUES</w:t>
            </w:r>
          </w:p>
        </w:tc>
        <w:tc>
          <w:tcPr>
            <w:tcW w:w="1849" w:type="dxa"/>
            <w:shd w:val="clear" w:color="auto" w:fill="D9D9D9" w:themeFill="background1" w:themeFillShade="D9"/>
            <w:noWrap/>
            <w:vAlign w:val="center"/>
            <w:hideMark/>
          </w:tcPr>
          <w:p w14:paraId="2E821D11" w14:textId="77777777" w:rsidR="00926CB4" w:rsidRPr="00A02474" w:rsidRDefault="00926CB4">
            <w:pPr>
              <w:spacing w:after="0" w:line="240" w:lineRule="auto"/>
              <w:jc w:val="center"/>
              <w:rPr>
                <w:rFonts w:ascii="Arial" w:eastAsia="Times New Roman" w:hAnsi="Arial" w:cs="Arial"/>
                <w:b/>
                <w:bCs/>
                <w:color w:val="000000"/>
                <w:sz w:val="20"/>
                <w:szCs w:val="20"/>
                <w:u w:val="single"/>
                <w:lang w:eastAsia="es-CO"/>
              </w:rPr>
            </w:pPr>
            <w:r w:rsidRPr="00A02474">
              <w:rPr>
                <w:rFonts w:ascii="Arial" w:eastAsia="Times New Roman" w:hAnsi="Arial" w:cs="Arial"/>
                <w:b/>
                <w:bCs/>
                <w:color w:val="000000"/>
                <w:sz w:val="20"/>
                <w:szCs w:val="20"/>
                <w:u w:val="single"/>
                <w:lang w:eastAsia="es-CO"/>
              </w:rPr>
              <w:t>ALTURA DE AFECTACIÓN (</w:t>
            </w:r>
            <w:r>
              <w:rPr>
                <w:rFonts w:ascii="Arial" w:eastAsia="Times New Roman" w:hAnsi="Arial" w:cs="Arial"/>
                <w:b/>
                <w:bCs/>
                <w:color w:val="000000"/>
                <w:sz w:val="20"/>
                <w:szCs w:val="20"/>
                <w:u w:val="single"/>
                <w:lang w:eastAsia="es-CO"/>
              </w:rPr>
              <w:t>m</w:t>
            </w:r>
            <w:r w:rsidRPr="00A02474">
              <w:rPr>
                <w:rFonts w:ascii="Arial" w:eastAsia="Times New Roman" w:hAnsi="Arial" w:cs="Arial"/>
                <w:b/>
                <w:bCs/>
                <w:color w:val="000000"/>
                <w:sz w:val="20"/>
                <w:szCs w:val="20"/>
                <w:u w:val="single"/>
                <w:lang w:eastAsia="es-CO"/>
              </w:rPr>
              <w:t>)</w:t>
            </w:r>
          </w:p>
        </w:tc>
        <w:tc>
          <w:tcPr>
            <w:tcW w:w="1745" w:type="dxa"/>
            <w:shd w:val="clear" w:color="auto" w:fill="D9D9D9" w:themeFill="background1" w:themeFillShade="D9"/>
            <w:vAlign w:val="center"/>
            <w:hideMark/>
          </w:tcPr>
          <w:p w14:paraId="50A1DBAF" w14:textId="77777777" w:rsidR="00926CB4" w:rsidRPr="00A02474" w:rsidRDefault="00926CB4">
            <w:pPr>
              <w:spacing w:after="0" w:line="240" w:lineRule="auto"/>
              <w:jc w:val="center"/>
              <w:rPr>
                <w:rFonts w:ascii="Arial" w:eastAsia="Times New Roman" w:hAnsi="Arial" w:cs="Arial"/>
                <w:b/>
                <w:bCs/>
                <w:color w:val="000000"/>
                <w:sz w:val="20"/>
                <w:szCs w:val="20"/>
                <w:u w:val="single"/>
                <w:lang w:eastAsia="es-CO"/>
              </w:rPr>
            </w:pPr>
            <w:r w:rsidRPr="00A02474">
              <w:rPr>
                <w:rFonts w:ascii="Arial" w:eastAsia="Times New Roman" w:hAnsi="Arial" w:cs="Arial"/>
                <w:b/>
                <w:bCs/>
                <w:color w:val="000000"/>
                <w:sz w:val="20"/>
                <w:szCs w:val="20"/>
                <w:u w:val="single"/>
                <w:lang w:eastAsia="es-CO"/>
              </w:rPr>
              <w:t>VOLUMEN AFECTADO (</w:t>
            </w:r>
            <w:r>
              <w:rPr>
                <w:rFonts w:ascii="Arial" w:eastAsia="Times New Roman" w:hAnsi="Arial" w:cs="Arial"/>
                <w:b/>
                <w:bCs/>
                <w:color w:val="000000"/>
                <w:sz w:val="20"/>
                <w:szCs w:val="20"/>
                <w:u w:val="single"/>
                <w:lang w:eastAsia="es-CO"/>
              </w:rPr>
              <w:t>m</w:t>
            </w:r>
            <w:r w:rsidRPr="00A02474">
              <w:rPr>
                <w:rFonts w:ascii="Arial" w:eastAsia="Times New Roman" w:hAnsi="Arial" w:cs="Arial"/>
                <w:b/>
                <w:bCs/>
                <w:color w:val="000000"/>
                <w:sz w:val="20"/>
                <w:szCs w:val="20"/>
                <w:vertAlign w:val="superscript"/>
                <w:lang w:eastAsia="es-CO"/>
              </w:rPr>
              <w:t>3</w:t>
            </w:r>
            <w:r w:rsidRPr="00A02474">
              <w:rPr>
                <w:rFonts w:ascii="Arial" w:eastAsia="Times New Roman" w:hAnsi="Arial" w:cs="Arial"/>
                <w:b/>
                <w:bCs/>
                <w:color w:val="000000"/>
                <w:sz w:val="20"/>
                <w:szCs w:val="20"/>
                <w:lang w:eastAsia="es-CO"/>
              </w:rPr>
              <w:t>)</w:t>
            </w:r>
          </w:p>
        </w:tc>
      </w:tr>
      <w:tr w:rsidR="00926CB4" w:rsidRPr="00551794" w14:paraId="7A1BE624" w14:textId="77777777">
        <w:trPr>
          <w:trHeight w:val="330"/>
        </w:trPr>
        <w:tc>
          <w:tcPr>
            <w:tcW w:w="1696" w:type="dxa"/>
            <w:shd w:val="clear" w:color="000000" w:fill="FFFFFF"/>
            <w:noWrap/>
            <w:vAlign w:val="center"/>
            <w:hideMark/>
          </w:tcPr>
          <w:p w14:paraId="77747338"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Calle 80</w:t>
            </w:r>
          </w:p>
        </w:tc>
        <w:tc>
          <w:tcPr>
            <w:tcW w:w="1985" w:type="dxa"/>
            <w:shd w:val="clear" w:color="000000" w:fill="FFFFFF"/>
            <w:noWrap/>
            <w:vAlign w:val="center"/>
            <w:hideMark/>
          </w:tcPr>
          <w:p w14:paraId="49753270"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18.98</w:t>
            </w:r>
          </w:p>
        </w:tc>
        <w:tc>
          <w:tcPr>
            <w:tcW w:w="1553" w:type="dxa"/>
            <w:shd w:val="clear" w:color="000000" w:fill="FFFFFF"/>
            <w:noWrap/>
            <w:vAlign w:val="center"/>
            <w:hideMark/>
          </w:tcPr>
          <w:p w14:paraId="301CDFB6"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3</w:t>
            </w:r>
          </w:p>
        </w:tc>
        <w:tc>
          <w:tcPr>
            <w:tcW w:w="1849" w:type="dxa"/>
            <w:shd w:val="clear" w:color="000000" w:fill="FFFFFF"/>
            <w:noWrap/>
            <w:vAlign w:val="center"/>
            <w:hideMark/>
          </w:tcPr>
          <w:p w14:paraId="5EBF079B"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2.00</w:t>
            </w:r>
          </w:p>
        </w:tc>
        <w:tc>
          <w:tcPr>
            <w:tcW w:w="1745" w:type="dxa"/>
            <w:shd w:val="clear" w:color="000000" w:fill="FFFFFF"/>
            <w:noWrap/>
            <w:vAlign w:val="center"/>
            <w:hideMark/>
          </w:tcPr>
          <w:p w14:paraId="6193B1E1"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113.88</w:t>
            </w:r>
          </w:p>
        </w:tc>
      </w:tr>
      <w:tr w:rsidR="00926CB4" w:rsidRPr="00551794" w14:paraId="6618ABAA" w14:textId="77777777">
        <w:trPr>
          <w:trHeight w:val="315"/>
        </w:trPr>
        <w:tc>
          <w:tcPr>
            <w:tcW w:w="1696" w:type="dxa"/>
            <w:shd w:val="clear" w:color="000000" w:fill="FFFFFF"/>
            <w:noWrap/>
            <w:vAlign w:val="center"/>
            <w:hideMark/>
          </w:tcPr>
          <w:p w14:paraId="1B58F861"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Suba</w:t>
            </w:r>
          </w:p>
        </w:tc>
        <w:tc>
          <w:tcPr>
            <w:tcW w:w="1985" w:type="dxa"/>
            <w:shd w:val="clear" w:color="000000" w:fill="FFFFFF"/>
            <w:noWrap/>
            <w:vAlign w:val="center"/>
            <w:hideMark/>
          </w:tcPr>
          <w:p w14:paraId="3F3D5A1C"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20.94</w:t>
            </w:r>
          </w:p>
        </w:tc>
        <w:tc>
          <w:tcPr>
            <w:tcW w:w="1553" w:type="dxa"/>
            <w:shd w:val="clear" w:color="000000" w:fill="FFFFFF"/>
            <w:noWrap/>
            <w:vAlign w:val="center"/>
            <w:hideMark/>
          </w:tcPr>
          <w:p w14:paraId="2FB6B8D8"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3</w:t>
            </w:r>
          </w:p>
        </w:tc>
        <w:tc>
          <w:tcPr>
            <w:tcW w:w="1849" w:type="dxa"/>
            <w:shd w:val="clear" w:color="000000" w:fill="FFFFFF"/>
            <w:noWrap/>
            <w:vAlign w:val="center"/>
            <w:hideMark/>
          </w:tcPr>
          <w:p w14:paraId="0FDDF3B0"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2.00</w:t>
            </w:r>
          </w:p>
        </w:tc>
        <w:tc>
          <w:tcPr>
            <w:tcW w:w="1745" w:type="dxa"/>
            <w:shd w:val="clear" w:color="000000" w:fill="FFFFFF"/>
            <w:noWrap/>
            <w:vAlign w:val="center"/>
            <w:hideMark/>
          </w:tcPr>
          <w:p w14:paraId="50DA69C6"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125.64</w:t>
            </w:r>
          </w:p>
        </w:tc>
      </w:tr>
      <w:tr w:rsidR="00926CB4" w:rsidRPr="00551794" w14:paraId="284DC757" w14:textId="77777777">
        <w:trPr>
          <w:trHeight w:val="330"/>
        </w:trPr>
        <w:tc>
          <w:tcPr>
            <w:tcW w:w="1696" w:type="dxa"/>
            <w:shd w:val="clear" w:color="000000" w:fill="FFFFFF"/>
            <w:noWrap/>
            <w:vAlign w:val="center"/>
            <w:hideMark/>
          </w:tcPr>
          <w:p w14:paraId="5B7E97AF"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Américas</w:t>
            </w:r>
          </w:p>
        </w:tc>
        <w:tc>
          <w:tcPr>
            <w:tcW w:w="1985" w:type="dxa"/>
            <w:shd w:val="clear" w:color="000000" w:fill="FFFFFF"/>
            <w:noWrap/>
            <w:vAlign w:val="center"/>
            <w:hideMark/>
          </w:tcPr>
          <w:p w14:paraId="228E093D"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19.75</w:t>
            </w:r>
          </w:p>
        </w:tc>
        <w:tc>
          <w:tcPr>
            <w:tcW w:w="1553" w:type="dxa"/>
            <w:shd w:val="clear" w:color="000000" w:fill="FFFFFF"/>
            <w:noWrap/>
            <w:vAlign w:val="center"/>
            <w:hideMark/>
          </w:tcPr>
          <w:p w14:paraId="3E053BE2"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4</w:t>
            </w:r>
          </w:p>
        </w:tc>
        <w:tc>
          <w:tcPr>
            <w:tcW w:w="1849" w:type="dxa"/>
            <w:shd w:val="clear" w:color="000000" w:fill="FFFFFF"/>
            <w:noWrap/>
            <w:vAlign w:val="center"/>
            <w:hideMark/>
          </w:tcPr>
          <w:p w14:paraId="69D714F5"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2.00</w:t>
            </w:r>
          </w:p>
        </w:tc>
        <w:tc>
          <w:tcPr>
            <w:tcW w:w="1745" w:type="dxa"/>
            <w:shd w:val="clear" w:color="000000" w:fill="FFFFFF"/>
            <w:noWrap/>
            <w:vAlign w:val="center"/>
            <w:hideMark/>
          </w:tcPr>
          <w:p w14:paraId="7B4BDC42" w14:textId="77777777" w:rsidR="00926CB4" w:rsidRPr="00551794" w:rsidRDefault="00926CB4">
            <w:pPr>
              <w:spacing w:after="0" w:line="240" w:lineRule="auto"/>
              <w:jc w:val="center"/>
              <w:rPr>
                <w:rFonts w:ascii="Arial" w:eastAsia="Times New Roman" w:hAnsi="Arial" w:cs="Arial"/>
                <w:color w:val="000000"/>
                <w:sz w:val="20"/>
                <w:szCs w:val="20"/>
                <w:lang w:eastAsia="es-CO"/>
              </w:rPr>
            </w:pPr>
            <w:r w:rsidRPr="00551794">
              <w:rPr>
                <w:rFonts w:ascii="Arial" w:eastAsia="Times New Roman" w:hAnsi="Arial" w:cs="Arial"/>
                <w:color w:val="000000"/>
                <w:sz w:val="20"/>
                <w:szCs w:val="20"/>
                <w:lang w:eastAsia="es-CO"/>
              </w:rPr>
              <w:t>158.00</w:t>
            </w:r>
          </w:p>
        </w:tc>
      </w:tr>
      <w:tr w:rsidR="00926CB4" w:rsidRPr="00551794" w14:paraId="3886D0EA" w14:textId="77777777">
        <w:trPr>
          <w:trHeight w:val="330"/>
        </w:trPr>
        <w:tc>
          <w:tcPr>
            <w:tcW w:w="1696" w:type="dxa"/>
            <w:shd w:val="clear" w:color="000000" w:fill="FFFFFF"/>
            <w:noWrap/>
            <w:vAlign w:val="center"/>
          </w:tcPr>
          <w:p w14:paraId="4AE515B8" w14:textId="77777777" w:rsidR="00926CB4" w:rsidRPr="00370A2E" w:rsidRDefault="00926CB4">
            <w:pPr>
              <w:spacing w:after="0" w:line="240" w:lineRule="auto"/>
              <w:jc w:val="center"/>
              <w:rPr>
                <w:rFonts w:ascii="Arial" w:eastAsia="Times New Roman" w:hAnsi="Arial" w:cs="Arial"/>
                <w:b/>
                <w:bCs/>
                <w:color w:val="000000"/>
                <w:sz w:val="20"/>
                <w:szCs w:val="20"/>
                <w:lang w:eastAsia="es-CO"/>
              </w:rPr>
            </w:pPr>
            <w:r w:rsidRPr="00370A2E">
              <w:rPr>
                <w:rFonts w:ascii="Arial" w:eastAsia="Times New Roman" w:hAnsi="Arial" w:cs="Arial"/>
                <w:b/>
                <w:bCs/>
                <w:color w:val="000000"/>
                <w:sz w:val="20"/>
                <w:szCs w:val="20"/>
                <w:lang w:eastAsia="es-CO"/>
              </w:rPr>
              <w:t>TOTAL</w:t>
            </w:r>
          </w:p>
        </w:tc>
        <w:tc>
          <w:tcPr>
            <w:tcW w:w="5387" w:type="dxa"/>
            <w:gridSpan w:val="3"/>
            <w:shd w:val="clear" w:color="000000" w:fill="FFFFFF"/>
            <w:noWrap/>
            <w:vAlign w:val="center"/>
          </w:tcPr>
          <w:p w14:paraId="517F07C3" w14:textId="77777777" w:rsidR="00926CB4" w:rsidRPr="00551794" w:rsidRDefault="00926CB4">
            <w:pPr>
              <w:spacing w:after="0" w:line="240" w:lineRule="auto"/>
              <w:jc w:val="center"/>
              <w:rPr>
                <w:rFonts w:ascii="Arial" w:eastAsia="Times New Roman" w:hAnsi="Arial" w:cs="Arial"/>
                <w:color w:val="000000"/>
                <w:sz w:val="20"/>
                <w:szCs w:val="20"/>
                <w:lang w:eastAsia="es-CO"/>
              </w:rPr>
            </w:pPr>
          </w:p>
        </w:tc>
        <w:tc>
          <w:tcPr>
            <w:tcW w:w="1745" w:type="dxa"/>
            <w:shd w:val="clear" w:color="000000" w:fill="FFFFFF"/>
            <w:noWrap/>
            <w:vAlign w:val="center"/>
          </w:tcPr>
          <w:p w14:paraId="1159AE77" w14:textId="77777777" w:rsidR="00926CB4" w:rsidRPr="00286D44" w:rsidRDefault="00926CB4">
            <w:pPr>
              <w:spacing w:after="0" w:line="240" w:lineRule="auto"/>
              <w:jc w:val="center"/>
              <w:rPr>
                <w:rFonts w:ascii="Arial" w:eastAsia="Times New Roman" w:hAnsi="Arial" w:cs="Arial"/>
                <w:b/>
                <w:bCs/>
                <w:color w:val="000000"/>
                <w:sz w:val="20"/>
                <w:szCs w:val="20"/>
                <w:lang w:eastAsia="es-CO"/>
              </w:rPr>
            </w:pPr>
            <w:r w:rsidRPr="00286D44">
              <w:rPr>
                <w:rFonts w:ascii="Arial" w:eastAsia="Times New Roman" w:hAnsi="Arial" w:cs="Arial"/>
                <w:b/>
                <w:bCs/>
                <w:color w:val="000000"/>
                <w:sz w:val="20"/>
                <w:szCs w:val="20"/>
                <w:lang w:eastAsia="es-CO"/>
              </w:rPr>
              <w:t>397.52</w:t>
            </w:r>
          </w:p>
        </w:tc>
      </w:tr>
    </w:tbl>
    <w:p w14:paraId="27097800" w14:textId="77777777" w:rsidR="00926CB4" w:rsidRDefault="00926CB4" w:rsidP="00926CB4">
      <w:pPr>
        <w:spacing w:after="0"/>
        <w:jc w:val="both"/>
        <w:rPr>
          <w:rFonts w:ascii="Arial" w:hAnsi="Arial" w:cs="Arial"/>
        </w:rPr>
      </w:pPr>
    </w:p>
    <w:p w14:paraId="314D6D6B" w14:textId="6E93B8C1" w:rsidR="00926CB4" w:rsidRDefault="00021CF1" w:rsidP="00926CB4">
      <w:pPr>
        <w:spacing w:after="0"/>
        <w:jc w:val="both"/>
        <w:rPr>
          <w:rFonts w:ascii="Arial" w:hAnsi="Arial" w:cs="Arial"/>
        </w:rPr>
      </w:pPr>
      <w:r w:rsidRPr="00021CF1">
        <w:rPr>
          <w:rFonts w:ascii="Arial" w:hAnsi="Arial" w:cs="Arial"/>
        </w:rPr>
        <w:t>Para la determinación del costo de las actividades constitutivas de los numerales (i) y (</w:t>
      </w:r>
      <w:proofErr w:type="spellStart"/>
      <w:r w:rsidRPr="00021CF1">
        <w:rPr>
          <w:rFonts w:ascii="Arial" w:hAnsi="Arial" w:cs="Arial"/>
        </w:rPr>
        <w:t>ii</w:t>
      </w:r>
      <w:proofErr w:type="spellEnd"/>
      <w:r w:rsidRPr="00021CF1">
        <w:rPr>
          <w:rFonts w:ascii="Arial" w:hAnsi="Arial" w:cs="Arial"/>
        </w:rPr>
        <w:t xml:space="preserve">) de la bolsa </w:t>
      </w:r>
      <w:r w:rsidR="00D60777">
        <w:rPr>
          <w:rFonts w:ascii="Arial" w:hAnsi="Arial" w:cs="Arial"/>
        </w:rPr>
        <w:t>para actividades identificadas durante la ejecución contractual</w:t>
      </w:r>
      <w:r w:rsidRPr="00021CF1">
        <w:rPr>
          <w:rFonts w:ascii="Arial" w:hAnsi="Arial" w:cs="Arial"/>
        </w:rPr>
        <w:t xml:space="preserve">, se solicitó a los proveedores consultados complementar el alcance de las cotizaciones inicialmente presentadas, con el fin de confirmar los valores unitarios aplicables a las siguientes actividades potenciales: </w:t>
      </w:r>
      <w:r w:rsidRPr="00915023">
        <w:rPr>
          <w:rFonts w:ascii="Arial" w:hAnsi="Arial" w:cs="Arial"/>
          <w:b/>
          <w:bCs/>
        </w:rPr>
        <w:t>(1)</w:t>
      </w:r>
      <w:r w:rsidRPr="00021CF1">
        <w:rPr>
          <w:rFonts w:ascii="Arial" w:hAnsi="Arial" w:cs="Arial"/>
        </w:rPr>
        <w:t xml:space="preserve"> </w:t>
      </w:r>
      <w:r w:rsidRPr="00915023">
        <w:rPr>
          <w:rFonts w:ascii="Arial" w:hAnsi="Arial" w:cs="Arial"/>
          <w:i/>
          <w:iCs/>
        </w:rPr>
        <w:t>cargue, transporte y disposición final de tanques subterráneos de almacenamiento de combustible que, de acuerdo con su condición y las exigencias de la autoridad competente, deban ser gestionados como residuos peligrosos, en instalaciones debidamente autorizadas, incluyendo la entrega de los manifiestos de transporte, certificados de aprovechamiento y/o disposición final y demás soportes exigidos por el marco normativo ambiental vigente;</w:t>
      </w:r>
      <w:r w:rsidRPr="00021CF1">
        <w:rPr>
          <w:rFonts w:ascii="Arial" w:hAnsi="Arial" w:cs="Arial"/>
        </w:rPr>
        <w:t xml:space="preserve"> y </w:t>
      </w:r>
      <w:r w:rsidRPr="00915023">
        <w:rPr>
          <w:rFonts w:ascii="Arial" w:hAnsi="Arial" w:cs="Arial"/>
          <w:b/>
          <w:bCs/>
        </w:rPr>
        <w:t>(2)</w:t>
      </w:r>
      <w:r w:rsidRPr="00021CF1">
        <w:rPr>
          <w:rFonts w:ascii="Arial" w:hAnsi="Arial" w:cs="Arial"/>
        </w:rPr>
        <w:t xml:space="preserve"> </w:t>
      </w:r>
      <w:r w:rsidRPr="00915023">
        <w:rPr>
          <w:rFonts w:ascii="Arial" w:hAnsi="Arial" w:cs="Arial"/>
          <w:i/>
          <w:iCs/>
        </w:rPr>
        <w:t xml:space="preserve">extracción, cargue, transporte y disposición final de suelo impactado en instalaciones autorizadas por la autoridad ambiental competente, incluyendo la trazabilidad documental mediante manifiestos de transporte, certificados de </w:t>
      </w:r>
      <w:r w:rsidRPr="00915023">
        <w:rPr>
          <w:rFonts w:ascii="Arial" w:hAnsi="Arial" w:cs="Arial"/>
          <w:i/>
          <w:iCs/>
        </w:rPr>
        <w:lastRenderedPageBreak/>
        <w:t>tratamiento y/o disposición final y demás soportes requeridos por la normativa ambiental aplicable.</w:t>
      </w:r>
    </w:p>
    <w:p w14:paraId="026B7E69" w14:textId="77777777" w:rsidR="00926CB4" w:rsidRDefault="00926CB4" w:rsidP="00926CB4">
      <w:pPr>
        <w:spacing w:after="0"/>
        <w:jc w:val="both"/>
        <w:rPr>
          <w:rFonts w:ascii="Arial" w:hAnsi="Arial" w:cs="Arial"/>
        </w:rPr>
      </w:pPr>
    </w:p>
    <w:p w14:paraId="70DD4221" w14:textId="23E01E60" w:rsidR="00926CB4" w:rsidRDefault="00DE6DF3" w:rsidP="00926CB4">
      <w:pPr>
        <w:spacing w:after="0"/>
        <w:jc w:val="both"/>
        <w:rPr>
          <w:rFonts w:ascii="Arial" w:eastAsia="Times New Roman" w:hAnsi="Arial" w:cs="Arial"/>
          <w:lang w:val="es-419" w:eastAsia="es-CO"/>
        </w:rPr>
      </w:pPr>
      <w:r>
        <w:rPr>
          <w:rFonts w:ascii="Arial" w:hAnsi="Arial" w:cs="Arial"/>
          <w:lang w:eastAsia="es-CO"/>
        </w:rPr>
        <w:t>S</w:t>
      </w:r>
      <w:r w:rsidRPr="00C76457">
        <w:rPr>
          <w:rFonts w:ascii="Arial" w:hAnsi="Arial" w:cs="Arial"/>
          <w:lang w:eastAsia="es-CO"/>
        </w:rPr>
        <w:t xml:space="preserve">e obtuvo respuesta por parte </w:t>
      </w:r>
      <w:r>
        <w:rPr>
          <w:rFonts w:ascii="Arial" w:hAnsi="Arial" w:cs="Arial"/>
          <w:lang w:eastAsia="es-CO"/>
        </w:rPr>
        <w:t xml:space="preserve">de los </w:t>
      </w:r>
      <w:r w:rsidRPr="00C76457">
        <w:rPr>
          <w:rFonts w:ascii="Arial" w:hAnsi="Arial" w:cs="Arial"/>
          <w:lang w:eastAsia="es-CO"/>
        </w:rPr>
        <w:t xml:space="preserve">cinco (5) </w:t>
      </w:r>
      <w:r w:rsidR="000F3FD3">
        <w:rPr>
          <w:rFonts w:ascii="Arial" w:hAnsi="Arial" w:cs="Arial"/>
          <w:lang w:eastAsia="es-CO"/>
        </w:rPr>
        <w:t>proveedores</w:t>
      </w:r>
      <w:r w:rsidRPr="00C76457">
        <w:rPr>
          <w:rFonts w:ascii="Arial" w:hAnsi="Arial" w:cs="Arial"/>
          <w:lang w:eastAsia="es-CO"/>
        </w:rPr>
        <w:t>, l</w:t>
      </w:r>
      <w:r w:rsidR="000F3FD3">
        <w:rPr>
          <w:rFonts w:ascii="Arial" w:hAnsi="Arial" w:cs="Arial"/>
          <w:lang w:eastAsia="es-CO"/>
        </w:rPr>
        <w:t>o</w:t>
      </w:r>
      <w:r w:rsidRPr="00C76457">
        <w:rPr>
          <w:rFonts w:ascii="Arial" w:hAnsi="Arial" w:cs="Arial"/>
          <w:lang w:eastAsia="es-CO"/>
        </w:rPr>
        <w:t>s cuales remitieron las correspondientes ofertas económicas para los servicios</w:t>
      </w:r>
      <w:r w:rsidR="000F3FD3">
        <w:rPr>
          <w:rFonts w:ascii="Arial" w:hAnsi="Arial" w:cs="Arial"/>
          <w:lang w:eastAsia="es-CO"/>
        </w:rPr>
        <w:t xml:space="preserve"> </w:t>
      </w:r>
      <w:r w:rsidR="005E6584">
        <w:rPr>
          <w:rFonts w:ascii="Arial" w:hAnsi="Arial" w:cs="Arial"/>
          <w:lang w:eastAsia="es-CO"/>
        </w:rPr>
        <w:t>potenciales</w:t>
      </w:r>
      <w:r w:rsidRPr="00C76457">
        <w:rPr>
          <w:rFonts w:ascii="Arial" w:hAnsi="Arial" w:cs="Arial"/>
          <w:lang w:eastAsia="es-CO"/>
        </w:rPr>
        <w:t xml:space="preserve"> requeridos por la Entidad, en las condiciones, términos y requisitos establecidos en el documento de solicitud de cotización</w:t>
      </w:r>
      <w:r>
        <w:rPr>
          <w:rFonts w:ascii="Arial" w:hAnsi="Arial" w:cs="Arial"/>
          <w:lang w:eastAsia="es-CO"/>
        </w:rPr>
        <w:t xml:space="preserve"> </w:t>
      </w:r>
      <w:r w:rsidRPr="00C76457">
        <w:rPr>
          <w:rFonts w:ascii="Arial" w:hAnsi="Arial" w:cs="Arial"/>
          <w:lang w:eastAsia="es-CO"/>
        </w:rPr>
        <w:t>conocido por los proveedores</w:t>
      </w:r>
      <w:r w:rsidR="000F3FD3">
        <w:rPr>
          <w:rFonts w:ascii="Arial" w:hAnsi="Arial" w:cs="Arial"/>
          <w:lang w:eastAsia="es-CO"/>
        </w:rPr>
        <w:t xml:space="preserve">. </w:t>
      </w:r>
      <w:r w:rsidR="00926CB4" w:rsidRPr="00986489">
        <w:rPr>
          <w:rFonts w:ascii="Arial" w:hAnsi="Arial" w:cs="Arial"/>
        </w:rPr>
        <w:t xml:space="preserve">Dichas cotizaciones se procesaron mediante el cálculo del promedio acotado por desviación estándar, conforme a la misma metodología aplicada en el </w:t>
      </w:r>
      <w:r w:rsidR="008A1D3E">
        <w:rPr>
          <w:rFonts w:ascii="Arial" w:hAnsi="Arial" w:cs="Arial"/>
        </w:rPr>
        <w:t>análisis de costos inicial</w:t>
      </w:r>
      <w:r w:rsidR="00926CB4" w:rsidRPr="00986489">
        <w:rPr>
          <w:rFonts w:ascii="Arial" w:hAnsi="Arial" w:cs="Arial"/>
        </w:rPr>
        <w:t>.</w:t>
      </w:r>
    </w:p>
    <w:p w14:paraId="733EF0D6" w14:textId="77777777" w:rsidR="00926CB4" w:rsidRPr="00915023" w:rsidRDefault="00926CB4" w:rsidP="00926CB4">
      <w:pPr>
        <w:spacing w:after="0"/>
        <w:jc w:val="both"/>
        <w:rPr>
          <w:rFonts w:ascii="Arial" w:eastAsia="Times New Roman" w:hAnsi="Arial" w:cs="Arial"/>
          <w:lang w:eastAsia="es-CO"/>
        </w:rPr>
      </w:pPr>
    </w:p>
    <w:p w14:paraId="50AA3475" w14:textId="77777777" w:rsidR="00926CB4" w:rsidRPr="00915023" w:rsidRDefault="00926CB4" w:rsidP="00926CB4">
      <w:pPr>
        <w:spacing w:after="0"/>
        <w:jc w:val="both"/>
        <w:rPr>
          <w:rFonts w:ascii="Arial" w:eastAsia="Times New Roman" w:hAnsi="Arial" w:cs="Arial"/>
          <w:u w:val="single"/>
          <w:lang w:eastAsia="es-CO"/>
        </w:rPr>
      </w:pPr>
      <w:r w:rsidRPr="00915023">
        <w:rPr>
          <w:rFonts w:ascii="Arial" w:eastAsia="Times New Roman" w:hAnsi="Arial" w:cs="Arial"/>
          <w:u w:val="single"/>
          <w:lang w:eastAsia="es-CO"/>
        </w:rPr>
        <w:t xml:space="preserve">- </w:t>
      </w:r>
      <w:r w:rsidRPr="008152DA">
        <w:rPr>
          <w:rFonts w:ascii="Arial" w:eastAsia="Times New Roman" w:hAnsi="Arial" w:cs="Arial"/>
          <w:u w:val="single"/>
          <w:lang w:eastAsia="es-CO"/>
        </w:rPr>
        <w:t>Cargue, transporte y disposición final como residuo peligroso de un tanque subterráneo de almacenamiento de combustible, en sitio autorizado por la Autoridad Ambiental, incluyendo entrega de manifiestos de transporte y certificados de disposición y conforme al marco normativo ambiental aplicable</w:t>
      </w:r>
      <w:r>
        <w:rPr>
          <w:rFonts w:ascii="Arial" w:eastAsia="Times New Roman" w:hAnsi="Arial" w:cs="Arial"/>
          <w:u w:val="single"/>
          <w:lang w:eastAsia="es-CO"/>
        </w:rPr>
        <w:t>:</w:t>
      </w:r>
    </w:p>
    <w:p w14:paraId="2CAB49F1" w14:textId="77777777" w:rsidR="00926CB4" w:rsidRDefault="00926CB4" w:rsidP="00926CB4">
      <w:pPr>
        <w:spacing w:after="0"/>
        <w:jc w:val="both"/>
        <w:rPr>
          <w:rFonts w:ascii="Arial" w:hAnsi="Arial" w:cs="Arial"/>
        </w:rPr>
      </w:pPr>
    </w:p>
    <w:tbl>
      <w:tblPr>
        <w:tblW w:w="5000" w:type="pct"/>
        <w:tblCellMar>
          <w:top w:w="15" w:type="dxa"/>
          <w:left w:w="70" w:type="dxa"/>
          <w:bottom w:w="15" w:type="dxa"/>
          <w:right w:w="70" w:type="dxa"/>
        </w:tblCellMar>
        <w:tblLook w:val="04A0" w:firstRow="1" w:lastRow="0" w:firstColumn="1" w:lastColumn="0" w:noHBand="0" w:noVBand="1"/>
      </w:tblPr>
      <w:tblGrid>
        <w:gridCol w:w="4574"/>
        <w:gridCol w:w="2436"/>
        <w:gridCol w:w="1808"/>
      </w:tblGrid>
      <w:tr w:rsidR="00926CB4" w:rsidRPr="00D60197" w14:paraId="769E8640" w14:textId="77777777" w:rsidTr="00915023">
        <w:trPr>
          <w:trHeight w:val="330"/>
        </w:trPr>
        <w:tc>
          <w:tcPr>
            <w:tcW w:w="2594" w:type="pct"/>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4240696F"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EMPRESA</w:t>
            </w:r>
          </w:p>
        </w:tc>
        <w:tc>
          <w:tcPr>
            <w:tcW w:w="1381" w:type="pct"/>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14:paraId="3C199AB8" w14:textId="77777777" w:rsidR="00926CB4" w:rsidRPr="00500F74" w:rsidRDefault="00926CB4">
            <w:pPr>
              <w:spacing w:after="0" w:line="240" w:lineRule="auto"/>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VALOR TOTAL</w:t>
            </w:r>
          </w:p>
        </w:tc>
        <w:tc>
          <w:tcPr>
            <w:tcW w:w="1025" w:type="pct"/>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hideMark/>
          </w:tcPr>
          <w:p w14:paraId="3D51650D" w14:textId="77777777" w:rsidR="00926CB4" w:rsidRPr="00500F74" w:rsidRDefault="00926CB4">
            <w:pPr>
              <w:spacing w:after="0" w:line="240" w:lineRule="auto"/>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xml:space="preserve">OFERTAS </w:t>
            </w:r>
            <w:r>
              <w:rPr>
                <w:rFonts w:ascii="Arial" w:eastAsia="Times New Roman" w:hAnsi="Arial" w:cs="Arial"/>
                <w:b/>
                <w:bCs/>
                <w:sz w:val="20"/>
                <w:szCs w:val="20"/>
                <w:lang w:val="es-ES" w:eastAsia="es-CO"/>
              </w:rPr>
              <w:t>VÁLIDA</w:t>
            </w:r>
            <w:r w:rsidRPr="00500F74">
              <w:rPr>
                <w:rFonts w:ascii="Arial" w:eastAsia="Times New Roman" w:hAnsi="Arial" w:cs="Arial"/>
                <w:b/>
                <w:bCs/>
                <w:sz w:val="20"/>
                <w:szCs w:val="20"/>
                <w:lang w:val="es-ES" w:eastAsia="es-CO"/>
              </w:rPr>
              <w:t>S</w:t>
            </w:r>
          </w:p>
        </w:tc>
      </w:tr>
      <w:tr w:rsidR="00926CB4" w:rsidRPr="00D60197" w14:paraId="13AC2BFF" w14:textId="77777777">
        <w:trPr>
          <w:trHeight w:val="330"/>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3A913FFC"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AMBIPAR</w:t>
            </w:r>
          </w:p>
        </w:tc>
        <w:tc>
          <w:tcPr>
            <w:tcW w:w="1381" w:type="pct"/>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71506E67"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$ 4.647.500</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35A846AD"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D60197" w14:paraId="663C8B94"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4F20A49C"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2M Estudio SAS</w:t>
            </w:r>
          </w:p>
        </w:tc>
        <w:tc>
          <w:tcPr>
            <w:tcW w:w="1381" w:type="pct"/>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3257DFBF"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$ 3.946.000</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702F6B84"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D60197" w14:paraId="343096C4"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3BC3AADF"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HIDROGEOLOGIA COLOMBIANA SAS</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5C7EFB63"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$ 64.022.952</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0E7EDEA8"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NO VÁLIDA</w:t>
            </w:r>
          </w:p>
        </w:tc>
      </w:tr>
      <w:tr w:rsidR="00926CB4" w:rsidRPr="00D60197" w14:paraId="21A6FBE8"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4714BED6"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NOVAMBIENTTI SOLUCIONES AMBIENTALES S.A.S</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01E9E539"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$ 3.563.000</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050B6825"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D60197" w14:paraId="0BE147C6" w14:textId="77777777">
        <w:trPr>
          <w:trHeight w:val="330"/>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1E1AC10D"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INERCO CONSULTORÍA COLOMBIA LTDA</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036CC8C9"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$ 12.606.703</w:t>
            </w:r>
          </w:p>
        </w:tc>
        <w:tc>
          <w:tcPr>
            <w:tcW w:w="1025"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7F5F7390"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D60197" w14:paraId="00BA9BD7"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5C8B3ABD"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MEDIA ARI</w:t>
            </w:r>
            <w:r>
              <w:rPr>
                <w:rFonts w:ascii="Arial" w:eastAsia="Times New Roman" w:hAnsi="Arial" w:cs="Arial"/>
                <w:b/>
                <w:bCs/>
                <w:sz w:val="20"/>
                <w:szCs w:val="20"/>
                <w:lang w:val="es-ES" w:eastAsia="es-CO"/>
              </w:rPr>
              <w:t>T</w:t>
            </w:r>
            <w:r w:rsidRPr="00500F74">
              <w:rPr>
                <w:rFonts w:ascii="Arial" w:eastAsia="Times New Roman" w:hAnsi="Arial" w:cs="Arial"/>
                <w:b/>
                <w:bCs/>
                <w:sz w:val="20"/>
                <w:szCs w:val="20"/>
                <w:lang w:val="es-ES" w:eastAsia="es-CO"/>
              </w:rPr>
              <w:t>MÉTICA</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64594D42"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$ 17.757.231</w:t>
            </w:r>
          </w:p>
        </w:tc>
        <w:tc>
          <w:tcPr>
            <w:tcW w:w="1025" w:type="pct"/>
            <w:tcBorders>
              <w:top w:val="nil"/>
              <w:left w:val="nil"/>
              <w:bottom w:val="nil"/>
              <w:right w:val="nil"/>
            </w:tcBorders>
            <w:shd w:val="clear" w:color="000000" w:fill="FFFFFF"/>
            <w:vAlign w:val="center"/>
            <w:hideMark/>
          </w:tcPr>
          <w:p w14:paraId="50F5CCB2"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D60197" w14:paraId="2C833D53"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11F92C0C"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DESVIACIÓN ESTÁNDAR</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1F1B90E5"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$ 23.371.505</w:t>
            </w:r>
          </w:p>
        </w:tc>
        <w:tc>
          <w:tcPr>
            <w:tcW w:w="1025" w:type="pct"/>
            <w:tcBorders>
              <w:top w:val="nil"/>
              <w:left w:val="nil"/>
              <w:bottom w:val="nil"/>
              <w:right w:val="nil"/>
            </w:tcBorders>
            <w:shd w:val="clear" w:color="000000" w:fill="FFFFFF"/>
            <w:vAlign w:val="center"/>
            <w:hideMark/>
          </w:tcPr>
          <w:p w14:paraId="7F925992"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D60197" w14:paraId="2D0C31CA"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41D45E03"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LÍMITE SUPERIOR</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0B277029"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$ 41.128.736</w:t>
            </w:r>
          </w:p>
        </w:tc>
        <w:tc>
          <w:tcPr>
            <w:tcW w:w="1025" w:type="pct"/>
            <w:tcBorders>
              <w:top w:val="nil"/>
              <w:left w:val="nil"/>
              <w:bottom w:val="nil"/>
              <w:right w:val="nil"/>
            </w:tcBorders>
            <w:shd w:val="clear" w:color="000000" w:fill="FFFFFF"/>
            <w:vAlign w:val="center"/>
            <w:hideMark/>
          </w:tcPr>
          <w:p w14:paraId="03068AEC"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D60197" w14:paraId="2225D835"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47DED2C0"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LÍMITE INFERIOR</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4A47DB5A" w14:textId="2C2D050D"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xml:space="preserve">$ </w:t>
            </w:r>
            <w:r w:rsidR="00611BC7">
              <w:rPr>
                <w:rFonts w:ascii="Arial" w:eastAsia="Times New Roman" w:hAnsi="Arial" w:cs="Arial"/>
                <w:b/>
                <w:bCs/>
                <w:sz w:val="20"/>
                <w:szCs w:val="20"/>
                <w:lang w:val="es-ES" w:eastAsia="es-CO"/>
              </w:rPr>
              <w:t>0</w:t>
            </w:r>
          </w:p>
        </w:tc>
        <w:tc>
          <w:tcPr>
            <w:tcW w:w="1025" w:type="pct"/>
            <w:tcBorders>
              <w:top w:val="nil"/>
              <w:left w:val="nil"/>
              <w:bottom w:val="nil"/>
              <w:right w:val="nil"/>
            </w:tcBorders>
            <w:shd w:val="clear" w:color="000000" w:fill="FFFFFF"/>
            <w:vAlign w:val="center"/>
            <w:hideMark/>
          </w:tcPr>
          <w:p w14:paraId="41B6F019"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D60197" w14:paraId="30AFEAA5" w14:textId="77777777">
        <w:trPr>
          <w:trHeight w:val="330"/>
        </w:trPr>
        <w:tc>
          <w:tcPr>
            <w:tcW w:w="2594" w:type="pct"/>
            <w:tcBorders>
              <w:top w:val="single" w:sz="4" w:space="0" w:color="auto"/>
              <w:left w:val="single" w:sz="8" w:space="0" w:color="auto"/>
              <w:bottom w:val="single" w:sz="8" w:space="0" w:color="auto"/>
              <w:right w:val="single" w:sz="4" w:space="0" w:color="auto"/>
            </w:tcBorders>
            <w:vAlign w:val="center"/>
            <w:hideMark/>
          </w:tcPr>
          <w:p w14:paraId="20E43D07"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NUEVO PROMEDIO</w:t>
            </w:r>
          </w:p>
        </w:tc>
        <w:tc>
          <w:tcPr>
            <w:tcW w:w="1381" w:type="pct"/>
            <w:tcBorders>
              <w:top w:val="single" w:sz="4" w:space="0" w:color="auto"/>
              <w:left w:val="single" w:sz="4" w:space="0" w:color="auto"/>
              <w:bottom w:val="single" w:sz="8" w:space="0" w:color="auto"/>
              <w:right w:val="single" w:sz="8" w:space="0" w:color="auto"/>
            </w:tcBorders>
            <w:vAlign w:val="center"/>
            <w:hideMark/>
          </w:tcPr>
          <w:p w14:paraId="6F05EBDD"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$ 6.190.801</w:t>
            </w:r>
          </w:p>
        </w:tc>
        <w:tc>
          <w:tcPr>
            <w:tcW w:w="1025" w:type="pct"/>
            <w:tcBorders>
              <w:top w:val="nil"/>
              <w:left w:val="nil"/>
              <w:bottom w:val="nil"/>
              <w:right w:val="nil"/>
            </w:tcBorders>
            <w:shd w:val="clear" w:color="000000" w:fill="FFFFFF"/>
            <w:vAlign w:val="center"/>
            <w:hideMark/>
          </w:tcPr>
          <w:p w14:paraId="51367193" w14:textId="77777777" w:rsidR="00926CB4" w:rsidRPr="00500F74" w:rsidRDefault="00926CB4">
            <w:pPr>
              <w:spacing w:after="0"/>
              <w:jc w:val="center"/>
              <w:rPr>
                <w:rFonts w:ascii="Arial" w:eastAsia="Times New Roman" w:hAnsi="Arial" w:cs="Arial"/>
                <w:b/>
                <w:bCs/>
                <w:sz w:val="20"/>
                <w:szCs w:val="20"/>
                <w:lang w:val="es-ES" w:eastAsia="es-CO"/>
              </w:rPr>
            </w:pPr>
          </w:p>
        </w:tc>
      </w:tr>
    </w:tbl>
    <w:p w14:paraId="67C99867" w14:textId="77777777" w:rsidR="00926CB4" w:rsidRDefault="00926CB4" w:rsidP="00926CB4">
      <w:pPr>
        <w:spacing w:after="0"/>
        <w:jc w:val="both"/>
        <w:rPr>
          <w:kern w:val="2"/>
          <w:lang w:eastAsia="es-CO"/>
          <w14:ligatures w14:val="standardContextual"/>
        </w:rPr>
      </w:pPr>
    </w:p>
    <w:p w14:paraId="3BE886CD" w14:textId="77777777" w:rsidR="00926CB4" w:rsidRDefault="00926CB4" w:rsidP="00926CB4">
      <w:pPr>
        <w:spacing w:after="0"/>
        <w:rPr>
          <w:rFonts w:ascii="Arial" w:eastAsia="Times New Roman" w:hAnsi="Arial" w:cs="Arial"/>
          <w:u w:val="single"/>
          <w:lang w:eastAsia="es-CO"/>
        </w:rPr>
      </w:pPr>
      <w:r w:rsidRPr="00915023">
        <w:rPr>
          <w:rFonts w:ascii="Arial" w:eastAsia="Times New Roman" w:hAnsi="Arial" w:cs="Arial"/>
          <w:u w:val="single"/>
          <w:lang w:eastAsia="es-CO"/>
        </w:rPr>
        <w:t xml:space="preserve">- </w:t>
      </w:r>
      <w:r w:rsidRPr="00D60197">
        <w:rPr>
          <w:rFonts w:ascii="Arial" w:eastAsia="Times New Roman" w:hAnsi="Arial" w:cs="Arial"/>
          <w:u w:val="single"/>
          <w:lang w:eastAsia="es-CO"/>
        </w:rPr>
        <w:t>Extracción, cargue, transporte y disposición final de suelo impactado, en sitio autorizado por la Autoridad Ambiental, incluyendo entrega de manifiestos de transporte y certificados de disposición y conforme al marco normativo ambiental aplicable</w:t>
      </w:r>
      <w:r>
        <w:rPr>
          <w:rFonts w:ascii="Arial" w:eastAsia="Times New Roman" w:hAnsi="Arial" w:cs="Arial"/>
          <w:u w:val="single"/>
          <w:lang w:eastAsia="es-CO"/>
        </w:rPr>
        <w:t>:</w:t>
      </w:r>
    </w:p>
    <w:p w14:paraId="62884914" w14:textId="77777777" w:rsidR="00926CB4" w:rsidRDefault="00926CB4" w:rsidP="00926CB4">
      <w:pPr>
        <w:spacing w:after="0"/>
        <w:rPr>
          <w:rFonts w:ascii="Arial" w:eastAsia="Times New Roman" w:hAnsi="Arial" w:cs="Arial"/>
          <w:u w:val="single"/>
          <w:lang w:eastAsia="es-CO"/>
        </w:rPr>
      </w:pPr>
    </w:p>
    <w:tbl>
      <w:tblPr>
        <w:tblW w:w="5000" w:type="pct"/>
        <w:tblCellMar>
          <w:top w:w="15" w:type="dxa"/>
          <w:left w:w="70" w:type="dxa"/>
          <w:bottom w:w="15" w:type="dxa"/>
          <w:right w:w="70" w:type="dxa"/>
        </w:tblCellMar>
        <w:tblLook w:val="04A0" w:firstRow="1" w:lastRow="0" w:firstColumn="1" w:lastColumn="0" w:noHBand="0" w:noVBand="1"/>
      </w:tblPr>
      <w:tblGrid>
        <w:gridCol w:w="4574"/>
        <w:gridCol w:w="2436"/>
        <w:gridCol w:w="1808"/>
      </w:tblGrid>
      <w:tr w:rsidR="00926CB4" w:rsidRPr="00500F74" w14:paraId="1CF36E2F" w14:textId="77777777" w:rsidTr="00915023">
        <w:trPr>
          <w:trHeight w:val="630"/>
        </w:trPr>
        <w:tc>
          <w:tcPr>
            <w:tcW w:w="2594" w:type="pct"/>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21685F9B"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EMPRESA</w:t>
            </w:r>
          </w:p>
        </w:tc>
        <w:tc>
          <w:tcPr>
            <w:tcW w:w="1381" w:type="pct"/>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14:paraId="3C2880E5"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VALOR TOTAL</w:t>
            </w:r>
          </w:p>
        </w:tc>
        <w:tc>
          <w:tcPr>
            <w:tcW w:w="1025" w:type="pct"/>
            <w:tcBorders>
              <w:top w:val="single" w:sz="8" w:space="0" w:color="auto"/>
              <w:left w:val="single" w:sz="8" w:space="0" w:color="auto"/>
              <w:bottom w:val="single" w:sz="4" w:space="0" w:color="auto"/>
              <w:right w:val="single" w:sz="8" w:space="0" w:color="auto"/>
            </w:tcBorders>
            <w:shd w:val="clear" w:color="auto" w:fill="D9D9D9" w:themeFill="background1" w:themeFillShade="D9"/>
            <w:vAlign w:val="center"/>
            <w:hideMark/>
          </w:tcPr>
          <w:p w14:paraId="78E5A4E2"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xml:space="preserve">OFERTAS </w:t>
            </w:r>
            <w:r>
              <w:rPr>
                <w:rFonts w:ascii="Arial" w:eastAsia="Times New Roman" w:hAnsi="Arial" w:cs="Arial"/>
                <w:b/>
                <w:bCs/>
                <w:sz w:val="20"/>
                <w:szCs w:val="20"/>
                <w:lang w:val="es-ES" w:eastAsia="es-CO"/>
              </w:rPr>
              <w:t>VÁLIDA</w:t>
            </w:r>
            <w:r w:rsidRPr="00500F74">
              <w:rPr>
                <w:rFonts w:ascii="Arial" w:eastAsia="Times New Roman" w:hAnsi="Arial" w:cs="Arial"/>
                <w:b/>
                <w:bCs/>
                <w:sz w:val="20"/>
                <w:szCs w:val="20"/>
                <w:lang w:val="es-ES" w:eastAsia="es-CO"/>
              </w:rPr>
              <w:t>S</w:t>
            </w:r>
          </w:p>
        </w:tc>
      </w:tr>
      <w:tr w:rsidR="00926CB4" w:rsidRPr="00500F74" w14:paraId="0A43BD16" w14:textId="77777777">
        <w:trPr>
          <w:trHeight w:val="330"/>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41D6D31F"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AMBIPAR</w:t>
            </w:r>
          </w:p>
        </w:tc>
        <w:tc>
          <w:tcPr>
            <w:tcW w:w="1381" w:type="pct"/>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696E2221"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$ 1.593.296</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41202BF9"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500F74" w14:paraId="7EC01898" w14:textId="77777777">
        <w:trPr>
          <w:trHeight w:val="330"/>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63B9AF5C"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2M Estudio SAS</w:t>
            </w:r>
          </w:p>
        </w:tc>
        <w:tc>
          <w:tcPr>
            <w:tcW w:w="1381" w:type="pct"/>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6589495E"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$ 590.000</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5ED07908"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500F74" w14:paraId="2F109611"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2A7C869E"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HIDROGEOLOGIA COLOMBIANA SAS</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06451792"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$ 2.248.200</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23A5EA0C" w14:textId="77777777" w:rsidR="00926CB4" w:rsidRPr="00500F74" w:rsidRDefault="00926CB4">
            <w:pPr>
              <w:spacing w:after="0"/>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VÁLIDA</w:t>
            </w:r>
          </w:p>
        </w:tc>
      </w:tr>
      <w:tr w:rsidR="00926CB4" w:rsidRPr="00500F74" w14:paraId="646E8E09"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2A59DD7F"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lastRenderedPageBreak/>
              <w:t>NOVAMBIENTTI SOLUCIONES AMBIENTALES S.A.S</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54932A60"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$ 3.429.000</w:t>
            </w:r>
          </w:p>
        </w:tc>
        <w:tc>
          <w:tcPr>
            <w:tcW w:w="1025" w:type="pct"/>
            <w:tcBorders>
              <w:top w:val="single" w:sz="4" w:space="0" w:color="auto"/>
              <w:left w:val="single" w:sz="8" w:space="0" w:color="auto"/>
              <w:bottom w:val="single" w:sz="4" w:space="0" w:color="auto"/>
              <w:right w:val="single" w:sz="8" w:space="0" w:color="auto"/>
            </w:tcBorders>
            <w:shd w:val="clear" w:color="000000" w:fill="FFFFFF"/>
            <w:vAlign w:val="center"/>
            <w:hideMark/>
          </w:tcPr>
          <w:p w14:paraId="2CCD8B87"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NO VÁLIDA</w:t>
            </w:r>
          </w:p>
        </w:tc>
      </w:tr>
      <w:tr w:rsidR="00926CB4" w:rsidRPr="00500F74" w14:paraId="345967D0" w14:textId="77777777">
        <w:trPr>
          <w:trHeight w:val="330"/>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004BE0DD"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INERCO CONSULTORÍA COLOMBIA LTDA</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9FE3FD8"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$ 24.126</w:t>
            </w:r>
          </w:p>
        </w:tc>
        <w:tc>
          <w:tcPr>
            <w:tcW w:w="1025"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29E43F34" w14:textId="77777777" w:rsidR="00926CB4" w:rsidRPr="00FE0414" w:rsidRDefault="00926CB4">
            <w:pPr>
              <w:spacing w:after="0"/>
              <w:jc w:val="center"/>
              <w:rPr>
                <w:rFonts w:ascii="Arial" w:eastAsia="Times New Roman" w:hAnsi="Arial" w:cs="Arial"/>
                <w:sz w:val="20"/>
                <w:szCs w:val="20"/>
                <w:lang w:val="es-ES" w:eastAsia="es-CO"/>
              </w:rPr>
            </w:pPr>
            <w:r w:rsidRPr="00FE0414">
              <w:rPr>
                <w:rFonts w:ascii="Arial" w:eastAsia="Times New Roman" w:hAnsi="Arial" w:cs="Arial"/>
                <w:sz w:val="20"/>
                <w:szCs w:val="20"/>
                <w:lang w:val="es-ES" w:eastAsia="es-CO"/>
              </w:rPr>
              <w:t>NO VÁLIDA</w:t>
            </w:r>
          </w:p>
        </w:tc>
      </w:tr>
      <w:tr w:rsidR="00926CB4" w:rsidRPr="00500F74" w14:paraId="3841F853"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64F059B2"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MEDIA ARI</w:t>
            </w:r>
            <w:r>
              <w:rPr>
                <w:rFonts w:ascii="Arial" w:eastAsia="Times New Roman" w:hAnsi="Arial" w:cs="Arial"/>
                <w:b/>
                <w:bCs/>
                <w:sz w:val="20"/>
                <w:szCs w:val="20"/>
                <w:lang w:val="es-ES" w:eastAsia="es-CO"/>
              </w:rPr>
              <w:t>T</w:t>
            </w:r>
            <w:r w:rsidRPr="00500F74">
              <w:rPr>
                <w:rFonts w:ascii="Arial" w:eastAsia="Times New Roman" w:hAnsi="Arial" w:cs="Arial"/>
                <w:b/>
                <w:bCs/>
                <w:sz w:val="20"/>
                <w:szCs w:val="20"/>
                <w:lang w:val="es-ES" w:eastAsia="es-CO"/>
              </w:rPr>
              <w:t>MÉTICA</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3ADF846"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$ 1.576.924</w:t>
            </w:r>
          </w:p>
        </w:tc>
        <w:tc>
          <w:tcPr>
            <w:tcW w:w="1025" w:type="pct"/>
            <w:tcBorders>
              <w:top w:val="nil"/>
              <w:left w:val="nil"/>
              <w:bottom w:val="nil"/>
              <w:right w:val="nil"/>
            </w:tcBorders>
            <w:shd w:val="clear" w:color="000000" w:fill="FFFFFF"/>
            <w:vAlign w:val="center"/>
            <w:hideMark/>
          </w:tcPr>
          <w:p w14:paraId="741A83DF"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500F74" w14:paraId="3FD98219"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55E05ACC"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DESVIACIÓN ESTÁNDAR</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1B082B5D"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$ 1.205.509</w:t>
            </w:r>
          </w:p>
        </w:tc>
        <w:tc>
          <w:tcPr>
            <w:tcW w:w="1025" w:type="pct"/>
            <w:tcBorders>
              <w:top w:val="nil"/>
              <w:left w:val="nil"/>
              <w:bottom w:val="nil"/>
              <w:right w:val="nil"/>
            </w:tcBorders>
            <w:shd w:val="clear" w:color="000000" w:fill="FFFFFF"/>
            <w:vAlign w:val="center"/>
            <w:hideMark/>
          </w:tcPr>
          <w:p w14:paraId="23744DCD"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500F74" w14:paraId="2AB4C0A0"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1660BDA5"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LÍMITE SUPERIOR</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18581E23"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$ 2.782.434</w:t>
            </w:r>
          </w:p>
        </w:tc>
        <w:tc>
          <w:tcPr>
            <w:tcW w:w="1025" w:type="pct"/>
            <w:tcBorders>
              <w:top w:val="nil"/>
              <w:left w:val="nil"/>
              <w:bottom w:val="nil"/>
              <w:right w:val="nil"/>
            </w:tcBorders>
            <w:shd w:val="clear" w:color="000000" w:fill="FFFFFF"/>
            <w:vAlign w:val="center"/>
            <w:hideMark/>
          </w:tcPr>
          <w:p w14:paraId="0788EB3A"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500F74" w14:paraId="0D9A3859" w14:textId="77777777">
        <w:trPr>
          <w:trHeight w:val="315"/>
        </w:trPr>
        <w:tc>
          <w:tcPr>
            <w:tcW w:w="2594"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734E8892"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LÍMITE INFERIOR</w:t>
            </w:r>
          </w:p>
        </w:tc>
        <w:tc>
          <w:tcPr>
            <w:tcW w:w="1381"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26DA5010"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$ 371.415</w:t>
            </w:r>
          </w:p>
        </w:tc>
        <w:tc>
          <w:tcPr>
            <w:tcW w:w="1025" w:type="pct"/>
            <w:tcBorders>
              <w:top w:val="nil"/>
              <w:left w:val="nil"/>
              <w:bottom w:val="nil"/>
              <w:right w:val="nil"/>
            </w:tcBorders>
            <w:shd w:val="clear" w:color="000000" w:fill="FFFFFF"/>
            <w:vAlign w:val="center"/>
            <w:hideMark/>
          </w:tcPr>
          <w:p w14:paraId="203E3594" w14:textId="77777777" w:rsidR="00926CB4" w:rsidRPr="00500F74" w:rsidRDefault="00926CB4">
            <w:pPr>
              <w:spacing w:after="0"/>
              <w:jc w:val="center"/>
              <w:rPr>
                <w:rFonts w:ascii="Arial" w:eastAsia="Times New Roman" w:hAnsi="Arial" w:cs="Arial"/>
                <w:b/>
                <w:bCs/>
                <w:sz w:val="20"/>
                <w:szCs w:val="20"/>
                <w:lang w:val="es-ES" w:eastAsia="es-CO"/>
              </w:rPr>
            </w:pPr>
          </w:p>
        </w:tc>
      </w:tr>
      <w:tr w:rsidR="00926CB4" w:rsidRPr="00500F74" w14:paraId="1909632C" w14:textId="77777777">
        <w:trPr>
          <w:trHeight w:val="330"/>
        </w:trPr>
        <w:tc>
          <w:tcPr>
            <w:tcW w:w="2594" w:type="pct"/>
            <w:tcBorders>
              <w:top w:val="single" w:sz="4" w:space="0" w:color="auto"/>
              <w:left w:val="single" w:sz="8" w:space="0" w:color="auto"/>
              <w:bottom w:val="single" w:sz="8" w:space="0" w:color="auto"/>
              <w:right w:val="single" w:sz="4" w:space="0" w:color="auto"/>
            </w:tcBorders>
            <w:vAlign w:val="center"/>
            <w:hideMark/>
          </w:tcPr>
          <w:p w14:paraId="7070700B"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NUEVO PROMEDIO</w:t>
            </w:r>
          </w:p>
        </w:tc>
        <w:tc>
          <w:tcPr>
            <w:tcW w:w="1381" w:type="pct"/>
            <w:tcBorders>
              <w:top w:val="single" w:sz="4" w:space="0" w:color="auto"/>
              <w:left w:val="single" w:sz="4" w:space="0" w:color="auto"/>
              <w:bottom w:val="single" w:sz="8" w:space="0" w:color="auto"/>
              <w:right w:val="single" w:sz="8" w:space="0" w:color="auto"/>
            </w:tcBorders>
            <w:vAlign w:val="center"/>
            <w:hideMark/>
          </w:tcPr>
          <w:p w14:paraId="24873B4D" w14:textId="77777777" w:rsidR="00926CB4" w:rsidRPr="00500F74" w:rsidRDefault="00926CB4">
            <w:pPr>
              <w:spacing w:after="0"/>
              <w:jc w:val="center"/>
              <w:rPr>
                <w:rFonts w:ascii="Arial" w:eastAsia="Times New Roman" w:hAnsi="Arial" w:cs="Arial"/>
                <w:b/>
                <w:bCs/>
                <w:sz w:val="20"/>
                <w:szCs w:val="20"/>
                <w:lang w:val="es-ES" w:eastAsia="es-CO"/>
              </w:rPr>
            </w:pPr>
            <w:r w:rsidRPr="00500F74">
              <w:rPr>
                <w:rFonts w:ascii="Arial" w:eastAsia="Times New Roman" w:hAnsi="Arial" w:cs="Arial"/>
                <w:b/>
                <w:bCs/>
                <w:sz w:val="20"/>
                <w:szCs w:val="20"/>
                <w:lang w:val="es-ES" w:eastAsia="es-CO"/>
              </w:rPr>
              <w:t>$ 1.477.165</w:t>
            </w:r>
          </w:p>
        </w:tc>
        <w:tc>
          <w:tcPr>
            <w:tcW w:w="1025" w:type="pct"/>
            <w:tcBorders>
              <w:top w:val="nil"/>
              <w:left w:val="nil"/>
              <w:bottom w:val="nil"/>
              <w:right w:val="nil"/>
            </w:tcBorders>
            <w:shd w:val="clear" w:color="000000" w:fill="FFFFFF"/>
            <w:vAlign w:val="center"/>
            <w:hideMark/>
          </w:tcPr>
          <w:p w14:paraId="72FAC2A0" w14:textId="77777777" w:rsidR="00926CB4" w:rsidRPr="00500F74" w:rsidRDefault="00926CB4">
            <w:pPr>
              <w:spacing w:after="0"/>
              <w:jc w:val="center"/>
              <w:rPr>
                <w:rFonts w:ascii="Arial" w:eastAsia="Times New Roman" w:hAnsi="Arial" w:cs="Arial"/>
                <w:b/>
                <w:bCs/>
                <w:sz w:val="20"/>
                <w:szCs w:val="20"/>
                <w:lang w:val="es-ES" w:eastAsia="es-CO"/>
              </w:rPr>
            </w:pPr>
          </w:p>
        </w:tc>
      </w:tr>
    </w:tbl>
    <w:p w14:paraId="182E49F5" w14:textId="77777777" w:rsidR="00926CB4" w:rsidRDefault="00926CB4" w:rsidP="00926CB4">
      <w:pPr>
        <w:spacing w:after="0"/>
        <w:jc w:val="both"/>
        <w:rPr>
          <w:kern w:val="2"/>
          <w:lang w:eastAsia="es-CO"/>
          <w14:ligatures w14:val="standardContextual"/>
        </w:rPr>
      </w:pPr>
    </w:p>
    <w:p w14:paraId="7F972D38" w14:textId="77777777" w:rsidR="0022585C" w:rsidRDefault="0022585C" w:rsidP="00926CB4">
      <w:pPr>
        <w:spacing w:after="0"/>
        <w:jc w:val="both"/>
        <w:rPr>
          <w:rFonts w:ascii="Arial" w:hAnsi="Arial" w:cs="Arial"/>
        </w:rPr>
      </w:pPr>
    </w:p>
    <w:p w14:paraId="42D7ED9B" w14:textId="51C6D4F5" w:rsidR="00926CB4" w:rsidRPr="00563B4D" w:rsidRDefault="00755A70" w:rsidP="00926CB4">
      <w:pPr>
        <w:spacing w:after="0"/>
        <w:jc w:val="both"/>
        <w:rPr>
          <w:kern w:val="2"/>
          <w:lang w:eastAsia="es-CO"/>
          <w14:ligatures w14:val="standardContextual"/>
        </w:rPr>
      </w:pPr>
      <w:r w:rsidRPr="00755A70">
        <w:rPr>
          <w:rFonts w:ascii="Arial" w:hAnsi="Arial" w:cs="Arial"/>
        </w:rPr>
        <w:t xml:space="preserve">En consecuencia, el valor del presupuesto de la bolsa </w:t>
      </w:r>
      <w:r w:rsidR="00F529A5">
        <w:rPr>
          <w:rFonts w:ascii="Arial" w:hAnsi="Arial" w:cs="Arial"/>
        </w:rPr>
        <w:t xml:space="preserve">para </w:t>
      </w:r>
      <w:r w:rsidR="00F529A5" w:rsidRPr="00F529A5">
        <w:rPr>
          <w:rFonts w:ascii="Arial" w:hAnsi="Arial" w:cs="Arial"/>
        </w:rPr>
        <w:t>actividades identificadas durante la ejecución contractual</w:t>
      </w:r>
      <w:r w:rsidRPr="00755A70">
        <w:rPr>
          <w:rFonts w:ascii="Arial" w:hAnsi="Arial" w:cs="Arial"/>
        </w:rPr>
        <w:t xml:space="preserve"> se estima en </w:t>
      </w:r>
      <w:r w:rsidRPr="00915023">
        <w:rPr>
          <w:rFonts w:ascii="Arial" w:hAnsi="Arial" w:cs="Arial"/>
          <w:b/>
          <w:bCs/>
        </w:rPr>
        <w:t>$649.110.771</w:t>
      </w:r>
      <w:r w:rsidRPr="00755A70">
        <w:rPr>
          <w:rFonts w:ascii="Arial" w:hAnsi="Arial" w:cs="Arial"/>
        </w:rPr>
        <w:t xml:space="preserve">, calculado a partir de escenarios </w:t>
      </w:r>
      <w:r w:rsidR="00F529A5">
        <w:rPr>
          <w:rFonts w:ascii="Arial" w:hAnsi="Arial" w:cs="Arial"/>
        </w:rPr>
        <w:t xml:space="preserve">técnicos </w:t>
      </w:r>
      <w:r w:rsidRPr="00755A70">
        <w:rPr>
          <w:rFonts w:ascii="Arial" w:hAnsi="Arial" w:cs="Arial"/>
        </w:rPr>
        <w:t>de ocurrencia y de referencias económicas obtenidas mediante estudio de mercado. Este valor corresponde a una provisión presupuestal de carácter contingente y constituye el límite máximo de reconocimiento.</w:t>
      </w:r>
    </w:p>
    <w:p w14:paraId="70C33696" w14:textId="77777777" w:rsidR="00926CB4" w:rsidRDefault="00926CB4" w:rsidP="00926CB4">
      <w:pPr>
        <w:spacing w:after="0"/>
        <w:rPr>
          <w:rFonts w:ascii="Arial" w:eastAsia="Times New Roman" w:hAnsi="Arial" w:cs="Arial"/>
          <w:lang w:eastAsia="es-CO"/>
        </w:rPr>
      </w:pPr>
    </w:p>
    <w:p w14:paraId="0C120C2F" w14:textId="05CFBCB1" w:rsidR="00926CB4" w:rsidRDefault="00017638" w:rsidP="00926CB4">
      <w:pPr>
        <w:spacing w:after="0"/>
        <w:rPr>
          <w:rFonts w:ascii="Arial" w:eastAsia="Times New Roman" w:hAnsi="Arial" w:cs="Arial"/>
          <w:b/>
          <w:bCs/>
          <w:lang w:eastAsia="es-CO"/>
        </w:rPr>
      </w:pPr>
      <w:r>
        <w:rPr>
          <w:rFonts w:ascii="Arial" w:eastAsia="Times New Roman" w:hAnsi="Arial" w:cs="Arial"/>
          <w:b/>
          <w:bCs/>
          <w:lang w:eastAsia="es-CO"/>
        </w:rPr>
        <w:t>Presupuesto Oficial</w:t>
      </w:r>
    </w:p>
    <w:p w14:paraId="2B6A2BEF" w14:textId="77777777" w:rsidR="00926CB4" w:rsidRPr="00C76457" w:rsidRDefault="00926CB4" w:rsidP="00926CB4">
      <w:pPr>
        <w:spacing w:after="0"/>
        <w:rPr>
          <w:rFonts w:ascii="Arial" w:eastAsia="Times New Roman" w:hAnsi="Arial" w:cs="Arial"/>
          <w:b/>
          <w:bCs/>
          <w:lang w:eastAsia="es-CO"/>
        </w:rPr>
      </w:pPr>
    </w:p>
    <w:tbl>
      <w:tblPr>
        <w:tblStyle w:val="Tablaconcuadrcula"/>
        <w:tblW w:w="0" w:type="auto"/>
        <w:jc w:val="center"/>
        <w:tblLook w:val="04A0" w:firstRow="1" w:lastRow="0" w:firstColumn="1" w:lastColumn="0" w:noHBand="0" w:noVBand="1"/>
      </w:tblPr>
      <w:tblGrid>
        <w:gridCol w:w="2864"/>
        <w:gridCol w:w="1895"/>
        <w:gridCol w:w="1332"/>
        <w:gridCol w:w="2126"/>
      </w:tblGrid>
      <w:tr w:rsidR="00926CB4" w:rsidRPr="00C76457" w14:paraId="6F98B7D5" w14:textId="77777777" w:rsidTr="00915023">
        <w:trPr>
          <w:trHeight w:val="515"/>
          <w:jc w:val="center"/>
        </w:trPr>
        <w:tc>
          <w:tcPr>
            <w:tcW w:w="2864" w:type="dxa"/>
            <w:shd w:val="clear" w:color="auto" w:fill="D9D9D9" w:themeFill="background1" w:themeFillShade="D9"/>
            <w:vAlign w:val="center"/>
          </w:tcPr>
          <w:p w14:paraId="232446E5" w14:textId="77777777" w:rsidR="00926CB4" w:rsidRPr="00C76457" w:rsidRDefault="00926CB4">
            <w:pPr>
              <w:spacing w:line="276" w:lineRule="auto"/>
              <w:jc w:val="center"/>
              <w:rPr>
                <w:rFonts w:ascii="Arial" w:hAnsi="Arial" w:cs="Arial"/>
                <w:b/>
                <w:bCs/>
                <w:lang w:eastAsia="es-CO"/>
              </w:rPr>
            </w:pPr>
            <w:r w:rsidRPr="00C76457">
              <w:rPr>
                <w:rFonts w:ascii="Arial" w:hAnsi="Arial" w:cs="Arial"/>
                <w:b/>
                <w:bCs/>
                <w:lang w:val="es-CO" w:eastAsia="es-CO"/>
              </w:rPr>
              <w:t>ACTIVIDAD</w:t>
            </w:r>
          </w:p>
        </w:tc>
        <w:tc>
          <w:tcPr>
            <w:tcW w:w="1895" w:type="dxa"/>
            <w:shd w:val="clear" w:color="auto" w:fill="D9D9D9" w:themeFill="background1" w:themeFillShade="D9"/>
            <w:vAlign w:val="center"/>
          </w:tcPr>
          <w:p w14:paraId="41C07537" w14:textId="77777777" w:rsidR="00926CB4" w:rsidRPr="00C76457" w:rsidRDefault="00926CB4">
            <w:pPr>
              <w:jc w:val="center"/>
              <w:rPr>
                <w:rFonts w:ascii="Arial" w:hAnsi="Arial" w:cs="Arial"/>
                <w:b/>
                <w:bCs/>
                <w:lang w:eastAsia="es-CO"/>
              </w:rPr>
            </w:pPr>
            <w:r>
              <w:rPr>
                <w:rFonts w:ascii="Arial" w:hAnsi="Arial" w:cs="Arial"/>
                <w:b/>
                <w:bCs/>
                <w:lang w:eastAsia="es-CO"/>
              </w:rPr>
              <w:t>UNIDAD</w:t>
            </w:r>
          </w:p>
        </w:tc>
        <w:tc>
          <w:tcPr>
            <w:tcW w:w="1332" w:type="dxa"/>
            <w:shd w:val="clear" w:color="auto" w:fill="D9D9D9" w:themeFill="background1" w:themeFillShade="D9"/>
            <w:vAlign w:val="center"/>
          </w:tcPr>
          <w:p w14:paraId="0F5D9766" w14:textId="77777777" w:rsidR="00926CB4" w:rsidRPr="00C76457" w:rsidRDefault="00926CB4">
            <w:pPr>
              <w:jc w:val="center"/>
              <w:rPr>
                <w:rFonts w:ascii="Arial" w:hAnsi="Arial" w:cs="Arial"/>
                <w:b/>
                <w:bCs/>
                <w:lang w:eastAsia="es-CO"/>
              </w:rPr>
            </w:pPr>
            <w:r>
              <w:rPr>
                <w:rFonts w:ascii="Arial" w:hAnsi="Arial" w:cs="Arial"/>
                <w:b/>
                <w:bCs/>
                <w:lang w:eastAsia="es-CO"/>
              </w:rPr>
              <w:t>CANTIDAD</w:t>
            </w:r>
          </w:p>
        </w:tc>
        <w:tc>
          <w:tcPr>
            <w:tcW w:w="2126" w:type="dxa"/>
            <w:shd w:val="clear" w:color="auto" w:fill="D9D9D9" w:themeFill="background1" w:themeFillShade="D9"/>
            <w:vAlign w:val="center"/>
          </w:tcPr>
          <w:p w14:paraId="1485E46C" w14:textId="77777777" w:rsidR="00926CB4" w:rsidRPr="00C76457" w:rsidRDefault="00926CB4">
            <w:pPr>
              <w:spacing w:line="276" w:lineRule="auto"/>
              <w:jc w:val="center"/>
              <w:rPr>
                <w:rFonts w:ascii="Arial" w:hAnsi="Arial" w:cs="Arial"/>
                <w:b/>
                <w:bCs/>
                <w:lang w:eastAsia="es-CO"/>
              </w:rPr>
            </w:pPr>
            <w:r w:rsidRPr="00C76457">
              <w:rPr>
                <w:rFonts w:ascii="Arial" w:hAnsi="Arial" w:cs="Arial"/>
                <w:b/>
                <w:bCs/>
                <w:lang w:eastAsia="es-CO"/>
              </w:rPr>
              <w:t xml:space="preserve">VALOR </w:t>
            </w:r>
            <w:r>
              <w:rPr>
                <w:rFonts w:ascii="Arial" w:hAnsi="Arial" w:cs="Arial"/>
                <w:b/>
                <w:bCs/>
                <w:lang w:eastAsia="es-CO"/>
              </w:rPr>
              <w:t>TOTAL</w:t>
            </w:r>
          </w:p>
        </w:tc>
      </w:tr>
      <w:tr w:rsidR="00926CB4" w:rsidRPr="00C76457" w14:paraId="7AE8FF4B" w14:textId="77777777" w:rsidTr="00915023">
        <w:trPr>
          <w:jc w:val="center"/>
        </w:trPr>
        <w:tc>
          <w:tcPr>
            <w:tcW w:w="2864" w:type="dxa"/>
            <w:vAlign w:val="center"/>
          </w:tcPr>
          <w:p w14:paraId="50D153D9" w14:textId="77777777" w:rsidR="00926CB4" w:rsidRPr="00C76457" w:rsidRDefault="00926CB4">
            <w:pPr>
              <w:spacing w:line="276" w:lineRule="auto"/>
              <w:jc w:val="center"/>
              <w:rPr>
                <w:rFonts w:ascii="Arial" w:hAnsi="Arial" w:cs="Arial"/>
                <w:b/>
                <w:bCs/>
                <w:lang w:eastAsia="es-CO"/>
              </w:rPr>
            </w:pPr>
            <w:r w:rsidRPr="00C76457">
              <w:rPr>
                <w:rFonts w:ascii="Arial" w:hAnsi="Arial" w:cs="Arial"/>
                <w:b/>
                <w:bCs/>
                <w:lang w:val="es-CO" w:eastAsia="es-CO"/>
              </w:rPr>
              <w:t>PLAN DE DESMANTELAMIENTO</w:t>
            </w:r>
          </w:p>
        </w:tc>
        <w:tc>
          <w:tcPr>
            <w:tcW w:w="1895" w:type="dxa"/>
            <w:vAlign w:val="center"/>
          </w:tcPr>
          <w:p w14:paraId="098A9436" w14:textId="77777777" w:rsidR="00926CB4" w:rsidRPr="00C76457" w:rsidRDefault="00926CB4">
            <w:pPr>
              <w:jc w:val="center"/>
              <w:rPr>
                <w:rFonts w:ascii="Arial" w:hAnsi="Arial" w:cs="Arial"/>
                <w:lang w:eastAsia="es-CO"/>
              </w:rPr>
            </w:pPr>
            <w:r>
              <w:rPr>
                <w:rFonts w:ascii="Arial" w:hAnsi="Arial" w:cs="Arial"/>
                <w:lang w:eastAsia="es-CO"/>
              </w:rPr>
              <w:t>Unidad</w:t>
            </w:r>
          </w:p>
        </w:tc>
        <w:tc>
          <w:tcPr>
            <w:tcW w:w="1332" w:type="dxa"/>
            <w:vAlign w:val="center"/>
          </w:tcPr>
          <w:p w14:paraId="24649012" w14:textId="77777777" w:rsidR="00926CB4" w:rsidRPr="00C76457" w:rsidRDefault="00926CB4">
            <w:pPr>
              <w:jc w:val="center"/>
              <w:rPr>
                <w:rFonts w:ascii="Arial" w:hAnsi="Arial" w:cs="Arial"/>
                <w:lang w:eastAsia="es-CO"/>
              </w:rPr>
            </w:pPr>
            <w:r>
              <w:rPr>
                <w:rFonts w:ascii="Arial" w:hAnsi="Arial" w:cs="Arial"/>
                <w:lang w:eastAsia="es-CO"/>
              </w:rPr>
              <w:t>3</w:t>
            </w:r>
          </w:p>
        </w:tc>
        <w:tc>
          <w:tcPr>
            <w:tcW w:w="2126" w:type="dxa"/>
            <w:vAlign w:val="center"/>
          </w:tcPr>
          <w:p w14:paraId="40F7BBB6" w14:textId="77777777" w:rsidR="00926CB4" w:rsidRPr="00C76457" w:rsidRDefault="00926CB4">
            <w:pPr>
              <w:spacing w:line="276" w:lineRule="auto"/>
              <w:jc w:val="center"/>
              <w:rPr>
                <w:rFonts w:ascii="Arial" w:hAnsi="Arial" w:cs="Arial"/>
                <w:lang w:eastAsia="es-CO"/>
              </w:rPr>
            </w:pPr>
            <w:r w:rsidRPr="00C76457">
              <w:rPr>
                <w:rFonts w:ascii="Arial" w:hAnsi="Arial" w:cs="Arial"/>
                <w:lang w:eastAsia="es-CO"/>
              </w:rPr>
              <w:t xml:space="preserve">$ </w:t>
            </w:r>
            <w:r>
              <w:rPr>
                <w:rFonts w:ascii="Arial" w:hAnsi="Arial" w:cs="Arial"/>
                <w:lang w:eastAsia="es-CO"/>
              </w:rPr>
              <w:t>38.556.000</w:t>
            </w:r>
          </w:p>
        </w:tc>
      </w:tr>
      <w:tr w:rsidR="00926CB4" w:rsidRPr="00C76457" w14:paraId="15706AA8" w14:textId="77777777" w:rsidTr="00915023">
        <w:trPr>
          <w:trHeight w:val="415"/>
          <w:jc w:val="center"/>
        </w:trPr>
        <w:tc>
          <w:tcPr>
            <w:tcW w:w="2864" w:type="dxa"/>
            <w:vAlign w:val="center"/>
          </w:tcPr>
          <w:p w14:paraId="5796D9B4" w14:textId="77777777" w:rsidR="00926CB4" w:rsidRPr="00C76457" w:rsidRDefault="00926CB4">
            <w:pPr>
              <w:spacing w:line="276" w:lineRule="auto"/>
              <w:jc w:val="center"/>
              <w:rPr>
                <w:rFonts w:ascii="Arial" w:hAnsi="Arial" w:cs="Arial"/>
                <w:b/>
                <w:bCs/>
                <w:lang w:eastAsia="es-CO"/>
              </w:rPr>
            </w:pPr>
            <w:r w:rsidRPr="00C76457">
              <w:rPr>
                <w:rFonts w:ascii="Arial" w:hAnsi="Arial" w:cs="Arial"/>
                <w:b/>
                <w:bCs/>
                <w:lang w:eastAsia="es-CO"/>
              </w:rPr>
              <w:t>DESMANTELAMIENTO</w:t>
            </w:r>
            <w:r>
              <w:rPr>
                <w:rFonts w:ascii="Arial" w:hAnsi="Arial" w:cs="Arial"/>
                <w:b/>
                <w:bCs/>
                <w:lang w:eastAsia="es-CO"/>
              </w:rPr>
              <w:t xml:space="preserve"> EDS CALLE 80</w:t>
            </w:r>
          </w:p>
        </w:tc>
        <w:tc>
          <w:tcPr>
            <w:tcW w:w="1895" w:type="dxa"/>
            <w:vAlign w:val="center"/>
          </w:tcPr>
          <w:p w14:paraId="512AB92A" w14:textId="77777777" w:rsidR="00926CB4" w:rsidRPr="00C76457" w:rsidRDefault="00926CB4">
            <w:pPr>
              <w:jc w:val="center"/>
              <w:rPr>
                <w:rFonts w:ascii="Arial" w:hAnsi="Arial" w:cs="Arial"/>
                <w:lang w:eastAsia="es-CO"/>
              </w:rPr>
            </w:pPr>
            <w:r>
              <w:rPr>
                <w:rFonts w:ascii="Arial" w:hAnsi="Arial" w:cs="Arial"/>
                <w:lang w:eastAsia="es-CO"/>
              </w:rPr>
              <w:t>Global</w:t>
            </w:r>
          </w:p>
        </w:tc>
        <w:tc>
          <w:tcPr>
            <w:tcW w:w="1332" w:type="dxa"/>
            <w:vAlign w:val="center"/>
          </w:tcPr>
          <w:p w14:paraId="6F0E53E0" w14:textId="77777777" w:rsidR="00926CB4" w:rsidRPr="00C76457" w:rsidRDefault="00926CB4">
            <w:pPr>
              <w:jc w:val="center"/>
              <w:rPr>
                <w:rFonts w:ascii="Arial" w:hAnsi="Arial" w:cs="Arial"/>
                <w:lang w:eastAsia="es-CO"/>
              </w:rPr>
            </w:pPr>
            <w:r>
              <w:rPr>
                <w:rFonts w:ascii="Arial" w:hAnsi="Arial" w:cs="Arial"/>
                <w:lang w:eastAsia="es-CO"/>
              </w:rPr>
              <w:t>1</w:t>
            </w:r>
          </w:p>
        </w:tc>
        <w:tc>
          <w:tcPr>
            <w:tcW w:w="2126" w:type="dxa"/>
            <w:vAlign w:val="center"/>
          </w:tcPr>
          <w:p w14:paraId="13B4AD7E" w14:textId="77777777" w:rsidR="00926CB4" w:rsidRPr="00C76457" w:rsidRDefault="00926CB4">
            <w:pPr>
              <w:spacing w:line="276" w:lineRule="auto"/>
              <w:jc w:val="center"/>
              <w:rPr>
                <w:rFonts w:ascii="Arial" w:hAnsi="Arial" w:cs="Arial"/>
                <w:lang w:eastAsia="es-CO"/>
              </w:rPr>
            </w:pPr>
            <w:r w:rsidRPr="00C76457">
              <w:rPr>
                <w:rFonts w:ascii="Arial" w:hAnsi="Arial" w:cs="Arial"/>
                <w:lang w:eastAsia="es-CO"/>
              </w:rPr>
              <w:t xml:space="preserve">$ </w:t>
            </w:r>
            <w:r>
              <w:rPr>
                <w:rFonts w:ascii="Arial" w:hAnsi="Arial" w:cs="Arial"/>
                <w:lang w:eastAsia="es-CO"/>
              </w:rPr>
              <w:t>881.024.795</w:t>
            </w:r>
          </w:p>
        </w:tc>
      </w:tr>
      <w:tr w:rsidR="00926CB4" w:rsidRPr="00C76457" w14:paraId="63BC8635" w14:textId="77777777" w:rsidTr="00915023">
        <w:trPr>
          <w:trHeight w:val="415"/>
          <w:jc w:val="center"/>
        </w:trPr>
        <w:tc>
          <w:tcPr>
            <w:tcW w:w="2864" w:type="dxa"/>
            <w:vAlign w:val="center"/>
          </w:tcPr>
          <w:p w14:paraId="14B86522" w14:textId="77777777" w:rsidR="00926CB4" w:rsidRPr="00C76457" w:rsidRDefault="00926CB4">
            <w:pPr>
              <w:jc w:val="center"/>
              <w:rPr>
                <w:rFonts w:ascii="Arial" w:hAnsi="Arial" w:cs="Arial"/>
                <w:b/>
                <w:bCs/>
                <w:lang w:eastAsia="es-CO"/>
              </w:rPr>
            </w:pPr>
            <w:r w:rsidRPr="00C76457">
              <w:rPr>
                <w:rFonts w:ascii="Arial" w:hAnsi="Arial" w:cs="Arial"/>
                <w:b/>
                <w:bCs/>
                <w:lang w:eastAsia="es-CO"/>
              </w:rPr>
              <w:t>DESMANTELAMIENTO</w:t>
            </w:r>
            <w:r>
              <w:rPr>
                <w:rFonts w:ascii="Arial" w:hAnsi="Arial" w:cs="Arial"/>
                <w:b/>
                <w:bCs/>
                <w:lang w:eastAsia="es-CO"/>
              </w:rPr>
              <w:t xml:space="preserve"> EDS SUBA</w:t>
            </w:r>
          </w:p>
        </w:tc>
        <w:tc>
          <w:tcPr>
            <w:tcW w:w="1895" w:type="dxa"/>
            <w:vAlign w:val="center"/>
          </w:tcPr>
          <w:p w14:paraId="010C8260" w14:textId="77777777" w:rsidR="00926CB4" w:rsidRDefault="00926CB4">
            <w:pPr>
              <w:jc w:val="center"/>
              <w:rPr>
                <w:rFonts w:ascii="Arial" w:hAnsi="Arial" w:cs="Arial"/>
                <w:lang w:eastAsia="es-CO"/>
              </w:rPr>
            </w:pPr>
            <w:r>
              <w:rPr>
                <w:rFonts w:ascii="Arial" w:hAnsi="Arial" w:cs="Arial"/>
                <w:lang w:eastAsia="es-CO"/>
              </w:rPr>
              <w:t>Global</w:t>
            </w:r>
          </w:p>
        </w:tc>
        <w:tc>
          <w:tcPr>
            <w:tcW w:w="1332" w:type="dxa"/>
            <w:vAlign w:val="center"/>
          </w:tcPr>
          <w:p w14:paraId="57F2591E" w14:textId="77777777" w:rsidR="00926CB4" w:rsidRDefault="00926CB4">
            <w:pPr>
              <w:jc w:val="center"/>
              <w:rPr>
                <w:rFonts w:ascii="Arial" w:hAnsi="Arial" w:cs="Arial"/>
                <w:lang w:eastAsia="es-CO"/>
              </w:rPr>
            </w:pPr>
            <w:r>
              <w:rPr>
                <w:rFonts w:ascii="Arial" w:hAnsi="Arial" w:cs="Arial"/>
                <w:lang w:eastAsia="es-CO"/>
              </w:rPr>
              <w:t>1</w:t>
            </w:r>
          </w:p>
        </w:tc>
        <w:tc>
          <w:tcPr>
            <w:tcW w:w="2126" w:type="dxa"/>
            <w:vAlign w:val="center"/>
          </w:tcPr>
          <w:p w14:paraId="0751AF3E" w14:textId="77777777" w:rsidR="00926CB4" w:rsidRPr="00C76457" w:rsidRDefault="00926CB4">
            <w:pPr>
              <w:jc w:val="center"/>
              <w:rPr>
                <w:rFonts w:ascii="Arial" w:hAnsi="Arial" w:cs="Arial"/>
                <w:lang w:eastAsia="es-CO"/>
              </w:rPr>
            </w:pPr>
            <w:r w:rsidRPr="00C76457">
              <w:rPr>
                <w:rFonts w:ascii="Arial" w:hAnsi="Arial" w:cs="Arial"/>
                <w:lang w:eastAsia="es-CO"/>
              </w:rPr>
              <w:t xml:space="preserve">$ </w:t>
            </w:r>
            <w:r>
              <w:rPr>
                <w:rFonts w:ascii="Arial" w:hAnsi="Arial" w:cs="Arial"/>
                <w:lang w:eastAsia="es-CO"/>
              </w:rPr>
              <w:t>817.988.704</w:t>
            </w:r>
          </w:p>
        </w:tc>
      </w:tr>
      <w:tr w:rsidR="00926CB4" w:rsidRPr="00C76457" w14:paraId="01E4A67C" w14:textId="77777777" w:rsidTr="00915023">
        <w:trPr>
          <w:trHeight w:val="415"/>
          <w:jc w:val="center"/>
        </w:trPr>
        <w:tc>
          <w:tcPr>
            <w:tcW w:w="2864" w:type="dxa"/>
            <w:vAlign w:val="center"/>
          </w:tcPr>
          <w:p w14:paraId="5275914B" w14:textId="77777777" w:rsidR="00926CB4" w:rsidRPr="00C76457" w:rsidRDefault="00926CB4">
            <w:pPr>
              <w:jc w:val="center"/>
              <w:rPr>
                <w:rFonts w:ascii="Arial" w:hAnsi="Arial" w:cs="Arial"/>
                <w:b/>
                <w:bCs/>
                <w:lang w:eastAsia="es-CO"/>
              </w:rPr>
            </w:pPr>
            <w:r w:rsidRPr="00C76457">
              <w:rPr>
                <w:rFonts w:ascii="Arial" w:hAnsi="Arial" w:cs="Arial"/>
                <w:b/>
                <w:bCs/>
                <w:lang w:eastAsia="es-CO"/>
              </w:rPr>
              <w:t>DESMANTELAMIENTO</w:t>
            </w:r>
            <w:r>
              <w:rPr>
                <w:rFonts w:ascii="Arial" w:hAnsi="Arial" w:cs="Arial"/>
                <w:b/>
                <w:bCs/>
                <w:lang w:eastAsia="es-CO"/>
              </w:rPr>
              <w:t xml:space="preserve"> EDS AMÉRICAS</w:t>
            </w:r>
          </w:p>
        </w:tc>
        <w:tc>
          <w:tcPr>
            <w:tcW w:w="1895" w:type="dxa"/>
            <w:vAlign w:val="center"/>
          </w:tcPr>
          <w:p w14:paraId="0353D59F" w14:textId="77777777" w:rsidR="00926CB4" w:rsidRDefault="00926CB4">
            <w:pPr>
              <w:jc w:val="center"/>
              <w:rPr>
                <w:rFonts w:ascii="Arial" w:hAnsi="Arial" w:cs="Arial"/>
                <w:lang w:eastAsia="es-CO"/>
              </w:rPr>
            </w:pPr>
            <w:r>
              <w:rPr>
                <w:rFonts w:ascii="Arial" w:hAnsi="Arial" w:cs="Arial"/>
                <w:lang w:eastAsia="es-CO"/>
              </w:rPr>
              <w:t>Global</w:t>
            </w:r>
          </w:p>
        </w:tc>
        <w:tc>
          <w:tcPr>
            <w:tcW w:w="1332" w:type="dxa"/>
            <w:vAlign w:val="center"/>
          </w:tcPr>
          <w:p w14:paraId="4236F367" w14:textId="77777777" w:rsidR="00926CB4" w:rsidRDefault="00926CB4">
            <w:pPr>
              <w:jc w:val="center"/>
              <w:rPr>
                <w:rFonts w:ascii="Arial" w:hAnsi="Arial" w:cs="Arial"/>
                <w:lang w:eastAsia="es-CO"/>
              </w:rPr>
            </w:pPr>
            <w:r>
              <w:rPr>
                <w:rFonts w:ascii="Arial" w:hAnsi="Arial" w:cs="Arial"/>
                <w:lang w:eastAsia="es-CO"/>
              </w:rPr>
              <w:t>1</w:t>
            </w:r>
          </w:p>
        </w:tc>
        <w:tc>
          <w:tcPr>
            <w:tcW w:w="2126" w:type="dxa"/>
            <w:vAlign w:val="center"/>
          </w:tcPr>
          <w:p w14:paraId="51248A90" w14:textId="77777777" w:rsidR="00926CB4" w:rsidRPr="00C76457" w:rsidRDefault="00926CB4">
            <w:pPr>
              <w:jc w:val="center"/>
              <w:rPr>
                <w:rFonts w:ascii="Arial" w:hAnsi="Arial" w:cs="Arial"/>
                <w:lang w:eastAsia="es-CO"/>
              </w:rPr>
            </w:pPr>
            <w:r w:rsidRPr="00C76457">
              <w:rPr>
                <w:rFonts w:ascii="Arial" w:hAnsi="Arial" w:cs="Arial"/>
                <w:lang w:eastAsia="es-CO"/>
              </w:rPr>
              <w:t xml:space="preserve">$ </w:t>
            </w:r>
            <w:r>
              <w:rPr>
                <w:rFonts w:ascii="Arial" w:hAnsi="Arial" w:cs="Arial"/>
                <w:lang w:eastAsia="es-CO"/>
              </w:rPr>
              <w:t>1.371.093.003</w:t>
            </w:r>
          </w:p>
        </w:tc>
      </w:tr>
      <w:tr w:rsidR="00926CB4" w:rsidRPr="00C76457" w14:paraId="3EC6C9EA" w14:textId="77777777" w:rsidTr="00915023">
        <w:trPr>
          <w:trHeight w:val="415"/>
          <w:jc w:val="center"/>
        </w:trPr>
        <w:tc>
          <w:tcPr>
            <w:tcW w:w="8217" w:type="dxa"/>
            <w:gridSpan w:val="4"/>
            <w:shd w:val="clear" w:color="auto" w:fill="D9D9D9" w:themeFill="background1" w:themeFillShade="D9"/>
            <w:vAlign w:val="center"/>
          </w:tcPr>
          <w:p w14:paraId="3BD3934D" w14:textId="34E43955" w:rsidR="00926CB4" w:rsidRPr="00C76457" w:rsidRDefault="00926CB4">
            <w:pPr>
              <w:jc w:val="center"/>
              <w:rPr>
                <w:rFonts w:ascii="Arial" w:hAnsi="Arial" w:cs="Arial"/>
                <w:lang w:eastAsia="es-CO"/>
              </w:rPr>
            </w:pPr>
            <w:r>
              <w:rPr>
                <w:rFonts w:ascii="Arial" w:hAnsi="Arial" w:cs="Arial"/>
                <w:b/>
                <w:bCs/>
                <w:lang w:eastAsia="es-CO"/>
              </w:rPr>
              <w:t xml:space="preserve">BOLSA </w:t>
            </w:r>
            <w:r w:rsidR="004024B9">
              <w:rPr>
                <w:rFonts w:ascii="Arial" w:hAnsi="Arial" w:cs="Arial"/>
                <w:b/>
                <w:bCs/>
                <w:lang w:eastAsia="es-CO"/>
              </w:rPr>
              <w:t>PARA ACTIVIDADES IDENTIFICADAS DURANTE LA EJECUCIÓN CONTRACTUAL</w:t>
            </w:r>
          </w:p>
        </w:tc>
      </w:tr>
      <w:tr w:rsidR="00926CB4" w:rsidRPr="00C76457" w14:paraId="2FCD9AF9" w14:textId="77777777" w:rsidTr="00915023">
        <w:trPr>
          <w:trHeight w:val="415"/>
          <w:jc w:val="center"/>
        </w:trPr>
        <w:tc>
          <w:tcPr>
            <w:tcW w:w="2864" w:type="dxa"/>
            <w:vAlign w:val="center"/>
          </w:tcPr>
          <w:p w14:paraId="6B3CF7C9" w14:textId="77777777" w:rsidR="00926CB4" w:rsidRDefault="00926CB4">
            <w:pPr>
              <w:jc w:val="center"/>
              <w:rPr>
                <w:rFonts w:ascii="Arial" w:hAnsi="Arial" w:cs="Arial"/>
                <w:b/>
                <w:bCs/>
                <w:lang w:eastAsia="es-CO"/>
              </w:rPr>
            </w:pPr>
            <w:r w:rsidRPr="00486D43">
              <w:rPr>
                <w:rFonts w:ascii="Arial" w:hAnsi="Arial" w:cs="Arial"/>
                <w:b/>
                <w:bCs/>
                <w:lang w:eastAsia="es-CO"/>
              </w:rPr>
              <w:t>CARGUE, TRANSPORTE Y DISPOSICIÓN FINAL COMO RESIDUO PELIGROSO DE UN TANQUE SUBTERRÁNEO DE ALMACENAMIENTO DE COMBUSTIBLE</w:t>
            </w:r>
          </w:p>
        </w:tc>
        <w:tc>
          <w:tcPr>
            <w:tcW w:w="1895" w:type="dxa"/>
            <w:vAlign w:val="center"/>
          </w:tcPr>
          <w:p w14:paraId="1CFADBCC" w14:textId="77777777" w:rsidR="00926CB4" w:rsidRPr="00C76457" w:rsidRDefault="00926CB4">
            <w:pPr>
              <w:jc w:val="center"/>
              <w:rPr>
                <w:rFonts w:ascii="Arial" w:hAnsi="Arial" w:cs="Arial"/>
                <w:lang w:eastAsia="es-CO"/>
              </w:rPr>
            </w:pPr>
            <w:r>
              <w:rPr>
                <w:rFonts w:ascii="Arial" w:hAnsi="Arial" w:cs="Arial"/>
                <w:lang w:eastAsia="es-CO"/>
              </w:rPr>
              <w:t>Unidad</w:t>
            </w:r>
          </w:p>
        </w:tc>
        <w:tc>
          <w:tcPr>
            <w:tcW w:w="1332" w:type="dxa"/>
            <w:vAlign w:val="center"/>
          </w:tcPr>
          <w:p w14:paraId="5ECEEBA9" w14:textId="77777777" w:rsidR="00926CB4" w:rsidRPr="00C76457" w:rsidRDefault="00926CB4">
            <w:pPr>
              <w:jc w:val="center"/>
              <w:rPr>
                <w:rFonts w:ascii="Arial" w:hAnsi="Arial" w:cs="Arial"/>
                <w:lang w:eastAsia="es-CO"/>
              </w:rPr>
            </w:pPr>
            <w:r>
              <w:rPr>
                <w:rFonts w:ascii="Arial" w:hAnsi="Arial" w:cs="Arial"/>
                <w:lang w:eastAsia="es-CO"/>
              </w:rPr>
              <w:t>10</w:t>
            </w:r>
          </w:p>
        </w:tc>
        <w:tc>
          <w:tcPr>
            <w:tcW w:w="2126" w:type="dxa"/>
            <w:vAlign w:val="center"/>
          </w:tcPr>
          <w:p w14:paraId="4333A855" w14:textId="77777777" w:rsidR="00926CB4" w:rsidRPr="00C76457" w:rsidRDefault="00926CB4">
            <w:pPr>
              <w:jc w:val="center"/>
              <w:rPr>
                <w:rFonts w:ascii="Arial" w:hAnsi="Arial" w:cs="Arial"/>
                <w:lang w:eastAsia="es-CO"/>
              </w:rPr>
            </w:pPr>
            <w:r>
              <w:rPr>
                <w:rFonts w:ascii="Arial" w:hAnsi="Arial" w:cs="Arial"/>
                <w:lang w:eastAsia="es-CO"/>
              </w:rPr>
              <w:t>$ 61.908.008</w:t>
            </w:r>
          </w:p>
        </w:tc>
      </w:tr>
      <w:tr w:rsidR="00926CB4" w:rsidRPr="00C76457" w14:paraId="02A45DEC" w14:textId="77777777" w:rsidTr="00915023">
        <w:trPr>
          <w:trHeight w:val="1042"/>
          <w:jc w:val="center"/>
        </w:trPr>
        <w:tc>
          <w:tcPr>
            <w:tcW w:w="2864" w:type="dxa"/>
            <w:vAlign w:val="center"/>
          </w:tcPr>
          <w:p w14:paraId="7DBF10FA" w14:textId="77777777" w:rsidR="00926CB4" w:rsidRDefault="00926CB4">
            <w:pPr>
              <w:jc w:val="center"/>
              <w:rPr>
                <w:rFonts w:ascii="Arial" w:hAnsi="Arial" w:cs="Arial"/>
                <w:b/>
                <w:bCs/>
                <w:lang w:eastAsia="es-CO"/>
              </w:rPr>
            </w:pPr>
            <w:r w:rsidRPr="00486D43">
              <w:rPr>
                <w:rFonts w:ascii="Arial" w:hAnsi="Arial" w:cs="Arial"/>
                <w:b/>
                <w:bCs/>
                <w:lang w:eastAsia="es-CO"/>
              </w:rPr>
              <w:t>EXTRACCIÓN, CARGUE, TRANSPORTE Y DISPOSICIÓN FINAL DE SUELO IMPACTADO</w:t>
            </w:r>
          </w:p>
        </w:tc>
        <w:tc>
          <w:tcPr>
            <w:tcW w:w="1895" w:type="dxa"/>
            <w:vAlign w:val="center"/>
          </w:tcPr>
          <w:p w14:paraId="25FB54D0" w14:textId="77777777" w:rsidR="00926CB4" w:rsidRPr="00C76457" w:rsidRDefault="00926CB4">
            <w:pPr>
              <w:jc w:val="center"/>
              <w:rPr>
                <w:rFonts w:ascii="Arial" w:hAnsi="Arial" w:cs="Arial"/>
                <w:lang w:eastAsia="es-CO"/>
              </w:rPr>
            </w:pPr>
            <w:r>
              <w:rPr>
                <w:rFonts w:ascii="Arial" w:hAnsi="Arial" w:cs="Arial"/>
                <w:lang w:eastAsia="es-CO"/>
              </w:rPr>
              <w:t>m</w:t>
            </w:r>
            <w:r w:rsidRPr="007B7535">
              <w:rPr>
                <w:rFonts w:ascii="Arial" w:hAnsi="Arial" w:cs="Arial"/>
                <w:vertAlign w:val="superscript"/>
                <w:lang w:eastAsia="es-CO"/>
              </w:rPr>
              <w:t>3</w:t>
            </w:r>
          </w:p>
        </w:tc>
        <w:tc>
          <w:tcPr>
            <w:tcW w:w="1332" w:type="dxa"/>
            <w:vAlign w:val="center"/>
          </w:tcPr>
          <w:p w14:paraId="35F16B22" w14:textId="77777777" w:rsidR="00926CB4" w:rsidRPr="00C76457" w:rsidRDefault="00926CB4">
            <w:pPr>
              <w:jc w:val="center"/>
              <w:rPr>
                <w:rFonts w:ascii="Arial" w:hAnsi="Arial" w:cs="Arial"/>
                <w:lang w:eastAsia="es-CO"/>
              </w:rPr>
            </w:pPr>
            <w:r>
              <w:rPr>
                <w:rFonts w:ascii="Arial" w:hAnsi="Arial" w:cs="Arial"/>
                <w:lang w:eastAsia="es-CO"/>
              </w:rPr>
              <w:t>397.52</w:t>
            </w:r>
          </w:p>
        </w:tc>
        <w:tc>
          <w:tcPr>
            <w:tcW w:w="2126" w:type="dxa"/>
            <w:vAlign w:val="center"/>
          </w:tcPr>
          <w:p w14:paraId="09A7BA57" w14:textId="77777777" w:rsidR="00926CB4" w:rsidRPr="00C76457" w:rsidRDefault="00926CB4">
            <w:pPr>
              <w:jc w:val="center"/>
              <w:rPr>
                <w:rFonts w:ascii="Arial" w:hAnsi="Arial" w:cs="Arial"/>
                <w:lang w:eastAsia="es-CO"/>
              </w:rPr>
            </w:pPr>
            <w:r>
              <w:rPr>
                <w:rFonts w:ascii="Arial" w:hAnsi="Arial" w:cs="Arial"/>
                <w:lang w:eastAsia="es-CO"/>
              </w:rPr>
              <w:t>$ 587.202.763</w:t>
            </w:r>
          </w:p>
        </w:tc>
      </w:tr>
      <w:tr w:rsidR="00926CB4" w:rsidRPr="004C5901" w14:paraId="4C5E334D" w14:textId="77777777" w:rsidTr="00915023">
        <w:trPr>
          <w:trHeight w:val="313"/>
          <w:jc w:val="center"/>
        </w:trPr>
        <w:tc>
          <w:tcPr>
            <w:tcW w:w="2864" w:type="dxa"/>
            <w:shd w:val="clear" w:color="auto" w:fill="D9D9D9" w:themeFill="background1" w:themeFillShade="D9"/>
            <w:vAlign w:val="center"/>
          </w:tcPr>
          <w:p w14:paraId="76B3D0B1" w14:textId="77777777" w:rsidR="00926CB4" w:rsidRPr="004C5901" w:rsidRDefault="00926CB4">
            <w:pPr>
              <w:spacing w:line="276" w:lineRule="auto"/>
              <w:jc w:val="center"/>
              <w:rPr>
                <w:rFonts w:ascii="Arial" w:hAnsi="Arial" w:cs="Arial"/>
                <w:b/>
                <w:bCs/>
                <w:lang w:eastAsia="es-CO"/>
              </w:rPr>
            </w:pPr>
            <w:r w:rsidRPr="004C5901">
              <w:rPr>
                <w:rFonts w:ascii="Arial" w:hAnsi="Arial" w:cs="Arial"/>
                <w:b/>
                <w:bCs/>
                <w:lang w:eastAsia="es-CO"/>
              </w:rPr>
              <w:t>TOTAL</w:t>
            </w:r>
          </w:p>
        </w:tc>
        <w:tc>
          <w:tcPr>
            <w:tcW w:w="1895" w:type="dxa"/>
            <w:shd w:val="clear" w:color="auto" w:fill="D9D9D9" w:themeFill="background1" w:themeFillShade="D9"/>
          </w:tcPr>
          <w:p w14:paraId="6B5A0BB7" w14:textId="77777777" w:rsidR="00926CB4" w:rsidRPr="00915023" w:rsidRDefault="00926CB4">
            <w:pPr>
              <w:jc w:val="center"/>
              <w:rPr>
                <w:rFonts w:ascii="Arial" w:hAnsi="Arial" w:cs="Arial"/>
                <w:b/>
                <w:bCs/>
                <w:sz w:val="24"/>
                <w:szCs w:val="24"/>
                <w:lang w:eastAsia="es-CO"/>
              </w:rPr>
            </w:pPr>
          </w:p>
        </w:tc>
        <w:tc>
          <w:tcPr>
            <w:tcW w:w="1332" w:type="dxa"/>
            <w:shd w:val="clear" w:color="auto" w:fill="D9D9D9" w:themeFill="background1" w:themeFillShade="D9"/>
          </w:tcPr>
          <w:p w14:paraId="78804E28" w14:textId="77777777" w:rsidR="00926CB4" w:rsidRPr="00915023" w:rsidRDefault="00926CB4">
            <w:pPr>
              <w:jc w:val="center"/>
              <w:rPr>
                <w:rFonts w:ascii="Arial" w:hAnsi="Arial" w:cs="Arial"/>
                <w:b/>
                <w:bCs/>
                <w:sz w:val="24"/>
                <w:szCs w:val="24"/>
                <w:lang w:eastAsia="es-CO"/>
              </w:rPr>
            </w:pPr>
          </w:p>
        </w:tc>
        <w:tc>
          <w:tcPr>
            <w:tcW w:w="2126" w:type="dxa"/>
            <w:shd w:val="clear" w:color="auto" w:fill="D9D9D9" w:themeFill="background1" w:themeFillShade="D9"/>
            <w:vAlign w:val="center"/>
          </w:tcPr>
          <w:p w14:paraId="6D435D46" w14:textId="77777777" w:rsidR="00926CB4" w:rsidRPr="004C5901" w:rsidRDefault="00926CB4">
            <w:pPr>
              <w:spacing w:line="276" w:lineRule="auto"/>
              <w:jc w:val="center"/>
              <w:rPr>
                <w:rFonts w:ascii="Arial" w:hAnsi="Arial" w:cs="Arial"/>
                <w:b/>
                <w:bCs/>
                <w:lang w:eastAsia="es-CO"/>
              </w:rPr>
            </w:pPr>
            <w:r w:rsidRPr="00915023">
              <w:rPr>
                <w:rFonts w:ascii="Arial" w:hAnsi="Arial" w:cs="Arial"/>
                <w:b/>
                <w:bCs/>
                <w:sz w:val="24"/>
                <w:szCs w:val="24"/>
                <w:lang w:eastAsia="es-CO"/>
              </w:rPr>
              <w:t>$ 3.757.773.272</w:t>
            </w:r>
          </w:p>
        </w:tc>
      </w:tr>
    </w:tbl>
    <w:p w14:paraId="54E2E7F7" w14:textId="77777777" w:rsidR="00926CB4" w:rsidRPr="004C5901" w:rsidRDefault="00926CB4" w:rsidP="00926CB4">
      <w:pPr>
        <w:spacing w:after="0"/>
        <w:jc w:val="both"/>
        <w:rPr>
          <w:rFonts w:ascii="Arial" w:eastAsia="Times New Roman" w:hAnsi="Arial" w:cs="Arial"/>
          <w:lang w:val="es-MX" w:eastAsia="es-CO"/>
        </w:rPr>
      </w:pPr>
    </w:p>
    <w:p w14:paraId="7210DBB5" w14:textId="3818E81D" w:rsidR="00125502" w:rsidRDefault="00926CB4" w:rsidP="00926CB4">
      <w:pPr>
        <w:spacing w:after="0"/>
        <w:jc w:val="both"/>
        <w:rPr>
          <w:rFonts w:ascii="Arial" w:eastAsia="Times New Roman" w:hAnsi="Arial" w:cs="Arial"/>
          <w:iCs/>
          <w:lang w:eastAsia="es-ES"/>
        </w:rPr>
      </w:pPr>
      <w:r w:rsidRPr="004C5901">
        <w:rPr>
          <w:rFonts w:ascii="Arial" w:eastAsia="Times New Roman" w:hAnsi="Arial" w:cs="Arial"/>
          <w:lang w:val="es-MX" w:eastAsia="es-CO"/>
        </w:rPr>
        <w:lastRenderedPageBreak/>
        <w:t xml:space="preserve">Por lo expuesto, el valor </w:t>
      </w:r>
      <w:r w:rsidRPr="00915023">
        <w:rPr>
          <w:rFonts w:ascii="Arial" w:eastAsia="Times New Roman" w:hAnsi="Arial" w:cs="Arial"/>
          <w:lang w:val="es-MX" w:eastAsia="es-CO"/>
        </w:rPr>
        <w:t>d</w:t>
      </w:r>
      <w:r w:rsidRPr="004C5901">
        <w:rPr>
          <w:rFonts w:ascii="Arial" w:eastAsia="Times New Roman" w:hAnsi="Arial" w:cs="Arial"/>
          <w:lang w:val="es-MX" w:eastAsia="es-CO"/>
        </w:rPr>
        <w:t>el presupuesto oficial para la presente contratación se establece en</w:t>
      </w:r>
      <w:r w:rsidRPr="004C5901">
        <w:rPr>
          <w:rFonts w:ascii="Arial" w:eastAsia="Times New Roman" w:hAnsi="Arial" w:cs="Arial"/>
          <w:b/>
          <w:lang w:val="es-MX" w:eastAsia="es-CO"/>
        </w:rPr>
        <w:t xml:space="preserve"> </w:t>
      </w:r>
      <w:r w:rsidRPr="00915023">
        <w:rPr>
          <w:rFonts w:ascii="Arial" w:eastAsia="Times New Roman" w:hAnsi="Arial" w:cs="Arial"/>
          <w:b/>
          <w:lang w:val="es-MX" w:eastAsia="es-CO"/>
        </w:rPr>
        <w:t xml:space="preserve">TRES MIL SETECIENTOS CINCUENTA Y SIETE MILLONES SETECIENTOS SETENTA Y TRES MIL DOSCIENTOS SETENTA Y DOS </w:t>
      </w:r>
      <w:r w:rsidR="00B16D23">
        <w:rPr>
          <w:rFonts w:ascii="Arial" w:eastAsia="Times New Roman" w:hAnsi="Arial" w:cs="Arial"/>
          <w:b/>
          <w:lang w:val="es-MX" w:eastAsia="es-CO"/>
        </w:rPr>
        <w:t xml:space="preserve">PESOS </w:t>
      </w:r>
      <w:r w:rsidRPr="00915023">
        <w:rPr>
          <w:rFonts w:ascii="Arial" w:eastAsia="Times New Roman" w:hAnsi="Arial" w:cs="Arial"/>
          <w:b/>
          <w:lang w:val="es-MX" w:eastAsia="es-CO"/>
        </w:rPr>
        <w:t xml:space="preserve">MONEDA LEGAL COLOMBIANA </w:t>
      </w:r>
      <w:r w:rsidRPr="004C5901">
        <w:rPr>
          <w:rFonts w:ascii="Arial" w:eastAsia="Times New Roman" w:hAnsi="Arial" w:cs="Arial"/>
          <w:b/>
          <w:lang w:val="es-MX" w:eastAsia="es-CO"/>
        </w:rPr>
        <w:t>($</w:t>
      </w:r>
      <w:r w:rsidRPr="00915023">
        <w:rPr>
          <w:rFonts w:ascii="Arial" w:hAnsi="Arial" w:cs="Arial"/>
          <w:b/>
          <w:bCs/>
          <w:lang w:eastAsia="es-CO"/>
        </w:rPr>
        <w:t>3.757.773.272</w:t>
      </w:r>
      <w:r w:rsidRPr="004C5901">
        <w:rPr>
          <w:rFonts w:ascii="Arial" w:eastAsia="Times New Roman" w:hAnsi="Arial" w:cs="Arial"/>
          <w:b/>
          <w:lang w:val="es-MX" w:eastAsia="es-CO"/>
        </w:rPr>
        <w:t>)</w:t>
      </w:r>
      <w:r w:rsidR="00125502" w:rsidRPr="004C5901">
        <w:rPr>
          <w:rFonts w:ascii="Arial" w:eastAsia="Times New Roman" w:hAnsi="Arial" w:cs="Arial"/>
          <w:b/>
          <w:lang w:val="es-MX" w:eastAsia="es-CO"/>
        </w:rPr>
        <w:t xml:space="preserve">, </w:t>
      </w:r>
      <w:r w:rsidR="00125502" w:rsidRPr="004C5901">
        <w:rPr>
          <w:rFonts w:ascii="Arial" w:eastAsia="Times New Roman" w:hAnsi="Arial" w:cs="Arial"/>
          <w:iCs/>
          <w:lang w:eastAsia="es-ES"/>
        </w:rPr>
        <w:t>incluido IVA y todos los gastos, impuestos, deducciones, retenciones, tasas y gravámenes a que legalmente haya lugar, así como los costos directos e indirectos que se generen.</w:t>
      </w:r>
    </w:p>
    <w:p w14:paraId="586BE97D" w14:textId="77777777" w:rsidR="002671CD" w:rsidRDefault="002671CD" w:rsidP="002671CD">
      <w:pPr>
        <w:pStyle w:val="Ttulo1"/>
        <w:spacing w:before="0"/>
        <w:rPr>
          <w:color w:val="auto"/>
          <w:kern w:val="36"/>
          <w:sz w:val="22"/>
          <w:szCs w:val="22"/>
        </w:rPr>
      </w:pPr>
      <w:bookmarkStart w:id="54" w:name="_Toc209707502"/>
    </w:p>
    <w:p w14:paraId="16C6400F" w14:textId="50EABD45" w:rsidR="00A57545" w:rsidRPr="00C76457" w:rsidRDefault="00DA25CE" w:rsidP="00915023">
      <w:pPr>
        <w:pStyle w:val="Ttulo1"/>
        <w:spacing w:before="0"/>
        <w:rPr>
          <w:rFonts w:cs="Arial"/>
          <w:color w:val="auto"/>
          <w:sz w:val="22"/>
          <w:szCs w:val="24"/>
        </w:rPr>
      </w:pPr>
      <w:bookmarkStart w:id="55" w:name="_Toc242091258"/>
      <w:r w:rsidRPr="00DA25CE">
        <w:rPr>
          <w:color w:val="auto"/>
          <w:kern w:val="36"/>
          <w:sz w:val="22"/>
          <w:szCs w:val="22"/>
        </w:rPr>
        <w:t xml:space="preserve">7.    </w:t>
      </w:r>
      <w:r w:rsidRPr="00C76457">
        <w:rPr>
          <w:rFonts w:cs="Arial"/>
          <w:color w:val="auto"/>
          <w:sz w:val="22"/>
          <w:szCs w:val="24"/>
        </w:rPr>
        <w:t>ANEXOS</w:t>
      </w:r>
      <w:bookmarkEnd w:id="54"/>
      <w:bookmarkEnd w:id="55"/>
    </w:p>
    <w:p w14:paraId="53B3F2F5" w14:textId="77777777" w:rsidR="00241D38" w:rsidRPr="00C76457" w:rsidRDefault="00241D38" w:rsidP="00616FE1">
      <w:pPr>
        <w:pStyle w:val="Sinespaciado"/>
        <w:spacing w:line="276" w:lineRule="auto"/>
        <w:rPr>
          <w:rFonts w:cs="Arial"/>
          <w:color w:val="auto"/>
        </w:rPr>
      </w:pPr>
    </w:p>
    <w:p w14:paraId="69AF987A" w14:textId="7675B23D" w:rsidR="0049278D" w:rsidRPr="00DF6BE9" w:rsidRDefault="0049278D" w:rsidP="00616FE1">
      <w:pPr>
        <w:pStyle w:val="Sinespaciado"/>
        <w:spacing w:line="276" w:lineRule="auto"/>
        <w:rPr>
          <w:rFonts w:cs="Arial"/>
          <w:color w:val="auto"/>
        </w:rPr>
      </w:pPr>
      <w:r w:rsidRPr="1ACA1088">
        <w:rPr>
          <w:rFonts w:cs="Arial"/>
          <w:color w:val="auto"/>
        </w:rPr>
        <w:t xml:space="preserve">Anexo 1. </w:t>
      </w:r>
      <w:r w:rsidRPr="00DF6BE9">
        <w:rPr>
          <w:rFonts w:cs="Arial"/>
          <w:b w:val="0"/>
          <w:bCs/>
          <w:color w:val="auto"/>
        </w:rPr>
        <w:t>Cuadro Experiencia Relacionada Proveedores</w:t>
      </w:r>
    </w:p>
    <w:p w14:paraId="04B87DF4" w14:textId="77777777" w:rsidR="00241D38" w:rsidRPr="00C76457" w:rsidRDefault="00241D38" w:rsidP="002F1D05">
      <w:pPr>
        <w:spacing w:after="0"/>
        <w:rPr>
          <w:rFonts w:ascii="Arial" w:eastAsia="Times New Roman" w:hAnsi="Arial" w:cs="Arial"/>
          <w:lang w:eastAsia="es-CO"/>
        </w:rPr>
      </w:pPr>
    </w:p>
    <w:p w14:paraId="26AFD0F5" w14:textId="1CF5D859" w:rsidR="1F03D9B7" w:rsidRDefault="1F03D9B7" w:rsidP="1F03D9B7">
      <w:pPr>
        <w:spacing w:after="0"/>
        <w:rPr>
          <w:rFonts w:ascii="Arial" w:eastAsia="Times New Roman" w:hAnsi="Arial" w:cs="Arial"/>
          <w:lang w:eastAsia="es-CO"/>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2D7F91" w:rsidRPr="00C76457" w14:paraId="43DA029F" w14:textId="77777777" w:rsidTr="00616FE1">
        <w:trPr>
          <w:trHeight w:val="452"/>
        </w:trPr>
        <w:tc>
          <w:tcPr>
            <w:tcW w:w="9108" w:type="dxa"/>
            <w:tcBorders>
              <w:top w:val="single" w:sz="4" w:space="0" w:color="auto"/>
              <w:left w:val="single" w:sz="4" w:space="0" w:color="auto"/>
              <w:right w:val="single" w:sz="4" w:space="0" w:color="auto"/>
            </w:tcBorders>
            <w:shd w:val="clear" w:color="auto" w:fill="E6E6E6"/>
            <w:vAlign w:val="center"/>
          </w:tcPr>
          <w:p w14:paraId="5147A035" w14:textId="75F967EE" w:rsidR="002D7F91" w:rsidRPr="00C76457" w:rsidRDefault="002D7F91" w:rsidP="00616FE1">
            <w:pPr>
              <w:tabs>
                <w:tab w:val="left" w:pos="5706"/>
              </w:tabs>
              <w:spacing w:after="0"/>
              <w:jc w:val="center"/>
              <w:rPr>
                <w:rFonts w:ascii="Arial" w:eastAsia="ZTR1C.tmp" w:hAnsi="Arial" w:cs="Arial"/>
                <w:b/>
                <w:lang w:val="es-ES" w:eastAsia="es-ES"/>
              </w:rPr>
            </w:pPr>
            <w:r w:rsidRPr="00C76457">
              <w:rPr>
                <w:rFonts w:ascii="Arial" w:eastAsia="ZTR1C.tmp" w:hAnsi="Arial" w:cs="Arial"/>
                <w:b/>
                <w:lang w:val="es-ES" w:eastAsia="es-ES"/>
              </w:rPr>
              <w:t>7. Área responsable de la adquisición</w:t>
            </w:r>
          </w:p>
        </w:tc>
      </w:tr>
      <w:tr w:rsidR="002D7F91" w:rsidRPr="00C76457" w14:paraId="1C0D9E33" w14:textId="77777777" w:rsidTr="0089361B">
        <w:trPr>
          <w:trHeight w:val="1892"/>
        </w:trPr>
        <w:tc>
          <w:tcPr>
            <w:tcW w:w="9108" w:type="dxa"/>
            <w:tcBorders>
              <w:top w:val="single" w:sz="4" w:space="0" w:color="auto"/>
              <w:left w:val="single" w:sz="4" w:space="0" w:color="auto"/>
              <w:bottom w:val="single" w:sz="4" w:space="0" w:color="auto"/>
              <w:right w:val="single" w:sz="4" w:space="0" w:color="auto"/>
            </w:tcBorders>
          </w:tcPr>
          <w:p w14:paraId="1DA360C9" w14:textId="77777777" w:rsidR="002D7F91" w:rsidRPr="00C76457" w:rsidRDefault="002D7F91" w:rsidP="00616FE1">
            <w:pPr>
              <w:tabs>
                <w:tab w:val="left" w:pos="5706"/>
              </w:tabs>
              <w:spacing w:after="0"/>
              <w:rPr>
                <w:rFonts w:ascii="Arial" w:eastAsia="ZTR1C.tmp" w:hAnsi="Arial" w:cs="Arial"/>
                <w:b/>
                <w:lang w:val="es-ES" w:eastAsia="es-ES"/>
              </w:rPr>
            </w:pPr>
            <w:r w:rsidRPr="00C76457">
              <w:rPr>
                <w:rFonts w:ascii="Arial" w:eastAsia="ZTR1C.tmp" w:hAnsi="Arial" w:cs="Arial"/>
                <w:b/>
                <w:lang w:val="es-ES" w:eastAsia="es-ES"/>
              </w:rPr>
              <w:t>Aprobó:</w:t>
            </w:r>
            <w:r w:rsidRPr="00C76457">
              <w:rPr>
                <w:rFonts w:ascii="Arial" w:eastAsia="ZTR1C.tmp" w:hAnsi="Arial" w:cs="Arial"/>
                <w:bCs/>
                <w:lang w:val="es-ES" w:eastAsia="es-ES"/>
              </w:rPr>
              <w:t xml:space="preserve"> Subgerente de Infraestructura</w:t>
            </w:r>
          </w:p>
          <w:p w14:paraId="1FC4BC63" w14:textId="0D868BC6" w:rsidR="002D7F91" w:rsidRPr="00C76457" w:rsidRDefault="002D7F91" w:rsidP="00616FE1">
            <w:pPr>
              <w:tabs>
                <w:tab w:val="left" w:pos="5706"/>
              </w:tabs>
              <w:spacing w:after="0"/>
              <w:rPr>
                <w:rFonts w:ascii="Arial" w:eastAsia="ZTR1C.tmp" w:hAnsi="Arial" w:cs="Arial"/>
                <w:b/>
                <w:lang w:val="es-ES" w:eastAsia="es-ES"/>
              </w:rPr>
            </w:pPr>
            <w:r w:rsidRPr="00C76457">
              <w:rPr>
                <w:rFonts w:ascii="Arial" w:eastAsia="ZTR1C.tmp" w:hAnsi="Arial" w:cs="Arial"/>
                <w:b/>
                <w:lang w:val="es-ES" w:eastAsia="es-ES"/>
              </w:rPr>
              <w:t>Nombre:</w:t>
            </w:r>
            <w:r w:rsidRPr="00C76457">
              <w:rPr>
                <w:rFonts w:ascii="Arial" w:eastAsia="ZTR1C.tmp" w:hAnsi="Arial" w:cs="Arial"/>
                <w:bCs/>
                <w:lang w:val="es-ES" w:eastAsia="es-ES"/>
              </w:rPr>
              <w:t xml:space="preserve"> </w:t>
            </w:r>
            <w:r w:rsidR="002D661A">
              <w:rPr>
                <w:rFonts w:ascii="Arial" w:eastAsia="ZTR1C.tmp" w:hAnsi="Arial" w:cs="Arial"/>
                <w:bCs/>
                <w:lang w:val="es-ES" w:eastAsia="es-ES"/>
              </w:rPr>
              <w:t>Katherin</w:t>
            </w:r>
            <w:r w:rsidR="00FE3D78">
              <w:rPr>
                <w:rFonts w:ascii="Arial" w:eastAsia="ZTR1C.tmp" w:hAnsi="Arial" w:cs="Arial"/>
                <w:bCs/>
                <w:lang w:val="es-ES" w:eastAsia="es-ES"/>
              </w:rPr>
              <w:t xml:space="preserve"> </w:t>
            </w:r>
            <w:r w:rsidR="002D661A">
              <w:rPr>
                <w:rFonts w:ascii="Arial" w:eastAsia="ZTR1C.tmp" w:hAnsi="Arial" w:cs="Arial"/>
                <w:bCs/>
                <w:lang w:val="es-ES" w:eastAsia="es-ES"/>
              </w:rPr>
              <w:t>Sandoval</w:t>
            </w:r>
            <w:r w:rsidR="00FE3D78">
              <w:rPr>
                <w:rFonts w:ascii="Arial" w:eastAsia="ZTR1C.tmp" w:hAnsi="Arial" w:cs="Arial"/>
                <w:bCs/>
                <w:lang w:val="es-ES" w:eastAsia="es-ES"/>
              </w:rPr>
              <w:t xml:space="preserve"> Chacón</w:t>
            </w:r>
          </w:p>
          <w:p w14:paraId="597BF2BC" w14:textId="77777777" w:rsidR="002D7F91" w:rsidRPr="00C76457" w:rsidRDefault="002D7F91" w:rsidP="00616FE1">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 xml:space="preserve">Dependencia: </w:t>
            </w:r>
            <w:r w:rsidRPr="00C76457">
              <w:rPr>
                <w:rFonts w:ascii="Arial" w:eastAsia="ZTR1C.tmp" w:hAnsi="Arial" w:cs="Arial"/>
                <w:bCs/>
                <w:lang w:val="es-ES" w:eastAsia="es-ES"/>
              </w:rPr>
              <w:t>Subgerencia de Infraestructura</w:t>
            </w:r>
          </w:p>
          <w:p w14:paraId="031C0F29" w14:textId="77777777" w:rsidR="002D7F91" w:rsidRPr="00C76457" w:rsidRDefault="002D7F91" w:rsidP="00616FE1">
            <w:pPr>
              <w:tabs>
                <w:tab w:val="left" w:pos="5706"/>
              </w:tabs>
              <w:spacing w:after="0"/>
              <w:rPr>
                <w:rFonts w:ascii="Arial" w:eastAsia="ZTR1C.tmp" w:hAnsi="Arial" w:cs="Arial"/>
                <w:b/>
                <w:lang w:val="es-ES" w:eastAsia="es-ES"/>
              </w:rPr>
            </w:pPr>
          </w:p>
          <w:p w14:paraId="667E4AD8" w14:textId="77777777" w:rsidR="002D7F91" w:rsidRPr="00C76457" w:rsidRDefault="002D7F91" w:rsidP="00616FE1">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Elaboró:</w:t>
            </w:r>
            <w:r w:rsidRPr="00C76457">
              <w:rPr>
                <w:rFonts w:ascii="Arial" w:eastAsia="ZTR1C.tmp" w:hAnsi="Arial" w:cs="Arial"/>
                <w:bCs/>
                <w:lang w:val="es-ES" w:eastAsia="es-ES"/>
              </w:rPr>
              <w:t xml:space="preserve"> Profesional Universitario Gr. 03 Gestión Ambiental</w:t>
            </w:r>
          </w:p>
          <w:p w14:paraId="160A2E18" w14:textId="77777777" w:rsidR="002D7F91" w:rsidRPr="00C76457" w:rsidRDefault="002D7F91" w:rsidP="00616FE1">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Nombre:</w:t>
            </w:r>
            <w:r w:rsidRPr="00C76457">
              <w:rPr>
                <w:rFonts w:ascii="Arial" w:eastAsia="ZTR1C.tmp" w:hAnsi="Arial" w:cs="Arial"/>
                <w:bCs/>
                <w:lang w:val="es-ES" w:eastAsia="es-ES"/>
              </w:rPr>
              <w:t xml:space="preserve"> Deisy Rocío Vargas Torres</w:t>
            </w:r>
          </w:p>
          <w:p w14:paraId="1F970F3C" w14:textId="77777777" w:rsidR="002D7F91" w:rsidRPr="00C76457" w:rsidRDefault="002D7F91" w:rsidP="00616FE1">
            <w:pPr>
              <w:tabs>
                <w:tab w:val="left" w:pos="5706"/>
              </w:tabs>
              <w:spacing w:after="0"/>
              <w:rPr>
                <w:rFonts w:ascii="Arial" w:eastAsia="ZTR1C.tmp" w:hAnsi="Arial" w:cs="Arial"/>
                <w:b/>
                <w:lang w:val="es-ES" w:eastAsia="es-ES"/>
              </w:rPr>
            </w:pPr>
          </w:p>
          <w:p w14:paraId="7F01CAA1" w14:textId="43223740" w:rsidR="008C4416" w:rsidRPr="00C76457" w:rsidRDefault="008C4416" w:rsidP="008C4416">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Elaboró:</w:t>
            </w:r>
            <w:r w:rsidRPr="00C76457">
              <w:rPr>
                <w:rFonts w:ascii="Arial" w:eastAsia="ZTR1C.tmp" w:hAnsi="Arial" w:cs="Arial"/>
                <w:bCs/>
                <w:lang w:val="es-ES" w:eastAsia="es-ES"/>
              </w:rPr>
              <w:t xml:space="preserve"> Profesional </w:t>
            </w:r>
            <w:r>
              <w:rPr>
                <w:rFonts w:ascii="Arial" w:eastAsia="ZTR1C.tmp" w:hAnsi="Arial" w:cs="Arial"/>
                <w:bCs/>
                <w:lang w:val="es-ES" w:eastAsia="es-ES"/>
              </w:rPr>
              <w:t>Contratista Apoyo Financiero</w:t>
            </w:r>
            <w:r w:rsidR="004C2382">
              <w:rPr>
                <w:rFonts w:ascii="Arial" w:eastAsia="ZTR1C.tmp" w:hAnsi="Arial" w:cs="Arial"/>
                <w:bCs/>
                <w:lang w:val="es-ES" w:eastAsia="es-ES"/>
              </w:rPr>
              <w:t xml:space="preserve"> – Dirección de Contratación</w:t>
            </w:r>
          </w:p>
          <w:p w14:paraId="02C7864B" w14:textId="0152671A" w:rsidR="008C4416" w:rsidRPr="00C76457" w:rsidRDefault="008C4416" w:rsidP="008C4416">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Nombre:</w:t>
            </w:r>
            <w:r w:rsidRPr="00C76457">
              <w:rPr>
                <w:rFonts w:ascii="Arial" w:eastAsia="ZTR1C.tmp" w:hAnsi="Arial" w:cs="Arial"/>
                <w:bCs/>
                <w:lang w:val="es-ES" w:eastAsia="es-ES"/>
              </w:rPr>
              <w:t xml:space="preserve"> </w:t>
            </w:r>
            <w:r>
              <w:rPr>
                <w:rFonts w:ascii="Arial" w:eastAsia="ZTR1C.tmp" w:hAnsi="Arial" w:cs="Arial"/>
                <w:bCs/>
                <w:lang w:val="es-ES" w:eastAsia="es-ES"/>
              </w:rPr>
              <w:t xml:space="preserve">Miguel Darío Duque Vargas </w:t>
            </w:r>
          </w:p>
          <w:p w14:paraId="3C88CE10" w14:textId="77777777" w:rsidR="008C4416" w:rsidRDefault="008C4416" w:rsidP="00A357EF">
            <w:pPr>
              <w:tabs>
                <w:tab w:val="left" w:pos="5706"/>
              </w:tabs>
              <w:spacing w:after="0"/>
              <w:rPr>
                <w:rFonts w:ascii="Arial" w:eastAsia="ZTR1C.tmp" w:hAnsi="Arial" w:cs="Arial"/>
                <w:b/>
                <w:lang w:val="es-ES" w:eastAsia="es-ES"/>
              </w:rPr>
            </w:pPr>
          </w:p>
          <w:p w14:paraId="20FEB18E" w14:textId="77777777" w:rsidR="00A73C5C" w:rsidRPr="00C76457" w:rsidRDefault="00A73C5C" w:rsidP="00A73C5C">
            <w:pPr>
              <w:tabs>
                <w:tab w:val="left" w:pos="5706"/>
              </w:tabs>
              <w:spacing w:after="0"/>
              <w:rPr>
                <w:rFonts w:ascii="Arial" w:eastAsia="ZTR1C.tmp" w:hAnsi="Arial" w:cs="Arial"/>
                <w:bCs/>
                <w:lang w:val="es-ES" w:eastAsia="es-ES"/>
              </w:rPr>
            </w:pPr>
            <w:r>
              <w:rPr>
                <w:rFonts w:ascii="Arial" w:eastAsia="ZTR1C.tmp" w:hAnsi="Arial" w:cs="Arial"/>
                <w:b/>
                <w:lang w:val="es-ES" w:eastAsia="es-ES"/>
              </w:rPr>
              <w:t>Elabor</w:t>
            </w:r>
            <w:r w:rsidRPr="00C76457">
              <w:rPr>
                <w:rFonts w:ascii="Arial" w:eastAsia="ZTR1C.tmp" w:hAnsi="Arial" w:cs="Arial"/>
                <w:b/>
                <w:lang w:val="es-ES" w:eastAsia="es-ES"/>
              </w:rPr>
              <w:t xml:space="preserve">ó: </w:t>
            </w:r>
            <w:r w:rsidRPr="00C76457">
              <w:rPr>
                <w:rFonts w:ascii="Arial" w:eastAsia="ZTR1C.tmp" w:hAnsi="Arial" w:cs="Arial"/>
                <w:bCs/>
                <w:lang w:val="es-ES" w:eastAsia="es-ES"/>
              </w:rPr>
              <w:t>Profesional Contratista Apoyo Técnico</w:t>
            </w:r>
          </w:p>
          <w:p w14:paraId="65EE667B" w14:textId="77777777" w:rsidR="00A73C5C" w:rsidRPr="00C76457" w:rsidRDefault="00A73C5C" w:rsidP="00A73C5C">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Nombre:</w:t>
            </w:r>
            <w:r w:rsidRPr="00C76457">
              <w:rPr>
                <w:rFonts w:ascii="Arial" w:eastAsia="ZTR1C.tmp" w:hAnsi="Arial" w:cs="Arial"/>
                <w:bCs/>
                <w:lang w:val="es-ES" w:eastAsia="es-ES"/>
              </w:rPr>
              <w:t xml:space="preserve"> </w:t>
            </w:r>
            <w:r>
              <w:rPr>
                <w:rFonts w:ascii="Arial" w:eastAsia="ZTR1C.tmp" w:hAnsi="Arial" w:cs="Arial"/>
                <w:bCs/>
                <w:lang w:val="es-ES" w:eastAsia="es-ES"/>
              </w:rPr>
              <w:t>Sebastián Gómez Morales</w:t>
            </w:r>
          </w:p>
          <w:p w14:paraId="31D6F9CE" w14:textId="77777777" w:rsidR="00A73C5C" w:rsidRDefault="00A73C5C" w:rsidP="00616FE1">
            <w:pPr>
              <w:tabs>
                <w:tab w:val="left" w:pos="5706"/>
              </w:tabs>
              <w:spacing w:after="0"/>
              <w:rPr>
                <w:rFonts w:ascii="Arial" w:eastAsia="ZTR1C.tmp" w:hAnsi="Arial" w:cs="Arial"/>
                <w:b/>
                <w:lang w:val="es-ES" w:eastAsia="es-ES"/>
              </w:rPr>
            </w:pPr>
          </w:p>
          <w:p w14:paraId="01303356" w14:textId="4EA52DB3" w:rsidR="002D7F91" w:rsidRPr="00C76457" w:rsidRDefault="002D7F91" w:rsidP="00616FE1">
            <w:pPr>
              <w:tabs>
                <w:tab w:val="left" w:pos="5706"/>
              </w:tabs>
              <w:spacing w:after="0"/>
              <w:rPr>
                <w:rFonts w:ascii="Arial" w:eastAsia="ZTR1C.tmp" w:hAnsi="Arial" w:cs="Arial"/>
                <w:bCs/>
                <w:lang w:val="es-ES" w:eastAsia="es-ES"/>
              </w:rPr>
            </w:pPr>
            <w:r w:rsidRPr="00C76457">
              <w:rPr>
                <w:rFonts w:ascii="Arial" w:eastAsia="ZTR1C.tmp" w:hAnsi="Arial" w:cs="Arial"/>
                <w:b/>
                <w:lang w:val="es-ES" w:eastAsia="es-ES"/>
              </w:rPr>
              <w:t xml:space="preserve">Revisó: </w:t>
            </w:r>
            <w:r w:rsidRPr="00C76457">
              <w:rPr>
                <w:rFonts w:ascii="Arial" w:eastAsia="ZTR1C.tmp" w:hAnsi="Arial" w:cs="Arial"/>
                <w:bCs/>
                <w:lang w:val="es-ES" w:eastAsia="es-ES"/>
              </w:rPr>
              <w:t>Profesional Contratista Apoyo Contractual</w:t>
            </w:r>
          </w:p>
          <w:p w14:paraId="36A96828" w14:textId="47198F21" w:rsidR="002D7F91" w:rsidRPr="00C76457" w:rsidRDefault="002D7F91" w:rsidP="00A73C5C">
            <w:pPr>
              <w:tabs>
                <w:tab w:val="left" w:pos="5706"/>
              </w:tabs>
              <w:spacing w:after="0"/>
              <w:rPr>
                <w:rFonts w:ascii="Arial" w:eastAsia="ZTR1C.tmp" w:hAnsi="Arial" w:cs="Arial"/>
                <w:b/>
                <w:color w:val="FF0000"/>
                <w:lang w:val="es-ES" w:eastAsia="es-ES"/>
              </w:rPr>
            </w:pPr>
            <w:r w:rsidRPr="00C76457">
              <w:rPr>
                <w:rFonts w:ascii="Arial" w:eastAsia="ZTR1C.tmp" w:hAnsi="Arial" w:cs="Arial"/>
                <w:b/>
                <w:lang w:val="es-ES" w:eastAsia="es-ES"/>
              </w:rPr>
              <w:t>Nombre:</w:t>
            </w:r>
            <w:r w:rsidRPr="00C76457">
              <w:rPr>
                <w:rFonts w:ascii="Arial" w:eastAsia="ZTR1C.tmp" w:hAnsi="Arial" w:cs="Arial"/>
                <w:bCs/>
                <w:lang w:val="es-ES" w:eastAsia="es-ES"/>
              </w:rPr>
              <w:t xml:space="preserve"> Daniela Mercedes Guerrero Vence</w:t>
            </w:r>
          </w:p>
        </w:tc>
      </w:tr>
      <w:tr w:rsidR="002D7F91" w:rsidRPr="00C76457" w14:paraId="6FD49BA2" w14:textId="77777777" w:rsidTr="0089361B">
        <w:trPr>
          <w:trHeight w:val="279"/>
        </w:trPr>
        <w:tc>
          <w:tcPr>
            <w:tcW w:w="9108" w:type="dxa"/>
            <w:tcBorders>
              <w:top w:val="single" w:sz="4" w:space="0" w:color="auto"/>
              <w:left w:val="single" w:sz="4" w:space="0" w:color="auto"/>
              <w:right w:val="single" w:sz="4" w:space="0" w:color="auto"/>
            </w:tcBorders>
          </w:tcPr>
          <w:p w14:paraId="517AD1EF" w14:textId="411730C4" w:rsidR="002D7F91" w:rsidRPr="00C76457" w:rsidRDefault="002D7F91" w:rsidP="00616FE1">
            <w:pPr>
              <w:tabs>
                <w:tab w:val="left" w:pos="5706"/>
              </w:tabs>
              <w:spacing w:after="0"/>
              <w:rPr>
                <w:rFonts w:ascii="Arial" w:eastAsia="ZTR1C.tmp" w:hAnsi="Arial" w:cs="Arial"/>
                <w:b/>
                <w:lang w:val="es-ES" w:eastAsia="es-ES"/>
              </w:rPr>
            </w:pPr>
            <w:r w:rsidRPr="00C76457">
              <w:rPr>
                <w:rFonts w:ascii="Arial" w:eastAsia="ZTR1C.tmp" w:hAnsi="Arial" w:cs="Arial"/>
                <w:b/>
                <w:lang w:val="es-ES" w:eastAsia="es-ES"/>
              </w:rPr>
              <w:t xml:space="preserve">Fecha de elaboración del estudio: </w:t>
            </w:r>
            <w:r w:rsidRPr="00C76457">
              <w:rPr>
                <w:rFonts w:ascii="Arial" w:eastAsia="ZTR1C.tmp" w:hAnsi="Arial" w:cs="Arial"/>
                <w:lang w:val="es-ES" w:eastAsia="es-ES"/>
              </w:rPr>
              <w:t>(</w:t>
            </w:r>
            <w:r w:rsidR="00DD7BB7">
              <w:rPr>
                <w:rFonts w:ascii="Arial" w:eastAsia="ZTR1C.tmp" w:hAnsi="Arial" w:cs="Arial"/>
                <w:lang w:val="es-ES" w:eastAsia="es-ES"/>
              </w:rPr>
              <w:t>05</w:t>
            </w:r>
            <w:r w:rsidRPr="00C76457">
              <w:rPr>
                <w:rFonts w:ascii="Arial" w:eastAsia="ZTR1C.tmp" w:hAnsi="Arial" w:cs="Arial"/>
                <w:lang w:val="es-ES" w:eastAsia="es-ES"/>
              </w:rPr>
              <w:t>/</w:t>
            </w:r>
            <w:r w:rsidR="00DD7BB7">
              <w:rPr>
                <w:rFonts w:ascii="Arial" w:eastAsia="ZTR1C.tmp" w:hAnsi="Arial" w:cs="Arial"/>
                <w:lang w:val="es-ES" w:eastAsia="es-ES"/>
              </w:rPr>
              <w:t>10</w:t>
            </w:r>
            <w:r w:rsidRPr="00C76457">
              <w:rPr>
                <w:rFonts w:ascii="Arial" w:eastAsia="ZTR1C.tmp" w:hAnsi="Arial" w:cs="Arial"/>
                <w:lang w:val="es-ES" w:eastAsia="es-ES"/>
              </w:rPr>
              <w:t>/2026)</w:t>
            </w:r>
            <w:r w:rsidRPr="00C76457">
              <w:rPr>
                <w:rFonts w:ascii="Arial" w:eastAsia="ZTR1C.tmp" w:hAnsi="Arial" w:cs="Arial"/>
                <w:b/>
                <w:lang w:val="es-ES" w:eastAsia="es-ES"/>
              </w:rPr>
              <w:t xml:space="preserve"> </w:t>
            </w:r>
          </w:p>
        </w:tc>
      </w:tr>
    </w:tbl>
    <w:p w14:paraId="3241B5C5" w14:textId="77777777" w:rsidR="002F1D05" w:rsidRPr="00C76457" w:rsidRDefault="002F1D05" w:rsidP="00616FE1">
      <w:pPr>
        <w:tabs>
          <w:tab w:val="left" w:pos="3152"/>
        </w:tabs>
        <w:spacing w:after="0"/>
        <w:rPr>
          <w:rFonts w:ascii="Arial" w:hAnsi="Arial" w:cs="Arial"/>
        </w:rPr>
      </w:pPr>
    </w:p>
    <w:p w14:paraId="20AC56B1" w14:textId="3E857A37" w:rsidR="0083314E" w:rsidRPr="002E791D" w:rsidRDefault="0083314E" w:rsidP="006122A6">
      <w:pPr>
        <w:spacing w:after="0"/>
        <w:jc w:val="center"/>
        <w:rPr>
          <w:rFonts w:ascii="Arial" w:hAnsi="Arial" w:cs="Arial"/>
          <w:b/>
          <w:bCs/>
        </w:rPr>
      </w:pPr>
      <w:r w:rsidRPr="1ACA1088">
        <w:rPr>
          <w:rFonts w:ascii="Arial" w:hAnsi="Arial" w:cs="Arial"/>
        </w:rPr>
        <w:br w:type="page"/>
      </w:r>
      <w:r w:rsidRPr="1ACA1088">
        <w:rPr>
          <w:rFonts w:ascii="Arial" w:hAnsi="Arial" w:cs="Arial"/>
          <w:b/>
          <w:bCs/>
        </w:rPr>
        <w:lastRenderedPageBreak/>
        <w:t>ANEXO 1.  EXPERIENCIA RELACIONADA PROVEEDORES</w:t>
      </w:r>
    </w:p>
    <w:p w14:paraId="1ECFB054" w14:textId="77777777" w:rsidR="004267FA" w:rsidRDefault="004267FA" w:rsidP="00616FE1">
      <w:pPr>
        <w:spacing w:after="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43"/>
        <w:gridCol w:w="1779"/>
        <w:gridCol w:w="2497"/>
        <w:gridCol w:w="1623"/>
        <w:gridCol w:w="1386"/>
      </w:tblGrid>
      <w:tr w:rsidR="00AA1934" w:rsidRPr="00BB0812" w14:paraId="3D3479BA" w14:textId="77777777" w:rsidTr="00F17FD2">
        <w:trPr>
          <w:trHeight w:val="401"/>
        </w:trPr>
        <w:tc>
          <w:tcPr>
            <w:tcW w:w="0" w:type="auto"/>
            <w:shd w:val="clear" w:color="auto" w:fill="FFFFFF"/>
            <w:vAlign w:val="center"/>
            <w:hideMark/>
          </w:tcPr>
          <w:p w14:paraId="32AE6309" w14:textId="211EC9B4" w:rsidR="00AA1934" w:rsidRPr="00BB0812" w:rsidRDefault="004E43A3" w:rsidP="00616FE1">
            <w:pPr>
              <w:spacing w:after="0"/>
              <w:jc w:val="center"/>
              <w:rPr>
                <w:rFonts w:ascii="Arial" w:hAnsi="Arial" w:cs="Arial"/>
                <w:b/>
                <w:bCs/>
                <w:sz w:val="18"/>
                <w:szCs w:val="18"/>
              </w:rPr>
            </w:pPr>
            <w:r w:rsidRPr="00BB0812">
              <w:rPr>
                <w:rFonts w:ascii="Arial" w:hAnsi="Arial" w:cs="Arial"/>
                <w:b/>
                <w:bCs/>
                <w:sz w:val="18"/>
                <w:szCs w:val="18"/>
              </w:rPr>
              <w:t>PROVEEDOR</w:t>
            </w:r>
          </w:p>
        </w:tc>
        <w:tc>
          <w:tcPr>
            <w:tcW w:w="0" w:type="auto"/>
            <w:shd w:val="clear" w:color="auto" w:fill="FFFFFF"/>
            <w:vAlign w:val="center"/>
            <w:hideMark/>
          </w:tcPr>
          <w:p w14:paraId="671A1CFE" w14:textId="13FD2648" w:rsidR="00AA1934" w:rsidRPr="00BB0812" w:rsidRDefault="004E43A3" w:rsidP="00616FE1">
            <w:pPr>
              <w:spacing w:after="0"/>
              <w:jc w:val="center"/>
              <w:rPr>
                <w:rFonts w:ascii="Arial" w:hAnsi="Arial" w:cs="Arial"/>
                <w:b/>
                <w:bCs/>
                <w:sz w:val="18"/>
                <w:szCs w:val="18"/>
              </w:rPr>
            </w:pPr>
            <w:r w:rsidRPr="00BB0812">
              <w:rPr>
                <w:rFonts w:ascii="Arial" w:hAnsi="Arial" w:cs="Arial"/>
                <w:b/>
                <w:bCs/>
                <w:sz w:val="18"/>
                <w:szCs w:val="18"/>
              </w:rPr>
              <w:t>ENTIDAD CONTRATANTE</w:t>
            </w:r>
          </w:p>
        </w:tc>
        <w:tc>
          <w:tcPr>
            <w:tcW w:w="0" w:type="auto"/>
            <w:shd w:val="clear" w:color="auto" w:fill="FFFFFF"/>
            <w:vAlign w:val="center"/>
            <w:hideMark/>
          </w:tcPr>
          <w:p w14:paraId="6FD73C79" w14:textId="61B004A4" w:rsidR="00AA1934" w:rsidRPr="00BB0812" w:rsidRDefault="004E43A3" w:rsidP="00616FE1">
            <w:pPr>
              <w:spacing w:after="0"/>
              <w:jc w:val="center"/>
              <w:rPr>
                <w:rFonts w:ascii="Arial" w:hAnsi="Arial" w:cs="Arial"/>
                <w:b/>
                <w:bCs/>
                <w:sz w:val="18"/>
                <w:szCs w:val="18"/>
              </w:rPr>
            </w:pPr>
            <w:r w:rsidRPr="00BB0812">
              <w:rPr>
                <w:rFonts w:ascii="Arial" w:hAnsi="Arial" w:cs="Arial"/>
                <w:b/>
                <w:bCs/>
                <w:sz w:val="18"/>
                <w:szCs w:val="18"/>
              </w:rPr>
              <w:t>OBJETO DEL CONTRATO</w:t>
            </w:r>
          </w:p>
        </w:tc>
        <w:tc>
          <w:tcPr>
            <w:tcW w:w="0" w:type="auto"/>
            <w:shd w:val="clear" w:color="auto" w:fill="FFFFFF"/>
            <w:vAlign w:val="center"/>
            <w:hideMark/>
          </w:tcPr>
          <w:p w14:paraId="2F37E5FE" w14:textId="29CB035F" w:rsidR="00AA1934" w:rsidRPr="00BB0812" w:rsidRDefault="004E43A3" w:rsidP="00616FE1">
            <w:pPr>
              <w:spacing w:after="0"/>
              <w:jc w:val="center"/>
              <w:rPr>
                <w:rFonts w:ascii="Arial" w:hAnsi="Arial" w:cs="Arial"/>
                <w:b/>
                <w:bCs/>
                <w:sz w:val="18"/>
                <w:szCs w:val="18"/>
              </w:rPr>
            </w:pPr>
            <w:r w:rsidRPr="00BB0812">
              <w:rPr>
                <w:rFonts w:ascii="Arial" w:hAnsi="Arial" w:cs="Arial"/>
                <w:b/>
                <w:bCs/>
                <w:sz w:val="18"/>
                <w:szCs w:val="18"/>
              </w:rPr>
              <w:t>VALOR DEL CONTRATO</w:t>
            </w:r>
          </w:p>
        </w:tc>
        <w:tc>
          <w:tcPr>
            <w:tcW w:w="0" w:type="auto"/>
            <w:shd w:val="clear" w:color="auto" w:fill="FFFFFF"/>
            <w:vAlign w:val="center"/>
            <w:hideMark/>
          </w:tcPr>
          <w:p w14:paraId="0E7F1AD1" w14:textId="63651A52" w:rsidR="00AA1934" w:rsidRPr="00BB0812" w:rsidRDefault="004E43A3" w:rsidP="00616FE1">
            <w:pPr>
              <w:spacing w:after="0"/>
              <w:jc w:val="center"/>
              <w:rPr>
                <w:rFonts w:ascii="Arial" w:hAnsi="Arial" w:cs="Arial"/>
                <w:b/>
                <w:bCs/>
                <w:sz w:val="18"/>
                <w:szCs w:val="18"/>
              </w:rPr>
            </w:pPr>
            <w:r w:rsidRPr="00BB0812">
              <w:rPr>
                <w:rFonts w:ascii="Arial" w:hAnsi="Arial" w:cs="Arial"/>
                <w:b/>
                <w:bCs/>
                <w:sz w:val="18"/>
                <w:szCs w:val="18"/>
              </w:rPr>
              <w:t>PLAZO DE EJECUCIÓN</w:t>
            </w:r>
          </w:p>
        </w:tc>
      </w:tr>
      <w:tr w:rsidR="00AA1934" w:rsidRPr="00BB0812" w14:paraId="4AFCA618" w14:textId="77777777" w:rsidTr="00F17FD2">
        <w:tc>
          <w:tcPr>
            <w:tcW w:w="0" w:type="auto"/>
            <w:vMerge w:val="restart"/>
            <w:shd w:val="clear" w:color="auto" w:fill="FFFFFF"/>
            <w:vAlign w:val="center"/>
            <w:hideMark/>
          </w:tcPr>
          <w:p w14:paraId="212E9815" w14:textId="44D7FE78" w:rsidR="00AA1934" w:rsidRPr="004E43A3" w:rsidRDefault="004E43A3" w:rsidP="00616FE1">
            <w:pPr>
              <w:spacing w:after="0"/>
              <w:jc w:val="center"/>
              <w:rPr>
                <w:rFonts w:ascii="Arial" w:hAnsi="Arial" w:cs="Arial"/>
                <w:sz w:val="18"/>
                <w:szCs w:val="18"/>
              </w:rPr>
            </w:pPr>
            <w:r w:rsidRPr="004E43A3">
              <w:rPr>
                <w:rFonts w:ascii="Arial" w:hAnsi="Arial" w:cs="Arial"/>
                <w:sz w:val="18"/>
                <w:szCs w:val="18"/>
              </w:rPr>
              <w:t>AMBIPAR RESPONSE</w:t>
            </w:r>
          </w:p>
        </w:tc>
        <w:tc>
          <w:tcPr>
            <w:tcW w:w="0" w:type="auto"/>
            <w:shd w:val="clear" w:color="auto" w:fill="FFFFFF"/>
            <w:vAlign w:val="center"/>
            <w:hideMark/>
          </w:tcPr>
          <w:p w14:paraId="138D2A5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Combustibles H&amp;R Ltda.</w:t>
            </w:r>
          </w:p>
        </w:tc>
        <w:tc>
          <w:tcPr>
            <w:tcW w:w="0" w:type="auto"/>
            <w:shd w:val="clear" w:color="auto" w:fill="FFFFFF"/>
            <w:vAlign w:val="center"/>
            <w:hideMark/>
          </w:tcPr>
          <w:p w14:paraId="299EBEE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Pozos monitoreo y obra civil EDS</w:t>
            </w:r>
          </w:p>
        </w:tc>
        <w:tc>
          <w:tcPr>
            <w:tcW w:w="0" w:type="auto"/>
            <w:shd w:val="clear" w:color="auto" w:fill="FFFFFF"/>
            <w:vAlign w:val="center"/>
            <w:hideMark/>
          </w:tcPr>
          <w:p w14:paraId="4A0E4F3A"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$60.000.000</w:t>
            </w:r>
          </w:p>
        </w:tc>
        <w:tc>
          <w:tcPr>
            <w:tcW w:w="0" w:type="auto"/>
            <w:shd w:val="clear" w:color="auto" w:fill="FFFFFF"/>
            <w:vAlign w:val="center"/>
            <w:hideMark/>
          </w:tcPr>
          <w:p w14:paraId="22023D7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30 días</w:t>
            </w:r>
          </w:p>
        </w:tc>
      </w:tr>
      <w:tr w:rsidR="00AA1934" w:rsidRPr="00BB0812" w14:paraId="585C1AFB" w14:textId="77777777" w:rsidTr="00F17FD2">
        <w:tc>
          <w:tcPr>
            <w:tcW w:w="0" w:type="auto"/>
            <w:vMerge/>
            <w:shd w:val="clear" w:color="auto" w:fill="FFFFFF"/>
            <w:vAlign w:val="center"/>
            <w:hideMark/>
          </w:tcPr>
          <w:p w14:paraId="597CB278"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1FD797F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TGI</w:t>
            </w:r>
          </w:p>
        </w:tc>
        <w:tc>
          <w:tcPr>
            <w:tcW w:w="0" w:type="auto"/>
            <w:shd w:val="clear" w:color="auto" w:fill="FFFFFF"/>
            <w:vAlign w:val="center"/>
            <w:hideMark/>
          </w:tcPr>
          <w:p w14:paraId="2CEC8CB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Mantenimiento sistemas tratamiento aguas</w:t>
            </w:r>
          </w:p>
        </w:tc>
        <w:tc>
          <w:tcPr>
            <w:tcW w:w="0" w:type="auto"/>
            <w:shd w:val="clear" w:color="auto" w:fill="FFFFFF"/>
            <w:vAlign w:val="center"/>
            <w:hideMark/>
          </w:tcPr>
          <w:p w14:paraId="09DED04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$252.951.512</w:t>
            </w:r>
          </w:p>
        </w:tc>
        <w:tc>
          <w:tcPr>
            <w:tcW w:w="0" w:type="auto"/>
            <w:shd w:val="clear" w:color="auto" w:fill="FFFFFF"/>
            <w:vAlign w:val="center"/>
            <w:hideMark/>
          </w:tcPr>
          <w:p w14:paraId="43E8E31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 año</w:t>
            </w:r>
          </w:p>
        </w:tc>
      </w:tr>
      <w:tr w:rsidR="00AA1934" w:rsidRPr="00BB0812" w14:paraId="0F7B9D60" w14:textId="77777777" w:rsidTr="00F17FD2">
        <w:tc>
          <w:tcPr>
            <w:tcW w:w="0" w:type="auto"/>
            <w:vMerge/>
            <w:shd w:val="clear" w:color="auto" w:fill="FFFFFF"/>
            <w:vAlign w:val="center"/>
            <w:hideMark/>
          </w:tcPr>
          <w:p w14:paraId="6083E92C"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3F951C9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Ocensa</w:t>
            </w:r>
          </w:p>
        </w:tc>
        <w:tc>
          <w:tcPr>
            <w:tcW w:w="0" w:type="auto"/>
            <w:shd w:val="clear" w:color="auto" w:fill="FFFFFF"/>
            <w:vAlign w:val="center"/>
            <w:hideMark/>
          </w:tcPr>
          <w:p w14:paraId="5676C45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Manejo emergencias terminales Coveñas y Vasconia</w:t>
            </w:r>
          </w:p>
        </w:tc>
        <w:tc>
          <w:tcPr>
            <w:tcW w:w="0" w:type="auto"/>
            <w:shd w:val="clear" w:color="auto" w:fill="FFFFFF"/>
            <w:vAlign w:val="center"/>
            <w:hideMark/>
          </w:tcPr>
          <w:p w14:paraId="2558192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$26.945.140.985</w:t>
            </w:r>
          </w:p>
        </w:tc>
        <w:tc>
          <w:tcPr>
            <w:tcW w:w="0" w:type="auto"/>
            <w:shd w:val="clear" w:color="auto" w:fill="FFFFFF"/>
            <w:vAlign w:val="center"/>
            <w:hideMark/>
          </w:tcPr>
          <w:p w14:paraId="3FC8A55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Hasta 2025</w:t>
            </w:r>
          </w:p>
        </w:tc>
      </w:tr>
      <w:tr w:rsidR="00AA1934" w:rsidRPr="00BB0812" w14:paraId="222DB5DB" w14:textId="77777777" w:rsidTr="00F17FD2">
        <w:tc>
          <w:tcPr>
            <w:tcW w:w="0" w:type="auto"/>
            <w:vMerge/>
            <w:shd w:val="clear" w:color="auto" w:fill="FFFFFF"/>
            <w:vAlign w:val="center"/>
            <w:hideMark/>
          </w:tcPr>
          <w:p w14:paraId="14512A25"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08CA7EBF"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Consorcio día</w:t>
            </w:r>
          </w:p>
        </w:tc>
        <w:tc>
          <w:tcPr>
            <w:tcW w:w="0" w:type="auto"/>
            <w:shd w:val="clear" w:color="auto" w:fill="FFFFFF"/>
            <w:vAlign w:val="center"/>
            <w:hideMark/>
          </w:tcPr>
          <w:p w14:paraId="5B6D2CCB"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Respuesta técnica incidentes hidrocarburos</w:t>
            </w:r>
          </w:p>
        </w:tc>
        <w:tc>
          <w:tcPr>
            <w:tcW w:w="0" w:type="auto"/>
            <w:shd w:val="clear" w:color="auto" w:fill="FFFFFF"/>
            <w:vAlign w:val="center"/>
            <w:hideMark/>
          </w:tcPr>
          <w:p w14:paraId="065C458F"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$260.000.000</w:t>
            </w:r>
          </w:p>
        </w:tc>
        <w:tc>
          <w:tcPr>
            <w:tcW w:w="0" w:type="auto"/>
            <w:shd w:val="clear" w:color="auto" w:fill="FFFFFF"/>
            <w:vAlign w:val="center"/>
            <w:hideMark/>
          </w:tcPr>
          <w:p w14:paraId="1CE5425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Desde 2015</w:t>
            </w:r>
          </w:p>
        </w:tc>
      </w:tr>
      <w:tr w:rsidR="00AA1934" w:rsidRPr="00BB0812" w14:paraId="47C8270C" w14:textId="77777777" w:rsidTr="00F17FD2">
        <w:tc>
          <w:tcPr>
            <w:tcW w:w="0" w:type="auto"/>
            <w:vMerge w:val="restart"/>
            <w:shd w:val="clear" w:color="auto" w:fill="FFFFFF"/>
            <w:vAlign w:val="center"/>
            <w:hideMark/>
          </w:tcPr>
          <w:p w14:paraId="4EA64E47" w14:textId="0DE61031" w:rsidR="00AA1934" w:rsidRPr="004E43A3" w:rsidRDefault="004E43A3" w:rsidP="00616FE1">
            <w:pPr>
              <w:spacing w:after="0"/>
              <w:jc w:val="center"/>
              <w:rPr>
                <w:rFonts w:ascii="Arial" w:hAnsi="Arial" w:cs="Arial"/>
                <w:sz w:val="18"/>
                <w:szCs w:val="18"/>
              </w:rPr>
            </w:pPr>
            <w:r w:rsidRPr="004E43A3">
              <w:rPr>
                <w:rFonts w:ascii="Arial" w:hAnsi="Arial" w:cs="Arial"/>
                <w:sz w:val="18"/>
                <w:szCs w:val="18"/>
              </w:rPr>
              <w:t>2M ESTUDIO</w:t>
            </w:r>
          </w:p>
        </w:tc>
        <w:tc>
          <w:tcPr>
            <w:tcW w:w="0" w:type="auto"/>
            <w:shd w:val="clear" w:color="auto" w:fill="FFFFFF"/>
            <w:vAlign w:val="center"/>
            <w:hideMark/>
          </w:tcPr>
          <w:p w14:paraId="5D15CAB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 xml:space="preserve">Iglesia Misión Carismática </w:t>
            </w:r>
            <w:proofErr w:type="spellStart"/>
            <w:r w:rsidRPr="00BB0812">
              <w:rPr>
                <w:rFonts w:ascii="Arial" w:hAnsi="Arial" w:cs="Arial"/>
                <w:sz w:val="18"/>
                <w:szCs w:val="18"/>
              </w:rPr>
              <w:t>Intl</w:t>
            </w:r>
            <w:proofErr w:type="spellEnd"/>
            <w:r w:rsidRPr="00BB0812">
              <w:rPr>
                <w:rFonts w:ascii="Arial" w:hAnsi="Arial" w:cs="Arial"/>
                <w:sz w:val="18"/>
                <w:szCs w:val="18"/>
              </w:rPr>
              <w:t>.</w:t>
            </w:r>
          </w:p>
        </w:tc>
        <w:tc>
          <w:tcPr>
            <w:tcW w:w="0" w:type="auto"/>
            <w:shd w:val="clear" w:color="auto" w:fill="FFFFFF"/>
            <w:vAlign w:val="center"/>
            <w:hideMark/>
          </w:tcPr>
          <w:p w14:paraId="280EAEEA"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Remediación ambiental, demolición y excavación</w:t>
            </w:r>
          </w:p>
        </w:tc>
        <w:tc>
          <w:tcPr>
            <w:tcW w:w="0" w:type="auto"/>
            <w:shd w:val="clear" w:color="auto" w:fill="FFFFFF"/>
            <w:vAlign w:val="center"/>
            <w:hideMark/>
          </w:tcPr>
          <w:p w14:paraId="5659181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$358.389.296</w:t>
            </w:r>
          </w:p>
        </w:tc>
        <w:tc>
          <w:tcPr>
            <w:tcW w:w="0" w:type="auto"/>
            <w:shd w:val="clear" w:color="auto" w:fill="FFFFFF"/>
            <w:vAlign w:val="center"/>
            <w:hideMark/>
          </w:tcPr>
          <w:p w14:paraId="32FDA5A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43 días</w:t>
            </w:r>
          </w:p>
        </w:tc>
      </w:tr>
      <w:tr w:rsidR="00AA1934" w:rsidRPr="00BB0812" w14:paraId="7FCB7E8C" w14:textId="77777777" w:rsidTr="00F17FD2">
        <w:tc>
          <w:tcPr>
            <w:tcW w:w="0" w:type="auto"/>
            <w:vMerge/>
            <w:shd w:val="clear" w:color="auto" w:fill="FFFFFF"/>
            <w:vAlign w:val="center"/>
            <w:hideMark/>
          </w:tcPr>
          <w:p w14:paraId="648EC01D"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536D00AF" w14:textId="77777777" w:rsidR="00AA1934" w:rsidRPr="00BB0812" w:rsidRDefault="00AA1934" w:rsidP="00616FE1">
            <w:pPr>
              <w:spacing w:after="0"/>
              <w:jc w:val="center"/>
              <w:rPr>
                <w:rFonts w:ascii="Arial" w:hAnsi="Arial" w:cs="Arial"/>
                <w:sz w:val="18"/>
                <w:szCs w:val="18"/>
              </w:rPr>
            </w:pPr>
            <w:proofErr w:type="spellStart"/>
            <w:r w:rsidRPr="00BB0812">
              <w:rPr>
                <w:rFonts w:ascii="Arial" w:hAnsi="Arial" w:cs="Arial"/>
                <w:sz w:val="18"/>
                <w:szCs w:val="18"/>
              </w:rPr>
              <w:t>Hidrogeocol</w:t>
            </w:r>
            <w:proofErr w:type="spellEnd"/>
            <w:r w:rsidRPr="00BB0812">
              <w:rPr>
                <w:rFonts w:ascii="Arial" w:hAnsi="Arial" w:cs="Arial"/>
                <w:sz w:val="18"/>
                <w:szCs w:val="18"/>
              </w:rPr>
              <w:t xml:space="preserve"> S.A.S</w:t>
            </w:r>
          </w:p>
        </w:tc>
        <w:tc>
          <w:tcPr>
            <w:tcW w:w="0" w:type="auto"/>
            <w:shd w:val="clear" w:color="auto" w:fill="FFFFFF"/>
            <w:vAlign w:val="center"/>
            <w:hideMark/>
          </w:tcPr>
          <w:p w14:paraId="17C025D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Obra civil desmantelamiento EDS Patio Norte TM</w:t>
            </w:r>
          </w:p>
        </w:tc>
        <w:tc>
          <w:tcPr>
            <w:tcW w:w="0" w:type="auto"/>
            <w:shd w:val="clear" w:color="auto" w:fill="FFFFFF"/>
            <w:vAlign w:val="center"/>
            <w:hideMark/>
          </w:tcPr>
          <w:p w14:paraId="4178BB5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$84.367.378</w:t>
            </w:r>
          </w:p>
        </w:tc>
        <w:tc>
          <w:tcPr>
            <w:tcW w:w="0" w:type="auto"/>
            <w:shd w:val="clear" w:color="auto" w:fill="FFFFFF"/>
            <w:vAlign w:val="center"/>
            <w:hideMark/>
          </w:tcPr>
          <w:p w14:paraId="4FB8CE3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50 días</w:t>
            </w:r>
          </w:p>
        </w:tc>
      </w:tr>
      <w:tr w:rsidR="00AA1934" w:rsidRPr="00BB0812" w14:paraId="4D5413C1" w14:textId="77777777" w:rsidTr="00F17FD2">
        <w:tc>
          <w:tcPr>
            <w:tcW w:w="0" w:type="auto"/>
            <w:vMerge/>
            <w:shd w:val="clear" w:color="auto" w:fill="FFFFFF"/>
            <w:vAlign w:val="center"/>
            <w:hideMark/>
          </w:tcPr>
          <w:p w14:paraId="3CC2C303"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16C01133" w14:textId="77777777" w:rsidR="00AA1934" w:rsidRPr="00BB0812" w:rsidRDefault="00AA1934" w:rsidP="00616FE1">
            <w:pPr>
              <w:spacing w:after="0"/>
              <w:jc w:val="center"/>
              <w:rPr>
                <w:rFonts w:ascii="Arial" w:hAnsi="Arial" w:cs="Arial"/>
                <w:sz w:val="18"/>
                <w:szCs w:val="18"/>
              </w:rPr>
            </w:pPr>
            <w:proofErr w:type="spellStart"/>
            <w:r w:rsidRPr="00BB0812">
              <w:rPr>
                <w:rFonts w:ascii="Arial" w:hAnsi="Arial" w:cs="Arial"/>
                <w:sz w:val="18"/>
                <w:szCs w:val="18"/>
              </w:rPr>
              <w:t>Hidrogeocol</w:t>
            </w:r>
            <w:proofErr w:type="spellEnd"/>
            <w:r w:rsidRPr="00BB0812">
              <w:rPr>
                <w:rFonts w:ascii="Arial" w:hAnsi="Arial" w:cs="Arial"/>
                <w:sz w:val="18"/>
                <w:szCs w:val="18"/>
              </w:rPr>
              <w:t xml:space="preserve"> S.A.S</w:t>
            </w:r>
          </w:p>
        </w:tc>
        <w:tc>
          <w:tcPr>
            <w:tcW w:w="0" w:type="auto"/>
            <w:shd w:val="clear" w:color="auto" w:fill="FFFFFF"/>
            <w:vAlign w:val="center"/>
            <w:hideMark/>
          </w:tcPr>
          <w:p w14:paraId="6160937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Excavación suelos contaminados EDS Patio Norte TM</w:t>
            </w:r>
          </w:p>
        </w:tc>
        <w:tc>
          <w:tcPr>
            <w:tcW w:w="0" w:type="auto"/>
            <w:shd w:val="clear" w:color="auto" w:fill="FFFFFF"/>
            <w:vAlign w:val="center"/>
            <w:hideMark/>
          </w:tcPr>
          <w:p w14:paraId="5106101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$321.104.340</w:t>
            </w:r>
          </w:p>
        </w:tc>
        <w:tc>
          <w:tcPr>
            <w:tcW w:w="0" w:type="auto"/>
            <w:shd w:val="clear" w:color="auto" w:fill="FFFFFF"/>
            <w:vAlign w:val="center"/>
            <w:hideMark/>
          </w:tcPr>
          <w:p w14:paraId="70A38C8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50 días</w:t>
            </w:r>
          </w:p>
        </w:tc>
      </w:tr>
      <w:tr w:rsidR="00AA1934" w:rsidRPr="00BB0812" w14:paraId="0B1E48D4" w14:textId="77777777" w:rsidTr="00F17FD2">
        <w:tc>
          <w:tcPr>
            <w:tcW w:w="0" w:type="auto"/>
            <w:vMerge/>
            <w:shd w:val="clear" w:color="auto" w:fill="FFFFFF"/>
            <w:vAlign w:val="center"/>
            <w:hideMark/>
          </w:tcPr>
          <w:p w14:paraId="2D86A9CF"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222D23BF" w14:textId="77777777" w:rsidR="00AA1934" w:rsidRPr="00BB0812" w:rsidRDefault="00AA1934" w:rsidP="00616FE1">
            <w:pPr>
              <w:spacing w:after="0"/>
              <w:jc w:val="center"/>
              <w:rPr>
                <w:rFonts w:ascii="Arial" w:hAnsi="Arial" w:cs="Arial"/>
                <w:sz w:val="18"/>
                <w:szCs w:val="18"/>
              </w:rPr>
            </w:pPr>
            <w:proofErr w:type="spellStart"/>
            <w:r w:rsidRPr="00BB0812">
              <w:rPr>
                <w:rFonts w:ascii="Arial" w:hAnsi="Arial" w:cs="Arial"/>
                <w:sz w:val="18"/>
                <w:szCs w:val="18"/>
              </w:rPr>
              <w:t>Hidrogeocol</w:t>
            </w:r>
            <w:proofErr w:type="spellEnd"/>
            <w:r w:rsidRPr="00BB0812">
              <w:rPr>
                <w:rFonts w:ascii="Arial" w:hAnsi="Arial" w:cs="Arial"/>
                <w:sz w:val="18"/>
                <w:szCs w:val="18"/>
              </w:rPr>
              <w:t xml:space="preserve"> S.A.S</w:t>
            </w:r>
          </w:p>
        </w:tc>
        <w:tc>
          <w:tcPr>
            <w:tcW w:w="0" w:type="auto"/>
            <w:shd w:val="clear" w:color="auto" w:fill="FFFFFF"/>
            <w:vAlign w:val="center"/>
            <w:hideMark/>
          </w:tcPr>
          <w:p w14:paraId="38C11D0B"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Etapa II Excavación suelos Patio Norte TM</w:t>
            </w:r>
          </w:p>
        </w:tc>
        <w:tc>
          <w:tcPr>
            <w:tcW w:w="0" w:type="auto"/>
            <w:shd w:val="clear" w:color="auto" w:fill="FFFFFF"/>
            <w:vAlign w:val="center"/>
            <w:hideMark/>
          </w:tcPr>
          <w:p w14:paraId="638413D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$937.483.308</w:t>
            </w:r>
          </w:p>
        </w:tc>
        <w:tc>
          <w:tcPr>
            <w:tcW w:w="0" w:type="auto"/>
            <w:shd w:val="clear" w:color="auto" w:fill="FFFFFF"/>
            <w:vAlign w:val="center"/>
            <w:hideMark/>
          </w:tcPr>
          <w:p w14:paraId="5CFA586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120 días</w:t>
            </w:r>
          </w:p>
        </w:tc>
      </w:tr>
      <w:tr w:rsidR="00AA1934" w:rsidRPr="00BB0812" w14:paraId="6546D75D" w14:textId="77777777" w:rsidTr="00F17FD2">
        <w:tc>
          <w:tcPr>
            <w:tcW w:w="0" w:type="auto"/>
            <w:vMerge/>
            <w:shd w:val="clear" w:color="auto" w:fill="FFFFFF"/>
            <w:vAlign w:val="center"/>
            <w:hideMark/>
          </w:tcPr>
          <w:p w14:paraId="23DCA597"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62C94AA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 xml:space="preserve">Iglesia Misión Carismática </w:t>
            </w:r>
            <w:proofErr w:type="spellStart"/>
            <w:r w:rsidRPr="00BB0812">
              <w:rPr>
                <w:rFonts w:ascii="Arial" w:hAnsi="Arial" w:cs="Arial"/>
                <w:sz w:val="18"/>
                <w:szCs w:val="18"/>
              </w:rPr>
              <w:t>Intl</w:t>
            </w:r>
            <w:proofErr w:type="spellEnd"/>
            <w:r w:rsidRPr="00BB0812">
              <w:rPr>
                <w:rFonts w:ascii="Arial" w:hAnsi="Arial" w:cs="Arial"/>
                <w:sz w:val="18"/>
                <w:szCs w:val="18"/>
              </w:rPr>
              <w:t>.</w:t>
            </w:r>
          </w:p>
        </w:tc>
        <w:tc>
          <w:tcPr>
            <w:tcW w:w="0" w:type="auto"/>
            <w:shd w:val="clear" w:color="auto" w:fill="FFFFFF"/>
            <w:vAlign w:val="center"/>
            <w:hideMark/>
          </w:tcPr>
          <w:p w14:paraId="5F41B65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Etapa II Remediación ambiental y asfalto</w:t>
            </w:r>
          </w:p>
        </w:tc>
        <w:tc>
          <w:tcPr>
            <w:tcW w:w="0" w:type="auto"/>
            <w:shd w:val="clear" w:color="auto" w:fill="FFFFFF"/>
            <w:vAlign w:val="center"/>
            <w:hideMark/>
          </w:tcPr>
          <w:p w14:paraId="76FE1BD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$579.066.601</w:t>
            </w:r>
          </w:p>
        </w:tc>
        <w:tc>
          <w:tcPr>
            <w:tcW w:w="0" w:type="auto"/>
            <w:shd w:val="clear" w:color="auto" w:fill="FFFFFF"/>
            <w:vAlign w:val="center"/>
            <w:hideMark/>
          </w:tcPr>
          <w:p w14:paraId="0D7F3CA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40 días</w:t>
            </w:r>
          </w:p>
        </w:tc>
      </w:tr>
      <w:tr w:rsidR="00AA1934" w:rsidRPr="00BB0812" w14:paraId="35CAD94B" w14:textId="77777777" w:rsidTr="00F17FD2">
        <w:tc>
          <w:tcPr>
            <w:tcW w:w="0" w:type="auto"/>
            <w:vMerge/>
            <w:shd w:val="clear" w:color="auto" w:fill="FFFFFF"/>
            <w:vAlign w:val="center"/>
            <w:hideMark/>
          </w:tcPr>
          <w:p w14:paraId="69C0FEEC"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2C00926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EDS Roxi</w:t>
            </w:r>
          </w:p>
        </w:tc>
        <w:tc>
          <w:tcPr>
            <w:tcW w:w="0" w:type="auto"/>
            <w:shd w:val="clear" w:color="auto" w:fill="FFFFFF"/>
            <w:vAlign w:val="center"/>
            <w:hideMark/>
          </w:tcPr>
          <w:p w14:paraId="2CFD5E2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Evaluación ambiental e investigación Fase I y II</w:t>
            </w:r>
          </w:p>
        </w:tc>
        <w:tc>
          <w:tcPr>
            <w:tcW w:w="0" w:type="auto"/>
            <w:shd w:val="clear" w:color="auto" w:fill="FFFFFF"/>
            <w:vAlign w:val="center"/>
            <w:hideMark/>
          </w:tcPr>
          <w:p w14:paraId="0F10A9E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$61.948.247</w:t>
            </w:r>
          </w:p>
        </w:tc>
        <w:tc>
          <w:tcPr>
            <w:tcW w:w="0" w:type="auto"/>
            <w:shd w:val="clear" w:color="auto" w:fill="FFFFFF"/>
            <w:vAlign w:val="center"/>
            <w:hideMark/>
          </w:tcPr>
          <w:p w14:paraId="0D529FD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45 días</w:t>
            </w:r>
          </w:p>
        </w:tc>
      </w:tr>
      <w:tr w:rsidR="00AA1934" w:rsidRPr="00BB0812" w14:paraId="1616DCC9" w14:textId="77777777" w:rsidTr="00F17FD2">
        <w:tc>
          <w:tcPr>
            <w:tcW w:w="0" w:type="auto"/>
            <w:vMerge/>
            <w:shd w:val="clear" w:color="auto" w:fill="FFFFFF"/>
            <w:vAlign w:val="center"/>
            <w:hideMark/>
          </w:tcPr>
          <w:p w14:paraId="41FED216"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67CE668A"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Ambiente Global Consultoría</w:t>
            </w:r>
          </w:p>
        </w:tc>
        <w:tc>
          <w:tcPr>
            <w:tcW w:w="0" w:type="auto"/>
            <w:shd w:val="clear" w:color="auto" w:fill="FFFFFF"/>
            <w:vAlign w:val="center"/>
            <w:hideMark/>
          </w:tcPr>
          <w:p w14:paraId="7440A01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Evaluación ambiental e investigación Fase I y II</w:t>
            </w:r>
          </w:p>
        </w:tc>
        <w:tc>
          <w:tcPr>
            <w:tcW w:w="0" w:type="auto"/>
            <w:shd w:val="clear" w:color="auto" w:fill="FFFFFF"/>
            <w:vAlign w:val="center"/>
            <w:hideMark/>
          </w:tcPr>
          <w:p w14:paraId="6E4A51AB"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$95.448.975</w:t>
            </w:r>
          </w:p>
        </w:tc>
        <w:tc>
          <w:tcPr>
            <w:tcW w:w="0" w:type="auto"/>
            <w:shd w:val="clear" w:color="auto" w:fill="FFFFFF"/>
            <w:vAlign w:val="center"/>
            <w:hideMark/>
          </w:tcPr>
          <w:p w14:paraId="342BF9B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45 días</w:t>
            </w:r>
          </w:p>
        </w:tc>
      </w:tr>
      <w:tr w:rsidR="00AA1934" w:rsidRPr="00BB0812" w14:paraId="5733A884" w14:textId="77777777" w:rsidTr="00F17FD2">
        <w:tc>
          <w:tcPr>
            <w:tcW w:w="0" w:type="auto"/>
            <w:vMerge/>
            <w:shd w:val="clear" w:color="auto" w:fill="FFFFFF"/>
            <w:vAlign w:val="center"/>
            <w:hideMark/>
          </w:tcPr>
          <w:p w14:paraId="0620CA90"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3307AAF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Metro Línea 1</w:t>
            </w:r>
          </w:p>
        </w:tc>
        <w:tc>
          <w:tcPr>
            <w:tcW w:w="0" w:type="auto"/>
            <w:shd w:val="clear" w:color="auto" w:fill="FFFFFF"/>
            <w:vAlign w:val="center"/>
            <w:hideMark/>
          </w:tcPr>
          <w:p w14:paraId="483779F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Plan de trabajo y Evaluación ambiental Estación 11</w:t>
            </w:r>
          </w:p>
        </w:tc>
        <w:tc>
          <w:tcPr>
            <w:tcW w:w="0" w:type="auto"/>
            <w:shd w:val="clear" w:color="auto" w:fill="FFFFFF"/>
            <w:vAlign w:val="center"/>
            <w:hideMark/>
          </w:tcPr>
          <w:p w14:paraId="134F9CBB"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$754.769.757</w:t>
            </w:r>
          </w:p>
        </w:tc>
        <w:tc>
          <w:tcPr>
            <w:tcW w:w="0" w:type="auto"/>
            <w:shd w:val="clear" w:color="auto" w:fill="FFFFFF"/>
            <w:vAlign w:val="center"/>
            <w:hideMark/>
          </w:tcPr>
          <w:p w14:paraId="703C5FC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50 días</w:t>
            </w:r>
          </w:p>
        </w:tc>
      </w:tr>
      <w:tr w:rsidR="00AA1934" w:rsidRPr="00BB0812" w14:paraId="0917201A" w14:textId="77777777" w:rsidTr="00F17FD2">
        <w:tc>
          <w:tcPr>
            <w:tcW w:w="0" w:type="auto"/>
            <w:vMerge w:val="restart"/>
            <w:shd w:val="clear" w:color="auto" w:fill="FFFFFF"/>
            <w:vAlign w:val="center"/>
            <w:hideMark/>
          </w:tcPr>
          <w:p w14:paraId="73D4AB96" w14:textId="1E238817" w:rsidR="00AA1934" w:rsidRPr="004E43A3" w:rsidRDefault="004E43A3" w:rsidP="00616FE1">
            <w:pPr>
              <w:spacing w:after="0"/>
              <w:jc w:val="center"/>
              <w:rPr>
                <w:rFonts w:ascii="Arial" w:hAnsi="Arial" w:cs="Arial"/>
                <w:sz w:val="18"/>
                <w:szCs w:val="18"/>
              </w:rPr>
            </w:pPr>
            <w:r w:rsidRPr="004E43A3">
              <w:rPr>
                <w:rFonts w:ascii="Arial" w:hAnsi="Arial" w:cs="Arial"/>
                <w:sz w:val="18"/>
                <w:szCs w:val="18"/>
              </w:rPr>
              <w:t>HIDROGEOCOL</w:t>
            </w:r>
          </w:p>
        </w:tc>
        <w:tc>
          <w:tcPr>
            <w:tcW w:w="0" w:type="auto"/>
            <w:shd w:val="clear" w:color="auto" w:fill="FFFFFF"/>
            <w:vAlign w:val="center"/>
            <w:hideMark/>
          </w:tcPr>
          <w:p w14:paraId="40C79F5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Consorcio Express</w:t>
            </w:r>
          </w:p>
        </w:tc>
        <w:tc>
          <w:tcPr>
            <w:tcW w:w="0" w:type="auto"/>
            <w:shd w:val="clear" w:color="auto" w:fill="FFFFFF"/>
            <w:vAlign w:val="center"/>
            <w:hideMark/>
          </w:tcPr>
          <w:p w14:paraId="4537A9C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Desmantelamiento EDS Patio Tibabuyes</w:t>
            </w:r>
          </w:p>
        </w:tc>
        <w:tc>
          <w:tcPr>
            <w:tcW w:w="0" w:type="auto"/>
            <w:shd w:val="clear" w:color="auto" w:fill="FFFFFF"/>
            <w:vAlign w:val="center"/>
            <w:hideMark/>
          </w:tcPr>
          <w:p w14:paraId="0379692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$506.792.414</w:t>
            </w:r>
          </w:p>
        </w:tc>
        <w:tc>
          <w:tcPr>
            <w:tcW w:w="0" w:type="auto"/>
            <w:shd w:val="clear" w:color="auto" w:fill="FFFFFF"/>
            <w:vAlign w:val="center"/>
            <w:hideMark/>
          </w:tcPr>
          <w:p w14:paraId="63C49F1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60 días</w:t>
            </w:r>
          </w:p>
        </w:tc>
      </w:tr>
      <w:tr w:rsidR="00AA1934" w:rsidRPr="00BB0812" w14:paraId="171E6126" w14:textId="77777777" w:rsidTr="00F17FD2">
        <w:tc>
          <w:tcPr>
            <w:tcW w:w="0" w:type="auto"/>
            <w:vMerge/>
            <w:shd w:val="clear" w:color="auto" w:fill="FFFFFF"/>
            <w:vAlign w:val="center"/>
            <w:hideMark/>
          </w:tcPr>
          <w:p w14:paraId="57373F83"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7D8C7C0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Organización Terpel S.A.</w:t>
            </w:r>
          </w:p>
        </w:tc>
        <w:tc>
          <w:tcPr>
            <w:tcW w:w="0" w:type="auto"/>
            <w:shd w:val="clear" w:color="auto" w:fill="FFFFFF"/>
            <w:vAlign w:val="center"/>
            <w:hideMark/>
          </w:tcPr>
          <w:p w14:paraId="117EE08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 xml:space="preserve">Interventoría desmantelamiento EDS </w:t>
            </w:r>
            <w:proofErr w:type="spellStart"/>
            <w:r w:rsidRPr="00BB0812">
              <w:rPr>
                <w:rFonts w:ascii="Arial" w:hAnsi="Arial" w:cs="Arial"/>
                <w:sz w:val="18"/>
                <w:szCs w:val="18"/>
              </w:rPr>
              <w:t>Garrollantas</w:t>
            </w:r>
            <w:proofErr w:type="spellEnd"/>
          </w:p>
        </w:tc>
        <w:tc>
          <w:tcPr>
            <w:tcW w:w="0" w:type="auto"/>
            <w:shd w:val="clear" w:color="auto" w:fill="FFFFFF"/>
            <w:vAlign w:val="center"/>
            <w:hideMark/>
          </w:tcPr>
          <w:p w14:paraId="4B794A2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$135.672.000</w:t>
            </w:r>
          </w:p>
        </w:tc>
        <w:tc>
          <w:tcPr>
            <w:tcW w:w="0" w:type="auto"/>
            <w:shd w:val="clear" w:color="auto" w:fill="FFFFFF"/>
            <w:vAlign w:val="center"/>
            <w:hideMark/>
          </w:tcPr>
          <w:p w14:paraId="071DA3B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90 días</w:t>
            </w:r>
          </w:p>
        </w:tc>
      </w:tr>
      <w:tr w:rsidR="00AA1934" w:rsidRPr="00BB0812" w14:paraId="60BFAB2D" w14:textId="77777777" w:rsidTr="00F17FD2">
        <w:tc>
          <w:tcPr>
            <w:tcW w:w="0" w:type="auto"/>
            <w:vMerge/>
            <w:shd w:val="clear" w:color="auto" w:fill="FFFFFF"/>
            <w:vAlign w:val="center"/>
            <w:hideMark/>
          </w:tcPr>
          <w:p w14:paraId="0381B517"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220CF55F"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Organización Terpel S.A.</w:t>
            </w:r>
          </w:p>
        </w:tc>
        <w:tc>
          <w:tcPr>
            <w:tcW w:w="0" w:type="auto"/>
            <w:shd w:val="clear" w:color="auto" w:fill="FFFFFF"/>
            <w:vAlign w:val="center"/>
            <w:hideMark/>
          </w:tcPr>
          <w:p w14:paraId="662DF1F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Interventoría desmantelamiento EDS Espinal</w:t>
            </w:r>
          </w:p>
        </w:tc>
        <w:tc>
          <w:tcPr>
            <w:tcW w:w="0" w:type="auto"/>
            <w:shd w:val="clear" w:color="auto" w:fill="FFFFFF"/>
            <w:vAlign w:val="center"/>
            <w:hideMark/>
          </w:tcPr>
          <w:p w14:paraId="0BA849E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$81.213.000</w:t>
            </w:r>
          </w:p>
        </w:tc>
        <w:tc>
          <w:tcPr>
            <w:tcW w:w="0" w:type="auto"/>
            <w:shd w:val="clear" w:color="auto" w:fill="FFFFFF"/>
            <w:vAlign w:val="center"/>
            <w:hideMark/>
          </w:tcPr>
          <w:p w14:paraId="5227ED1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120 días</w:t>
            </w:r>
          </w:p>
        </w:tc>
      </w:tr>
      <w:tr w:rsidR="00AA1934" w:rsidRPr="00BB0812" w14:paraId="196B9A65" w14:textId="77777777" w:rsidTr="00F17FD2">
        <w:tc>
          <w:tcPr>
            <w:tcW w:w="0" w:type="auto"/>
            <w:vMerge/>
            <w:shd w:val="clear" w:color="auto" w:fill="FFFFFF"/>
            <w:vAlign w:val="center"/>
            <w:hideMark/>
          </w:tcPr>
          <w:p w14:paraId="3416C80C" w14:textId="77777777" w:rsidR="00AA1934" w:rsidRPr="004E43A3" w:rsidRDefault="00AA1934" w:rsidP="00616FE1">
            <w:pPr>
              <w:spacing w:after="0"/>
              <w:jc w:val="center"/>
              <w:rPr>
                <w:rFonts w:ascii="Arial" w:hAnsi="Arial" w:cs="Arial"/>
                <w:sz w:val="18"/>
                <w:szCs w:val="18"/>
              </w:rPr>
            </w:pPr>
          </w:p>
        </w:tc>
        <w:tc>
          <w:tcPr>
            <w:tcW w:w="0" w:type="auto"/>
            <w:shd w:val="clear" w:color="auto" w:fill="FFFFFF"/>
            <w:vAlign w:val="center"/>
            <w:hideMark/>
          </w:tcPr>
          <w:p w14:paraId="69054102"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Consorcio Infraestructura Metro</w:t>
            </w:r>
          </w:p>
        </w:tc>
        <w:tc>
          <w:tcPr>
            <w:tcW w:w="0" w:type="auto"/>
            <w:shd w:val="clear" w:color="auto" w:fill="FFFFFF"/>
            <w:vAlign w:val="center"/>
            <w:hideMark/>
          </w:tcPr>
          <w:p w14:paraId="099BE2F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 xml:space="preserve">Extracción tanque y evaluación ambiental EDS </w:t>
            </w:r>
            <w:proofErr w:type="spellStart"/>
            <w:r w:rsidRPr="00BB0812">
              <w:rPr>
                <w:rFonts w:ascii="Arial" w:hAnsi="Arial" w:cs="Arial"/>
                <w:sz w:val="18"/>
                <w:szCs w:val="18"/>
              </w:rPr>
              <w:t>Torogas</w:t>
            </w:r>
            <w:proofErr w:type="spellEnd"/>
          </w:p>
        </w:tc>
        <w:tc>
          <w:tcPr>
            <w:tcW w:w="0" w:type="auto"/>
            <w:shd w:val="clear" w:color="auto" w:fill="FFFFFF"/>
            <w:vAlign w:val="center"/>
            <w:hideMark/>
          </w:tcPr>
          <w:p w14:paraId="3C5ECD2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$236.339.679</w:t>
            </w:r>
          </w:p>
        </w:tc>
        <w:tc>
          <w:tcPr>
            <w:tcW w:w="0" w:type="auto"/>
            <w:shd w:val="clear" w:color="auto" w:fill="FFFFFF"/>
            <w:vAlign w:val="center"/>
            <w:hideMark/>
          </w:tcPr>
          <w:p w14:paraId="1BF176E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60 días</w:t>
            </w:r>
          </w:p>
        </w:tc>
      </w:tr>
      <w:tr w:rsidR="00AA1934" w:rsidRPr="00BB0812" w14:paraId="690595AC" w14:textId="77777777" w:rsidTr="00F17FD2">
        <w:tc>
          <w:tcPr>
            <w:tcW w:w="0" w:type="auto"/>
            <w:vMerge w:val="restart"/>
            <w:shd w:val="clear" w:color="auto" w:fill="FFFFFF"/>
            <w:vAlign w:val="center"/>
            <w:hideMark/>
          </w:tcPr>
          <w:p w14:paraId="500ECEAF" w14:textId="32D0364F" w:rsidR="00AA1934" w:rsidRPr="004E43A3" w:rsidRDefault="004E43A3" w:rsidP="00616FE1">
            <w:pPr>
              <w:spacing w:after="0"/>
              <w:jc w:val="center"/>
              <w:rPr>
                <w:rFonts w:ascii="Arial" w:hAnsi="Arial" w:cs="Arial"/>
                <w:sz w:val="18"/>
                <w:szCs w:val="18"/>
              </w:rPr>
            </w:pPr>
            <w:r w:rsidRPr="004E43A3">
              <w:rPr>
                <w:rFonts w:ascii="Arial" w:hAnsi="Arial" w:cs="Arial"/>
                <w:sz w:val="18"/>
                <w:szCs w:val="18"/>
              </w:rPr>
              <w:t>INERCO</w:t>
            </w:r>
          </w:p>
        </w:tc>
        <w:tc>
          <w:tcPr>
            <w:tcW w:w="0" w:type="auto"/>
            <w:shd w:val="clear" w:color="auto" w:fill="FFFFFF"/>
            <w:vAlign w:val="center"/>
            <w:hideMark/>
          </w:tcPr>
          <w:p w14:paraId="631C000A" w14:textId="77777777" w:rsidR="00AA1934" w:rsidRPr="00616FE1" w:rsidRDefault="00AA1934" w:rsidP="00616FE1">
            <w:pPr>
              <w:spacing w:after="0"/>
              <w:jc w:val="center"/>
              <w:rPr>
                <w:rFonts w:ascii="Arial" w:hAnsi="Arial" w:cs="Arial"/>
                <w:sz w:val="18"/>
                <w:szCs w:val="18"/>
                <w:lang w:val="en-US"/>
              </w:rPr>
            </w:pPr>
            <w:r w:rsidRPr="00616FE1">
              <w:rPr>
                <w:rFonts w:ascii="Arial" w:hAnsi="Arial" w:cs="Arial"/>
                <w:sz w:val="18"/>
                <w:szCs w:val="18"/>
                <w:lang w:val="en-US"/>
              </w:rPr>
              <w:t>Standard Energy Company S.A.</w:t>
            </w:r>
          </w:p>
        </w:tc>
        <w:tc>
          <w:tcPr>
            <w:tcW w:w="0" w:type="auto"/>
            <w:shd w:val="clear" w:color="auto" w:fill="FFFFFF"/>
            <w:vAlign w:val="center"/>
            <w:hideMark/>
          </w:tcPr>
          <w:p w14:paraId="443A722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Gestión ambiental y retiro suelo afectado punto S9</w:t>
            </w:r>
          </w:p>
        </w:tc>
        <w:tc>
          <w:tcPr>
            <w:tcW w:w="0" w:type="auto"/>
            <w:shd w:val="clear" w:color="auto" w:fill="FFFFFF"/>
            <w:vAlign w:val="center"/>
            <w:hideMark/>
          </w:tcPr>
          <w:p w14:paraId="1138FE1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$617.744.913</w:t>
            </w:r>
          </w:p>
        </w:tc>
        <w:tc>
          <w:tcPr>
            <w:tcW w:w="0" w:type="auto"/>
            <w:shd w:val="clear" w:color="auto" w:fill="FFFFFF"/>
            <w:vAlign w:val="center"/>
            <w:hideMark/>
          </w:tcPr>
          <w:p w14:paraId="527837E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90 días</w:t>
            </w:r>
          </w:p>
        </w:tc>
      </w:tr>
      <w:tr w:rsidR="00AA1934" w:rsidRPr="00BB0812" w14:paraId="79B578F2" w14:textId="77777777" w:rsidTr="00F17FD2">
        <w:tc>
          <w:tcPr>
            <w:tcW w:w="0" w:type="auto"/>
            <w:vMerge/>
            <w:shd w:val="clear" w:color="auto" w:fill="FFFFFF"/>
            <w:vAlign w:val="center"/>
            <w:hideMark/>
          </w:tcPr>
          <w:p w14:paraId="164BD1E3"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75BFA23D" w14:textId="77777777" w:rsidR="00AA1934" w:rsidRPr="00616FE1" w:rsidRDefault="00AA1934" w:rsidP="00616FE1">
            <w:pPr>
              <w:spacing w:after="0"/>
              <w:jc w:val="center"/>
              <w:rPr>
                <w:rFonts w:ascii="Arial" w:hAnsi="Arial" w:cs="Arial"/>
                <w:sz w:val="18"/>
                <w:szCs w:val="18"/>
                <w:lang w:val="en-US"/>
              </w:rPr>
            </w:pPr>
            <w:r w:rsidRPr="00616FE1">
              <w:rPr>
                <w:rFonts w:ascii="Arial" w:hAnsi="Arial" w:cs="Arial"/>
                <w:sz w:val="18"/>
                <w:szCs w:val="18"/>
                <w:lang w:val="en-US"/>
              </w:rPr>
              <w:t>Standard Energy Company S.A.</w:t>
            </w:r>
          </w:p>
        </w:tc>
        <w:tc>
          <w:tcPr>
            <w:tcW w:w="0" w:type="auto"/>
            <w:shd w:val="clear" w:color="auto" w:fill="FFFFFF"/>
            <w:vAlign w:val="center"/>
            <w:hideMark/>
          </w:tcPr>
          <w:p w14:paraId="53C007E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Gestión ambiental y desmantelamiento EDS Fundadores</w:t>
            </w:r>
          </w:p>
        </w:tc>
        <w:tc>
          <w:tcPr>
            <w:tcW w:w="0" w:type="auto"/>
            <w:shd w:val="clear" w:color="auto" w:fill="FFFFFF"/>
            <w:vAlign w:val="center"/>
            <w:hideMark/>
          </w:tcPr>
          <w:p w14:paraId="08FB173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$191.552.291</w:t>
            </w:r>
          </w:p>
        </w:tc>
        <w:tc>
          <w:tcPr>
            <w:tcW w:w="0" w:type="auto"/>
            <w:shd w:val="clear" w:color="auto" w:fill="FFFFFF"/>
            <w:vAlign w:val="center"/>
            <w:hideMark/>
          </w:tcPr>
          <w:p w14:paraId="23B534C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300 días</w:t>
            </w:r>
          </w:p>
        </w:tc>
      </w:tr>
      <w:tr w:rsidR="00AA1934" w:rsidRPr="00BB0812" w14:paraId="7567FC0E" w14:textId="77777777" w:rsidTr="00F17FD2">
        <w:tc>
          <w:tcPr>
            <w:tcW w:w="0" w:type="auto"/>
            <w:vMerge/>
            <w:shd w:val="clear" w:color="auto" w:fill="FFFFFF"/>
            <w:vAlign w:val="center"/>
            <w:hideMark/>
          </w:tcPr>
          <w:p w14:paraId="41EDDBE4"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5D199CF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Cafam</w:t>
            </w:r>
          </w:p>
        </w:tc>
        <w:tc>
          <w:tcPr>
            <w:tcW w:w="0" w:type="auto"/>
            <w:shd w:val="clear" w:color="auto" w:fill="FFFFFF"/>
            <w:vAlign w:val="center"/>
            <w:hideMark/>
          </w:tcPr>
          <w:p w14:paraId="3AA748C2"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Desmantelamiento tanques gasolina y diésel Bogotá</w:t>
            </w:r>
          </w:p>
        </w:tc>
        <w:tc>
          <w:tcPr>
            <w:tcW w:w="0" w:type="auto"/>
            <w:shd w:val="clear" w:color="auto" w:fill="FFFFFF"/>
            <w:vAlign w:val="center"/>
            <w:hideMark/>
          </w:tcPr>
          <w:p w14:paraId="3E9F079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$84.600.737</w:t>
            </w:r>
          </w:p>
        </w:tc>
        <w:tc>
          <w:tcPr>
            <w:tcW w:w="0" w:type="auto"/>
            <w:shd w:val="clear" w:color="auto" w:fill="FFFFFF"/>
            <w:vAlign w:val="center"/>
            <w:hideMark/>
          </w:tcPr>
          <w:p w14:paraId="75F28F1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360 días</w:t>
            </w:r>
          </w:p>
        </w:tc>
      </w:tr>
      <w:tr w:rsidR="00AA1934" w:rsidRPr="00BB0812" w14:paraId="09BA6404" w14:textId="77777777" w:rsidTr="00F17FD2">
        <w:tc>
          <w:tcPr>
            <w:tcW w:w="0" w:type="auto"/>
            <w:vMerge/>
            <w:shd w:val="clear" w:color="auto" w:fill="FFFFFF"/>
            <w:vAlign w:val="center"/>
            <w:hideMark/>
          </w:tcPr>
          <w:p w14:paraId="313DA6CA"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2534570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 xml:space="preserve">Inversiones </w:t>
            </w:r>
            <w:proofErr w:type="spellStart"/>
            <w:r w:rsidRPr="00BB0812">
              <w:rPr>
                <w:rFonts w:ascii="Arial" w:hAnsi="Arial" w:cs="Arial"/>
                <w:sz w:val="18"/>
                <w:szCs w:val="18"/>
              </w:rPr>
              <w:t>Srendi</w:t>
            </w:r>
            <w:proofErr w:type="spellEnd"/>
            <w:r w:rsidRPr="00BB0812">
              <w:rPr>
                <w:rFonts w:ascii="Arial" w:hAnsi="Arial" w:cs="Arial"/>
                <w:sz w:val="18"/>
                <w:szCs w:val="18"/>
              </w:rPr>
              <w:t xml:space="preserve"> S.A.S.</w:t>
            </w:r>
          </w:p>
        </w:tc>
        <w:tc>
          <w:tcPr>
            <w:tcW w:w="0" w:type="auto"/>
            <w:shd w:val="clear" w:color="auto" w:fill="FFFFFF"/>
            <w:vAlign w:val="center"/>
            <w:hideMark/>
          </w:tcPr>
          <w:p w14:paraId="63FC1BA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Asesoría desgasificación tanques y retiro</w:t>
            </w:r>
          </w:p>
        </w:tc>
        <w:tc>
          <w:tcPr>
            <w:tcW w:w="0" w:type="auto"/>
            <w:shd w:val="clear" w:color="auto" w:fill="FFFFFF"/>
            <w:vAlign w:val="center"/>
            <w:hideMark/>
          </w:tcPr>
          <w:p w14:paraId="59BDF3F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$46.294.815</w:t>
            </w:r>
          </w:p>
        </w:tc>
        <w:tc>
          <w:tcPr>
            <w:tcW w:w="0" w:type="auto"/>
            <w:shd w:val="clear" w:color="auto" w:fill="FFFFFF"/>
            <w:vAlign w:val="center"/>
            <w:hideMark/>
          </w:tcPr>
          <w:p w14:paraId="674629B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180 días</w:t>
            </w:r>
          </w:p>
        </w:tc>
      </w:tr>
      <w:tr w:rsidR="00AA1934" w:rsidRPr="00BB0812" w14:paraId="284A4866" w14:textId="77777777" w:rsidTr="00F17FD2">
        <w:tc>
          <w:tcPr>
            <w:tcW w:w="0" w:type="auto"/>
            <w:vMerge/>
            <w:shd w:val="clear" w:color="auto" w:fill="FFFFFF"/>
            <w:vAlign w:val="center"/>
            <w:hideMark/>
          </w:tcPr>
          <w:p w14:paraId="4E9B9278"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414ED51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Cafam</w:t>
            </w:r>
          </w:p>
        </w:tc>
        <w:tc>
          <w:tcPr>
            <w:tcW w:w="0" w:type="auto"/>
            <w:shd w:val="clear" w:color="auto" w:fill="FFFFFF"/>
            <w:vAlign w:val="center"/>
            <w:hideMark/>
          </w:tcPr>
          <w:p w14:paraId="0851C8D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Desmantelamiento tanques gasolina y diésel Melgar</w:t>
            </w:r>
          </w:p>
        </w:tc>
        <w:tc>
          <w:tcPr>
            <w:tcW w:w="0" w:type="auto"/>
            <w:shd w:val="clear" w:color="auto" w:fill="FFFFFF"/>
            <w:vAlign w:val="center"/>
            <w:hideMark/>
          </w:tcPr>
          <w:p w14:paraId="4492D91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$356.312.226</w:t>
            </w:r>
          </w:p>
        </w:tc>
        <w:tc>
          <w:tcPr>
            <w:tcW w:w="0" w:type="auto"/>
            <w:shd w:val="clear" w:color="auto" w:fill="FFFFFF"/>
            <w:vAlign w:val="center"/>
            <w:hideMark/>
          </w:tcPr>
          <w:p w14:paraId="50A014C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120 días</w:t>
            </w:r>
          </w:p>
        </w:tc>
      </w:tr>
      <w:tr w:rsidR="00AA1934" w:rsidRPr="00BB0812" w14:paraId="654D5184" w14:textId="77777777" w:rsidTr="00F17FD2">
        <w:tc>
          <w:tcPr>
            <w:tcW w:w="0" w:type="auto"/>
            <w:vMerge/>
            <w:shd w:val="clear" w:color="auto" w:fill="FFFFFF"/>
            <w:vAlign w:val="center"/>
            <w:hideMark/>
          </w:tcPr>
          <w:p w14:paraId="44C841AD"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518C74C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Viesgo (España)</w:t>
            </w:r>
          </w:p>
        </w:tc>
        <w:tc>
          <w:tcPr>
            <w:tcW w:w="0" w:type="auto"/>
            <w:shd w:val="clear" w:color="auto" w:fill="FFFFFF"/>
            <w:vAlign w:val="center"/>
            <w:hideMark/>
          </w:tcPr>
          <w:p w14:paraId="14688B2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Recuperación subsuelo vertido tanque gasoil</w:t>
            </w:r>
          </w:p>
        </w:tc>
        <w:tc>
          <w:tcPr>
            <w:tcW w:w="0" w:type="auto"/>
            <w:shd w:val="clear" w:color="auto" w:fill="FFFFFF"/>
            <w:vAlign w:val="center"/>
            <w:hideMark/>
          </w:tcPr>
          <w:p w14:paraId="09AE112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134.467 EUR</w:t>
            </w:r>
          </w:p>
        </w:tc>
        <w:tc>
          <w:tcPr>
            <w:tcW w:w="0" w:type="auto"/>
            <w:shd w:val="clear" w:color="auto" w:fill="FFFFFF"/>
            <w:vAlign w:val="center"/>
            <w:hideMark/>
          </w:tcPr>
          <w:p w14:paraId="75D41C4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2011 a 2018</w:t>
            </w:r>
          </w:p>
        </w:tc>
      </w:tr>
      <w:tr w:rsidR="00AA1934" w:rsidRPr="00BB0812" w14:paraId="4479C655" w14:textId="77777777" w:rsidTr="00F17FD2">
        <w:tc>
          <w:tcPr>
            <w:tcW w:w="0" w:type="auto"/>
            <w:vMerge/>
            <w:shd w:val="clear" w:color="auto" w:fill="FFFFFF"/>
            <w:vAlign w:val="center"/>
            <w:hideMark/>
          </w:tcPr>
          <w:p w14:paraId="623D15AF"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5C75C78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Heineken (España)</w:t>
            </w:r>
          </w:p>
        </w:tc>
        <w:tc>
          <w:tcPr>
            <w:tcW w:w="0" w:type="auto"/>
            <w:shd w:val="clear" w:color="auto" w:fill="FFFFFF"/>
            <w:vAlign w:val="center"/>
            <w:hideMark/>
          </w:tcPr>
          <w:p w14:paraId="2D74173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Anulación de tanques gasoil enterrados</w:t>
            </w:r>
          </w:p>
        </w:tc>
        <w:tc>
          <w:tcPr>
            <w:tcW w:w="0" w:type="auto"/>
            <w:shd w:val="clear" w:color="auto" w:fill="FFFFFF"/>
            <w:vAlign w:val="center"/>
            <w:hideMark/>
          </w:tcPr>
          <w:p w14:paraId="59AAF038"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630.824 EUR</w:t>
            </w:r>
          </w:p>
        </w:tc>
        <w:tc>
          <w:tcPr>
            <w:tcW w:w="0" w:type="auto"/>
            <w:shd w:val="clear" w:color="auto" w:fill="FFFFFF"/>
            <w:vAlign w:val="center"/>
            <w:hideMark/>
          </w:tcPr>
          <w:p w14:paraId="0DCE756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2011 a 2013</w:t>
            </w:r>
          </w:p>
        </w:tc>
      </w:tr>
      <w:tr w:rsidR="00AA1934" w:rsidRPr="00BB0812" w14:paraId="744090E0" w14:textId="77777777" w:rsidTr="00F17FD2">
        <w:tc>
          <w:tcPr>
            <w:tcW w:w="0" w:type="auto"/>
            <w:vMerge/>
            <w:shd w:val="clear" w:color="auto" w:fill="FFFFFF"/>
            <w:vAlign w:val="center"/>
            <w:hideMark/>
          </w:tcPr>
          <w:p w14:paraId="0EBA7848"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22A52DF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Eon (España)</w:t>
            </w:r>
          </w:p>
        </w:tc>
        <w:tc>
          <w:tcPr>
            <w:tcW w:w="0" w:type="auto"/>
            <w:shd w:val="clear" w:color="auto" w:fill="FFFFFF"/>
            <w:vAlign w:val="center"/>
            <w:hideMark/>
          </w:tcPr>
          <w:p w14:paraId="35E1EF7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Recuperación suelos vertido Gasoil y supervisión</w:t>
            </w:r>
          </w:p>
        </w:tc>
        <w:tc>
          <w:tcPr>
            <w:tcW w:w="0" w:type="auto"/>
            <w:shd w:val="clear" w:color="auto" w:fill="FFFFFF"/>
            <w:vAlign w:val="center"/>
            <w:hideMark/>
          </w:tcPr>
          <w:p w14:paraId="37AD918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80.000 EUR</w:t>
            </w:r>
          </w:p>
        </w:tc>
        <w:tc>
          <w:tcPr>
            <w:tcW w:w="0" w:type="auto"/>
            <w:shd w:val="clear" w:color="auto" w:fill="FFFFFF"/>
            <w:vAlign w:val="center"/>
            <w:hideMark/>
          </w:tcPr>
          <w:p w14:paraId="18B509AA"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2011 a 2012</w:t>
            </w:r>
          </w:p>
        </w:tc>
      </w:tr>
      <w:tr w:rsidR="00AA1934" w:rsidRPr="00BB0812" w14:paraId="3A2F16DA" w14:textId="77777777" w:rsidTr="00F17FD2">
        <w:tc>
          <w:tcPr>
            <w:tcW w:w="0" w:type="auto"/>
            <w:vMerge w:val="restart"/>
            <w:shd w:val="clear" w:color="auto" w:fill="FFFFFF"/>
            <w:vAlign w:val="center"/>
            <w:hideMark/>
          </w:tcPr>
          <w:p w14:paraId="6C02E492" w14:textId="05BCC85C" w:rsidR="00AA1934" w:rsidRPr="004E43A3" w:rsidRDefault="004E43A3" w:rsidP="00616FE1">
            <w:pPr>
              <w:spacing w:after="0"/>
              <w:jc w:val="center"/>
              <w:rPr>
                <w:rFonts w:ascii="Arial" w:hAnsi="Arial" w:cs="Arial"/>
                <w:sz w:val="18"/>
                <w:szCs w:val="18"/>
              </w:rPr>
            </w:pPr>
            <w:r w:rsidRPr="004E43A3">
              <w:rPr>
                <w:rFonts w:ascii="Arial" w:hAnsi="Arial" w:cs="Arial"/>
                <w:sz w:val="18"/>
                <w:szCs w:val="18"/>
              </w:rPr>
              <w:t>NOVAMBIENTTI</w:t>
            </w:r>
          </w:p>
        </w:tc>
        <w:tc>
          <w:tcPr>
            <w:tcW w:w="0" w:type="auto"/>
            <w:shd w:val="clear" w:color="auto" w:fill="FFFFFF"/>
            <w:vAlign w:val="center"/>
            <w:hideMark/>
          </w:tcPr>
          <w:p w14:paraId="4607B75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Inversiones Jara S.A.S</w:t>
            </w:r>
          </w:p>
        </w:tc>
        <w:tc>
          <w:tcPr>
            <w:tcW w:w="0" w:type="auto"/>
            <w:shd w:val="clear" w:color="auto" w:fill="FFFFFF"/>
            <w:vAlign w:val="center"/>
            <w:hideMark/>
          </w:tcPr>
          <w:p w14:paraId="311159A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Ampliación investigación ambiental EDS</w:t>
            </w:r>
          </w:p>
        </w:tc>
        <w:tc>
          <w:tcPr>
            <w:tcW w:w="0" w:type="auto"/>
            <w:shd w:val="clear" w:color="auto" w:fill="FFFFFF"/>
            <w:vAlign w:val="center"/>
            <w:hideMark/>
          </w:tcPr>
          <w:p w14:paraId="01A9155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$191.671.243</w:t>
            </w:r>
          </w:p>
        </w:tc>
        <w:tc>
          <w:tcPr>
            <w:tcW w:w="0" w:type="auto"/>
            <w:shd w:val="clear" w:color="auto" w:fill="FFFFFF"/>
            <w:vAlign w:val="center"/>
            <w:hideMark/>
          </w:tcPr>
          <w:p w14:paraId="4EA5656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En ejecución</w:t>
            </w:r>
          </w:p>
        </w:tc>
      </w:tr>
      <w:tr w:rsidR="00AA1934" w:rsidRPr="00BB0812" w14:paraId="083E009A" w14:textId="77777777" w:rsidTr="00F17FD2">
        <w:tc>
          <w:tcPr>
            <w:tcW w:w="0" w:type="auto"/>
            <w:vMerge/>
            <w:shd w:val="clear" w:color="auto" w:fill="FFFFFF"/>
            <w:vAlign w:val="center"/>
            <w:hideMark/>
          </w:tcPr>
          <w:p w14:paraId="3B8C7B9E"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176F2EBF" w14:textId="77777777" w:rsidR="00AA1934" w:rsidRPr="00BB0812" w:rsidRDefault="00AA1934" w:rsidP="00616FE1">
            <w:pPr>
              <w:spacing w:after="0"/>
              <w:jc w:val="center"/>
              <w:rPr>
                <w:rFonts w:ascii="Arial" w:hAnsi="Arial" w:cs="Arial"/>
                <w:sz w:val="18"/>
                <w:szCs w:val="18"/>
              </w:rPr>
            </w:pPr>
            <w:proofErr w:type="spellStart"/>
            <w:r w:rsidRPr="00BB0812">
              <w:rPr>
                <w:rFonts w:ascii="Arial" w:hAnsi="Arial" w:cs="Arial"/>
                <w:sz w:val="18"/>
                <w:szCs w:val="18"/>
              </w:rPr>
              <w:t>Distracom</w:t>
            </w:r>
            <w:proofErr w:type="spellEnd"/>
            <w:r w:rsidRPr="00BB0812">
              <w:rPr>
                <w:rFonts w:ascii="Arial" w:hAnsi="Arial" w:cs="Arial"/>
                <w:sz w:val="18"/>
                <w:szCs w:val="18"/>
              </w:rPr>
              <w:t xml:space="preserve"> S.A.</w:t>
            </w:r>
          </w:p>
        </w:tc>
        <w:tc>
          <w:tcPr>
            <w:tcW w:w="0" w:type="auto"/>
            <w:shd w:val="clear" w:color="auto" w:fill="FFFFFF"/>
            <w:vAlign w:val="center"/>
            <w:hideMark/>
          </w:tcPr>
          <w:p w14:paraId="1F6120C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Evaluación ambiental COV y pozos monitoreo</w:t>
            </w:r>
          </w:p>
        </w:tc>
        <w:tc>
          <w:tcPr>
            <w:tcW w:w="0" w:type="auto"/>
            <w:shd w:val="clear" w:color="auto" w:fill="FFFFFF"/>
            <w:vAlign w:val="center"/>
            <w:hideMark/>
          </w:tcPr>
          <w:p w14:paraId="6C32CEB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$27.719.100</w:t>
            </w:r>
          </w:p>
        </w:tc>
        <w:tc>
          <w:tcPr>
            <w:tcW w:w="0" w:type="auto"/>
            <w:shd w:val="clear" w:color="auto" w:fill="FFFFFF"/>
            <w:vAlign w:val="center"/>
            <w:hideMark/>
          </w:tcPr>
          <w:p w14:paraId="74309E8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Anual</w:t>
            </w:r>
          </w:p>
        </w:tc>
      </w:tr>
      <w:tr w:rsidR="00AA1934" w:rsidRPr="00BB0812" w14:paraId="514BEF26" w14:textId="77777777" w:rsidTr="00F17FD2">
        <w:tc>
          <w:tcPr>
            <w:tcW w:w="0" w:type="auto"/>
            <w:vMerge/>
            <w:shd w:val="clear" w:color="auto" w:fill="FFFFFF"/>
            <w:vAlign w:val="center"/>
            <w:hideMark/>
          </w:tcPr>
          <w:p w14:paraId="4DA9D4E8"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0759B4A2"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Constructora Confidencial</w:t>
            </w:r>
          </w:p>
        </w:tc>
        <w:tc>
          <w:tcPr>
            <w:tcW w:w="0" w:type="auto"/>
            <w:shd w:val="clear" w:color="auto" w:fill="FFFFFF"/>
            <w:vAlign w:val="center"/>
            <w:hideMark/>
          </w:tcPr>
          <w:p w14:paraId="177350F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Planeación y desmantelamiento industria automotriz</w:t>
            </w:r>
          </w:p>
        </w:tc>
        <w:tc>
          <w:tcPr>
            <w:tcW w:w="0" w:type="auto"/>
            <w:shd w:val="clear" w:color="auto" w:fill="FFFFFF"/>
            <w:vAlign w:val="center"/>
            <w:hideMark/>
          </w:tcPr>
          <w:p w14:paraId="3DF6E53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$1.142.552.925</w:t>
            </w:r>
          </w:p>
        </w:tc>
        <w:tc>
          <w:tcPr>
            <w:tcW w:w="0" w:type="auto"/>
            <w:shd w:val="clear" w:color="auto" w:fill="FFFFFF"/>
            <w:vAlign w:val="center"/>
            <w:hideMark/>
          </w:tcPr>
          <w:p w14:paraId="43C4004A"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459 días</w:t>
            </w:r>
          </w:p>
        </w:tc>
      </w:tr>
      <w:tr w:rsidR="00AA1934" w:rsidRPr="00BB0812" w14:paraId="333D1712" w14:textId="77777777" w:rsidTr="00F17FD2">
        <w:tc>
          <w:tcPr>
            <w:tcW w:w="0" w:type="auto"/>
            <w:vMerge/>
            <w:shd w:val="clear" w:color="auto" w:fill="FFFFFF"/>
            <w:vAlign w:val="center"/>
            <w:hideMark/>
          </w:tcPr>
          <w:p w14:paraId="69225D98"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666D736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Constructora Confidencial</w:t>
            </w:r>
          </w:p>
        </w:tc>
        <w:tc>
          <w:tcPr>
            <w:tcW w:w="0" w:type="auto"/>
            <w:shd w:val="clear" w:color="auto" w:fill="FFFFFF"/>
            <w:vAlign w:val="center"/>
            <w:hideMark/>
          </w:tcPr>
          <w:p w14:paraId="0FF1E2F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Plan Desmantelamiento y RCD proyecto urbanístico</w:t>
            </w:r>
          </w:p>
        </w:tc>
        <w:tc>
          <w:tcPr>
            <w:tcW w:w="0" w:type="auto"/>
            <w:shd w:val="clear" w:color="auto" w:fill="FFFFFF"/>
            <w:vAlign w:val="center"/>
            <w:hideMark/>
          </w:tcPr>
          <w:p w14:paraId="4D9C99F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$16.685.109</w:t>
            </w:r>
          </w:p>
        </w:tc>
        <w:tc>
          <w:tcPr>
            <w:tcW w:w="0" w:type="auto"/>
            <w:shd w:val="clear" w:color="auto" w:fill="FFFFFF"/>
            <w:vAlign w:val="center"/>
            <w:hideMark/>
          </w:tcPr>
          <w:p w14:paraId="0BCC2F3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153 días</w:t>
            </w:r>
          </w:p>
        </w:tc>
      </w:tr>
      <w:tr w:rsidR="00AA1934" w:rsidRPr="00BB0812" w14:paraId="112A7DC3" w14:textId="77777777" w:rsidTr="00F17FD2">
        <w:tc>
          <w:tcPr>
            <w:tcW w:w="0" w:type="auto"/>
            <w:vMerge/>
            <w:shd w:val="clear" w:color="auto" w:fill="FFFFFF"/>
            <w:vAlign w:val="center"/>
            <w:hideMark/>
          </w:tcPr>
          <w:p w14:paraId="49AAD432"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399B670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Constructora Confidencial</w:t>
            </w:r>
          </w:p>
        </w:tc>
        <w:tc>
          <w:tcPr>
            <w:tcW w:w="0" w:type="auto"/>
            <w:shd w:val="clear" w:color="auto" w:fill="FFFFFF"/>
            <w:vAlign w:val="center"/>
            <w:hideMark/>
          </w:tcPr>
          <w:p w14:paraId="19CBF10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Supervisión Plan Desmantelamiento Puente Aranda</w:t>
            </w:r>
          </w:p>
        </w:tc>
        <w:tc>
          <w:tcPr>
            <w:tcW w:w="0" w:type="auto"/>
            <w:shd w:val="clear" w:color="auto" w:fill="FFFFFF"/>
            <w:vAlign w:val="center"/>
            <w:hideMark/>
          </w:tcPr>
          <w:p w14:paraId="3FEA549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$32.987.760</w:t>
            </w:r>
          </w:p>
        </w:tc>
        <w:tc>
          <w:tcPr>
            <w:tcW w:w="0" w:type="auto"/>
            <w:shd w:val="clear" w:color="auto" w:fill="FFFFFF"/>
            <w:vAlign w:val="center"/>
            <w:hideMark/>
          </w:tcPr>
          <w:p w14:paraId="1BBBDD6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273 días</w:t>
            </w:r>
          </w:p>
        </w:tc>
      </w:tr>
      <w:tr w:rsidR="00AA1934" w:rsidRPr="00BB0812" w14:paraId="4FC51626" w14:textId="77777777" w:rsidTr="00F17FD2">
        <w:tc>
          <w:tcPr>
            <w:tcW w:w="0" w:type="auto"/>
            <w:vMerge/>
            <w:shd w:val="clear" w:color="auto" w:fill="FFFFFF"/>
            <w:vAlign w:val="center"/>
            <w:hideMark/>
          </w:tcPr>
          <w:p w14:paraId="2627492E"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4C2F2B0C" w14:textId="77777777" w:rsidR="00AA1934" w:rsidRPr="00BB0812" w:rsidRDefault="00AA1934" w:rsidP="00616FE1">
            <w:pPr>
              <w:spacing w:after="0"/>
              <w:jc w:val="center"/>
              <w:rPr>
                <w:rFonts w:ascii="Arial" w:hAnsi="Arial" w:cs="Arial"/>
                <w:sz w:val="18"/>
                <w:szCs w:val="18"/>
              </w:rPr>
            </w:pPr>
            <w:proofErr w:type="spellStart"/>
            <w:r w:rsidRPr="00BB0812">
              <w:rPr>
                <w:rFonts w:ascii="Arial" w:hAnsi="Arial" w:cs="Arial"/>
                <w:sz w:val="18"/>
                <w:szCs w:val="18"/>
              </w:rPr>
              <w:t>Geosub</w:t>
            </w:r>
            <w:proofErr w:type="spellEnd"/>
            <w:r w:rsidRPr="00BB0812">
              <w:rPr>
                <w:rFonts w:ascii="Arial" w:hAnsi="Arial" w:cs="Arial"/>
                <w:sz w:val="18"/>
                <w:szCs w:val="18"/>
              </w:rPr>
              <w:t xml:space="preserve"> S.A.S</w:t>
            </w:r>
          </w:p>
        </w:tc>
        <w:tc>
          <w:tcPr>
            <w:tcW w:w="0" w:type="auto"/>
            <w:shd w:val="clear" w:color="auto" w:fill="FFFFFF"/>
            <w:vAlign w:val="center"/>
            <w:hideMark/>
          </w:tcPr>
          <w:p w14:paraId="4893542F"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Análisis de riesgos II para 3 EDS</w:t>
            </w:r>
          </w:p>
        </w:tc>
        <w:tc>
          <w:tcPr>
            <w:tcW w:w="0" w:type="auto"/>
            <w:shd w:val="clear" w:color="auto" w:fill="FFFFFF"/>
            <w:vAlign w:val="center"/>
            <w:hideMark/>
          </w:tcPr>
          <w:p w14:paraId="57116D55"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$21.000.000</w:t>
            </w:r>
          </w:p>
        </w:tc>
        <w:tc>
          <w:tcPr>
            <w:tcW w:w="0" w:type="auto"/>
            <w:shd w:val="clear" w:color="auto" w:fill="FFFFFF"/>
            <w:vAlign w:val="center"/>
            <w:hideMark/>
          </w:tcPr>
          <w:p w14:paraId="529C430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185 días</w:t>
            </w:r>
          </w:p>
        </w:tc>
      </w:tr>
      <w:tr w:rsidR="00AA1934" w:rsidRPr="00BB0812" w14:paraId="4D4625A9" w14:textId="77777777" w:rsidTr="00F17FD2">
        <w:tc>
          <w:tcPr>
            <w:tcW w:w="0" w:type="auto"/>
            <w:vMerge/>
            <w:shd w:val="clear" w:color="auto" w:fill="FFFFFF"/>
            <w:vAlign w:val="center"/>
            <w:hideMark/>
          </w:tcPr>
          <w:p w14:paraId="56EF9422"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4012BE82"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Consorcio Nuevo Dorado</w:t>
            </w:r>
          </w:p>
        </w:tc>
        <w:tc>
          <w:tcPr>
            <w:tcW w:w="0" w:type="auto"/>
            <w:shd w:val="clear" w:color="auto" w:fill="FFFFFF"/>
            <w:vAlign w:val="center"/>
            <w:hideMark/>
          </w:tcPr>
          <w:p w14:paraId="2A23591E"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Demolición torre control antiguo Aeropuerto El Dorado</w:t>
            </w:r>
          </w:p>
        </w:tc>
        <w:tc>
          <w:tcPr>
            <w:tcW w:w="0" w:type="auto"/>
            <w:shd w:val="clear" w:color="auto" w:fill="FFFFFF"/>
            <w:vAlign w:val="center"/>
            <w:hideMark/>
          </w:tcPr>
          <w:p w14:paraId="291EB036"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$1.200.000.000</w:t>
            </w:r>
          </w:p>
        </w:tc>
        <w:tc>
          <w:tcPr>
            <w:tcW w:w="0" w:type="auto"/>
            <w:shd w:val="clear" w:color="auto" w:fill="FFFFFF"/>
            <w:vAlign w:val="center"/>
            <w:hideMark/>
          </w:tcPr>
          <w:p w14:paraId="195AD91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46 días</w:t>
            </w:r>
          </w:p>
        </w:tc>
      </w:tr>
      <w:tr w:rsidR="00AA1934" w:rsidRPr="00BB0812" w14:paraId="1A9C1F9E" w14:textId="77777777" w:rsidTr="00F17FD2">
        <w:tc>
          <w:tcPr>
            <w:tcW w:w="0" w:type="auto"/>
            <w:vMerge/>
            <w:shd w:val="clear" w:color="auto" w:fill="FFFFFF"/>
            <w:vAlign w:val="center"/>
            <w:hideMark/>
          </w:tcPr>
          <w:p w14:paraId="171F9EFC"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3322F42D"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CAR</w:t>
            </w:r>
          </w:p>
        </w:tc>
        <w:tc>
          <w:tcPr>
            <w:tcW w:w="0" w:type="auto"/>
            <w:shd w:val="clear" w:color="auto" w:fill="FFFFFF"/>
            <w:vAlign w:val="center"/>
            <w:hideMark/>
          </w:tcPr>
          <w:p w14:paraId="5EFE38E3"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Desmantelamiento y demolición vivienda Rosales</w:t>
            </w:r>
          </w:p>
        </w:tc>
        <w:tc>
          <w:tcPr>
            <w:tcW w:w="0" w:type="auto"/>
            <w:shd w:val="clear" w:color="auto" w:fill="FFFFFF"/>
            <w:vAlign w:val="center"/>
            <w:hideMark/>
          </w:tcPr>
          <w:p w14:paraId="59D954CC"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$575.261.716</w:t>
            </w:r>
          </w:p>
        </w:tc>
        <w:tc>
          <w:tcPr>
            <w:tcW w:w="0" w:type="auto"/>
            <w:shd w:val="clear" w:color="auto" w:fill="FFFFFF"/>
            <w:vAlign w:val="center"/>
            <w:hideMark/>
          </w:tcPr>
          <w:p w14:paraId="01970B6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122 días</w:t>
            </w:r>
          </w:p>
        </w:tc>
      </w:tr>
      <w:tr w:rsidR="00AA1934" w:rsidRPr="00BB0812" w14:paraId="7F5E5E6F" w14:textId="77777777" w:rsidTr="00F17FD2">
        <w:tc>
          <w:tcPr>
            <w:tcW w:w="0" w:type="auto"/>
            <w:vMerge/>
            <w:shd w:val="clear" w:color="auto" w:fill="FFFFFF"/>
            <w:vAlign w:val="center"/>
            <w:hideMark/>
          </w:tcPr>
          <w:p w14:paraId="7275BDA6"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29F97910"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Alianza Fiduciaria</w:t>
            </w:r>
          </w:p>
        </w:tc>
        <w:tc>
          <w:tcPr>
            <w:tcW w:w="0" w:type="auto"/>
            <w:shd w:val="clear" w:color="auto" w:fill="FFFFFF"/>
            <w:vAlign w:val="center"/>
            <w:hideMark/>
          </w:tcPr>
          <w:p w14:paraId="62A61E52"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Demolición y cerramiento Proyecto San Bernardo</w:t>
            </w:r>
          </w:p>
        </w:tc>
        <w:tc>
          <w:tcPr>
            <w:tcW w:w="0" w:type="auto"/>
            <w:shd w:val="clear" w:color="auto" w:fill="FFFFFF"/>
            <w:vAlign w:val="center"/>
            <w:hideMark/>
          </w:tcPr>
          <w:p w14:paraId="19E622E2"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$4.140.144.535</w:t>
            </w:r>
          </w:p>
        </w:tc>
        <w:tc>
          <w:tcPr>
            <w:tcW w:w="0" w:type="auto"/>
            <w:shd w:val="clear" w:color="auto" w:fill="FFFFFF"/>
            <w:vAlign w:val="center"/>
            <w:hideMark/>
          </w:tcPr>
          <w:p w14:paraId="2CD4EB94"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1.579 días</w:t>
            </w:r>
          </w:p>
        </w:tc>
      </w:tr>
      <w:tr w:rsidR="00AA1934" w:rsidRPr="00BB0812" w14:paraId="40BB0F61" w14:textId="77777777" w:rsidTr="00F17FD2">
        <w:tc>
          <w:tcPr>
            <w:tcW w:w="0" w:type="auto"/>
            <w:vMerge/>
            <w:shd w:val="clear" w:color="auto" w:fill="FFFFFF"/>
            <w:vAlign w:val="center"/>
            <w:hideMark/>
          </w:tcPr>
          <w:p w14:paraId="6259C813" w14:textId="77777777" w:rsidR="00AA1934" w:rsidRPr="00BB0812" w:rsidRDefault="00AA1934" w:rsidP="00616FE1">
            <w:pPr>
              <w:spacing w:after="0"/>
              <w:jc w:val="center"/>
              <w:rPr>
                <w:rFonts w:ascii="Arial" w:hAnsi="Arial" w:cs="Arial"/>
                <w:sz w:val="18"/>
                <w:szCs w:val="18"/>
              </w:rPr>
            </w:pPr>
          </w:p>
        </w:tc>
        <w:tc>
          <w:tcPr>
            <w:tcW w:w="0" w:type="auto"/>
            <w:shd w:val="clear" w:color="auto" w:fill="FFFFFF"/>
            <w:vAlign w:val="center"/>
            <w:hideMark/>
          </w:tcPr>
          <w:p w14:paraId="295D7591"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Constructora Confidencial</w:t>
            </w:r>
          </w:p>
        </w:tc>
        <w:tc>
          <w:tcPr>
            <w:tcW w:w="0" w:type="auto"/>
            <w:shd w:val="clear" w:color="auto" w:fill="FFFFFF"/>
            <w:vAlign w:val="center"/>
            <w:hideMark/>
          </w:tcPr>
          <w:p w14:paraId="01740E6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Desmantelamiento y remediación uso residencial</w:t>
            </w:r>
          </w:p>
        </w:tc>
        <w:tc>
          <w:tcPr>
            <w:tcW w:w="0" w:type="auto"/>
            <w:shd w:val="clear" w:color="auto" w:fill="FFFFFF"/>
            <w:vAlign w:val="center"/>
            <w:hideMark/>
          </w:tcPr>
          <w:p w14:paraId="5C5926E9"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$1.260.388.062</w:t>
            </w:r>
          </w:p>
        </w:tc>
        <w:tc>
          <w:tcPr>
            <w:tcW w:w="0" w:type="auto"/>
            <w:shd w:val="clear" w:color="auto" w:fill="FFFFFF"/>
            <w:vAlign w:val="center"/>
            <w:hideMark/>
          </w:tcPr>
          <w:p w14:paraId="633699E7" w14:textId="77777777" w:rsidR="00AA1934" w:rsidRPr="00BB0812" w:rsidRDefault="00AA1934" w:rsidP="00616FE1">
            <w:pPr>
              <w:spacing w:after="0"/>
              <w:jc w:val="center"/>
              <w:rPr>
                <w:rFonts w:ascii="Arial" w:hAnsi="Arial" w:cs="Arial"/>
                <w:sz w:val="18"/>
                <w:szCs w:val="18"/>
              </w:rPr>
            </w:pPr>
            <w:r w:rsidRPr="00BB0812">
              <w:rPr>
                <w:rFonts w:ascii="Arial" w:hAnsi="Arial" w:cs="Arial"/>
                <w:sz w:val="18"/>
                <w:szCs w:val="18"/>
              </w:rPr>
              <w:t>1.110 días</w:t>
            </w:r>
          </w:p>
        </w:tc>
      </w:tr>
    </w:tbl>
    <w:p w14:paraId="4B2A593D" w14:textId="77777777" w:rsidR="00AA1934" w:rsidRPr="00C76457" w:rsidRDefault="00AA1934" w:rsidP="00616FE1">
      <w:pPr>
        <w:spacing w:after="0"/>
        <w:rPr>
          <w:rFonts w:ascii="Arial" w:hAnsi="Arial" w:cs="Arial"/>
        </w:rPr>
      </w:pPr>
    </w:p>
    <w:sectPr w:rsidR="00AA1934" w:rsidRPr="00C76457" w:rsidSect="00F94153">
      <w:headerReference w:type="even" r:id="rId41"/>
      <w:headerReference w:type="default" r:id="rId42"/>
      <w:footerReference w:type="even" r:id="rId43"/>
      <w:footerReference w:type="default" r:id="rId44"/>
      <w:headerReference w:type="first" r:id="rId45"/>
      <w:footerReference w:type="first" r:id="rId46"/>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59D25" w14:textId="77777777" w:rsidR="0052340A" w:rsidRPr="003452CF" w:rsidRDefault="0052340A">
      <w:pPr>
        <w:spacing w:after="0" w:line="240" w:lineRule="auto"/>
      </w:pPr>
      <w:r w:rsidRPr="003452CF">
        <w:separator/>
      </w:r>
    </w:p>
  </w:endnote>
  <w:endnote w:type="continuationSeparator" w:id="0">
    <w:p w14:paraId="622C950B" w14:textId="77777777" w:rsidR="0052340A" w:rsidRPr="003452CF" w:rsidRDefault="0052340A">
      <w:pPr>
        <w:spacing w:after="0" w:line="240" w:lineRule="auto"/>
      </w:pPr>
      <w:r w:rsidRPr="003452CF">
        <w:continuationSeparator/>
      </w:r>
    </w:p>
  </w:endnote>
  <w:endnote w:type="continuationNotice" w:id="1">
    <w:p w14:paraId="432CE24F" w14:textId="77777777" w:rsidR="0052340A" w:rsidRDefault="005234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mo">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ZTR1C.tmp">
    <w:altName w:val="Times New Roman"/>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797E5" w14:textId="77777777" w:rsidR="00F36E0F" w:rsidRDefault="00F36E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BF133" w14:textId="54B91324" w:rsidR="00465DCA" w:rsidRPr="00443CAF" w:rsidRDefault="006F71A5" w:rsidP="00443CAF">
    <w:pPr>
      <w:pStyle w:val="Piedepgina"/>
      <w:jc w:val="right"/>
      <w:rPr>
        <w:rFonts w:ascii="Arial" w:hAnsi="Arial" w:cs="Arial"/>
        <w:sz w:val="16"/>
        <w:szCs w:val="14"/>
      </w:rPr>
    </w:pPr>
    <w:r w:rsidRPr="003452CF">
      <w:rPr>
        <w:rFonts w:ascii="Arial" w:hAnsi="Arial" w:cs="Arial"/>
        <w:sz w:val="16"/>
        <w:szCs w:val="14"/>
      </w:rPr>
      <w:t xml:space="preserve">                                                                                                                   Página </w:t>
    </w:r>
    <w:r w:rsidRPr="003452CF">
      <w:rPr>
        <w:rFonts w:ascii="Arial" w:hAnsi="Arial" w:cs="Arial"/>
        <w:sz w:val="16"/>
        <w:szCs w:val="14"/>
      </w:rPr>
      <w:fldChar w:fldCharType="begin"/>
    </w:r>
    <w:r w:rsidRPr="003452CF">
      <w:rPr>
        <w:rFonts w:ascii="Arial" w:hAnsi="Arial" w:cs="Arial"/>
        <w:sz w:val="16"/>
        <w:szCs w:val="14"/>
      </w:rPr>
      <w:instrText>PAGE  \* Arabic  \* MERGEFORMAT</w:instrText>
    </w:r>
    <w:r w:rsidRPr="003452CF">
      <w:rPr>
        <w:rFonts w:ascii="Arial" w:hAnsi="Arial" w:cs="Arial"/>
        <w:sz w:val="16"/>
        <w:szCs w:val="14"/>
      </w:rPr>
      <w:fldChar w:fldCharType="separate"/>
    </w:r>
    <w:r w:rsidR="003D58EA" w:rsidRPr="003452CF">
      <w:rPr>
        <w:rFonts w:ascii="Arial" w:hAnsi="Arial" w:cs="Arial"/>
        <w:sz w:val="16"/>
        <w:szCs w:val="14"/>
      </w:rPr>
      <w:t>1</w:t>
    </w:r>
    <w:r w:rsidRPr="003452CF">
      <w:rPr>
        <w:rFonts w:ascii="Arial" w:hAnsi="Arial" w:cs="Arial"/>
        <w:sz w:val="16"/>
        <w:szCs w:val="14"/>
      </w:rPr>
      <w:fldChar w:fldCharType="end"/>
    </w:r>
    <w:r w:rsidRPr="003452CF">
      <w:rPr>
        <w:rFonts w:ascii="Arial" w:hAnsi="Arial" w:cs="Arial"/>
        <w:sz w:val="16"/>
        <w:szCs w:val="14"/>
      </w:rPr>
      <w:t xml:space="preserve"> de </w:t>
    </w:r>
    <w:r w:rsidRPr="003452CF">
      <w:rPr>
        <w:rFonts w:ascii="Arial" w:hAnsi="Arial" w:cs="Arial"/>
        <w:sz w:val="16"/>
        <w:szCs w:val="14"/>
      </w:rPr>
      <w:fldChar w:fldCharType="begin"/>
    </w:r>
    <w:r w:rsidRPr="003452CF">
      <w:rPr>
        <w:rFonts w:ascii="Arial" w:hAnsi="Arial" w:cs="Arial"/>
        <w:sz w:val="16"/>
        <w:szCs w:val="14"/>
      </w:rPr>
      <w:instrText>NUMPAGES  \* Arabic  \* MERGEFORMAT</w:instrText>
    </w:r>
    <w:r w:rsidRPr="003452CF">
      <w:rPr>
        <w:rFonts w:ascii="Arial" w:hAnsi="Arial" w:cs="Arial"/>
        <w:sz w:val="16"/>
        <w:szCs w:val="14"/>
      </w:rPr>
      <w:fldChar w:fldCharType="separate"/>
    </w:r>
    <w:r w:rsidR="003D58EA" w:rsidRPr="003452CF">
      <w:rPr>
        <w:rFonts w:ascii="Arial" w:hAnsi="Arial" w:cs="Arial"/>
        <w:sz w:val="16"/>
        <w:szCs w:val="14"/>
      </w:rPr>
      <w:t>20</w:t>
    </w:r>
    <w:r w:rsidRPr="003452CF">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67AD3" w14:textId="77777777" w:rsidR="00F36E0F" w:rsidRDefault="00F36E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B5EEF" w14:textId="77777777" w:rsidR="0052340A" w:rsidRPr="003452CF" w:rsidRDefault="0052340A">
      <w:pPr>
        <w:spacing w:after="0" w:line="240" w:lineRule="auto"/>
      </w:pPr>
      <w:r w:rsidRPr="003452CF">
        <w:separator/>
      </w:r>
    </w:p>
  </w:footnote>
  <w:footnote w:type="continuationSeparator" w:id="0">
    <w:p w14:paraId="4A33D430" w14:textId="77777777" w:rsidR="0052340A" w:rsidRPr="003452CF" w:rsidRDefault="0052340A">
      <w:pPr>
        <w:spacing w:after="0" w:line="240" w:lineRule="auto"/>
      </w:pPr>
      <w:r w:rsidRPr="003452CF">
        <w:continuationSeparator/>
      </w:r>
    </w:p>
  </w:footnote>
  <w:footnote w:type="continuationNotice" w:id="1">
    <w:p w14:paraId="1D0EAA47" w14:textId="77777777" w:rsidR="0052340A" w:rsidRDefault="0052340A">
      <w:pPr>
        <w:spacing w:after="0" w:line="240" w:lineRule="auto"/>
      </w:pPr>
    </w:p>
  </w:footnote>
  <w:footnote w:id="2">
    <w:p w14:paraId="2470C9F3" w14:textId="21AE695F" w:rsidR="005C4F51" w:rsidRPr="009D36BA" w:rsidRDefault="005C4F51" w:rsidP="005C4F51">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DIAN. Compilación Jurídica DIAN - Ministerio de Minas y Energía. Resolución 40405 de 2020 (diciembre 24). Diario Oficial No. 51.540 de 27 de diciembre de 2020. Fecha de publicación: 27 de diciembre de 2020; Fecha de consulta </w:t>
      </w:r>
      <w:r w:rsidR="003327FD">
        <w:rPr>
          <w:rFonts w:cs="Arial"/>
          <w:sz w:val="16"/>
          <w:szCs w:val="16"/>
        </w:rPr>
        <w:t>18 de agosto</w:t>
      </w:r>
      <w:r w:rsidRPr="009D36BA">
        <w:rPr>
          <w:rFonts w:cs="Arial"/>
          <w:sz w:val="16"/>
          <w:szCs w:val="16"/>
        </w:rPr>
        <w:t xml:space="preserve"> de 2026 </w:t>
      </w:r>
      <w:hyperlink r:id="rId1" w:history="1">
        <w:r w:rsidRPr="009D36BA">
          <w:rPr>
            <w:rStyle w:val="Hipervnculo"/>
            <w:rFonts w:cs="Arial"/>
            <w:sz w:val="16"/>
            <w:szCs w:val="16"/>
          </w:rPr>
          <w:t>https://normograma.dian.gov.co/dian/compilacion/docs/resolucion_minminas_40405_2020.htm</w:t>
        </w:r>
      </w:hyperlink>
    </w:p>
  </w:footnote>
  <w:footnote w:id="3">
    <w:p w14:paraId="2990EB5E" w14:textId="3B0D2FBD" w:rsidR="00F828E5" w:rsidRPr="009D36BA" w:rsidRDefault="005C4F51">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w:t>
      </w:r>
      <w:r w:rsidR="00D04B68" w:rsidRPr="009D36BA">
        <w:rPr>
          <w:rFonts w:cs="Arial"/>
          <w:sz w:val="16"/>
          <w:szCs w:val="16"/>
        </w:rPr>
        <w:t>Presidencia de la república. Función pública – Decreto 1076 de 2015 Sector Ambiente y Desarrollo Sostenible (26 de mayo). Fecha de publicación</w:t>
      </w:r>
      <w:r w:rsidR="00297E6D" w:rsidRPr="009D36BA">
        <w:rPr>
          <w:rFonts w:cs="Arial"/>
          <w:sz w:val="16"/>
          <w:szCs w:val="16"/>
        </w:rPr>
        <w:t>:</w:t>
      </w:r>
      <w:r w:rsidR="00D04B68" w:rsidRPr="009D36BA">
        <w:rPr>
          <w:rFonts w:cs="Arial"/>
          <w:sz w:val="16"/>
          <w:szCs w:val="16"/>
        </w:rPr>
        <w:t xml:space="preserve"> 26 de mayo de 2015. Ultima actualización 2 de noviembre de 2015. Fecha de consulta </w:t>
      </w:r>
      <w:r w:rsidR="003327FD">
        <w:rPr>
          <w:rFonts w:cs="Arial"/>
          <w:sz w:val="16"/>
          <w:szCs w:val="16"/>
        </w:rPr>
        <w:t>18 de agosto</w:t>
      </w:r>
      <w:r w:rsidR="00D04B68" w:rsidRPr="009D36BA">
        <w:rPr>
          <w:rFonts w:cs="Arial"/>
          <w:sz w:val="16"/>
          <w:szCs w:val="16"/>
        </w:rPr>
        <w:t xml:space="preserve"> de 2026 </w:t>
      </w:r>
      <w:hyperlink r:id="rId2" w:history="1">
        <w:r w:rsidR="00F828E5" w:rsidRPr="009D36BA">
          <w:rPr>
            <w:rStyle w:val="Hipervnculo"/>
            <w:rFonts w:cs="Arial"/>
            <w:sz w:val="16"/>
            <w:szCs w:val="16"/>
          </w:rPr>
          <w:t>https://www.funcionpublica.gov.co/eva/gestornormativo/norma.php?i=78153</w:t>
        </w:r>
      </w:hyperlink>
      <w:r w:rsidR="00F828E5" w:rsidRPr="009D36BA">
        <w:rPr>
          <w:rFonts w:cs="Arial"/>
          <w:sz w:val="16"/>
          <w:szCs w:val="16"/>
        </w:rPr>
        <w:t xml:space="preserve"> </w:t>
      </w:r>
    </w:p>
  </w:footnote>
  <w:footnote w:id="4">
    <w:p w14:paraId="1754041C" w14:textId="77777777" w:rsidR="00E8464E" w:rsidRPr="00915023" w:rsidRDefault="00E8464E" w:rsidP="00E8464E">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Introducción a la economía. La importancia del sector de la construcción en Colombia. Fecha de publicación: 26 de septiembre de 2025. Fecha de consulta: </w:t>
      </w:r>
      <w:r>
        <w:rPr>
          <w:rFonts w:cs="Arial"/>
          <w:sz w:val="16"/>
          <w:szCs w:val="16"/>
        </w:rPr>
        <w:t>18 de agosto</w:t>
      </w:r>
      <w:r w:rsidRPr="009D36BA">
        <w:rPr>
          <w:rFonts w:cs="Arial"/>
          <w:sz w:val="16"/>
          <w:szCs w:val="16"/>
        </w:rPr>
        <w:t xml:space="preserve"> de 2026. </w:t>
      </w:r>
      <w:hyperlink r:id="rId3">
        <w:r w:rsidRPr="00915023">
          <w:rPr>
            <w:rStyle w:val="Hipervnculo"/>
            <w:rFonts w:cs="Arial"/>
            <w:sz w:val="16"/>
            <w:szCs w:val="16"/>
          </w:rPr>
          <w:t>https://introduccionalaeconomia.com/importancia-sector-construccion-colombia/</w:t>
        </w:r>
      </w:hyperlink>
      <w:r w:rsidRPr="00915023">
        <w:rPr>
          <w:rFonts w:cs="Arial"/>
          <w:sz w:val="16"/>
          <w:szCs w:val="16"/>
        </w:rPr>
        <w:t xml:space="preserve"> </w:t>
      </w:r>
    </w:p>
  </w:footnote>
  <w:footnote w:id="5">
    <w:p w14:paraId="0A3BAB73" w14:textId="6BD91EB5" w:rsidR="00F828E5" w:rsidRPr="009D36BA" w:rsidRDefault="00F828E5">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w:t>
      </w:r>
      <w:r w:rsidR="008272EA" w:rsidRPr="009D36BA">
        <w:rPr>
          <w:rFonts w:cs="Arial"/>
          <w:sz w:val="16"/>
          <w:szCs w:val="16"/>
        </w:rPr>
        <w:t xml:space="preserve">DANE. </w:t>
      </w:r>
      <w:r w:rsidR="00DB58D1" w:rsidRPr="009D36BA">
        <w:rPr>
          <w:rFonts w:cs="Arial"/>
          <w:sz w:val="16"/>
          <w:szCs w:val="16"/>
        </w:rPr>
        <w:t>Indicadores Económicos Alrededor de la Construcción (IEAC)</w:t>
      </w:r>
      <w:r w:rsidR="00240321" w:rsidRPr="009D36BA">
        <w:rPr>
          <w:rFonts w:cs="Arial"/>
          <w:sz w:val="16"/>
          <w:szCs w:val="16"/>
        </w:rPr>
        <w:t xml:space="preserve"> – Información </w:t>
      </w:r>
      <w:r w:rsidR="00867475">
        <w:rPr>
          <w:rFonts w:cs="Arial"/>
          <w:sz w:val="16"/>
          <w:szCs w:val="16"/>
        </w:rPr>
        <w:t>Primer</w:t>
      </w:r>
      <w:r w:rsidR="00867475" w:rsidRPr="009D36BA">
        <w:rPr>
          <w:rFonts w:cs="Arial"/>
          <w:sz w:val="16"/>
          <w:szCs w:val="16"/>
        </w:rPr>
        <w:t xml:space="preserve"> </w:t>
      </w:r>
      <w:r w:rsidR="00867475">
        <w:rPr>
          <w:rFonts w:cs="Arial"/>
          <w:sz w:val="16"/>
          <w:szCs w:val="16"/>
        </w:rPr>
        <w:t>T</w:t>
      </w:r>
      <w:r w:rsidR="00853B61" w:rsidRPr="009D36BA">
        <w:rPr>
          <w:rFonts w:cs="Arial"/>
          <w:sz w:val="16"/>
          <w:szCs w:val="16"/>
        </w:rPr>
        <w:t>rimestre de 202</w:t>
      </w:r>
      <w:r w:rsidR="00867475">
        <w:rPr>
          <w:rFonts w:cs="Arial"/>
          <w:sz w:val="16"/>
          <w:szCs w:val="16"/>
        </w:rPr>
        <w:t>6</w:t>
      </w:r>
      <w:r w:rsidR="008C35D1" w:rsidRPr="009D36BA">
        <w:rPr>
          <w:rFonts w:cs="Arial"/>
          <w:sz w:val="16"/>
          <w:szCs w:val="16"/>
        </w:rPr>
        <w:t>. Fecha de publicación</w:t>
      </w:r>
      <w:r w:rsidR="00297E6D" w:rsidRPr="009D36BA">
        <w:rPr>
          <w:rFonts w:cs="Arial"/>
          <w:sz w:val="16"/>
          <w:szCs w:val="16"/>
        </w:rPr>
        <w:t>:</w:t>
      </w:r>
      <w:r w:rsidR="008C35D1" w:rsidRPr="009D36BA">
        <w:rPr>
          <w:rFonts w:cs="Arial"/>
          <w:sz w:val="16"/>
          <w:szCs w:val="16"/>
        </w:rPr>
        <w:t xml:space="preserve"> 09 de </w:t>
      </w:r>
      <w:r w:rsidR="006F522C">
        <w:rPr>
          <w:rFonts w:cs="Arial"/>
          <w:sz w:val="16"/>
          <w:szCs w:val="16"/>
        </w:rPr>
        <w:t>junio</w:t>
      </w:r>
      <w:r w:rsidR="006F522C" w:rsidRPr="009D36BA">
        <w:rPr>
          <w:rFonts w:cs="Arial"/>
          <w:sz w:val="16"/>
          <w:szCs w:val="16"/>
        </w:rPr>
        <w:t xml:space="preserve"> </w:t>
      </w:r>
      <w:r w:rsidR="008C35D1" w:rsidRPr="009D36BA">
        <w:rPr>
          <w:rFonts w:cs="Arial"/>
          <w:sz w:val="16"/>
          <w:szCs w:val="16"/>
        </w:rPr>
        <w:t>de 2026</w:t>
      </w:r>
      <w:r w:rsidR="00E3534E" w:rsidRPr="009D36BA">
        <w:rPr>
          <w:rFonts w:cs="Arial"/>
          <w:sz w:val="16"/>
          <w:szCs w:val="16"/>
        </w:rPr>
        <w:t xml:space="preserve">. Fecha de consulta </w:t>
      </w:r>
      <w:r w:rsidR="00B469B7">
        <w:rPr>
          <w:rFonts w:cs="Arial"/>
          <w:sz w:val="16"/>
          <w:szCs w:val="16"/>
        </w:rPr>
        <w:t>18</w:t>
      </w:r>
      <w:r w:rsidR="00B469B7" w:rsidRPr="009D36BA">
        <w:rPr>
          <w:rFonts w:cs="Arial"/>
          <w:sz w:val="16"/>
          <w:szCs w:val="16"/>
        </w:rPr>
        <w:t xml:space="preserve"> </w:t>
      </w:r>
      <w:r w:rsidR="00E3534E" w:rsidRPr="009D36BA">
        <w:rPr>
          <w:rFonts w:cs="Arial"/>
          <w:sz w:val="16"/>
          <w:szCs w:val="16"/>
        </w:rPr>
        <w:t xml:space="preserve">de </w:t>
      </w:r>
      <w:r w:rsidR="00B469B7">
        <w:rPr>
          <w:rFonts w:cs="Arial"/>
          <w:sz w:val="16"/>
          <w:szCs w:val="16"/>
        </w:rPr>
        <w:t>agosto</w:t>
      </w:r>
      <w:r w:rsidR="00B469B7" w:rsidRPr="009D36BA">
        <w:rPr>
          <w:rFonts w:cs="Arial"/>
          <w:sz w:val="16"/>
          <w:szCs w:val="16"/>
        </w:rPr>
        <w:t xml:space="preserve"> </w:t>
      </w:r>
      <w:r w:rsidR="00E3534E" w:rsidRPr="009D36BA">
        <w:rPr>
          <w:rFonts w:cs="Arial"/>
          <w:sz w:val="16"/>
          <w:szCs w:val="16"/>
        </w:rPr>
        <w:t>de 2026</w:t>
      </w:r>
      <w:r w:rsidR="00FE3F15">
        <w:rPr>
          <w:rFonts w:cs="Arial"/>
          <w:sz w:val="16"/>
          <w:szCs w:val="16"/>
        </w:rPr>
        <w:t>.</w:t>
      </w:r>
      <w:r w:rsidR="00E3534E" w:rsidRPr="009D36BA">
        <w:rPr>
          <w:rFonts w:cs="Arial"/>
          <w:sz w:val="16"/>
          <w:szCs w:val="16"/>
        </w:rPr>
        <w:t xml:space="preserve"> </w:t>
      </w:r>
      <w:hyperlink r:id="rId4" w:history="1">
        <w:r w:rsidR="00B469B7" w:rsidRPr="007C3052">
          <w:rPr>
            <w:rStyle w:val="Hipervnculo"/>
            <w:rFonts w:cs="Arial"/>
            <w:sz w:val="16"/>
            <w:szCs w:val="16"/>
          </w:rPr>
          <w:t>https://www.dane.gov.co/files/operaciones/IEAC/bol-IEAC-Itrim2026.pdf</w:t>
        </w:r>
      </w:hyperlink>
      <w:r w:rsidR="00B469B7">
        <w:rPr>
          <w:rFonts w:cs="Arial"/>
          <w:sz w:val="16"/>
          <w:szCs w:val="16"/>
        </w:rPr>
        <w:t xml:space="preserve"> </w:t>
      </w:r>
    </w:p>
  </w:footnote>
  <w:footnote w:id="6">
    <w:p w14:paraId="62E384D1" w14:textId="037BE55E" w:rsidR="00657401" w:rsidRPr="009D36BA" w:rsidRDefault="00657401">
      <w:pPr>
        <w:pStyle w:val="Textonotapie"/>
        <w:rPr>
          <w:rFonts w:cs="Arial"/>
          <w:sz w:val="16"/>
          <w:szCs w:val="16"/>
        </w:rPr>
      </w:pPr>
      <w:r w:rsidRPr="009D36BA">
        <w:rPr>
          <w:rStyle w:val="Refdenotaalpie"/>
          <w:rFonts w:cs="Arial"/>
          <w:sz w:val="16"/>
          <w:szCs w:val="16"/>
        </w:rPr>
        <w:footnoteRef/>
      </w:r>
      <w:r w:rsidRPr="00915023">
        <w:rPr>
          <w:rFonts w:cs="Arial"/>
          <w:sz w:val="16"/>
          <w:szCs w:val="16"/>
        </w:rPr>
        <w:t xml:space="preserve"> </w:t>
      </w:r>
      <w:r w:rsidR="00474D82" w:rsidRPr="00915023">
        <w:rPr>
          <w:rFonts w:cs="Arial"/>
          <w:sz w:val="16"/>
          <w:szCs w:val="16"/>
        </w:rPr>
        <w:t>CENTURY ASSET MANAGEMENT.</w:t>
      </w:r>
      <w:r w:rsidR="00011EEC" w:rsidRPr="00915023">
        <w:rPr>
          <w:rFonts w:cs="Arial"/>
          <w:sz w:val="16"/>
          <w:szCs w:val="16"/>
        </w:rPr>
        <w:t xml:space="preserve"> </w:t>
      </w:r>
      <w:r w:rsidR="00011EEC" w:rsidRPr="009D36BA">
        <w:rPr>
          <w:rFonts w:cs="Arial"/>
          <w:sz w:val="16"/>
          <w:szCs w:val="16"/>
        </w:rPr>
        <w:t xml:space="preserve">Impacto de tarifas e inflación en la construcción en Colombia. Fecha de </w:t>
      </w:r>
      <w:r w:rsidR="00C608AC" w:rsidRPr="009D36BA">
        <w:rPr>
          <w:rFonts w:cs="Arial"/>
          <w:sz w:val="16"/>
          <w:szCs w:val="16"/>
        </w:rPr>
        <w:t>publicación: 19 de junio de 2024. Fecha de consulta</w:t>
      </w:r>
      <w:r w:rsidR="008C4C43" w:rsidRPr="009D36BA">
        <w:rPr>
          <w:rFonts w:cs="Arial"/>
          <w:sz w:val="16"/>
          <w:szCs w:val="16"/>
        </w:rPr>
        <w:t xml:space="preserve">: </w:t>
      </w:r>
      <w:r w:rsidR="00A52229">
        <w:rPr>
          <w:rFonts w:cs="Arial"/>
          <w:sz w:val="16"/>
          <w:szCs w:val="16"/>
        </w:rPr>
        <w:t>18 de agosto</w:t>
      </w:r>
      <w:r w:rsidR="008C4C43" w:rsidRPr="009D36BA">
        <w:rPr>
          <w:rFonts w:cs="Arial"/>
          <w:sz w:val="16"/>
          <w:szCs w:val="16"/>
        </w:rPr>
        <w:t xml:space="preserve"> de 2026 </w:t>
      </w:r>
      <w:hyperlink r:id="rId5" w:history="1">
        <w:r w:rsidR="008C4C43" w:rsidRPr="009D36BA">
          <w:rPr>
            <w:rStyle w:val="Hipervnculo"/>
            <w:rFonts w:cs="Arial"/>
            <w:sz w:val="16"/>
            <w:szCs w:val="16"/>
          </w:rPr>
          <w:t>https://centuryassetmanagement.com/es/impact-of-rates-and-inflation-on-construction-in-colombia/</w:t>
        </w:r>
      </w:hyperlink>
      <w:r w:rsidR="008C4C43" w:rsidRPr="009D36BA">
        <w:rPr>
          <w:rFonts w:cs="Arial"/>
          <w:sz w:val="16"/>
          <w:szCs w:val="16"/>
        </w:rPr>
        <w:t xml:space="preserve"> </w:t>
      </w:r>
    </w:p>
  </w:footnote>
  <w:footnote w:id="7">
    <w:p w14:paraId="46F8C2B3" w14:textId="7BC02CCC" w:rsidR="004D676F" w:rsidRPr="009D36BA" w:rsidRDefault="004D676F">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w:t>
      </w:r>
      <w:r w:rsidR="003B10F9" w:rsidRPr="009D36BA">
        <w:rPr>
          <w:rFonts w:cs="Arial"/>
          <w:sz w:val="16"/>
          <w:szCs w:val="16"/>
        </w:rPr>
        <w:t>ARGOS</w:t>
      </w:r>
      <w:r w:rsidR="009B79A4" w:rsidRPr="009D36BA">
        <w:rPr>
          <w:rFonts w:cs="Arial"/>
          <w:sz w:val="16"/>
          <w:szCs w:val="16"/>
        </w:rPr>
        <w:t>. Sector de la construcción 2025 cifras, retos y oportunidades del segundo semestre</w:t>
      </w:r>
      <w:r w:rsidR="00555D3B" w:rsidRPr="009D36BA">
        <w:rPr>
          <w:rFonts w:cs="Arial"/>
          <w:sz w:val="16"/>
          <w:szCs w:val="16"/>
        </w:rPr>
        <w:t>. Fecha de publicación: 03 de agosto de 202</w:t>
      </w:r>
      <w:r w:rsidR="00973A8F" w:rsidRPr="009D36BA">
        <w:rPr>
          <w:rFonts w:cs="Arial"/>
          <w:sz w:val="16"/>
          <w:szCs w:val="16"/>
        </w:rPr>
        <w:t xml:space="preserve">5. Fecha de consulta: </w:t>
      </w:r>
      <w:r w:rsidR="00A52229">
        <w:rPr>
          <w:rFonts w:cs="Arial"/>
          <w:sz w:val="16"/>
          <w:szCs w:val="16"/>
        </w:rPr>
        <w:t>18 de agosto</w:t>
      </w:r>
      <w:r w:rsidR="00973A8F" w:rsidRPr="009D36BA">
        <w:rPr>
          <w:rFonts w:cs="Arial"/>
          <w:sz w:val="16"/>
          <w:szCs w:val="16"/>
        </w:rPr>
        <w:t xml:space="preserve"> de 202</w:t>
      </w:r>
      <w:r w:rsidR="00B67825">
        <w:rPr>
          <w:rFonts w:cs="Arial"/>
          <w:sz w:val="16"/>
          <w:szCs w:val="16"/>
        </w:rPr>
        <w:t>6</w:t>
      </w:r>
      <w:r w:rsidR="00973A8F" w:rsidRPr="009D36BA">
        <w:rPr>
          <w:rFonts w:cs="Arial"/>
          <w:sz w:val="16"/>
          <w:szCs w:val="16"/>
        </w:rPr>
        <w:t xml:space="preserve"> </w:t>
      </w:r>
      <w:hyperlink r:id="rId6" w:history="1">
        <w:r w:rsidR="00474D82" w:rsidRPr="009D36BA">
          <w:rPr>
            <w:rStyle w:val="Hipervnculo"/>
            <w:rFonts w:cs="Arial"/>
            <w:sz w:val="16"/>
            <w:szCs w:val="16"/>
          </w:rPr>
          <w:t>https://colombia.argos.co/sector-de-la-construccion-2025-cifras-retos-y-oportunidades-del-segundo-trimestre/</w:t>
        </w:r>
      </w:hyperlink>
      <w:r w:rsidR="00474D82" w:rsidRPr="009D36BA">
        <w:rPr>
          <w:rFonts w:cs="Arial"/>
          <w:sz w:val="16"/>
          <w:szCs w:val="16"/>
        </w:rPr>
        <w:t xml:space="preserve"> </w:t>
      </w:r>
    </w:p>
  </w:footnote>
  <w:footnote w:id="8">
    <w:p w14:paraId="05F4747F" w14:textId="4CCCC947" w:rsidR="006136F0" w:rsidRPr="00A15075" w:rsidRDefault="006136F0" w:rsidP="00A15075">
      <w:pPr>
        <w:spacing w:after="0" w:line="240" w:lineRule="auto"/>
        <w:rPr>
          <w:rFonts w:ascii="Arial" w:hAnsi="Arial" w:cs="Arial"/>
          <w:sz w:val="16"/>
          <w:szCs w:val="16"/>
        </w:rPr>
      </w:pPr>
      <w:r w:rsidRPr="009D36BA">
        <w:rPr>
          <w:rStyle w:val="Refdenotaalpie"/>
          <w:rFonts w:ascii="Arial" w:hAnsi="Arial" w:cs="Arial"/>
          <w:sz w:val="16"/>
          <w:szCs w:val="16"/>
        </w:rPr>
        <w:footnoteRef/>
      </w:r>
      <w:r w:rsidRPr="009D36BA">
        <w:rPr>
          <w:rFonts w:ascii="Arial" w:hAnsi="Arial" w:cs="Arial"/>
          <w:sz w:val="16"/>
          <w:szCs w:val="16"/>
        </w:rPr>
        <w:t xml:space="preserve"> DANE. Boletín </w:t>
      </w:r>
      <w:r w:rsidR="00057D56" w:rsidRPr="00C76457">
        <w:rPr>
          <w:rFonts w:ascii="Arial" w:hAnsi="Arial" w:cs="Arial"/>
          <w:sz w:val="16"/>
          <w:szCs w:val="16"/>
        </w:rPr>
        <w:t>técnico -</w:t>
      </w:r>
      <w:r w:rsidRPr="009D36BA">
        <w:rPr>
          <w:rFonts w:ascii="Arial" w:hAnsi="Arial" w:cs="Arial"/>
          <w:sz w:val="16"/>
          <w:szCs w:val="16"/>
        </w:rPr>
        <w:t xml:space="preserve"> Producto Interno Bruto </w:t>
      </w:r>
      <w:r w:rsidR="00057D56" w:rsidRPr="00C76457">
        <w:rPr>
          <w:rFonts w:ascii="Arial" w:hAnsi="Arial" w:cs="Arial"/>
          <w:sz w:val="16"/>
          <w:szCs w:val="16"/>
        </w:rPr>
        <w:t>(PIB) I</w:t>
      </w:r>
      <w:r w:rsidRPr="009D36BA">
        <w:rPr>
          <w:rFonts w:ascii="Arial" w:hAnsi="Arial" w:cs="Arial"/>
          <w:sz w:val="16"/>
          <w:szCs w:val="16"/>
        </w:rPr>
        <w:t xml:space="preserve"> trimestre </w:t>
      </w:r>
      <w:r w:rsidR="00057D56" w:rsidRPr="00C76457">
        <w:rPr>
          <w:rFonts w:ascii="Arial" w:hAnsi="Arial" w:cs="Arial"/>
          <w:sz w:val="16"/>
          <w:szCs w:val="16"/>
        </w:rPr>
        <w:t>202</w:t>
      </w:r>
      <w:r w:rsidR="00057D56">
        <w:rPr>
          <w:rFonts w:ascii="Arial" w:hAnsi="Arial" w:cs="Arial"/>
          <w:sz w:val="16"/>
          <w:szCs w:val="16"/>
        </w:rPr>
        <w:t>6</w:t>
      </w:r>
      <w:r w:rsidR="00057D56" w:rsidRPr="00C76457">
        <w:rPr>
          <w:rFonts w:ascii="Arial" w:hAnsi="Arial" w:cs="Arial"/>
          <w:sz w:val="16"/>
          <w:szCs w:val="16"/>
        </w:rPr>
        <w:t xml:space="preserve"> preliminar.</w:t>
      </w:r>
      <w:r w:rsidRPr="009D36BA">
        <w:rPr>
          <w:rFonts w:ascii="Arial" w:hAnsi="Arial" w:cs="Arial"/>
          <w:sz w:val="16"/>
          <w:szCs w:val="16"/>
        </w:rPr>
        <w:t xml:space="preserve"> Fecha de publicación: </w:t>
      </w:r>
      <w:r w:rsidR="00C74375">
        <w:rPr>
          <w:rFonts w:ascii="Arial" w:hAnsi="Arial" w:cs="Arial"/>
          <w:sz w:val="16"/>
          <w:szCs w:val="16"/>
        </w:rPr>
        <w:t>18 de agosto</w:t>
      </w:r>
      <w:r w:rsidR="00057D56">
        <w:rPr>
          <w:rFonts w:ascii="Arial" w:hAnsi="Arial" w:cs="Arial"/>
          <w:sz w:val="16"/>
          <w:szCs w:val="16"/>
        </w:rPr>
        <w:t xml:space="preserve"> </w:t>
      </w:r>
      <w:r w:rsidR="00057D56" w:rsidRPr="00C76457">
        <w:rPr>
          <w:rFonts w:ascii="Arial" w:hAnsi="Arial" w:cs="Arial"/>
          <w:sz w:val="16"/>
          <w:szCs w:val="16"/>
        </w:rPr>
        <w:t xml:space="preserve">de 2026; </w:t>
      </w:r>
      <w:r w:rsidR="00057D56">
        <w:rPr>
          <w:rFonts w:ascii="Arial" w:hAnsi="Arial" w:cs="Arial"/>
          <w:sz w:val="16"/>
          <w:szCs w:val="16"/>
        </w:rPr>
        <w:t xml:space="preserve">Fecha consulta: </w:t>
      </w:r>
      <w:r w:rsidR="00C74375">
        <w:rPr>
          <w:rFonts w:ascii="Arial" w:hAnsi="Arial" w:cs="Arial"/>
          <w:sz w:val="16"/>
          <w:szCs w:val="16"/>
        </w:rPr>
        <w:t>18 de agosto</w:t>
      </w:r>
      <w:r w:rsidR="00057D56">
        <w:rPr>
          <w:rFonts w:ascii="Arial" w:hAnsi="Arial" w:cs="Arial"/>
          <w:sz w:val="16"/>
          <w:szCs w:val="16"/>
        </w:rPr>
        <w:t xml:space="preserve"> </w:t>
      </w:r>
      <w:r w:rsidR="00057D56" w:rsidRPr="00C76457">
        <w:rPr>
          <w:rFonts w:ascii="Arial" w:hAnsi="Arial" w:cs="Arial"/>
          <w:sz w:val="16"/>
          <w:szCs w:val="16"/>
        </w:rPr>
        <w:t xml:space="preserve">de 2026. </w:t>
      </w:r>
      <w:hyperlink r:id="rId7" w:history="1">
        <w:r w:rsidR="004F454E" w:rsidRPr="004F454E">
          <w:rPr>
            <w:rStyle w:val="Hipervnculo"/>
            <w:rFonts w:ascii="Arial" w:hAnsi="Arial" w:cs="Arial"/>
            <w:sz w:val="16"/>
            <w:szCs w:val="16"/>
          </w:rPr>
          <w:t>https://www.dane.gov.co/files/operaciones/PIB/bol-PIB-IItrim2026.pdf</w:t>
        </w:r>
      </w:hyperlink>
    </w:p>
  </w:footnote>
  <w:footnote w:id="9">
    <w:p w14:paraId="08E1D208" w14:textId="54CF7556" w:rsidR="001A21D0" w:rsidRPr="001A21D0" w:rsidRDefault="001A21D0" w:rsidP="001A21D0">
      <w:pPr>
        <w:pStyle w:val="Textonotapie"/>
        <w:rPr>
          <w:sz w:val="16"/>
          <w:szCs w:val="16"/>
        </w:rPr>
      </w:pPr>
      <w:r>
        <w:rPr>
          <w:rStyle w:val="Refdenotaalpie"/>
        </w:rPr>
        <w:footnoteRef/>
      </w:r>
      <w:r w:rsidRPr="001A21D0">
        <w:rPr>
          <w:sz w:val="16"/>
          <w:szCs w:val="16"/>
        </w:rPr>
        <w:t xml:space="preserve"> </w:t>
      </w:r>
      <w:r>
        <w:rPr>
          <w:sz w:val="16"/>
          <w:szCs w:val="16"/>
        </w:rPr>
        <w:t xml:space="preserve">DANE. Boletín Técnico. </w:t>
      </w:r>
      <w:r w:rsidRPr="001A21D0">
        <w:rPr>
          <w:sz w:val="16"/>
          <w:szCs w:val="16"/>
        </w:rPr>
        <w:t>Principales indicadores del mercado laboral agosto de 2026</w:t>
      </w:r>
      <w:r w:rsidR="00E80FCC">
        <w:rPr>
          <w:sz w:val="16"/>
          <w:szCs w:val="16"/>
        </w:rPr>
        <w:t>. Fecha de p</w:t>
      </w:r>
      <w:r>
        <w:rPr>
          <w:sz w:val="16"/>
          <w:szCs w:val="16"/>
        </w:rPr>
        <w:t>ublica</w:t>
      </w:r>
      <w:r w:rsidR="00E80FCC">
        <w:rPr>
          <w:sz w:val="16"/>
          <w:szCs w:val="16"/>
        </w:rPr>
        <w:t>ción</w:t>
      </w:r>
      <w:r>
        <w:rPr>
          <w:sz w:val="16"/>
          <w:szCs w:val="16"/>
        </w:rPr>
        <w:t xml:space="preserve"> el 30 de septiembre de 2026.</w:t>
      </w:r>
      <w:r w:rsidR="00E80FCC">
        <w:rPr>
          <w:sz w:val="16"/>
          <w:szCs w:val="16"/>
        </w:rPr>
        <w:t>Fecha de consulta: 5 de octubre de 2026.</w:t>
      </w:r>
      <w:r>
        <w:rPr>
          <w:sz w:val="16"/>
          <w:szCs w:val="16"/>
        </w:rPr>
        <w:t xml:space="preserve"> </w:t>
      </w:r>
      <w:r w:rsidR="00E80FCC">
        <w:rPr>
          <w:sz w:val="16"/>
          <w:szCs w:val="16"/>
        </w:rPr>
        <w:t xml:space="preserve">Disponible en </w:t>
      </w:r>
      <w:hyperlink r:id="rId8" w:history="1">
        <w:r w:rsidR="00AE707D" w:rsidRPr="00B25DC6">
          <w:rPr>
            <w:rStyle w:val="Hipervnculo"/>
            <w:sz w:val="16"/>
            <w:szCs w:val="16"/>
          </w:rPr>
          <w:t>https://www.dane.gov.co/files/operaciones/GEIH/bol-GEIH-ago2026.pdf</w:t>
        </w:r>
      </w:hyperlink>
      <w:r>
        <w:rPr>
          <w:sz w:val="16"/>
          <w:szCs w:val="16"/>
        </w:rPr>
        <w:t xml:space="preserve"> </w:t>
      </w:r>
    </w:p>
  </w:footnote>
  <w:footnote w:id="10">
    <w:p w14:paraId="391A1643" w14:textId="0C85D3A7" w:rsidR="00116A5B" w:rsidRPr="00116A5B" w:rsidRDefault="00116A5B">
      <w:pPr>
        <w:pStyle w:val="Textonotapie"/>
        <w:rPr>
          <w:sz w:val="16"/>
          <w:szCs w:val="16"/>
          <w:lang w:val="es-ES"/>
        </w:rPr>
      </w:pPr>
      <w:r>
        <w:rPr>
          <w:rStyle w:val="Refdenotaalpie"/>
        </w:rPr>
        <w:footnoteRef/>
      </w:r>
      <w:r>
        <w:t xml:space="preserve"> </w:t>
      </w:r>
      <w:r w:rsidRPr="00116A5B">
        <w:rPr>
          <w:sz w:val="16"/>
          <w:szCs w:val="16"/>
        </w:rPr>
        <w:t xml:space="preserve">Secretaría Distrital de Desarrollo Económico de Bogotá. Informe Estadístico Construcción Bogotá No. </w:t>
      </w:r>
      <w:r w:rsidR="00F61F86">
        <w:rPr>
          <w:sz w:val="16"/>
          <w:szCs w:val="16"/>
        </w:rPr>
        <w:t>174</w:t>
      </w:r>
      <w:r w:rsidRPr="00116A5B">
        <w:rPr>
          <w:sz w:val="16"/>
          <w:szCs w:val="16"/>
        </w:rPr>
        <w:t xml:space="preserve"> </w:t>
      </w:r>
      <w:r w:rsidR="00F61F86">
        <w:rPr>
          <w:sz w:val="16"/>
          <w:szCs w:val="16"/>
        </w:rPr>
        <w:t>–</w:t>
      </w:r>
      <w:r w:rsidRPr="00116A5B">
        <w:rPr>
          <w:sz w:val="16"/>
          <w:szCs w:val="16"/>
        </w:rPr>
        <w:t xml:space="preserve"> </w:t>
      </w:r>
      <w:r w:rsidR="00F61F86">
        <w:rPr>
          <w:sz w:val="16"/>
          <w:szCs w:val="16"/>
        </w:rPr>
        <w:t>junio 2026</w:t>
      </w:r>
      <w:r w:rsidRPr="00116A5B">
        <w:rPr>
          <w:sz w:val="16"/>
          <w:szCs w:val="16"/>
        </w:rPr>
        <w:t xml:space="preserve"> y serie de informes sectoriales publicados por el Observatorio de Desarrollo Económico.</w:t>
      </w:r>
      <w:r w:rsidR="00062469">
        <w:rPr>
          <w:sz w:val="16"/>
          <w:szCs w:val="16"/>
        </w:rPr>
        <w:t xml:space="preserve"> </w:t>
      </w:r>
      <w:r w:rsidR="00F61F86">
        <w:rPr>
          <w:sz w:val="16"/>
          <w:szCs w:val="16"/>
        </w:rPr>
        <w:t xml:space="preserve">Fecha publicación: 16 septiembre 2026. </w:t>
      </w:r>
      <w:r w:rsidR="00AE707D">
        <w:rPr>
          <w:sz w:val="16"/>
          <w:szCs w:val="16"/>
        </w:rPr>
        <w:t xml:space="preserve">Fecha de consulta: 5 de octubre de 2026. </w:t>
      </w:r>
      <w:r w:rsidR="00062469">
        <w:rPr>
          <w:sz w:val="16"/>
          <w:szCs w:val="16"/>
        </w:rPr>
        <w:t xml:space="preserve">Disponible en </w:t>
      </w:r>
      <w:hyperlink r:id="rId9" w:history="1">
        <w:r w:rsidR="00062469" w:rsidRPr="00B25DC6">
          <w:rPr>
            <w:rStyle w:val="Hipervnculo"/>
            <w:sz w:val="16"/>
            <w:szCs w:val="16"/>
          </w:rPr>
          <w:t>https://observatorio.desarrolloeconomico.gov.co/informes-construccion-bogota/</w:t>
        </w:r>
      </w:hyperlink>
      <w:r w:rsidR="00062469">
        <w:rPr>
          <w:sz w:val="16"/>
          <w:szCs w:val="16"/>
        </w:rPr>
        <w:t xml:space="preserve"> </w:t>
      </w:r>
    </w:p>
  </w:footnote>
  <w:footnote w:id="11">
    <w:p w14:paraId="48D1C2B5" w14:textId="66B7E926" w:rsidR="00C3401A" w:rsidRPr="00C3401A" w:rsidRDefault="00C3401A">
      <w:pPr>
        <w:pStyle w:val="Textonotapie"/>
        <w:rPr>
          <w:lang w:val="es-ES"/>
        </w:rPr>
      </w:pPr>
      <w:r>
        <w:rPr>
          <w:rStyle w:val="Refdenotaalpie"/>
        </w:rPr>
        <w:footnoteRef/>
      </w:r>
      <w:r w:rsidRPr="003072B8">
        <w:rPr>
          <w:sz w:val="16"/>
          <w:szCs w:val="16"/>
        </w:rPr>
        <w:t xml:space="preserve"> Diarioriente. Nota de Prensa. Desempleo en Colombia subió a 9,4% en agosto, informó el DANE. Publicada el 30 de septiembre de 2026. </w:t>
      </w:r>
      <w:r w:rsidR="00B32744">
        <w:rPr>
          <w:sz w:val="16"/>
          <w:szCs w:val="16"/>
        </w:rPr>
        <w:t xml:space="preserve">Fecha de consulta: 5 de octubre de 2026. </w:t>
      </w:r>
      <w:hyperlink r:id="rId10" w:history="1">
        <w:r w:rsidR="00B32744" w:rsidRPr="00B25DC6">
          <w:rPr>
            <w:rStyle w:val="Hipervnculo"/>
            <w:sz w:val="16"/>
            <w:szCs w:val="16"/>
          </w:rPr>
          <w:t>https://diarioriente.com/nacional/desempleo-en-colombi.html</w:t>
        </w:r>
      </w:hyperlink>
      <w:r w:rsidR="003072B8" w:rsidRPr="003072B8">
        <w:rPr>
          <w:sz w:val="16"/>
          <w:szCs w:val="16"/>
        </w:rPr>
        <w:t xml:space="preserve"> </w:t>
      </w:r>
    </w:p>
  </w:footnote>
  <w:footnote w:id="12">
    <w:p w14:paraId="4C338B72" w14:textId="0C54859A" w:rsidR="007E2AF7" w:rsidRPr="007E2AF7" w:rsidRDefault="007E2AF7">
      <w:pPr>
        <w:pStyle w:val="Textonotapie"/>
        <w:rPr>
          <w:lang w:val="es-ES"/>
        </w:rPr>
      </w:pPr>
      <w:r>
        <w:rPr>
          <w:rStyle w:val="Refdenotaalpie"/>
        </w:rPr>
        <w:footnoteRef/>
      </w:r>
      <w:r w:rsidRPr="007E2AF7">
        <w:rPr>
          <w:sz w:val="16"/>
          <w:szCs w:val="16"/>
        </w:rPr>
        <w:t xml:space="preserve"> DANE. </w:t>
      </w:r>
      <w:r w:rsidR="00BF034C">
        <w:rPr>
          <w:sz w:val="16"/>
          <w:szCs w:val="16"/>
        </w:rPr>
        <w:t xml:space="preserve">Boletín Técnico. </w:t>
      </w:r>
      <w:r w:rsidRPr="007E2AF7">
        <w:rPr>
          <w:sz w:val="16"/>
          <w:szCs w:val="16"/>
        </w:rPr>
        <w:t xml:space="preserve">Indicadores Económicos Alrededor de la Construcción (IEAC), II trimestre de 2026. </w:t>
      </w:r>
      <w:r w:rsidR="00E80FCC">
        <w:rPr>
          <w:sz w:val="16"/>
          <w:szCs w:val="16"/>
        </w:rPr>
        <w:t>Fecha de p</w:t>
      </w:r>
      <w:r w:rsidRPr="007E2AF7">
        <w:rPr>
          <w:sz w:val="16"/>
          <w:szCs w:val="16"/>
        </w:rPr>
        <w:t>ublicación 9 de septiembre de 2026</w:t>
      </w:r>
      <w:r w:rsidR="00E80FCC">
        <w:rPr>
          <w:sz w:val="16"/>
          <w:szCs w:val="16"/>
        </w:rPr>
        <w:t xml:space="preserve">. Fecha de consulta: 5 de octubre de 2026. </w:t>
      </w:r>
      <w:hyperlink r:id="rId11" w:history="1">
        <w:r w:rsidR="00E80FCC" w:rsidRPr="00B25DC6">
          <w:rPr>
            <w:rStyle w:val="Hipervnculo"/>
            <w:sz w:val="16"/>
            <w:szCs w:val="16"/>
          </w:rPr>
          <w:t>https://www.dane.gov.co/files/operaciones/IEAC/bol-IEAC-IItrim2026.pdf</w:t>
        </w:r>
      </w:hyperlink>
      <w:r w:rsidR="00E80FCC">
        <w:rPr>
          <w:sz w:val="16"/>
          <w:szCs w:val="16"/>
        </w:rPr>
        <w:t xml:space="preserve"> </w:t>
      </w:r>
    </w:p>
  </w:footnote>
  <w:footnote w:id="13">
    <w:p w14:paraId="4C4AF5D4" w14:textId="5650E09E" w:rsidR="00957777" w:rsidRPr="009D36BA" w:rsidRDefault="00957777">
      <w:pPr>
        <w:pStyle w:val="Textonotapie"/>
        <w:rPr>
          <w:rFonts w:cs="Arial"/>
          <w:sz w:val="16"/>
          <w:szCs w:val="16"/>
        </w:rPr>
      </w:pPr>
      <w:r w:rsidRPr="009D36BA">
        <w:rPr>
          <w:rStyle w:val="Refdenotaalpie"/>
          <w:rFonts w:cs="Arial"/>
          <w:sz w:val="16"/>
          <w:szCs w:val="16"/>
        </w:rPr>
        <w:footnoteRef/>
      </w:r>
      <w:r w:rsidRPr="00C3401A">
        <w:rPr>
          <w:rFonts w:cs="Arial"/>
          <w:sz w:val="16"/>
          <w:szCs w:val="16"/>
        </w:rPr>
        <w:t xml:space="preserve"> </w:t>
      </w:r>
      <w:r w:rsidR="00C24A15" w:rsidRPr="00C3401A">
        <w:rPr>
          <w:rFonts w:cs="Arial"/>
          <w:sz w:val="16"/>
          <w:szCs w:val="16"/>
        </w:rPr>
        <w:t xml:space="preserve">DANE. </w:t>
      </w:r>
      <w:r w:rsidR="004B6193" w:rsidRPr="009D36BA">
        <w:rPr>
          <w:rFonts w:cs="Arial"/>
          <w:sz w:val="16"/>
          <w:szCs w:val="16"/>
        </w:rPr>
        <w:t>Boletín</w:t>
      </w:r>
      <w:r w:rsidR="005920A6" w:rsidRPr="009D36BA">
        <w:rPr>
          <w:rFonts w:cs="Arial"/>
          <w:sz w:val="16"/>
          <w:szCs w:val="16"/>
        </w:rPr>
        <w:t xml:space="preserve"> </w:t>
      </w:r>
      <w:r w:rsidR="004B6193" w:rsidRPr="009D36BA">
        <w:rPr>
          <w:rFonts w:cs="Arial"/>
          <w:sz w:val="16"/>
          <w:szCs w:val="16"/>
        </w:rPr>
        <w:t>Técnico</w:t>
      </w:r>
      <w:r w:rsidR="005920A6" w:rsidRPr="009D36BA">
        <w:rPr>
          <w:rFonts w:cs="Arial"/>
          <w:sz w:val="16"/>
          <w:szCs w:val="16"/>
        </w:rPr>
        <w:t xml:space="preserve"> -</w:t>
      </w:r>
      <w:r w:rsidR="00C24A15">
        <w:rPr>
          <w:rFonts w:cs="Arial"/>
          <w:sz w:val="16"/>
          <w:szCs w:val="16"/>
        </w:rPr>
        <w:t xml:space="preserve"> </w:t>
      </w:r>
      <w:r w:rsidR="005C53BF" w:rsidRPr="009D36BA">
        <w:rPr>
          <w:rFonts w:cs="Arial"/>
          <w:sz w:val="16"/>
          <w:szCs w:val="16"/>
        </w:rPr>
        <w:t xml:space="preserve">Principales indicadores del mercado laboral </w:t>
      </w:r>
      <w:r w:rsidR="00C24A15">
        <w:rPr>
          <w:rFonts w:cs="Arial"/>
          <w:sz w:val="16"/>
          <w:szCs w:val="16"/>
        </w:rPr>
        <w:t>junio</w:t>
      </w:r>
      <w:r w:rsidR="00C24A15" w:rsidRPr="009D36BA">
        <w:rPr>
          <w:rFonts w:cs="Arial"/>
          <w:sz w:val="16"/>
          <w:szCs w:val="16"/>
        </w:rPr>
        <w:t xml:space="preserve"> </w:t>
      </w:r>
      <w:r w:rsidR="005C53BF" w:rsidRPr="009D36BA">
        <w:rPr>
          <w:rFonts w:cs="Arial"/>
          <w:sz w:val="16"/>
          <w:szCs w:val="16"/>
        </w:rPr>
        <w:t>2026</w:t>
      </w:r>
      <w:r w:rsidR="00603D32" w:rsidRPr="009D36BA">
        <w:rPr>
          <w:rFonts w:cs="Arial"/>
          <w:sz w:val="16"/>
          <w:szCs w:val="16"/>
        </w:rPr>
        <w:t xml:space="preserve">. Fecha de publicación </w:t>
      </w:r>
      <w:r w:rsidR="00C24A15">
        <w:rPr>
          <w:rFonts w:cs="Arial"/>
          <w:sz w:val="16"/>
          <w:szCs w:val="16"/>
        </w:rPr>
        <w:t>31 de julio</w:t>
      </w:r>
      <w:r w:rsidR="00603D32" w:rsidRPr="009D36BA">
        <w:rPr>
          <w:rFonts w:cs="Arial"/>
          <w:sz w:val="16"/>
          <w:szCs w:val="16"/>
        </w:rPr>
        <w:t xml:space="preserve"> de 2026; Fecha de consulta </w:t>
      </w:r>
      <w:r w:rsidR="00C24A15">
        <w:rPr>
          <w:rFonts w:cs="Arial"/>
          <w:sz w:val="16"/>
          <w:szCs w:val="16"/>
        </w:rPr>
        <w:t>18 de agosto</w:t>
      </w:r>
      <w:r w:rsidR="00603D32" w:rsidRPr="009D36BA">
        <w:rPr>
          <w:rFonts w:cs="Arial"/>
          <w:sz w:val="16"/>
          <w:szCs w:val="16"/>
        </w:rPr>
        <w:t xml:space="preserve"> de 2026</w:t>
      </w:r>
      <w:r w:rsidR="0062090F" w:rsidRPr="009D36BA">
        <w:rPr>
          <w:rFonts w:cs="Arial"/>
          <w:sz w:val="16"/>
          <w:szCs w:val="16"/>
        </w:rPr>
        <w:t xml:space="preserve"> </w:t>
      </w:r>
      <w:hyperlink r:id="rId12" w:history="1">
        <w:r w:rsidR="000845D1" w:rsidRPr="000845D1">
          <w:rPr>
            <w:rStyle w:val="Hipervnculo"/>
            <w:rFonts w:cs="Arial"/>
            <w:sz w:val="16"/>
            <w:szCs w:val="16"/>
          </w:rPr>
          <w:t>https://www.dane.gov.co/files/operaciones/GEIH/bol-GEIH-jun2026.pdf</w:t>
        </w:r>
      </w:hyperlink>
      <w:r w:rsidR="0062090F" w:rsidRPr="009D36BA">
        <w:rPr>
          <w:rFonts w:cs="Arial"/>
          <w:sz w:val="16"/>
          <w:szCs w:val="16"/>
        </w:rPr>
        <w:t xml:space="preserve"> </w:t>
      </w:r>
    </w:p>
  </w:footnote>
  <w:footnote w:id="14">
    <w:p w14:paraId="7D1952BF" w14:textId="73A96E56" w:rsidR="008D1C8B" w:rsidRDefault="008D1C8B">
      <w:pPr>
        <w:pStyle w:val="Textonotapie"/>
      </w:pPr>
      <w:r>
        <w:rPr>
          <w:rStyle w:val="Refdenotaalpie"/>
        </w:rPr>
        <w:footnoteRef/>
      </w:r>
      <w:r w:rsidRPr="00915023">
        <w:rPr>
          <w:sz w:val="16"/>
          <w:szCs w:val="16"/>
        </w:rPr>
        <w:t xml:space="preserve"> CAMACOL</w:t>
      </w:r>
      <w:r w:rsidR="0096150E">
        <w:rPr>
          <w:sz w:val="16"/>
          <w:szCs w:val="16"/>
        </w:rPr>
        <w:t xml:space="preserve"> ¿Qué pasa con el empleo de la construcción? Fecha publicación: 3 de marzo de 2025; Fecha de consulta: 18 de agosto de 2026. </w:t>
      </w:r>
      <w:hyperlink r:id="rId13" w:history="1">
        <w:r w:rsidR="0096150E" w:rsidRPr="00DE3CF6">
          <w:rPr>
            <w:rStyle w:val="Hipervnculo"/>
            <w:sz w:val="16"/>
            <w:szCs w:val="16"/>
          </w:rPr>
          <w:t>https://camacol.co/sites/default/files/descargables/Datos%20que%20construyen%20-%2028feb25.pdf</w:t>
        </w:r>
      </w:hyperlink>
      <w:r w:rsidR="0096150E">
        <w:rPr>
          <w:sz w:val="16"/>
          <w:szCs w:val="16"/>
        </w:rPr>
        <w:t xml:space="preserve"> </w:t>
      </w:r>
    </w:p>
  </w:footnote>
  <w:footnote w:id="15">
    <w:p w14:paraId="2EE0E283" w14:textId="48AF3B8A" w:rsidR="00B60DB9" w:rsidRPr="00915023" w:rsidRDefault="00B60DB9">
      <w:pPr>
        <w:pStyle w:val="Textonotapie"/>
        <w:rPr>
          <w:sz w:val="16"/>
          <w:szCs w:val="16"/>
        </w:rPr>
      </w:pPr>
      <w:r>
        <w:rPr>
          <w:rStyle w:val="Refdenotaalpie"/>
        </w:rPr>
        <w:footnoteRef/>
      </w:r>
      <w:r>
        <w:t xml:space="preserve"> </w:t>
      </w:r>
      <w:r w:rsidR="00001235" w:rsidRPr="00915023">
        <w:rPr>
          <w:sz w:val="16"/>
          <w:szCs w:val="16"/>
        </w:rPr>
        <w:t>Observatorio de Hábitat de Bogotá, con base en DANE-GEIH. Mercado Laboral en Bogotá y Colombia. Primer trimestre de 2026.</w:t>
      </w:r>
      <w:r w:rsidR="00555C77">
        <w:rPr>
          <w:sz w:val="16"/>
          <w:szCs w:val="16"/>
        </w:rPr>
        <w:t xml:space="preserve"> Fecha consulta 18 de agosto de 2026. </w:t>
      </w:r>
      <w:hyperlink r:id="rId14" w:history="1">
        <w:r w:rsidR="00555C77" w:rsidRPr="00DE3CF6">
          <w:rPr>
            <w:rStyle w:val="Hipervnculo"/>
            <w:sz w:val="16"/>
            <w:szCs w:val="16"/>
          </w:rPr>
          <w:t>https://observatorio.habitatbogota.gov.co/wp-content/uploads/2026/05/ML_Marzo_2026.pdf</w:t>
        </w:r>
      </w:hyperlink>
      <w:r w:rsidR="00555C77">
        <w:rPr>
          <w:sz w:val="16"/>
          <w:szCs w:val="16"/>
        </w:rPr>
        <w:t xml:space="preserve"> </w:t>
      </w:r>
    </w:p>
  </w:footnote>
  <w:footnote w:id="16">
    <w:p w14:paraId="5A518B8B" w14:textId="433ADE38" w:rsidR="00504019" w:rsidRDefault="00504019">
      <w:pPr>
        <w:pStyle w:val="Textonotapie"/>
      </w:pPr>
      <w:r>
        <w:rPr>
          <w:rStyle w:val="Refdenotaalpie"/>
        </w:rPr>
        <w:footnoteRef/>
      </w:r>
      <w:r>
        <w:t xml:space="preserve"> </w:t>
      </w:r>
      <w:r w:rsidRPr="00C76457">
        <w:rPr>
          <w:rFonts w:cs="Arial"/>
          <w:sz w:val="16"/>
          <w:szCs w:val="16"/>
        </w:rPr>
        <w:t xml:space="preserve">DANE. Boletín Técnico – Principales indicadores del mercado laboral – </w:t>
      </w:r>
      <w:r w:rsidR="00E04EBE">
        <w:rPr>
          <w:rFonts w:cs="Arial"/>
          <w:sz w:val="16"/>
          <w:szCs w:val="16"/>
        </w:rPr>
        <w:t>agosto</w:t>
      </w:r>
      <w:r>
        <w:rPr>
          <w:rFonts w:cs="Arial"/>
          <w:sz w:val="16"/>
          <w:szCs w:val="16"/>
        </w:rPr>
        <w:t xml:space="preserve"> de</w:t>
      </w:r>
      <w:r w:rsidRPr="00C76457">
        <w:rPr>
          <w:rFonts w:cs="Arial"/>
          <w:sz w:val="16"/>
          <w:szCs w:val="16"/>
        </w:rPr>
        <w:t xml:space="preserve"> 2026. Fecha de publicación: </w:t>
      </w:r>
      <w:r w:rsidR="00E04EBE">
        <w:rPr>
          <w:rFonts w:cs="Arial"/>
          <w:sz w:val="16"/>
          <w:szCs w:val="16"/>
        </w:rPr>
        <w:t>30 de septiembre</w:t>
      </w:r>
      <w:r>
        <w:rPr>
          <w:rFonts w:cs="Arial"/>
          <w:sz w:val="16"/>
          <w:szCs w:val="16"/>
        </w:rPr>
        <w:t xml:space="preserve"> </w:t>
      </w:r>
      <w:r w:rsidRPr="00C76457">
        <w:rPr>
          <w:rFonts w:cs="Arial"/>
          <w:sz w:val="16"/>
          <w:szCs w:val="16"/>
        </w:rPr>
        <w:t xml:space="preserve">de 2026; Fecha de consulta: </w:t>
      </w:r>
      <w:r w:rsidR="00E04EBE">
        <w:rPr>
          <w:rFonts w:cs="Arial"/>
          <w:sz w:val="16"/>
          <w:szCs w:val="16"/>
        </w:rPr>
        <w:t>5 de octubre</w:t>
      </w:r>
      <w:r w:rsidRPr="00C76457">
        <w:rPr>
          <w:rFonts w:cs="Arial"/>
          <w:sz w:val="16"/>
          <w:szCs w:val="16"/>
        </w:rPr>
        <w:t xml:space="preserve"> de 2026. </w:t>
      </w:r>
      <w:hyperlink r:id="rId15" w:history="1">
        <w:r w:rsidR="00E51BBA" w:rsidRPr="00E51BBA">
          <w:rPr>
            <w:rStyle w:val="Hipervnculo"/>
            <w:sz w:val="16"/>
            <w:szCs w:val="16"/>
          </w:rPr>
          <w:t>https://www.dane.gov.co/files/operaciones/GEIH/bol-GEIH-ago2026.pdf</w:t>
        </w:r>
      </w:hyperlink>
      <w:r w:rsidR="00E51BBA" w:rsidRPr="00E51BBA">
        <w:rPr>
          <w:sz w:val="16"/>
          <w:szCs w:val="16"/>
        </w:rPr>
        <w:t xml:space="preserve"> </w:t>
      </w:r>
    </w:p>
  </w:footnote>
  <w:footnote w:id="17">
    <w:p w14:paraId="6A014257" w14:textId="585E48E3" w:rsidR="0077081C" w:rsidRPr="0077081C" w:rsidRDefault="0077081C">
      <w:pPr>
        <w:pStyle w:val="Textonotapie"/>
        <w:rPr>
          <w:sz w:val="18"/>
          <w:szCs w:val="18"/>
          <w:lang w:val="es-ES"/>
        </w:rPr>
      </w:pPr>
      <w:r>
        <w:rPr>
          <w:rStyle w:val="Refdenotaalpie"/>
        </w:rPr>
        <w:footnoteRef/>
      </w:r>
      <w:r w:rsidRPr="0077081C">
        <w:rPr>
          <w:sz w:val="18"/>
          <w:szCs w:val="18"/>
        </w:rPr>
        <w:t xml:space="preserve"> </w:t>
      </w:r>
      <w:r w:rsidRPr="0077081C">
        <w:rPr>
          <w:sz w:val="16"/>
          <w:szCs w:val="16"/>
        </w:rPr>
        <w:t xml:space="preserve">DANE. Indicadores Económicos Alrededor de la Construcción (IEAC), segundo trimestre de 2026. Publicado el 9 de septiembre de 2026. Fecha de consulta: 5 de octubre de 2026. Disponible en: </w:t>
      </w:r>
      <w:hyperlink r:id="rId16" w:history="1">
        <w:r w:rsidRPr="0077081C">
          <w:rPr>
            <w:rStyle w:val="Hipervnculo"/>
            <w:sz w:val="16"/>
            <w:szCs w:val="16"/>
          </w:rPr>
          <w:t>https://www.dane.gov.co/files/operaciones/IEAC/bol-IEAC-IItrim2026.pdf</w:t>
        </w:r>
      </w:hyperlink>
      <w:r w:rsidRPr="0077081C">
        <w:rPr>
          <w:sz w:val="16"/>
          <w:szCs w:val="16"/>
        </w:rPr>
        <w:t xml:space="preserve">. </w:t>
      </w:r>
    </w:p>
  </w:footnote>
  <w:footnote w:id="18">
    <w:p w14:paraId="5E28DD1B" w14:textId="17DD0ADA" w:rsidR="00290D26" w:rsidRPr="00290D26" w:rsidRDefault="00290D26">
      <w:pPr>
        <w:pStyle w:val="Textonotapie"/>
        <w:rPr>
          <w:lang w:val="es-ES"/>
        </w:rPr>
      </w:pPr>
      <w:r>
        <w:rPr>
          <w:rStyle w:val="Refdenotaalpie"/>
        </w:rPr>
        <w:footnoteRef/>
      </w:r>
      <w:r>
        <w:t xml:space="preserve"> </w:t>
      </w:r>
      <w:r w:rsidRPr="00290D26">
        <w:rPr>
          <w:sz w:val="16"/>
          <w:szCs w:val="16"/>
        </w:rPr>
        <w:t>Banco de la República. Boletín Económico Regional: Bogotá, II trimestre de 2026</w:t>
      </w:r>
      <w:r>
        <w:rPr>
          <w:sz w:val="16"/>
          <w:szCs w:val="16"/>
        </w:rPr>
        <w:t xml:space="preserve">. Fecha publicación: 8 de septiembre 2026. Fecha consulta: 5 de octubre 2026. </w:t>
      </w:r>
      <w:hyperlink r:id="rId17" w:history="1">
        <w:r w:rsidR="00646F6B" w:rsidRPr="00B25DC6">
          <w:rPr>
            <w:rStyle w:val="Hipervnculo"/>
            <w:sz w:val="16"/>
            <w:szCs w:val="16"/>
          </w:rPr>
          <w:t>https://www.banrep.gov.co/es/publicaciones-investigaciones/boletin-economico-regional/bogota-2-trimestre-2026</w:t>
        </w:r>
      </w:hyperlink>
      <w:r w:rsidRPr="00290D26">
        <w:rPr>
          <w:sz w:val="16"/>
          <w:szCs w:val="16"/>
        </w:rPr>
        <w:t xml:space="preserve"> </w:t>
      </w:r>
    </w:p>
  </w:footnote>
  <w:footnote w:id="19">
    <w:p w14:paraId="0BFA1C2B" w14:textId="7CB19508" w:rsidR="00646F6B" w:rsidRPr="00646F6B" w:rsidRDefault="00646F6B">
      <w:pPr>
        <w:pStyle w:val="Textonotapie"/>
        <w:rPr>
          <w:lang w:val="es-ES"/>
        </w:rPr>
      </w:pPr>
      <w:r>
        <w:rPr>
          <w:rStyle w:val="Refdenotaalpie"/>
        </w:rPr>
        <w:footnoteRef/>
      </w:r>
      <w:r w:rsidRPr="00646F6B">
        <w:rPr>
          <w:sz w:val="16"/>
          <w:szCs w:val="16"/>
        </w:rPr>
        <w:t xml:space="preserve"> DANE. Boletín Técnico – Principales indicadores del mercado laboral – agosto de 2026. Fecha de publicación: 30 de septiembre de 2026; Fecha de consulta: 5 de octubre de 2026. </w:t>
      </w:r>
      <w:hyperlink r:id="rId18" w:history="1">
        <w:r w:rsidRPr="00646F6B">
          <w:rPr>
            <w:rStyle w:val="Hipervnculo"/>
            <w:sz w:val="16"/>
            <w:szCs w:val="16"/>
          </w:rPr>
          <w:t>https://www.dane.gov.co/files/operaciones/GEIH/bol-GEIH-ago2026.pdf</w:t>
        </w:r>
      </w:hyperlink>
      <w:r w:rsidRPr="00646F6B">
        <w:rPr>
          <w:sz w:val="16"/>
          <w:szCs w:val="16"/>
        </w:rPr>
        <w:t xml:space="preserve"> </w:t>
      </w:r>
    </w:p>
  </w:footnote>
  <w:footnote w:id="20">
    <w:p w14:paraId="3F3C5B5A" w14:textId="4C549E75" w:rsidR="00B75B07" w:rsidRPr="00554BFC" w:rsidRDefault="00B75B07" w:rsidP="00554BFC">
      <w:pPr>
        <w:pStyle w:val="Textonotapie"/>
        <w:rPr>
          <w:lang w:val="es-ES"/>
        </w:rPr>
      </w:pPr>
      <w:r>
        <w:rPr>
          <w:rStyle w:val="Refdenotaalpie"/>
        </w:rPr>
        <w:footnoteRef/>
      </w:r>
      <w:r>
        <w:t xml:space="preserve"> </w:t>
      </w:r>
      <w:r w:rsidR="00554BFC" w:rsidRPr="00290D26">
        <w:rPr>
          <w:sz w:val="16"/>
          <w:szCs w:val="16"/>
        </w:rPr>
        <w:t>Banco de la República. Boletín Económico Regional: Bogotá, II trimestre de 2026</w:t>
      </w:r>
      <w:r w:rsidR="00554BFC">
        <w:rPr>
          <w:sz w:val="16"/>
          <w:szCs w:val="16"/>
        </w:rPr>
        <w:t xml:space="preserve">. Fecha publicación: 8 de septiembre 2026. Fecha consulta: 5 de octubre 2026. </w:t>
      </w:r>
      <w:hyperlink r:id="rId19" w:history="1">
        <w:r w:rsidR="00554BFC" w:rsidRPr="00B25DC6">
          <w:rPr>
            <w:rStyle w:val="Hipervnculo"/>
            <w:sz w:val="16"/>
            <w:szCs w:val="16"/>
          </w:rPr>
          <w:t>https://www.banrep.gov.co/es/publicaciones-investigaciones/boletin-economico-regional/bogota-2-trimestre-2026</w:t>
        </w:r>
      </w:hyperlink>
      <w:r w:rsidR="00554BFC" w:rsidRPr="00290D26">
        <w:rPr>
          <w:sz w:val="16"/>
          <w:szCs w:val="16"/>
        </w:rPr>
        <w:t xml:space="preserve"> </w:t>
      </w:r>
    </w:p>
  </w:footnote>
  <w:footnote w:id="21">
    <w:p w14:paraId="6395AA1F" w14:textId="07090010" w:rsidR="006B496A" w:rsidRPr="006B496A" w:rsidRDefault="006B496A">
      <w:pPr>
        <w:pStyle w:val="Textonotapie"/>
        <w:rPr>
          <w:lang w:val="es-ES"/>
        </w:rPr>
      </w:pPr>
      <w:r>
        <w:rPr>
          <w:rStyle w:val="Refdenotaalpie"/>
        </w:rPr>
        <w:footnoteRef/>
      </w:r>
      <w:r>
        <w:t xml:space="preserve"> </w:t>
      </w:r>
      <w:r w:rsidRPr="00646F6B">
        <w:rPr>
          <w:sz w:val="16"/>
          <w:szCs w:val="16"/>
        </w:rPr>
        <w:t xml:space="preserve">DANE. Boletín Técnico – Principales indicadores del mercado laboral – agosto de 2026. Fecha de publicación: 30 de septiembre de 2026; Fecha de consulta: 5 de octubre de 2026. </w:t>
      </w:r>
      <w:hyperlink r:id="rId20" w:history="1">
        <w:r w:rsidRPr="00646F6B">
          <w:rPr>
            <w:rStyle w:val="Hipervnculo"/>
            <w:sz w:val="16"/>
            <w:szCs w:val="16"/>
          </w:rPr>
          <w:t>https://www.dane.gov.co/files/operaciones/GEIH/bol-GEIH-ago2026.pdf</w:t>
        </w:r>
      </w:hyperlink>
      <w:r w:rsidRPr="00646F6B">
        <w:rPr>
          <w:sz w:val="16"/>
          <w:szCs w:val="16"/>
        </w:rPr>
        <w:t xml:space="preserve"> </w:t>
      </w:r>
    </w:p>
  </w:footnote>
  <w:footnote w:id="22">
    <w:p w14:paraId="4724D055" w14:textId="131D5384" w:rsidR="0026748F" w:rsidRPr="0026748F" w:rsidRDefault="0026748F">
      <w:pPr>
        <w:pStyle w:val="Textonotapie"/>
        <w:rPr>
          <w:lang w:val="es-ES"/>
        </w:rPr>
      </w:pPr>
      <w:r>
        <w:rPr>
          <w:rStyle w:val="Refdenotaalpie"/>
        </w:rPr>
        <w:footnoteRef/>
      </w:r>
      <w:r>
        <w:t xml:space="preserve"> </w:t>
      </w:r>
      <w:r w:rsidRPr="00290D26">
        <w:rPr>
          <w:sz w:val="16"/>
          <w:szCs w:val="16"/>
        </w:rPr>
        <w:t>Banco de la República. Boletín Económico Regional: Bogotá, II trimestre de 2026</w:t>
      </w:r>
      <w:r>
        <w:rPr>
          <w:sz w:val="16"/>
          <w:szCs w:val="16"/>
        </w:rPr>
        <w:t xml:space="preserve">. Fecha publicación: 8 de septiembre 2026. Fecha consulta: 5 de octubre 2026. </w:t>
      </w:r>
      <w:hyperlink r:id="rId21" w:history="1">
        <w:r w:rsidRPr="00B25DC6">
          <w:rPr>
            <w:rStyle w:val="Hipervnculo"/>
            <w:sz w:val="16"/>
            <w:szCs w:val="16"/>
          </w:rPr>
          <w:t>https://www.banrep.gov.co/es/publicaciones-investigaciones/boletin-economico-regional/bogota-2-trimestre-2026</w:t>
        </w:r>
      </w:hyperlink>
    </w:p>
  </w:footnote>
  <w:footnote w:id="23">
    <w:p w14:paraId="01E71F90" w14:textId="2367E045" w:rsidR="00936AF0" w:rsidRPr="00936AF0" w:rsidRDefault="00936AF0">
      <w:pPr>
        <w:pStyle w:val="Textonotapie"/>
        <w:rPr>
          <w:lang w:val="es-ES"/>
        </w:rPr>
      </w:pPr>
      <w:r>
        <w:rPr>
          <w:rStyle w:val="Refdenotaalpie"/>
        </w:rPr>
        <w:footnoteRef/>
      </w:r>
      <w:r>
        <w:t xml:space="preserve"> </w:t>
      </w:r>
      <w:r w:rsidRPr="00C76457">
        <w:rPr>
          <w:rFonts w:cs="Arial"/>
          <w:sz w:val="16"/>
          <w:szCs w:val="16"/>
        </w:rPr>
        <w:t>Camacol – Informe de Actividad Edificadora -</w:t>
      </w:r>
      <w:r>
        <w:rPr>
          <w:rFonts w:cs="Arial"/>
          <w:sz w:val="16"/>
          <w:szCs w:val="16"/>
        </w:rPr>
        <w:t xml:space="preserve"> </w:t>
      </w:r>
      <w:r w:rsidRPr="00C76457">
        <w:rPr>
          <w:rFonts w:cs="Arial"/>
          <w:sz w:val="16"/>
          <w:szCs w:val="16"/>
        </w:rPr>
        <w:t xml:space="preserve">abril 2026. Fecha de publicación: Abril de 2026, Fecha de consulta 08 de mayo. </w:t>
      </w:r>
      <w:hyperlink r:id="rId22" w:history="1">
        <w:r w:rsidRPr="00C76457">
          <w:rPr>
            <w:rStyle w:val="Hipervnculo"/>
            <w:rFonts w:cs="Arial"/>
            <w:sz w:val="16"/>
            <w:szCs w:val="16"/>
          </w:rPr>
          <w:t>https://camacol.co/sites/default/files/descargables/IAE%20-%20Abr26.pdf</w:t>
        </w:r>
      </w:hyperlink>
    </w:p>
  </w:footnote>
  <w:footnote w:id="24">
    <w:p w14:paraId="3658DAE5" w14:textId="4874A31B" w:rsidR="00611118" w:rsidRPr="00611118" w:rsidRDefault="00611118" w:rsidP="00611118">
      <w:pPr>
        <w:autoSpaceDE w:val="0"/>
        <w:autoSpaceDN w:val="0"/>
        <w:adjustRightInd w:val="0"/>
        <w:spacing w:after="0"/>
        <w:jc w:val="both"/>
        <w:rPr>
          <w:rFonts w:ascii="Arial" w:hAnsi="Arial" w:cs="Arial"/>
          <w:sz w:val="16"/>
          <w:szCs w:val="16"/>
        </w:rPr>
      </w:pPr>
      <w:r>
        <w:rPr>
          <w:rStyle w:val="Refdenotaalpie"/>
        </w:rPr>
        <w:footnoteRef/>
      </w:r>
      <w:r>
        <w:t xml:space="preserve"> </w:t>
      </w:r>
      <w:r w:rsidRPr="00C76457">
        <w:rPr>
          <w:rFonts w:ascii="Arial" w:hAnsi="Arial" w:cs="Arial"/>
          <w:sz w:val="16"/>
          <w:szCs w:val="16"/>
        </w:rPr>
        <w:t xml:space="preserve">DANE – Indicadores económicos alrededor de la construcción (IEAC). </w:t>
      </w:r>
      <w:r>
        <w:rPr>
          <w:rFonts w:ascii="Arial" w:hAnsi="Arial" w:cs="Arial"/>
          <w:sz w:val="16"/>
          <w:szCs w:val="16"/>
        </w:rPr>
        <w:t xml:space="preserve">Información segundo trimestre 2026. </w:t>
      </w:r>
      <w:r w:rsidRPr="00C76457">
        <w:rPr>
          <w:rFonts w:ascii="Arial" w:hAnsi="Arial" w:cs="Arial"/>
          <w:sz w:val="16"/>
          <w:szCs w:val="16"/>
        </w:rPr>
        <w:t xml:space="preserve">Fecha de publicación 09 de </w:t>
      </w:r>
      <w:r>
        <w:rPr>
          <w:rFonts w:ascii="Arial" w:hAnsi="Arial" w:cs="Arial"/>
          <w:sz w:val="16"/>
          <w:szCs w:val="16"/>
        </w:rPr>
        <w:t>septiembre de 2026</w:t>
      </w:r>
      <w:r w:rsidRPr="00C76457">
        <w:rPr>
          <w:rFonts w:ascii="Arial" w:hAnsi="Arial" w:cs="Arial"/>
          <w:sz w:val="16"/>
          <w:szCs w:val="16"/>
        </w:rPr>
        <w:t xml:space="preserve">; Fecha de consulta </w:t>
      </w:r>
      <w:r>
        <w:rPr>
          <w:rFonts w:ascii="Arial" w:hAnsi="Arial" w:cs="Arial"/>
          <w:sz w:val="16"/>
          <w:szCs w:val="16"/>
        </w:rPr>
        <w:t xml:space="preserve">5 de octubre </w:t>
      </w:r>
      <w:r w:rsidRPr="00C76457">
        <w:rPr>
          <w:rFonts w:ascii="Arial" w:hAnsi="Arial" w:cs="Arial"/>
          <w:sz w:val="16"/>
          <w:szCs w:val="16"/>
        </w:rPr>
        <w:t xml:space="preserve">de 2026. Fuente </w:t>
      </w:r>
      <w:hyperlink r:id="rId23" w:history="1">
        <w:r w:rsidRPr="007E2BC0">
          <w:rPr>
            <w:rStyle w:val="Hipervnculo"/>
            <w:rFonts w:ascii="Arial" w:hAnsi="Arial" w:cs="Arial"/>
            <w:sz w:val="16"/>
            <w:szCs w:val="16"/>
          </w:rPr>
          <w:t>https://www.dane.gov.co/files/operaciones/IEAC/bol-IEAC-IItrim2026.pdf</w:t>
        </w:r>
      </w:hyperlink>
      <w:r w:rsidRPr="007E2BC0">
        <w:rPr>
          <w:sz w:val="16"/>
          <w:szCs w:val="16"/>
        </w:rPr>
        <w:t xml:space="preserve"> </w:t>
      </w:r>
    </w:p>
  </w:footnote>
  <w:footnote w:id="25">
    <w:p w14:paraId="3BDA8C2E" w14:textId="482089C1" w:rsidR="00BD7BAD" w:rsidRPr="00BD7BAD" w:rsidRDefault="00A41F68" w:rsidP="00BD7BAD">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w:t>
      </w:r>
      <w:r w:rsidR="00BD7BAD" w:rsidRPr="00915023">
        <w:rPr>
          <w:rFonts w:cs="Arial"/>
          <w:sz w:val="16"/>
          <w:szCs w:val="16"/>
        </w:rPr>
        <w:t>CAMPETROL.</w:t>
      </w:r>
      <w:r w:rsidR="00BD7BAD" w:rsidRPr="00BD7BAD">
        <w:rPr>
          <w:rFonts w:cs="Arial"/>
          <w:sz w:val="16"/>
          <w:szCs w:val="16"/>
        </w:rPr>
        <w:t xml:space="preserve"> </w:t>
      </w:r>
      <w:r w:rsidR="00BD7BAD" w:rsidRPr="00915023">
        <w:rPr>
          <w:rFonts w:cs="Arial"/>
          <w:sz w:val="16"/>
          <w:szCs w:val="16"/>
        </w:rPr>
        <w:t>Actividad de taladros en Colombia, mayo de 2026</w:t>
      </w:r>
      <w:r w:rsidR="00BD7BAD" w:rsidRPr="00BD7BAD">
        <w:rPr>
          <w:rFonts w:cs="Arial"/>
          <w:sz w:val="16"/>
          <w:szCs w:val="16"/>
        </w:rPr>
        <w:t xml:space="preserve">. </w:t>
      </w:r>
      <w:r w:rsidR="00BD7BAD">
        <w:rPr>
          <w:rFonts w:cs="Arial"/>
          <w:sz w:val="16"/>
          <w:szCs w:val="16"/>
        </w:rPr>
        <w:t>Fecha de publicación</w:t>
      </w:r>
      <w:r w:rsidR="00BD7BAD" w:rsidRPr="00BD7BAD">
        <w:rPr>
          <w:rFonts w:cs="Arial"/>
          <w:sz w:val="16"/>
          <w:szCs w:val="16"/>
        </w:rPr>
        <w:t xml:space="preserve"> 12 de junio de 2026</w:t>
      </w:r>
      <w:r w:rsidR="00BD7BAD">
        <w:rPr>
          <w:rFonts w:cs="Arial"/>
          <w:sz w:val="16"/>
          <w:szCs w:val="16"/>
        </w:rPr>
        <w:t>; Fecha de consulta 18 de agosto de 2026.</w:t>
      </w:r>
      <w:r w:rsidR="00646EAD">
        <w:rPr>
          <w:rFonts w:cs="Arial"/>
          <w:sz w:val="16"/>
          <w:szCs w:val="16"/>
        </w:rPr>
        <w:t xml:space="preserve"> </w:t>
      </w:r>
      <w:hyperlink r:id="rId24" w:history="1">
        <w:r w:rsidR="00646EAD" w:rsidRPr="00DE3CF6">
          <w:rPr>
            <w:rStyle w:val="Hipervnculo"/>
            <w:rFonts w:cs="Arial"/>
            <w:sz w:val="16"/>
            <w:szCs w:val="16"/>
          </w:rPr>
          <w:t>https://campetrol.org/documentos/datos_campetrol/Datos%20CAMPETROL%20-%20Actividad%20de%20taladros%20en%20Colombia%20-%20Mayo%202026.pdf</w:t>
        </w:r>
      </w:hyperlink>
      <w:r w:rsidR="00646EAD">
        <w:rPr>
          <w:rFonts w:cs="Arial"/>
          <w:sz w:val="16"/>
          <w:szCs w:val="16"/>
        </w:rPr>
        <w:t xml:space="preserve"> </w:t>
      </w:r>
    </w:p>
    <w:p w14:paraId="17BD2DF5" w14:textId="248B0572" w:rsidR="00A41F68" w:rsidRPr="009D36BA" w:rsidRDefault="00A41F68" w:rsidP="007B4EF6">
      <w:pPr>
        <w:pStyle w:val="Textonotapie"/>
        <w:rPr>
          <w:rFonts w:cs="Arial"/>
          <w:sz w:val="16"/>
          <w:szCs w:val="16"/>
        </w:rPr>
      </w:pPr>
    </w:p>
  </w:footnote>
  <w:footnote w:id="26">
    <w:p w14:paraId="1057C3CA" w14:textId="6E0F5EA8" w:rsidR="007E1505" w:rsidRPr="00B07D51" w:rsidRDefault="007E1505">
      <w:pPr>
        <w:pStyle w:val="Textonotapie"/>
      </w:pPr>
      <w:r>
        <w:rPr>
          <w:rStyle w:val="Refdenotaalpie"/>
        </w:rPr>
        <w:footnoteRef/>
      </w:r>
      <w:r w:rsidRPr="00915023">
        <w:rPr>
          <w:sz w:val="16"/>
          <w:szCs w:val="16"/>
        </w:rPr>
        <w:t xml:space="preserve"> Asociación Colombiana del Petróleo. </w:t>
      </w:r>
      <w:r w:rsidR="00584FE8" w:rsidRPr="00915023">
        <w:rPr>
          <w:sz w:val="16"/>
          <w:szCs w:val="16"/>
        </w:rPr>
        <w:t>ACP. Gremios del sector de hidrocarburos presentan propuestas de política pública para fortalecer la seguridad energética de Colombia. Fecha de publicación 14 de mayo de 2026</w:t>
      </w:r>
      <w:r w:rsidR="00491222" w:rsidRPr="00915023">
        <w:rPr>
          <w:sz w:val="16"/>
          <w:szCs w:val="16"/>
        </w:rPr>
        <w:t>; Fecha de consulta 18 de agosto de 2026.</w:t>
      </w:r>
      <w:r w:rsidR="00491222">
        <w:rPr>
          <w:sz w:val="16"/>
          <w:szCs w:val="16"/>
        </w:rPr>
        <w:t xml:space="preserve"> </w:t>
      </w:r>
      <w:hyperlink r:id="rId25" w:history="1">
        <w:r w:rsidR="00584FE8" w:rsidRPr="00B07D51">
          <w:rPr>
            <w:rStyle w:val="Hipervnculo"/>
            <w:sz w:val="16"/>
            <w:szCs w:val="16"/>
          </w:rPr>
          <w:t>https://acp.com.co/portal/gremios-del-sector-de-hidrocarburos-presentan-propuestas-de-politica-publica-para-fortalecer-la-seguridad-energetica-de-colombia/</w:t>
        </w:r>
      </w:hyperlink>
      <w:r w:rsidR="00584FE8" w:rsidRPr="00B07D51">
        <w:rPr>
          <w:sz w:val="16"/>
          <w:szCs w:val="16"/>
        </w:rPr>
        <w:t xml:space="preserve"> </w:t>
      </w:r>
    </w:p>
  </w:footnote>
  <w:footnote w:id="27">
    <w:p w14:paraId="626B3E0E" w14:textId="0703AF1C" w:rsidR="000520E5" w:rsidRPr="009D36BA" w:rsidRDefault="000520E5" w:rsidP="007B4EF6">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La nota - </w:t>
      </w:r>
      <w:r w:rsidR="00DF4508" w:rsidRPr="009D36BA">
        <w:rPr>
          <w:rFonts w:cs="Arial"/>
          <w:sz w:val="16"/>
          <w:szCs w:val="16"/>
        </w:rPr>
        <w:t>Ranking 2024 líderes servicios petroleros de Colombia. Fecha de publicación 21 de</w:t>
      </w:r>
      <w:r w:rsidR="007B4EF6" w:rsidRPr="009D36BA">
        <w:rPr>
          <w:rFonts w:cs="Arial"/>
          <w:sz w:val="16"/>
          <w:szCs w:val="16"/>
        </w:rPr>
        <w:t xml:space="preserve"> </w:t>
      </w:r>
      <w:r w:rsidR="00DF4508" w:rsidRPr="009D36BA">
        <w:rPr>
          <w:rFonts w:cs="Arial"/>
          <w:sz w:val="16"/>
          <w:szCs w:val="16"/>
        </w:rPr>
        <w:t xml:space="preserve">agosto de 2024; Fecha de consulta </w:t>
      </w:r>
      <w:r w:rsidR="007B4EF6" w:rsidRPr="009D36BA">
        <w:rPr>
          <w:rFonts w:cs="Arial"/>
          <w:sz w:val="16"/>
          <w:szCs w:val="16"/>
        </w:rPr>
        <w:t>08 de mayo de 202</w:t>
      </w:r>
      <w:r w:rsidR="001576CB">
        <w:rPr>
          <w:rFonts w:cs="Arial"/>
          <w:sz w:val="16"/>
          <w:szCs w:val="16"/>
        </w:rPr>
        <w:t>6</w:t>
      </w:r>
      <w:r w:rsidR="007B4EF6" w:rsidRPr="009D36BA">
        <w:rPr>
          <w:rFonts w:cs="Arial"/>
          <w:sz w:val="16"/>
          <w:szCs w:val="16"/>
        </w:rPr>
        <w:t xml:space="preserve">. </w:t>
      </w:r>
      <w:hyperlink r:id="rId26" w:history="1">
        <w:r w:rsidR="007B4EF6" w:rsidRPr="009D36BA">
          <w:rPr>
            <w:rStyle w:val="Hipervnculo"/>
            <w:rFonts w:cs="Arial"/>
            <w:sz w:val="16"/>
            <w:szCs w:val="16"/>
          </w:rPr>
          <w:t>https://lanota.com/index.php/CONFIDENCIAS/ranking-2024-lideres-servicios-petroleros-de-colombia.html</w:t>
        </w:r>
      </w:hyperlink>
      <w:r w:rsidR="007B4EF6" w:rsidRPr="009D36BA">
        <w:rPr>
          <w:rFonts w:cs="Arial"/>
          <w:sz w:val="16"/>
          <w:szCs w:val="16"/>
        </w:rPr>
        <w:t xml:space="preserve"> </w:t>
      </w:r>
    </w:p>
  </w:footnote>
  <w:footnote w:id="28">
    <w:p w14:paraId="46E4EC4A" w14:textId="045CBA43" w:rsidR="00B42604" w:rsidRPr="009D36BA" w:rsidRDefault="00B42604">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w:t>
      </w:r>
      <w:r w:rsidR="00E76E00" w:rsidRPr="009D36BA">
        <w:rPr>
          <w:rFonts w:cs="Arial"/>
          <w:sz w:val="16"/>
          <w:szCs w:val="16"/>
        </w:rPr>
        <w:t>Actualícese</w:t>
      </w:r>
      <w:r w:rsidR="00434B28" w:rsidRPr="009D36BA">
        <w:rPr>
          <w:rFonts w:cs="Arial"/>
          <w:sz w:val="16"/>
          <w:szCs w:val="16"/>
        </w:rPr>
        <w:t xml:space="preserve"> – </w:t>
      </w:r>
      <w:r w:rsidR="00E76E00" w:rsidRPr="009D36BA">
        <w:rPr>
          <w:rFonts w:cs="Arial"/>
          <w:sz w:val="16"/>
          <w:szCs w:val="16"/>
        </w:rPr>
        <w:t>histórico</w:t>
      </w:r>
      <w:r w:rsidR="00434B28" w:rsidRPr="009D36BA">
        <w:rPr>
          <w:rFonts w:cs="Arial"/>
          <w:sz w:val="16"/>
          <w:szCs w:val="16"/>
        </w:rPr>
        <w:t xml:space="preserve"> del salario mínimo y el auxilio de transporte. Fecha de publicación </w:t>
      </w:r>
      <w:r w:rsidR="00CD2AE8" w:rsidRPr="009D36BA">
        <w:rPr>
          <w:rFonts w:cs="Arial"/>
          <w:sz w:val="16"/>
          <w:szCs w:val="16"/>
        </w:rPr>
        <w:t xml:space="preserve">8 de enero de 2026; Fecha de consulta </w:t>
      </w:r>
      <w:r w:rsidR="00C453A6">
        <w:rPr>
          <w:rFonts w:cs="Arial"/>
          <w:sz w:val="16"/>
          <w:szCs w:val="16"/>
        </w:rPr>
        <w:t>18 de agosto</w:t>
      </w:r>
      <w:r w:rsidR="00CD2AE8" w:rsidRPr="009D36BA">
        <w:rPr>
          <w:rFonts w:cs="Arial"/>
          <w:sz w:val="16"/>
          <w:szCs w:val="16"/>
        </w:rPr>
        <w:t xml:space="preserve"> de 2026 </w:t>
      </w:r>
      <w:hyperlink r:id="rId27" w:history="1">
        <w:r w:rsidR="00D14B9D" w:rsidRPr="009D36BA">
          <w:rPr>
            <w:rStyle w:val="Hipervnculo"/>
            <w:rFonts w:cs="Arial"/>
            <w:sz w:val="16"/>
            <w:szCs w:val="16"/>
          </w:rPr>
          <w:t>https://actualicese.com/historico-del-salario-minimo-y-el-auxilio-de-transporte/</w:t>
        </w:r>
      </w:hyperlink>
      <w:r w:rsidR="00D14B9D" w:rsidRPr="009D36BA">
        <w:rPr>
          <w:rFonts w:cs="Arial"/>
          <w:sz w:val="16"/>
          <w:szCs w:val="16"/>
        </w:rPr>
        <w:t xml:space="preserve"> </w:t>
      </w:r>
    </w:p>
  </w:footnote>
  <w:footnote w:id="29">
    <w:p w14:paraId="7727292C" w14:textId="5BE9B4B9" w:rsidR="003D4894" w:rsidRPr="0072701E" w:rsidRDefault="003D4894">
      <w:pPr>
        <w:pStyle w:val="Textonotapie"/>
        <w:rPr>
          <w:sz w:val="16"/>
          <w:szCs w:val="16"/>
          <w:lang w:val="es-MX"/>
        </w:rPr>
      </w:pPr>
      <w:r w:rsidRPr="0072701E">
        <w:rPr>
          <w:rStyle w:val="Refdenotaalpie"/>
          <w:sz w:val="16"/>
          <w:szCs w:val="16"/>
        </w:rPr>
        <w:footnoteRef/>
      </w:r>
      <w:r w:rsidR="002C3B10">
        <w:rPr>
          <w:sz w:val="16"/>
          <w:szCs w:val="16"/>
        </w:rPr>
        <w:t xml:space="preserve"> DANE. Boletín técnico </w:t>
      </w:r>
      <w:r w:rsidR="003D6301">
        <w:rPr>
          <w:sz w:val="16"/>
          <w:szCs w:val="16"/>
        </w:rPr>
        <w:t xml:space="preserve">- </w:t>
      </w:r>
      <w:r w:rsidR="003D6301" w:rsidRPr="003D6301">
        <w:rPr>
          <w:sz w:val="16"/>
          <w:szCs w:val="16"/>
        </w:rPr>
        <w:t>Índice de Costos de la Construcción de Obras Civiles (ICOCIV)</w:t>
      </w:r>
      <w:r w:rsidR="003D6301">
        <w:rPr>
          <w:sz w:val="16"/>
          <w:szCs w:val="16"/>
        </w:rPr>
        <w:t xml:space="preserve">. Fecha de </w:t>
      </w:r>
      <w:r w:rsidR="00684920">
        <w:rPr>
          <w:sz w:val="16"/>
          <w:szCs w:val="16"/>
        </w:rPr>
        <w:t xml:space="preserve">publicación: </w:t>
      </w:r>
      <w:r w:rsidR="00CE0167">
        <w:rPr>
          <w:sz w:val="16"/>
          <w:szCs w:val="16"/>
        </w:rPr>
        <w:t>31 de julio</w:t>
      </w:r>
      <w:r w:rsidR="00684920">
        <w:rPr>
          <w:sz w:val="16"/>
          <w:szCs w:val="16"/>
        </w:rPr>
        <w:t xml:space="preserve"> de 2026. Fecha de consulta: </w:t>
      </w:r>
      <w:r w:rsidR="00CE0167">
        <w:rPr>
          <w:sz w:val="16"/>
          <w:szCs w:val="16"/>
        </w:rPr>
        <w:t>1</w:t>
      </w:r>
      <w:r w:rsidR="00EA435C">
        <w:rPr>
          <w:sz w:val="16"/>
          <w:szCs w:val="16"/>
        </w:rPr>
        <w:t>9</w:t>
      </w:r>
      <w:r w:rsidR="00CE0167">
        <w:rPr>
          <w:sz w:val="16"/>
          <w:szCs w:val="16"/>
        </w:rPr>
        <w:t xml:space="preserve"> de agosto</w:t>
      </w:r>
      <w:r w:rsidR="0085262D">
        <w:rPr>
          <w:sz w:val="16"/>
          <w:szCs w:val="16"/>
        </w:rPr>
        <w:t xml:space="preserve"> de 2026. </w:t>
      </w:r>
      <w:hyperlink r:id="rId28" w:history="1">
        <w:r w:rsidR="00CE0167" w:rsidRPr="00DE3CF6">
          <w:rPr>
            <w:rStyle w:val="Hipervnculo"/>
            <w:sz w:val="16"/>
            <w:szCs w:val="16"/>
          </w:rPr>
          <w:t>https://www.dane.gov.co/files/operaciones/ICOCIV/bol-ICOCIV-jun2026.pdf</w:t>
        </w:r>
      </w:hyperlink>
      <w:r w:rsidR="00CE0167">
        <w:rPr>
          <w:sz w:val="16"/>
          <w:szCs w:val="16"/>
        </w:rPr>
        <w:t xml:space="preserve">  </w:t>
      </w:r>
      <w:r w:rsidR="000C34FE">
        <w:rPr>
          <w:sz w:val="16"/>
          <w:szCs w:val="16"/>
        </w:rPr>
        <w:t xml:space="preserve"> </w:t>
      </w:r>
    </w:p>
  </w:footnote>
  <w:footnote w:id="30">
    <w:p w14:paraId="03F1D3F9" w14:textId="7FEC0E6C" w:rsidR="00E66F6C" w:rsidRPr="009D36BA" w:rsidRDefault="00E66F6C">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CAMACOL – Perspectiva Camacol B&amp;C Económica Salario </w:t>
      </w:r>
      <w:r w:rsidR="00442B2D" w:rsidRPr="009D36BA">
        <w:rPr>
          <w:rFonts w:cs="Arial"/>
          <w:sz w:val="16"/>
          <w:szCs w:val="16"/>
        </w:rPr>
        <w:t>mínimo y costos de construcción: primeras evidencias. Fecha de publicación</w:t>
      </w:r>
      <w:r w:rsidR="007A7D38" w:rsidRPr="009D36BA">
        <w:rPr>
          <w:rFonts w:cs="Arial"/>
          <w:sz w:val="16"/>
          <w:szCs w:val="16"/>
        </w:rPr>
        <w:t xml:space="preserve"> marzo de 2026; Fecha de consulta </w:t>
      </w:r>
      <w:r w:rsidR="008D2F99">
        <w:rPr>
          <w:rFonts w:cs="Arial"/>
          <w:sz w:val="16"/>
          <w:szCs w:val="16"/>
        </w:rPr>
        <w:t>19 de agosto</w:t>
      </w:r>
      <w:r w:rsidR="007A7D38" w:rsidRPr="009D36BA">
        <w:rPr>
          <w:rFonts w:cs="Arial"/>
          <w:sz w:val="16"/>
          <w:szCs w:val="16"/>
        </w:rPr>
        <w:t xml:space="preserve"> de 2026</w:t>
      </w:r>
      <w:r w:rsidR="004E45C6" w:rsidRPr="009D36BA">
        <w:rPr>
          <w:rFonts w:cs="Arial"/>
          <w:sz w:val="16"/>
          <w:szCs w:val="16"/>
        </w:rPr>
        <w:t>.</w:t>
      </w:r>
      <w:r w:rsidR="008D2F99">
        <w:rPr>
          <w:rFonts w:cs="Arial"/>
          <w:sz w:val="16"/>
          <w:szCs w:val="16"/>
        </w:rPr>
        <w:t xml:space="preserve"> </w:t>
      </w:r>
      <w:hyperlink r:id="rId29" w:history="1">
        <w:r w:rsidR="004E45C6" w:rsidRPr="009D36BA">
          <w:rPr>
            <w:rStyle w:val="Hipervnculo"/>
            <w:rFonts w:cs="Arial"/>
            <w:sz w:val="16"/>
            <w:szCs w:val="16"/>
          </w:rPr>
          <w:t>https://www.camacolbyc.co/documentos/Perspectiva/eco-marzo26.pdf</w:t>
        </w:r>
      </w:hyperlink>
      <w:r w:rsidR="004E45C6" w:rsidRPr="009D36BA">
        <w:rPr>
          <w:rFonts w:cs="Arial"/>
          <w:sz w:val="16"/>
          <w:szCs w:val="16"/>
        </w:rPr>
        <w:t xml:space="preserve"> </w:t>
      </w:r>
      <w:r w:rsidR="00442B2D" w:rsidRPr="009D36BA">
        <w:rPr>
          <w:rFonts w:cs="Arial"/>
          <w:sz w:val="16"/>
          <w:szCs w:val="16"/>
        </w:rPr>
        <w:t xml:space="preserve"> </w:t>
      </w:r>
    </w:p>
  </w:footnote>
  <w:footnote w:id="31">
    <w:p w14:paraId="65815587" w14:textId="1DF24C55" w:rsidR="004E45C6" w:rsidRPr="009D36BA" w:rsidRDefault="004E45C6">
      <w:pPr>
        <w:pStyle w:val="Textonotapie"/>
        <w:rPr>
          <w:rFonts w:cs="Arial"/>
          <w:sz w:val="16"/>
          <w:szCs w:val="16"/>
        </w:rPr>
      </w:pPr>
      <w:r w:rsidRPr="009D36BA">
        <w:rPr>
          <w:rStyle w:val="Refdenotaalpie"/>
          <w:rFonts w:cs="Arial"/>
          <w:sz w:val="16"/>
          <w:szCs w:val="16"/>
        </w:rPr>
        <w:footnoteRef/>
      </w:r>
      <w:r w:rsidRPr="009D36BA">
        <w:rPr>
          <w:rFonts w:cs="Arial"/>
          <w:sz w:val="16"/>
          <w:szCs w:val="16"/>
        </w:rPr>
        <w:t xml:space="preserve"> </w:t>
      </w:r>
      <w:r w:rsidR="00F67DAE" w:rsidRPr="009D36BA">
        <w:rPr>
          <w:rFonts w:cs="Arial"/>
          <w:sz w:val="16"/>
          <w:szCs w:val="16"/>
        </w:rPr>
        <w:t xml:space="preserve">Portafolio - Costo de la mano de obra y los desistimientos en las ventas, las preocupaciones de los constructores en Bogotá. </w:t>
      </w:r>
      <w:r w:rsidR="002A5661" w:rsidRPr="009D36BA">
        <w:rPr>
          <w:rFonts w:cs="Arial"/>
          <w:sz w:val="16"/>
          <w:szCs w:val="16"/>
        </w:rPr>
        <w:t xml:space="preserve">30 de enero de 2026; Fecha de consulta </w:t>
      </w:r>
      <w:r w:rsidR="002227B4">
        <w:rPr>
          <w:rFonts w:cs="Arial"/>
          <w:sz w:val="16"/>
          <w:szCs w:val="16"/>
        </w:rPr>
        <w:t>19 de agosto</w:t>
      </w:r>
      <w:r w:rsidR="002A5661" w:rsidRPr="009D36BA">
        <w:rPr>
          <w:rFonts w:cs="Arial"/>
          <w:sz w:val="16"/>
          <w:szCs w:val="16"/>
        </w:rPr>
        <w:t xml:space="preserve"> de 2026. </w:t>
      </w:r>
      <w:hyperlink r:id="rId30" w:history="1">
        <w:r w:rsidR="003452CF" w:rsidRPr="009D36BA">
          <w:rPr>
            <w:rStyle w:val="Hipervnculo"/>
            <w:rFonts w:cs="Arial"/>
            <w:sz w:val="16"/>
            <w:szCs w:val="16"/>
          </w:rPr>
          <w:t>https://www.portafolio.co/mis-finanzas/vivienda/costo-de-la-mano-de-obra-y-los-desistimientos-en-las-ventas-las-preocupaciones-de-los-constructores-en-bogota-487245</w:t>
        </w:r>
      </w:hyperlink>
      <w:r w:rsidR="003452CF" w:rsidRPr="009D36BA">
        <w:rPr>
          <w:rFonts w:cs="Arial"/>
          <w:sz w:val="16"/>
          <w:szCs w:val="16"/>
        </w:rPr>
        <w:t xml:space="preserve"> </w:t>
      </w:r>
    </w:p>
  </w:footnote>
  <w:footnote w:id="32">
    <w:p w14:paraId="3C914A76" w14:textId="7289B142" w:rsidR="0032625C" w:rsidRPr="00AC4BA7" w:rsidRDefault="0032625C" w:rsidP="00AC4BA7">
      <w:pPr>
        <w:spacing w:after="0"/>
        <w:jc w:val="both"/>
        <w:rPr>
          <w:rFonts w:ascii="Arial" w:hAnsi="Arial" w:cs="Arial"/>
          <w:bCs/>
          <w:sz w:val="16"/>
          <w:szCs w:val="16"/>
        </w:rPr>
      </w:pPr>
      <w:r>
        <w:rPr>
          <w:rStyle w:val="Refdenotaalpie"/>
        </w:rPr>
        <w:footnoteRef/>
      </w:r>
      <w:r>
        <w:t xml:space="preserve"> </w:t>
      </w:r>
      <w:r w:rsidR="00AC4BA7" w:rsidRPr="00C76457">
        <w:rPr>
          <w:rFonts w:ascii="Arial" w:hAnsi="Arial" w:cs="Arial"/>
          <w:bCs/>
          <w:sz w:val="16"/>
          <w:szCs w:val="16"/>
        </w:rPr>
        <w:t>DANE. Boletín Técnico – Índice de Costos de la Construcción de Obras Civiles (ICOCIV)</w:t>
      </w:r>
      <w:r w:rsidR="00AC4BA7">
        <w:rPr>
          <w:rFonts w:ascii="Arial" w:hAnsi="Arial" w:cs="Arial"/>
          <w:bCs/>
          <w:sz w:val="16"/>
          <w:szCs w:val="16"/>
        </w:rPr>
        <w:t xml:space="preserve"> agosto 2026</w:t>
      </w:r>
      <w:r w:rsidR="00AC4BA7" w:rsidRPr="00C76457">
        <w:rPr>
          <w:rFonts w:ascii="Arial" w:hAnsi="Arial" w:cs="Arial"/>
          <w:bCs/>
          <w:sz w:val="16"/>
          <w:szCs w:val="16"/>
        </w:rPr>
        <w:t xml:space="preserve">. Fecha de publicación </w:t>
      </w:r>
      <w:r w:rsidR="00AC4BA7">
        <w:rPr>
          <w:rFonts w:ascii="Arial" w:hAnsi="Arial" w:cs="Arial"/>
          <w:bCs/>
          <w:sz w:val="16"/>
          <w:szCs w:val="16"/>
        </w:rPr>
        <w:t>30 de septiembre</w:t>
      </w:r>
      <w:r w:rsidR="00AC4BA7" w:rsidRPr="00C76457">
        <w:rPr>
          <w:rFonts w:ascii="Arial" w:hAnsi="Arial" w:cs="Arial"/>
          <w:bCs/>
          <w:sz w:val="16"/>
          <w:szCs w:val="16"/>
        </w:rPr>
        <w:t xml:space="preserve"> de 2026; Fecha de consulta </w:t>
      </w:r>
      <w:r w:rsidR="00AC4BA7">
        <w:rPr>
          <w:rFonts w:ascii="Arial" w:hAnsi="Arial" w:cs="Arial"/>
          <w:bCs/>
          <w:sz w:val="16"/>
          <w:szCs w:val="16"/>
        </w:rPr>
        <w:t>5 de octubre</w:t>
      </w:r>
      <w:r w:rsidR="00AC4BA7" w:rsidRPr="00C76457">
        <w:rPr>
          <w:rFonts w:ascii="Arial" w:hAnsi="Arial" w:cs="Arial"/>
          <w:bCs/>
          <w:sz w:val="16"/>
          <w:szCs w:val="16"/>
        </w:rPr>
        <w:t xml:space="preserve"> de 2026. </w:t>
      </w:r>
      <w:hyperlink r:id="rId31" w:history="1">
        <w:r w:rsidR="00AC4BA7" w:rsidRPr="00B25DC6">
          <w:rPr>
            <w:rStyle w:val="Hipervnculo"/>
            <w:rFonts w:ascii="Arial" w:hAnsi="Arial" w:cs="Arial"/>
            <w:sz w:val="16"/>
            <w:szCs w:val="16"/>
          </w:rPr>
          <w:t>https://www.dane.gov.co/files/operaciones/ICOCIV/bol-ICOCIV-ago2026.pdf</w:t>
        </w:r>
      </w:hyperlink>
      <w:r w:rsidR="00AC4BA7">
        <w:rPr>
          <w:rFonts w:ascii="Arial" w:hAnsi="Arial" w:cs="Arial"/>
          <w:sz w:val="16"/>
          <w:szCs w:val="16"/>
        </w:rPr>
        <w:t xml:space="preserve"> </w:t>
      </w:r>
      <w:r w:rsidR="00AC4BA7">
        <w:rPr>
          <w:rFonts w:ascii="Arial" w:hAnsi="Arial" w:cs="Arial"/>
          <w:bCs/>
          <w:sz w:val="16"/>
          <w:szCs w:val="16"/>
        </w:rPr>
        <w:t xml:space="preserve">  </w:t>
      </w:r>
    </w:p>
  </w:footnote>
  <w:footnote w:id="33">
    <w:p w14:paraId="06E1922B" w14:textId="087D5254" w:rsidR="00F05CC6" w:rsidRPr="009D36BA" w:rsidRDefault="00F05CC6">
      <w:pPr>
        <w:pStyle w:val="Textonotapie"/>
        <w:rPr>
          <w:rFonts w:cs="Arial"/>
          <w:sz w:val="16"/>
          <w:szCs w:val="16"/>
          <w:lang w:val="es-MX"/>
        </w:rPr>
      </w:pPr>
      <w:r w:rsidRPr="009D36BA">
        <w:rPr>
          <w:rStyle w:val="Refdenotaalpie"/>
          <w:rFonts w:cs="Arial"/>
          <w:sz w:val="16"/>
          <w:szCs w:val="16"/>
        </w:rPr>
        <w:footnoteRef/>
      </w:r>
      <w:r w:rsidRPr="009D36BA">
        <w:rPr>
          <w:rFonts w:cs="Arial"/>
          <w:sz w:val="16"/>
          <w:szCs w:val="16"/>
        </w:rPr>
        <w:t xml:space="preserve"> </w:t>
      </w:r>
      <w:r w:rsidR="00F74551" w:rsidRPr="00C76457">
        <w:rPr>
          <w:rFonts w:cs="Arial"/>
          <w:bCs/>
          <w:sz w:val="16"/>
          <w:szCs w:val="16"/>
        </w:rPr>
        <w:t xml:space="preserve">Fuente: </w:t>
      </w:r>
      <w:r w:rsidR="00140818" w:rsidRPr="00C76457">
        <w:rPr>
          <w:rFonts w:cs="Arial"/>
          <w:bCs/>
          <w:sz w:val="16"/>
          <w:szCs w:val="16"/>
        </w:rPr>
        <w:t xml:space="preserve">DANE. </w:t>
      </w:r>
      <w:r w:rsidR="00140818">
        <w:rPr>
          <w:rFonts w:cs="Arial"/>
          <w:bCs/>
          <w:sz w:val="16"/>
          <w:szCs w:val="16"/>
        </w:rPr>
        <w:t xml:space="preserve">Boletín Técnico. </w:t>
      </w:r>
      <w:r w:rsidR="00140818" w:rsidRPr="00C76457">
        <w:rPr>
          <w:rFonts w:cs="Arial"/>
          <w:bCs/>
          <w:sz w:val="16"/>
          <w:szCs w:val="16"/>
        </w:rPr>
        <w:t xml:space="preserve">Índice de precios al consumidor </w:t>
      </w:r>
      <w:r w:rsidR="00140818">
        <w:rPr>
          <w:rFonts w:cs="Arial"/>
          <w:bCs/>
          <w:sz w:val="16"/>
          <w:szCs w:val="16"/>
        </w:rPr>
        <w:t xml:space="preserve">agosto 2026 </w:t>
      </w:r>
      <w:r w:rsidR="00140818" w:rsidRPr="00C76457">
        <w:rPr>
          <w:rFonts w:cs="Arial"/>
          <w:bCs/>
          <w:sz w:val="16"/>
          <w:szCs w:val="16"/>
        </w:rPr>
        <w:t xml:space="preserve">–Fecha de publicación </w:t>
      </w:r>
      <w:r w:rsidR="00140818">
        <w:rPr>
          <w:rFonts w:cs="Arial"/>
          <w:bCs/>
          <w:sz w:val="16"/>
          <w:szCs w:val="16"/>
        </w:rPr>
        <w:t>7 de septiembre de</w:t>
      </w:r>
      <w:r w:rsidR="00140818" w:rsidRPr="00C76457">
        <w:rPr>
          <w:rFonts w:cs="Arial"/>
          <w:bCs/>
          <w:sz w:val="16"/>
          <w:szCs w:val="16"/>
        </w:rPr>
        <w:t xml:space="preserve"> 2026; Fecha de consulta </w:t>
      </w:r>
      <w:r w:rsidR="00140818">
        <w:rPr>
          <w:rFonts w:cs="Arial"/>
          <w:bCs/>
          <w:sz w:val="16"/>
          <w:szCs w:val="16"/>
        </w:rPr>
        <w:t>5 de octubre de 2026</w:t>
      </w:r>
      <w:r w:rsidR="00140818" w:rsidRPr="00C76457">
        <w:rPr>
          <w:rFonts w:cs="Arial"/>
          <w:bCs/>
          <w:sz w:val="16"/>
          <w:szCs w:val="16"/>
        </w:rPr>
        <w:t xml:space="preserve">. </w:t>
      </w:r>
      <w:hyperlink r:id="rId32" w:history="1">
        <w:r w:rsidR="00140818" w:rsidRPr="00B25DC6">
          <w:rPr>
            <w:rStyle w:val="Hipervnculo"/>
            <w:rFonts w:cs="Arial"/>
            <w:bCs/>
            <w:sz w:val="16"/>
            <w:szCs w:val="16"/>
          </w:rPr>
          <w:t>https://www.dane.gov.co/files/operaciones/IPC/ago2026/bol-IPC-ago2026.pdf</w:t>
        </w:r>
      </w:hyperlink>
      <w:r w:rsidR="00F74551">
        <w:rPr>
          <w:rFonts w:cs="Arial"/>
          <w:bCs/>
          <w:sz w:val="16"/>
          <w:szCs w:val="16"/>
        </w:rPr>
        <w:t xml:space="preserve"> </w:t>
      </w:r>
    </w:p>
  </w:footnote>
  <w:footnote w:id="34">
    <w:p w14:paraId="4D920A1F" w14:textId="6504CC75" w:rsidR="006E0330" w:rsidRPr="00915023" w:rsidRDefault="006E0330">
      <w:pPr>
        <w:pStyle w:val="Textonotapie"/>
        <w:rPr>
          <w:lang w:val="es-ES"/>
        </w:rPr>
      </w:pPr>
      <w:r>
        <w:rPr>
          <w:rStyle w:val="Refdenotaalpie"/>
        </w:rPr>
        <w:footnoteRef/>
      </w:r>
      <w:r w:rsidRPr="00915023">
        <w:rPr>
          <w:sz w:val="16"/>
          <w:szCs w:val="16"/>
        </w:rPr>
        <w:t xml:space="preserve"> </w:t>
      </w:r>
      <w:r>
        <w:rPr>
          <w:sz w:val="16"/>
          <w:szCs w:val="16"/>
        </w:rPr>
        <w:t xml:space="preserve">Expansión </w:t>
      </w:r>
      <w:r w:rsidRPr="00915023">
        <w:rPr>
          <w:sz w:val="16"/>
          <w:szCs w:val="16"/>
          <w:lang w:val="es-ES"/>
        </w:rPr>
        <w:t>Datos Macro</w:t>
      </w:r>
      <w:r>
        <w:rPr>
          <w:sz w:val="16"/>
          <w:szCs w:val="16"/>
          <w:lang w:val="es-ES"/>
        </w:rPr>
        <w:t xml:space="preserve">. El IPC </w:t>
      </w:r>
      <w:r w:rsidR="004C50DC">
        <w:rPr>
          <w:sz w:val="16"/>
          <w:szCs w:val="16"/>
          <w:lang w:val="es-ES"/>
        </w:rPr>
        <w:t>desciende</w:t>
      </w:r>
      <w:r>
        <w:rPr>
          <w:sz w:val="16"/>
          <w:szCs w:val="16"/>
          <w:lang w:val="es-ES"/>
        </w:rPr>
        <w:t xml:space="preserve"> hasta el 6% en julio en Colombia. </w:t>
      </w:r>
      <w:r w:rsidR="00C061B1">
        <w:rPr>
          <w:sz w:val="16"/>
          <w:szCs w:val="16"/>
          <w:lang w:val="es-ES"/>
        </w:rPr>
        <w:t xml:space="preserve">Fecha de consulta </w:t>
      </w:r>
      <w:r w:rsidR="004C50DC">
        <w:rPr>
          <w:sz w:val="16"/>
          <w:szCs w:val="16"/>
          <w:lang w:val="es-ES"/>
        </w:rPr>
        <w:t>20</w:t>
      </w:r>
      <w:r w:rsidR="00C061B1">
        <w:rPr>
          <w:sz w:val="16"/>
          <w:szCs w:val="16"/>
          <w:lang w:val="es-ES"/>
        </w:rPr>
        <w:t xml:space="preserve"> de agosto de 2026 - </w:t>
      </w:r>
      <w:hyperlink r:id="rId33" w:history="1">
        <w:r w:rsidR="00C061B1" w:rsidRPr="00E966EE">
          <w:rPr>
            <w:rStyle w:val="Hipervnculo"/>
            <w:sz w:val="16"/>
            <w:szCs w:val="16"/>
            <w:lang w:val="es-ES"/>
          </w:rPr>
          <w:t>https://datosmacro.expansion.com/ipc-paises/colombia?dr=2026-07</w:t>
        </w:r>
      </w:hyperlink>
      <w:r w:rsidR="00C061B1">
        <w:rPr>
          <w:sz w:val="16"/>
          <w:szCs w:val="16"/>
          <w:lang w:val="es-ES"/>
        </w:rPr>
        <w:t xml:space="preserve"> </w:t>
      </w:r>
    </w:p>
  </w:footnote>
  <w:footnote w:id="35">
    <w:p w14:paraId="35B23B42" w14:textId="39462B06" w:rsidR="00D10B1D" w:rsidRPr="00D10B1D" w:rsidRDefault="00F4720A" w:rsidP="00D10B1D">
      <w:pPr>
        <w:pStyle w:val="Textonotapie"/>
        <w:rPr>
          <w:rFonts w:cs="Arial"/>
          <w:sz w:val="18"/>
          <w:szCs w:val="18"/>
        </w:rPr>
      </w:pPr>
      <w:r w:rsidRPr="00915023">
        <w:rPr>
          <w:rStyle w:val="Refdenotaalpie"/>
          <w:rFonts w:cs="Arial"/>
          <w:sz w:val="18"/>
          <w:szCs w:val="18"/>
        </w:rPr>
        <w:footnoteRef/>
      </w:r>
      <w:r w:rsidRPr="00915023">
        <w:rPr>
          <w:rFonts w:cs="Arial"/>
          <w:sz w:val="18"/>
          <w:szCs w:val="18"/>
        </w:rPr>
        <w:t xml:space="preserve"> </w:t>
      </w:r>
      <w:r w:rsidR="00D10B1D" w:rsidRPr="00915023">
        <w:rPr>
          <w:rFonts w:cs="Arial"/>
          <w:sz w:val="16"/>
          <w:szCs w:val="16"/>
        </w:rPr>
        <w:t xml:space="preserve">BANCO DE LA REPÚBLICA. </w:t>
      </w:r>
      <w:r w:rsidR="00D10B1D" w:rsidRPr="00915023">
        <w:rPr>
          <w:rFonts w:cs="Arial"/>
          <w:i/>
          <w:iCs/>
          <w:sz w:val="16"/>
          <w:szCs w:val="16"/>
        </w:rPr>
        <w:t>Estadísticas Económicas. Principales indicadores macroeconómicos</w:t>
      </w:r>
      <w:r w:rsidR="00D10B1D" w:rsidRPr="00915023">
        <w:rPr>
          <w:rFonts w:cs="Arial"/>
          <w:sz w:val="16"/>
          <w:szCs w:val="16"/>
        </w:rPr>
        <w:t xml:space="preserve">. </w:t>
      </w:r>
      <w:r w:rsidR="00D10B1D">
        <w:rPr>
          <w:rFonts w:cs="Arial"/>
          <w:sz w:val="16"/>
          <w:szCs w:val="16"/>
        </w:rPr>
        <w:t>Fecha de consulta</w:t>
      </w:r>
      <w:r w:rsidR="00D10B1D" w:rsidRPr="00915023">
        <w:rPr>
          <w:rFonts w:cs="Arial"/>
          <w:sz w:val="16"/>
          <w:szCs w:val="16"/>
        </w:rPr>
        <w:t xml:space="preserve"> 20 de agosto de 2026. </w:t>
      </w:r>
      <w:hyperlink r:id="rId34" w:history="1">
        <w:r w:rsidR="00D10B1D" w:rsidRPr="00915023">
          <w:rPr>
            <w:rStyle w:val="Hipervnculo"/>
            <w:sz w:val="16"/>
            <w:szCs w:val="16"/>
          </w:rPr>
          <w:t>https://totoro.banrep.gov.co/estadisticas-economicas/faces/pages/Buscador.xhtml</w:t>
        </w:r>
      </w:hyperlink>
      <w:r w:rsidR="00D10B1D" w:rsidRPr="00915023">
        <w:rPr>
          <w:rFonts w:cs="Arial"/>
          <w:sz w:val="16"/>
          <w:szCs w:val="16"/>
        </w:rPr>
        <w:t>.</w:t>
      </w:r>
    </w:p>
    <w:p w14:paraId="32A53D6C" w14:textId="49BF6A33" w:rsidR="00F4720A" w:rsidRPr="009D36BA" w:rsidRDefault="00D10B1D" w:rsidP="00230510">
      <w:pPr>
        <w:pStyle w:val="Textonotapie"/>
        <w:jc w:val="left"/>
        <w:rPr>
          <w:rFonts w:cs="Arial"/>
          <w:sz w:val="16"/>
          <w:szCs w:val="16"/>
        </w:rPr>
      </w:pPr>
      <w:r>
        <w:rPr>
          <w:rFonts w:cs="Arial"/>
          <w:sz w:val="16"/>
          <w:szCs w:val="16"/>
        </w:rPr>
        <w:t xml:space="preserve"> </w:t>
      </w:r>
    </w:p>
  </w:footnote>
  <w:footnote w:id="36">
    <w:p w14:paraId="157E7C78" w14:textId="319F6198" w:rsidR="00C537C9" w:rsidRPr="00C537C9" w:rsidRDefault="00C537C9">
      <w:pPr>
        <w:pStyle w:val="Textonotapie"/>
      </w:pPr>
      <w:r>
        <w:rPr>
          <w:rStyle w:val="Refdenotaalpie"/>
        </w:rPr>
        <w:footnoteRef/>
      </w:r>
      <w:r w:rsidRPr="00915023">
        <w:rPr>
          <w:sz w:val="16"/>
          <w:szCs w:val="16"/>
        </w:rPr>
        <w:t xml:space="preserve"> </w:t>
      </w:r>
      <w:r w:rsidRPr="00D0443A">
        <w:rPr>
          <w:sz w:val="16"/>
          <w:szCs w:val="16"/>
        </w:rPr>
        <w:t xml:space="preserve">Superintendencia Financiera </w:t>
      </w:r>
      <w:r>
        <w:rPr>
          <w:sz w:val="16"/>
          <w:szCs w:val="16"/>
        </w:rPr>
        <w:t>d</w:t>
      </w:r>
      <w:r w:rsidRPr="00D0443A">
        <w:rPr>
          <w:sz w:val="16"/>
          <w:szCs w:val="16"/>
        </w:rPr>
        <w:t>e Colombia</w:t>
      </w:r>
      <w:r w:rsidRPr="00915023">
        <w:rPr>
          <w:sz w:val="16"/>
          <w:szCs w:val="16"/>
        </w:rPr>
        <w:t xml:space="preserve">. Superfinanciera certifica el Interés Bancario Corriente. Bogotá D.C., 31 de julio de 2026. Resolución 1139 de 2026. </w:t>
      </w:r>
      <w:r w:rsidR="00D0443A">
        <w:rPr>
          <w:sz w:val="16"/>
          <w:szCs w:val="16"/>
        </w:rPr>
        <w:t>Fecha de publicación 31 de julio de 2026; Fecha de consulta</w:t>
      </w:r>
      <w:r w:rsidRPr="00915023">
        <w:rPr>
          <w:sz w:val="16"/>
          <w:szCs w:val="16"/>
        </w:rPr>
        <w:t xml:space="preserve"> 20 de agosto de 2026. </w:t>
      </w:r>
      <w:hyperlink r:id="rId35" w:history="1">
        <w:r w:rsidR="00D0443A" w:rsidRPr="00915023">
          <w:rPr>
            <w:rStyle w:val="Hipervnculo"/>
            <w:sz w:val="16"/>
            <w:szCs w:val="16"/>
          </w:rPr>
          <w:t>https://www.superfinanciera.gov.co/publicaciones/10116205/superfinanciera-certifica-el-interes-bancario-corriente/</w:t>
        </w:r>
      </w:hyperlink>
      <w:r w:rsidRPr="00915023">
        <w:rPr>
          <w:sz w:val="16"/>
          <w:szCs w:val="16"/>
        </w:rPr>
        <w:t>.</w:t>
      </w:r>
      <w:r w:rsidR="00D0443A">
        <w:rPr>
          <w:sz w:val="16"/>
          <w:szCs w:val="16"/>
        </w:rPr>
        <w:t xml:space="preserve"> </w:t>
      </w:r>
    </w:p>
  </w:footnote>
  <w:footnote w:id="37">
    <w:p w14:paraId="2C5B05B1" w14:textId="7A1F9638" w:rsidR="00731C9E" w:rsidRPr="00731C9E" w:rsidRDefault="00731C9E">
      <w:pPr>
        <w:pStyle w:val="Textonotapie"/>
      </w:pPr>
      <w:r>
        <w:rPr>
          <w:rStyle w:val="Refdenotaalpie"/>
        </w:rPr>
        <w:footnoteRef/>
      </w:r>
      <w:r w:rsidRPr="0092604C">
        <w:rPr>
          <w:sz w:val="16"/>
          <w:szCs w:val="16"/>
        </w:rPr>
        <w:t xml:space="preserve"> Banco de la República. Boletín Económico Regional: Bogotá, II trimestre de 2026</w:t>
      </w:r>
      <w:r w:rsidR="0092604C">
        <w:rPr>
          <w:sz w:val="16"/>
          <w:szCs w:val="16"/>
        </w:rPr>
        <w:t xml:space="preserve">. Fecha de publicación: 8 de septiembre 2026. Fecha de consulta: 5 de octubre de 2026. </w:t>
      </w:r>
      <w:hyperlink r:id="rId36" w:history="1">
        <w:r w:rsidR="0092604C" w:rsidRPr="00B25DC6">
          <w:rPr>
            <w:rStyle w:val="Hipervnculo"/>
            <w:sz w:val="16"/>
            <w:szCs w:val="16"/>
          </w:rPr>
          <w:t>https://www.banrep.gov.co/es/publicaciones-investigaciones/boletin-economico-regional/bogota-2-trimestre-2026</w:t>
        </w:r>
      </w:hyperlink>
      <w:r w:rsidR="0092604C">
        <w:rPr>
          <w:sz w:val="16"/>
          <w:szCs w:val="16"/>
        </w:rPr>
        <w:t xml:space="preserve"> </w:t>
      </w:r>
    </w:p>
  </w:footnote>
  <w:footnote w:id="38">
    <w:p w14:paraId="5B0C7A86" w14:textId="1700F676" w:rsidR="00635F02" w:rsidRPr="00635F02" w:rsidRDefault="00635F02">
      <w:pPr>
        <w:pStyle w:val="Textonotapie"/>
      </w:pPr>
      <w:r>
        <w:rPr>
          <w:rStyle w:val="Refdenotaalpie"/>
        </w:rPr>
        <w:footnoteRef/>
      </w:r>
      <w:r>
        <w:t xml:space="preserve"> </w:t>
      </w:r>
      <w:r w:rsidRPr="00C76457">
        <w:rPr>
          <w:rFonts w:cs="Arial"/>
          <w:bCs/>
          <w:sz w:val="16"/>
          <w:szCs w:val="16"/>
        </w:rPr>
        <w:t>DANE. Boletín Técnico – Índice de Costos de la Construcción de Obras Civiles (ICOCIV)</w:t>
      </w:r>
      <w:r>
        <w:rPr>
          <w:rFonts w:cs="Arial"/>
          <w:bCs/>
          <w:sz w:val="16"/>
          <w:szCs w:val="16"/>
        </w:rPr>
        <w:t xml:space="preserve"> agosto 2026</w:t>
      </w:r>
      <w:r w:rsidRPr="00C76457">
        <w:rPr>
          <w:rFonts w:cs="Arial"/>
          <w:bCs/>
          <w:sz w:val="16"/>
          <w:szCs w:val="16"/>
        </w:rPr>
        <w:t xml:space="preserve">. Fecha de publicación </w:t>
      </w:r>
      <w:r>
        <w:rPr>
          <w:rFonts w:cs="Arial"/>
          <w:bCs/>
          <w:sz w:val="16"/>
          <w:szCs w:val="16"/>
        </w:rPr>
        <w:t>30 de septiembre</w:t>
      </w:r>
      <w:r w:rsidRPr="00C76457">
        <w:rPr>
          <w:rFonts w:cs="Arial"/>
          <w:bCs/>
          <w:sz w:val="16"/>
          <w:szCs w:val="16"/>
        </w:rPr>
        <w:t xml:space="preserve"> de 2026; Fecha de consulta </w:t>
      </w:r>
      <w:r>
        <w:rPr>
          <w:rFonts w:cs="Arial"/>
          <w:bCs/>
          <w:sz w:val="16"/>
          <w:szCs w:val="16"/>
        </w:rPr>
        <w:t>5 de octubre</w:t>
      </w:r>
      <w:r w:rsidRPr="00C76457">
        <w:rPr>
          <w:rFonts w:cs="Arial"/>
          <w:bCs/>
          <w:sz w:val="16"/>
          <w:szCs w:val="16"/>
        </w:rPr>
        <w:t xml:space="preserve"> de 2026. </w:t>
      </w:r>
      <w:hyperlink r:id="rId37" w:history="1">
        <w:r w:rsidRPr="00B25DC6">
          <w:rPr>
            <w:rStyle w:val="Hipervnculo"/>
            <w:rFonts w:cs="Arial"/>
            <w:sz w:val="16"/>
            <w:szCs w:val="16"/>
          </w:rPr>
          <w:t>https://www.dane.gov.co/files/operaciones/ICOCIV/bol-ICOCIV-ago2026.pdf</w:t>
        </w:r>
      </w:hyperlink>
      <w:r>
        <w:rPr>
          <w:rFonts w:cs="Arial"/>
          <w:sz w:val="16"/>
          <w:szCs w:val="16"/>
        </w:rPr>
        <w:t xml:space="preserve"> </w:t>
      </w:r>
      <w:r>
        <w:rPr>
          <w:rFonts w:cs="Arial"/>
          <w:bCs/>
          <w:sz w:val="16"/>
          <w:szCs w:val="16"/>
        </w:rPr>
        <w:t xml:space="preserve"> </w:t>
      </w:r>
    </w:p>
  </w:footnote>
  <w:footnote w:id="39">
    <w:p w14:paraId="23C04490" w14:textId="4AFAE5C0" w:rsidR="009F7C6E" w:rsidRPr="002D6470" w:rsidRDefault="009F7C6E">
      <w:pPr>
        <w:pStyle w:val="Textonotapie"/>
        <w:rPr>
          <w:sz w:val="16"/>
          <w:szCs w:val="16"/>
        </w:rPr>
      </w:pPr>
      <w:r w:rsidRPr="00AC6DBB">
        <w:rPr>
          <w:rStyle w:val="Refdenotaalpie"/>
          <w:sz w:val="16"/>
          <w:szCs w:val="16"/>
        </w:rPr>
        <w:footnoteRef/>
      </w:r>
      <w:r w:rsidRPr="00AC6DBB">
        <w:rPr>
          <w:sz w:val="16"/>
          <w:szCs w:val="16"/>
          <w:lang w:val="en-US"/>
        </w:rPr>
        <w:t xml:space="preserve"> </w:t>
      </w:r>
      <w:r w:rsidR="00E32034" w:rsidRPr="00AC6DBB">
        <w:rPr>
          <w:sz w:val="16"/>
          <w:szCs w:val="16"/>
          <w:lang w:val="en-US"/>
        </w:rPr>
        <w:t xml:space="preserve">U.S. Environmental Protection Agency (eCFR). 40 CFR Part 280 - Subpart G: Out-of-Service UST Systems and Closure. </w:t>
      </w:r>
      <w:r w:rsidR="00E32034" w:rsidRPr="00AC6DBB">
        <w:rPr>
          <w:sz w:val="16"/>
          <w:szCs w:val="16"/>
        </w:rPr>
        <w:t xml:space="preserve">Última enmienda: 19 de mayo de 2026; Fecha de consulta: </w:t>
      </w:r>
      <w:r w:rsidR="004E0203">
        <w:rPr>
          <w:sz w:val="16"/>
          <w:szCs w:val="16"/>
        </w:rPr>
        <w:t>20 de agosto</w:t>
      </w:r>
      <w:r w:rsidR="00E32034" w:rsidRPr="00AC6DBB">
        <w:rPr>
          <w:sz w:val="16"/>
          <w:szCs w:val="16"/>
        </w:rPr>
        <w:t xml:space="preserve"> de 2026. Disponible en: </w:t>
      </w:r>
      <w:hyperlink r:id="rId38" w:tgtFrame="_blank" w:history="1">
        <w:r w:rsidR="00E32034" w:rsidRPr="00AC6DBB">
          <w:rPr>
            <w:rStyle w:val="Hipervnculo"/>
            <w:sz w:val="16"/>
            <w:szCs w:val="16"/>
          </w:rPr>
          <w:t>https://www.ecfr.gov/current/title-40/chapter-I/subchapter-I/part-280/subpart-G</w:t>
        </w:r>
      </w:hyperlink>
    </w:p>
  </w:footnote>
  <w:footnote w:id="40">
    <w:p w14:paraId="5B8437EA" w14:textId="103B8289" w:rsidR="0014557E" w:rsidRPr="0014557E" w:rsidRDefault="0014557E">
      <w:pPr>
        <w:pStyle w:val="Textonotapie"/>
        <w:rPr>
          <w:lang w:val="es-MX"/>
        </w:rPr>
      </w:pPr>
      <w:r>
        <w:rPr>
          <w:rStyle w:val="Refdenotaalpie"/>
        </w:rPr>
        <w:footnoteRef/>
      </w:r>
      <w:r w:rsidRPr="007D2192">
        <w:rPr>
          <w:lang w:val="en-US"/>
        </w:rPr>
        <w:t xml:space="preserve"> </w:t>
      </w:r>
      <w:r w:rsidR="0011593A" w:rsidRPr="0011593A">
        <w:rPr>
          <w:sz w:val="16"/>
          <w:szCs w:val="16"/>
          <w:lang w:val="en-US"/>
        </w:rPr>
        <w:t>Dumfries and Galloway Council. </w:t>
      </w:r>
      <w:r w:rsidR="0011593A" w:rsidRPr="0011593A">
        <w:rPr>
          <w:i/>
          <w:iCs/>
          <w:sz w:val="16"/>
          <w:szCs w:val="16"/>
          <w:lang w:val="en-US"/>
        </w:rPr>
        <w:t>Petrol Filling Stations Decommissioning Guide</w:t>
      </w:r>
      <w:r w:rsidR="0011593A" w:rsidRPr="0011593A">
        <w:rPr>
          <w:sz w:val="16"/>
          <w:szCs w:val="16"/>
          <w:lang w:val="en-US"/>
        </w:rPr>
        <w:t xml:space="preserve">. </w:t>
      </w:r>
      <w:r w:rsidR="00925698" w:rsidRPr="00915023">
        <w:rPr>
          <w:sz w:val="16"/>
          <w:szCs w:val="16"/>
        </w:rPr>
        <w:t>F</w:t>
      </w:r>
      <w:r w:rsidR="00AA376F" w:rsidRPr="00915023">
        <w:rPr>
          <w:sz w:val="16"/>
          <w:szCs w:val="16"/>
        </w:rPr>
        <w:t xml:space="preserve">echa de publicación </w:t>
      </w:r>
      <w:r w:rsidR="0011593A" w:rsidRPr="007D2192">
        <w:rPr>
          <w:sz w:val="16"/>
          <w:szCs w:val="16"/>
        </w:rPr>
        <w:t xml:space="preserve">Julio de 2024. </w:t>
      </w:r>
      <w:r w:rsidR="00AA376F">
        <w:rPr>
          <w:sz w:val="16"/>
          <w:szCs w:val="16"/>
        </w:rPr>
        <w:t>Fecha de co</w:t>
      </w:r>
      <w:r w:rsidR="00DC446A">
        <w:rPr>
          <w:sz w:val="16"/>
          <w:szCs w:val="16"/>
        </w:rPr>
        <w:t>n</w:t>
      </w:r>
      <w:r w:rsidR="00AA376F">
        <w:rPr>
          <w:sz w:val="16"/>
          <w:szCs w:val="16"/>
        </w:rPr>
        <w:t>sulta</w:t>
      </w:r>
      <w:r w:rsidR="00AA376F" w:rsidRPr="007D2192">
        <w:rPr>
          <w:sz w:val="16"/>
          <w:szCs w:val="16"/>
        </w:rPr>
        <w:t xml:space="preserve"> </w:t>
      </w:r>
      <w:r w:rsidR="00AA376F">
        <w:rPr>
          <w:sz w:val="16"/>
          <w:szCs w:val="16"/>
        </w:rPr>
        <w:t xml:space="preserve">20 de agosto </w:t>
      </w:r>
      <w:r w:rsidR="0011593A" w:rsidRPr="007D2192">
        <w:rPr>
          <w:sz w:val="16"/>
          <w:szCs w:val="16"/>
        </w:rPr>
        <w:t>de 2026.  </w:t>
      </w:r>
      <w:hyperlink r:id="rId39" w:tgtFrame="_blank" w:history="1">
        <w:r w:rsidR="0011593A" w:rsidRPr="007D2192">
          <w:rPr>
            <w:rStyle w:val="Hipervnculo"/>
            <w:sz w:val="16"/>
            <w:szCs w:val="16"/>
          </w:rPr>
          <w:t>https://www.dumfriesandgalloway.gov.uk/sites/default/files/2024-07/Petrol_filling_stations_decomissioning_guide.pdf</w:t>
        </w:r>
      </w:hyperlink>
      <w:r w:rsidR="0011593A" w:rsidRPr="0011593A">
        <w:rPr>
          <w:sz w:val="16"/>
          <w:szCs w:val="16"/>
        </w:rPr>
        <w:t> </w:t>
      </w:r>
    </w:p>
  </w:footnote>
  <w:footnote w:id="41">
    <w:p w14:paraId="6EE04D03" w14:textId="4343D790" w:rsidR="007C20F5" w:rsidRPr="00915023" w:rsidRDefault="007C20F5" w:rsidP="004F417D">
      <w:pPr>
        <w:pStyle w:val="Textonotapie"/>
        <w:ind w:left="142" w:hanging="142"/>
        <w:jc w:val="left"/>
        <w:rPr>
          <w:lang w:val="en-US"/>
        </w:rPr>
      </w:pPr>
      <w:r>
        <w:rPr>
          <w:rStyle w:val="Refdenotaalpie"/>
        </w:rPr>
        <w:footnoteRef/>
      </w:r>
      <w:r w:rsidRPr="007D2192">
        <w:rPr>
          <w:lang w:val="en-US"/>
        </w:rPr>
        <w:t xml:space="preserve"> </w:t>
      </w:r>
      <w:r w:rsidRPr="007C20F5">
        <w:rPr>
          <w:sz w:val="16"/>
          <w:szCs w:val="16"/>
          <w:lang w:val="en-US"/>
        </w:rPr>
        <w:t>Occupational Safety and Health Administration (OSHA). </w:t>
      </w:r>
      <w:r w:rsidRPr="00915023">
        <w:rPr>
          <w:i/>
          <w:sz w:val="16"/>
          <w:szCs w:val="16"/>
          <w:lang w:val="en-US"/>
        </w:rPr>
        <w:t>1926.651 - Specific Excavation Requirements</w:t>
      </w:r>
      <w:r w:rsidRPr="00915023">
        <w:rPr>
          <w:sz w:val="16"/>
          <w:szCs w:val="16"/>
          <w:lang w:val="en-US"/>
        </w:rPr>
        <w:t>. 1989 (modificado</w:t>
      </w:r>
      <w:r w:rsidR="00CF5CA3">
        <w:rPr>
          <w:sz w:val="16"/>
          <w:szCs w:val="16"/>
          <w:lang w:val="en-US"/>
        </w:rPr>
        <w:t xml:space="preserve"> </w:t>
      </w:r>
      <w:r w:rsidRPr="00915023">
        <w:rPr>
          <w:sz w:val="16"/>
          <w:szCs w:val="16"/>
          <w:lang w:val="en-US"/>
        </w:rPr>
        <w:t xml:space="preserve">en 1994). </w:t>
      </w:r>
      <w:r w:rsidR="004E0203" w:rsidRPr="00915023">
        <w:rPr>
          <w:sz w:val="16"/>
          <w:szCs w:val="16"/>
          <w:lang w:val="en-US"/>
        </w:rPr>
        <w:t>Fecha de c</w:t>
      </w:r>
      <w:r w:rsidRPr="00915023">
        <w:rPr>
          <w:sz w:val="16"/>
          <w:szCs w:val="16"/>
          <w:lang w:val="en-US"/>
        </w:rPr>
        <w:t xml:space="preserve">onsulta </w:t>
      </w:r>
      <w:r w:rsidR="00AA376F" w:rsidRPr="00915023">
        <w:rPr>
          <w:sz w:val="16"/>
          <w:szCs w:val="16"/>
          <w:lang w:val="en-US"/>
        </w:rPr>
        <w:t xml:space="preserve">20 de agosto </w:t>
      </w:r>
      <w:r w:rsidRPr="00915023">
        <w:rPr>
          <w:sz w:val="16"/>
          <w:szCs w:val="16"/>
          <w:lang w:val="en-US"/>
        </w:rPr>
        <w:t>de 2026. </w:t>
      </w:r>
      <w:r w:rsidR="00CF5CA3">
        <w:fldChar w:fldCharType="begin"/>
      </w:r>
      <w:r w:rsidR="00CF5CA3" w:rsidRPr="003D775F">
        <w:rPr>
          <w:lang w:val="en-US"/>
        </w:rPr>
        <w:instrText>HYPERLINK "https://www.osha.gov/laws-regs/regulations/standardnumber/1926/1926.651"</w:instrText>
      </w:r>
      <w:r w:rsidR="00CF5CA3">
        <w:fldChar w:fldCharType="separate"/>
      </w:r>
      <w:r w:rsidR="00CF5CA3" w:rsidRPr="00B25DC6">
        <w:rPr>
          <w:rStyle w:val="Hipervnculo"/>
          <w:sz w:val="16"/>
          <w:szCs w:val="16"/>
          <w:lang w:val="en-US"/>
        </w:rPr>
        <w:t>https://www.osha.gov/laws-regs/regulations/standardnumber/1926/1926.651</w:t>
      </w:r>
      <w:r w:rsidR="00CF5CA3">
        <w:fldChar w:fldCharType="end"/>
      </w:r>
      <w:r w:rsidRPr="00915023">
        <w:rPr>
          <w:sz w:val="16"/>
          <w:szCs w:val="16"/>
          <w:lang w:val="en-US"/>
        </w:rPr>
        <w:t> </w:t>
      </w:r>
    </w:p>
  </w:footnote>
  <w:footnote w:id="42">
    <w:p w14:paraId="574F65B6" w14:textId="587A289E" w:rsidR="00693C77" w:rsidRPr="00915023" w:rsidRDefault="00693C77" w:rsidP="00693C77">
      <w:pPr>
        <w:pStyle w:val="Textonotapie"/>
        <w:jc w:val="left"/>
        <w:rPr>
          <w:sz w:val="16"/>
          <w:szCs w:val="16"/>
          <w:lang w:val="es-MX"/>
        </w:rPr>
      </w:pPr>
      <w:r>
        <w:rPr>
          <w:rStyle w:val="Refdenotaalpie"/>
        </w:rPr>
        <w:footnoteRef/>
      </w:r>
      <w:r w:rsidRPr="007D2192">
        <w:rPr>
          <w:lang w:val="en-US"/>
        </w:rPr>
        <w:t xml:space="preserve"> </w:t>
      </w:r>
      <w:r w:rsidRPr="00915023">
        <w:rPr>
          <w:sz w:val="16"/>
          <w:szCs w:val="16"/>
          <w:lang w:val="en-US"/>
        </w:rPr>
        <w:t xml:space="preserve">International Association of Oil and Gas Producers (IOGP). </w:t>
      </w:r>
      <w:r w:rsidRPr="00915023">
        <w:rPr>
          <w:sz w:val="16"/>
          <w:szCs w:val="16"/>
        </w:rPr>
        <w:t xml:space="preserve">Decommissioning. s.f. </w:t>
      </w:r>
      <w:r w:rsidR="00445553">
        <w:rPr>
          <w:sz w:val="16"/>
          <w:szCs w:val="16"/>
        </w:rPr>
        <w:t>Fecha de consulta 20 de agosto</w:t>
      </w:r>
      <w:r w:rsidRPr="00915023">
        <w:rPr>
          <w:sz w:val="16"/>
          <w:szCs w:val="16"/>
        </w:rPr>
        <w:t xml:space="preserve"> de 2026.</w:t>
      </w:r>
      <w:hyperlink r:id="rId40" w:history="1">
        <w:r w:rsidR="00F81112" w:rsidRPr="00915023">
          <w:rPr>
            <w:rStyle w:val="Hipervnculo"/>
            <w:sz w:val="16"/>
            <w:szCs w:val="16"/>
          </w:rPr>
          <w:t>https://www.iogp.org/workstreams/environment/decommissioning/</w:t>
        </w:r>
      </w:hyperlink>
      <w:r w:rsidRPr="00915023">
        <w:rPr>
          <w:sz w:val="16"/>
          <w:szCs w:val="16"/>
        </w:rPr>
        <w:t xml:space="preserve"> </w:t>
      </w:r>
    </w:p>
  </w:footnote>
  <w:footnote w:id="43">
    <w:p w14:paraId="796E4B89" w14:textId="617513F5" w:rsidR="0057460C" w:rsidRDefault="00141117">
      <w:pPr>
        <w:pStyle w:val="Textonotapie"/>
        <w:rPr>
          <w:sz w:val="16"/>
          <w:szCs w:val="16"/>
          <w:lang w:val="es-MX"/>
        </w:rPr>
      </w:pPr>
      <w:r>
        <w:rPr>
          <w:rStyle w:val="Refdenotaalpie"/>
        </w:rPr>
        <w:footnoteRef/>
      </w:r>
      <w:r>
        <w:t xml:space="preserve"> </w:t>
      </w:r>
      <w:r w:rsidRPr="00AD1116">
        <w:rPr>
          <w:sz w:val="16"/>
          <w:szCs w:val="16"/>
          <w:lang w:val="es-MX"/>
        </w:rPr>
        <w:t xml:space="preserve">Función </w:t>
      </w:r>
      <w:r w:rsidR="00AD1116" w:rsidRPr="00AD1116">
        <w:rPr>
          <w:sz w:val="16"/>
          <w:szCs w:val="16"/>
          <w:lang w:val="es-MX"/>
        </w:rPr>
        <w:t>pública. Ley 1150 de 2007 - Por medio de la cual se introducen medidas para la eficiencia y la transparencia en la Ley 80 de 1993 y se dictan otras disposiciones generales sobre la contratación con Recursos Públicos.</w:t>
      </w:r>
      <w:r w:rsidR="00AD1116">
        <w:rPr>
          <w:sz w:val="16"/>
          <w:szCs w:val="16"/>
          <w:lang w:val="es-MX"/>
        </w:rPr>
        <w:t xml:space="preserve"> Fecha de publicación:</w:t>
      </w:r>
      <w:r w:rsidR="003A3F65" w:rsidRPr="003A3F65">
        <w:rPr>
          <w:sz w:val="16"/>
          <w:szCs w:val="16"/>
          <w:lang w:val="es-MX"/>
        </w:rPr>
        <w:t xml:space="preserve"> 16 de julio de 2007</w:t>
      </w:r>
      <w:r w:rsidR="003A3F65">
        <w:rPr>
          <w:sz w:val="16"/>
          <w:szCs w:val="16"/>
          <w:lang w:val="es-MX"/>
        </w:rPr>
        <w:t xml:space="preserve">; Fecha de consulta: </w:t>
      </w:r>
      <w:r w:rsidR="0057460C">
        <w:rPr>
          <w:sz w:val="16"/>
          <w:szCs w:val="16"/>
          <w:lang w:val="es-MX"/>
        </w:rPr>
        <w:t>20 de agosto</w:t>
      </w:r>
      <w:r w:rsidR="003A3F65">
        <w:rPr>
          <w:sz w:val="16"/>
          <w:szCs w:val="16"/>
          <w:lang w:val="es-MX"/>
        </w:rPr>
        <w:t xml:space="preserve"> de 2026.</w:t>
      </w:r>
    </w:p>
    <w:p w14:paraId="0F1BE8EB" w14:textId="359392AA" w:rsidR="00141117" w:rsidRPr="00141117" w:rsidRDefault="003A3F65">
      <w:pPr>
        <w:pStyle w:val="Textonotapie"/>
        <w:rPr>
          <w:lang w:val="es-MX"/>
        </w:rPr>
      </w:pPr>
      <w:r>
        <w:rPr>
          <w:sz w:val="16"/>
          <w:szCs w:val="16"/>
          <w:lang w:val="es-MX"/>
        </w:rPr>
        <w:t xml:space="preserve"> </w:t>
      </w:r>
      <w:hyperlink r:id="rId41" w:history="1">
        <w:r w:rsidR="00872D0F" w:rsidRPr="001763CE">
          <w:rPr>
            <w:rStyle w:val="Hipervnculo"/>
            <w:sz w:val="16"/>
            <w:szCs w:val="16"/>
            <w:lang w:val="es-MX"/>
          </w:rPr>
          <w:t>https://www.funcionpublica.gov.co/eva/gestornormativo/norma.php?i=184686</w:t>
        </w:r>
      </w:hyperlink>
      <w:r w:rsidR="00872D0F">
        <w:rPr>
          <w:sz w:val="16"/>
          <w:szCs w:val="16"/>
          <w:lang w:val="es-MX"/>
        </w:rPr>
        <w:t xml:space="preserve"> </w:t>
      </w:r>
    </w:p>
  </w:footnote>
  <w:footnote w:id="44">
    <w:p w14:paraId="166C72DE" w14:textId="638B80AF" w:rsidR="00C66F1E" w:rsidRPr="00C66F1E" w:rsidRDefault="00C66F1E">
      <w:pPr>
        <w:pStyle w:val="Textonotapie"/>
        <w:rPr>
          <w:lang w:val="es-MX"/>
        </w:rPr>
      </w:pPr>
      <w:r>
        <w:rPr>
          <w:rStyle w:val="Refdenotaalpie"/>
        </w:rPr>
        <w:footnoteRef/>
      </w:r>
      <w:r>
        <w:t xml:space="preserve"> </w:t>
      </w:r>
      <w:r w:rsidRPr="00AD1116">
        <w:rPr>
          <w:sz w:val="16"/>
          <w:szCs w:val="16"/>
          <w:lang w:val="es-MX"/>
        </w:rPr>
        <w:t xml:space="preserve">Función pública. </w:t>
      </w:r>
      <w:r w:rsidR="006172E8" w:rsidRPr="006172E8">
        <w:rPr>
          <w:sz w:val="16"/>
          <w:szCs w:val="16"/>
          <w:lang w:val="es-MX"/>
        </w:rPr>
        <w:t>Decreto 1082 de 2015</w:t>
      </w:r>
      <w:r w:rsidRPr="00AD1116">
        <w:rPr>
          <w:sz w:val="16"/>
          <w:szCs w:val="16"/>
          <w:lang w:val="es-MX"/>
        </w:rPr>
        <w:t xml:space="preserve"> - </w:t>
      </w:r>
      <w:r w:rsidR="006172E8" w:rsidRPr="006172E8">
        <w:rPr>
          <w:sz w:val="16"/>
          <w:szCs w:val="16"/>
          <w:lang w:val="es-MX"/>
        </w:rPr>
        <w:t>Por medio del cual se expide el decreto único reglamentario del sector Administrativo de Planeación Nacional</w:t>
      </w:r>
      <w:r w:rsidRPr="00AD1116">
        <w:rPr>
          <w:sz w:val="16"/>
          <w:szCs w:val="16"/>
          <w:lang w:val="es-MX"/>
        </w:rPr>
        <w:t>.</w:t>
      </w:r>
      <w:r>
        <w:rPr>
          <w:sz w:val="16"/>
          <w:szCs w:val="16"/>
          <w:lang w:val="es-MX"/>
        </w:rPr>
        <w:t xml:space="preserve"> Fecha de publicación:</w:t>
      </w:r>
      <w:r w:rsidRPr="003A3F65">
        <w:rPr>
          <w:sz w:val="16"/>
          <w:szCs w:val="16"/>
          <w:lang w:val="es-MX"/>
        </w:rPr>
        <w:t xml:space="preserve"> </w:t>
      </w:r>
      <w:r w:rsidR="00EA125A">
        <w:rPr>
          <w:sz w:val="16"/>
          <w:szCs w:val="16"/>
          <w:lang w:val="es-MX"/>
        </w:rPr>
        <w:t>2</w:t>
      </w:r>
      <w:r w:rsidRPr="003A3F65">
        <w:rPr>
          <w:sz w:val="16"/>
          <w:szCs w:val="16"/>
          <w:lang w:val="es-MX"/>
        </w:rPr>
        <w:t xml:space="preserve">6 de </w:t>
      </w:r>
      <w:r w:rsidR="00EA125A">
        <w:rPr>
          <w:sz w:val="16"/>
          <w:szCs w:val="16"/>
          <w:lang w:val="es-MX"/>
        </w:rPr>
        <w:t xml:space="preserve">mayo </w:t>
      </w:r>
      <w:r w:rsidRPr="003A3F65">
        <w:rPr>
          <w:sz w:val="16"/>
          <w:szCs w:val="16"/>
          <w:lang w:val="es-MX"/>
        </w:rPr>
        <w:t>de 20</w:t>
      </w:r>
      <w:r w:rsidR="00EA125A">
        <w:rPr>
          <w:sz w:val="16"/>
          <w:szCs w:val="16"/>
          <w:lang w:val="es-MX"/>
        </w:rPr>
        <w:t>15</w:t>
      </w:r>
      <w:r>
        <w:rPr>
          <w:sz w:val="16"/>
          <w:szCs w:val="16"/>
          <w:lang w:val="es-MX"/>
        </w:rPr>
        <w:t xml:space="preserve">; Fecha de consulta: </w:t>
      </w:r>
      <w:r w:rsidR="0057460C">
        <w:rPr>
          <w:sz w:val="16"/>
          <w:szCs w:val="16"/>
          <w:lang w:val="es-MX"/>
        </w:rPr>
        <w:t>20 de agosto</w:t>
      </w:r>
      <w:r>
        <w:rPr>
          <w:sz w:val="16"/>
          <w:szCs w:val="16"/>
          <w:lang w:val="es-MX"/>
        </w:rPr>
        <w:t xml:space="preserve"> de 2026. </w:t>
      </w:r>
      <w:hyperlink r:id="rId42" w:history="1">
        <w:r w:rsidR="00C02BCC" w:rsidRPr="001763CE">
          <w:rPr>
            <w:rStyle w:val="Hipervnculo"/>
            <w:sz w:val="16"/>
            <w:szCs w:val="16"/>
            <w:lang w:val="es-MX"/>
          </w:rPr>
          <w:t>https://www.funcionpublica.gov.co/eva/gestornormativo/norma.php?i=77653</w:t>
        </w:r>
      </w:hyperlink>
      <w:r w:rsidR="00C02BCC">
        <w:rPr>
          <w:sz w:val="16"/>
          <w:szCs w:val="16"/>
          <w:lang w:val="es-MX"/>
        </w:rPr>
        <w:t xml:space="preserve"> </w:t>
      </w:r>
    </w:p>
  </w:footnote>
  <w:footnote w:id="45">
    <w:p w14:paraId="72C27F85" w14:textId="79D49BE0" w:rsidR="00FB0611" w:rsidRPr="00FB0611" w:rsidRDefault="00FB0611">
      <w:pPr>
        <w:pStyle w:val="Textonotapie"/>
        <w:rPr>
          <w:lang w:val="es-MX"/>
        </w:rPr>
      </w:pPr>
      <w:r w:rsidRPr="00F43709">
        <w:rPr>
          <w:rStyle w:val="Refdenotaalpie"/>
        </w:rPr>
        <w:footnoteRef/>
      </w:r>
      <w:r w:rsidRPr="00F43709">
        <w:t xml:space="preserve"> </w:t>
      </w:r>
      <w:r w:rsidRPr="00F43709">
        <w:rPr>
          <w:sz w:val="16"/>
          <w:szCs w:val="16"/>
          <w:lang w:val="es-MX"/>
        </w:rPr>
        <w:t>Función</w:t>
      </w:r>
      <w:r w:rsidRPr="00D16708">
        <w:rPr>
          <w:sz w:val="16"/>
          <w:szCs w:val="16"/>
          <w:lang w:val="es-MX"/>
        </w:rPr>
        <w:t xml:space="preserve"> </w:t>
      </w:r>
      <w:r w:rsidR="00D16708" w:rsidRPr="00D16708">
        <w:rPr>
          <w:sz w:val="16"/>
          <w:szCs w:val="16"/>
          <w:lang w:val="es-MX"/>
        </w:rPr>
        <w:t>pública. Decreto 1072 de 2015</w:t>
      </w:r>
      <w:r w:rsidR="00D16708">
        <w:rPr>
          <w:sz w:val="16"/>
          <w:szCs w:val="16"/>
          <w:lang w:val="es-MX"/>
        </w:rPr>
        <w:t xml:space="preserve">. </w:t>
      </w:r>
      <w:r w:rsidR="00D16708" w:rsidRPr="00D16708">
        <w:rPr>
          <w:sz w:val="16"/>
          <w:szCs w:val="16"/>
          <w:lang w:val="es-MX"/>
        </w:rPr>
        <w:t>Por medio del cual se expide el Decreto Único Reglamentario del Sector Trabajo</w:t>
      </w:r>
      <w:r w:rsidR="00630C23">
        <w:rPr>
          <w:sz w:val="16"/>
          <w:szCs w:val="16"/>
          <w:lang w:val="es-MX"/>
        </w:rPr>
        <w:t>. Fecha de publicación: 26 de mayo de 2015</w:t>
      </w:r>
      <w:r w:rsidR="005A3855">
        <w:rPr>
          <w:sz w:val="16"/>
          <w:szCs w:val="16"/>
          <w:lang w:val="es-MX"/>
        </w:rPr>
        <w:t xml:space="preserve">; Fecha de consulta </w:t>
      </w:r>
      <w:r w:rsidR="00E16D39">
        <w:rPr>
          <w:sz w:val="16"/>
          <w:szCs w:val="16"/>
          <w:lang w:val="es-MX"/>
        </w:rPr>
        <w:t>20 de agosto</w:t>
      </w:r>
      <w:r w:rsidR="005A3855">
        <w:rPr>
          <w:sz w:val="16"/>
          <w:szCs w:val="16"/>
          <w:lang w:val="es-MX"/>
        </w:rPr>
        <w:t xml:space="preserve"> de 2026. </w:t>
      </w:r>
      <w:hyperlink r:id="rId43" w:history="1">
        <w:r w:rsidR="005A3855" w:rsidRPr="001763CE">
          <w:rPr>
            <w:rStyle w:val="Hipervnculo"/>
            <w:sz w:val="16"/>
            <w:szCs w:val="16"/>
            <w:lang w:val="es-MX"/>
          </w:rPr>
          <w:t>https://www.funcionpublica.gov.co/eva/gestornormativo/norma.php?i=72173</w:t>
        </w:r>
      </w:hyperlink>
      <w:r w:rsidR="005A3855">
        <w:rPr>
          <w:sz w:val="16"/>
          <w:szCs w:val="16"/>
          <w:lang w:val="es-MX"/>
        </w:rPr>
        <w:t xml:space="preserve"> </w:t>
      </w:r>
    </w:p>
  </w:footnote>
  <w:footnote w:id="46">
    <w:p w14:paraId="1874214D" w14:textId="0BB8A8B3" w:rsidR="002960EF" w:rsidRPr="002960EF" w:rsidRDefault="002960EF">
      <w:pPr>
        <w:pStyle w:val="Textonotapie"/>
        <w:rPr>
          <w:lang w:val="es-MX"/>
        </w:rPr>
      </w:pPr>
      <w:r w:rsidRPr="00F43709">
        <w:rPr>
          <w:rStyle w:val="Refdenotaalpie"/>
        </w:rPr>
        <w:footnoteRef/>
      </w:r>
      <w:r w:rsidRPr="00072866">
        <w:rPr>
          <w:sz w:val="16"/>
          <w:szCs w:val="16"/>
        </w:rPr>
        <w:t xml:space="preserve"> </w:t>
      </w:r>
      <w:r w:rsidRPr="00072866">
        <w:rPr>
          <w:sz w:val="16"/>
          <w:szCs w:val="16"/>
          <w:lang w:val="es-MX"/>
        </w:rPr>
        <w:t xml:space="preserve">Ministerio de trabajo – </w:t>
      </w:r>
      <w:r w:rsidR="00936716">
        <w:rPr>
          <w:sz w:val="16"/>
          <w:szCs w:val="16"/>
          <w:lang w:val="es-MX"/>
        </w:rPr>
        <w:t>Resolución 0312</w:t>
      </w:r>
      <w:r w:rsidR="00CE4C9D">
        <w:rPr>
          <w:sz w:val="16"/>
          <w:szCs w:val="16"/>
          <w:lang w:val="es-MX"/>
        </w:rPr>
        <w:t xml:space="preserve"> de 2019 </w:t>
      </w:r>
      <w:r w:rsidRPr="00072866">
        <w:rPr>
          <w:sz w:val="16"/>
          <w:szCs w:val="16"/>
          <w:lang w:val="es-MX"/>
        </w:rPr>
        <w:t xml:space="preserve">Por la cual se definen los estándares </w:t>
      </w:r>
      <w:r w:rsidR="00C00516" w:rsidRPr="00072866">
        <w:rPr>
          <w:sz w:val="16"/>
          <w:szCs w:val="16"/>
          <w:lang w:val="es-MX"/>
        </w:rPr>
        <w:t>mínimos del sistema de gestión de la seguridad y salud en el trabajo SG-S</w:t>
      </w:r>
      <w:r w:rsidR="00072866" w:rsidRPr="00072866">
        <w:rPr>
          <w:sz w:val="16"/>
          <w:szCs w:val="16"/>
          <w:lang w:val="es-MX"/>
        </w:rPr>
        <w:t>ST</w:t>
      </w:r>
      <w:r w:rsidR="00072866">
        <w:rPr>
          <w:sz w:val="16"/>
          <w:szCs w:val="16"/>
          <w:lang w:val="es-MX"/>
        </w:rPr>
        <w:t xml:space="preserve">. </w:t>
      </w:r>
      <w:r w:rsidR="00E05DB4">
        <w:rPr>
          <w:sz w:val="16"/>
          <w:szCs w:val="16"/>
          <w:lang w:val="es-MX"/>
        </w:rPr>
        <w:t xml:space="preserve">Fecha de publicación: 13 de febrero de 2019; Fecha de consulta </w:t>
      </w:r>
      <w:r w:rsidR="00E16D39">
        <w:rPr>
          <w:sz w:val="16"/>
          <w:szCs w:val="16"/>
          <w:lang w:val="es-MX"/>
        </w:rPr>
        <w:t>20 de agosto</w:t>
      </w:r>
      <w:r w:rsidR="00E05DB4">
        <w:rPr>
          <w:sz w:val="16"/>
          <w:szCs w:val="16"/>
          <w:lang w:val="es-MX"/>
        </w:rPr>
        <w:t xml:space="preserve"> de</w:t>
      </w:r>
      <w:r w:rsidR="00CE4C9D">
        <w:rPr>
          <w:sz w:val="16"/>
          <w:szCs w:val="16"/>
          <w:lang w:val="es-MX"/>
        </w:rPr>
        <w:t xml:space="preserve"> </w:t>
      </w:r>
      <w:r w:rsidR="00E05DB4">
        <w:rPr>
          <w:sz w:val="16"/>
          <w:szCs w:val="16"/>
          <w:lang w:val="es-MX"/>
        </w:rPr>
        <w:t>2026.</w:t>
      </w:r>
      <w:r w:rsidR="00CE4C9D">
        <w:rPr>
          <w:sz w:val="16"/>
          <w:szCs w:val="16"/>
          <w:lang w:val="es-MX"/>
        </w:rPr>
        <w:t xml:space="preserve"> </w:t>
      </w:r>
      <w:hyperlink r:id="rId44" w:history="1">
        <w:r w:rsidR="000C76B9" w:rsidRPr="00E966EE">
          <w:rPr>
            <w:rStyle w:val="Hipervnculo"/>
            <w:sz w:val="16"/>
            <w:szCs w:val="16"/>
            <w:lang w:val="es-MX"/>
          </w:rPr>
          <w:t>https://www1.funcionpublica.gov.co/documents/34645357/34703621/Resolucion_0312_de_2019.pdf/3c93008d-dd8e-8b0d-e5ea-ec6699db86e7</w:t>
        </w:r>
      </w:hyperlink>
      <w:r w:rsidR="000C76B9">
        <w:rPr>
          <w:sz w:val="16"/>
          <w:szCs w:val="16"/>
          <w:lang w:val="es-MX"/>
        </w:rPr>
        <w:t xml:space="preserve"> </w:t>
      </w:r>
      <w:r w:rsidR="00F43709">
        <w:rPr>
          <w:sz w:val="16"/>
          <w:szCs w:val="16"/>
          <w:lang w:val="es-MX"/>
        </w:rPr>
        <w:t xml:space="preserve"> </w:t>
      </w:r>
    </w:p>
  </w:footnote>
  <w:footnote w:id="47">
    <w:p w14:paraId="03E544E1" w14:textId="462C88A9" w:rsidR="00234294" w:rsidRPr="00234294" w:rsidRDefault="00234294">
      <w:pPr>
        <w:pStyle w:val="Textonotapie"/>
        <w:rPr>
          <w:lang w:val="es-MX"/>
        </w:rPr>
      </w:pPr>
      <w:r>
        <w:rPr>
          <w:rStyle w:val="Refdenotaalpie"/>
        </w:rPr>
        <w:footnoteRef/>
      </w:r>
      <w:r>
        <w:t xml:space="preserve"> </w:t>
      </w:r>
      <w:r w:rsidR="00412DC5" w:rsidRPr="00412DC5">
        <w:rPr>
          <w:sz w:val="16"/>
          <w:szCs w:val="16"/>
          <w:lang w:val="es-MX"/>
        </w:rPr>
        <w:t xml:space="preserve">Función </w:t>
      </w:r>
      <w:r w:rsidR="00412DC5">
        <w:rPr>
          <w:sz w:val="16"/>
          <w:szCs w:val="16"/>
          <w:lang w:val="es-MX"/>
        </w:rPr>
        <w:t xml:space="preserve">pública – </w:t>
      </w:r>
      <w:r w:rsidR="000C76B9">
        <w:rPr>
          <w:sz w:val="16"/>
          <w:szCs w:val="16"/>
          <w:lang w:val="es-MX"/>
        </w:rPr>
        <w:t>D</w:t>
      </w:r>
      <w:r w:rsidR="00412DC5">
        <w:rPr>
          <w:sz w:val="16"/>
          <w:szCs w:val="16"/>
          <w:lang w:val="es-MX"/>
        </w:rPr>
        <w:t>ecreto 107</w:t>
      </w:r>
      <w:r w:rsidR="00EA6761">
        <w:rPr>
          <w:sz w:val="16"/>
          <w:szCs w:val="16"/>
          <w:lang w:val="es-MX"/>
        </w:rPr>
        <w:t>9</w:t>
      </w:r>
      <w:r w:rsidR="00412DC5">
        <w:rPr>
          <w:sz w:val="16"/>
          <w:szCs w:val="16"/>
          <w:lang w:val="es-MX"/>
        </w:rPr>
        <w:t xml:space="preserve"> de 2015</w:t>
      </w:r>
      <w:r w:rsidR="00EA6761">
        <w:rPr>
          <w:sz w:val="16"/>
          <w:szCs w:val="16"/>
          <w:lang w:val="es-MX"/>
        </w:rPr>
        <w:t xml:space="preserve"> sector transporte. Fecha de publicación: 26 de mayo de 2015; Fecha de consulta 26 de mayo de 015.</w:t>
      </w:r>
      <w:r w:rsidR="00412DC5">
        <w:rPr>
          <w:sz w:val="16"/>
          <w:szCs w:val="16"/>
          <w:lang w:val="es-MX"/>
        </w:rPr>
        <w:t xml:space="preserve"> </w:t>
      </w:r>
      <w:hyperlink r:id="rId45" w:history="1">
        <w:r w:rsidR="00EA6761" w:rsidRPr="001763CE">
          <w:rPr>
            <w:rStyle w:val="Hipervnculo"/>
            <w:sz w:val="16"/>
            <w:szCs w:val="16"/>
            <w:lang w:val="es-MX"/>
          </w:rPr>
          <w:t>https://www.funcionpublica.gov.co/eva/gestornormativo/norma.php?i=77889</w:t>
        </w:r>
      </w:hyperlink>
      <w:r w:rsidR="00EA6761">
        <w:rPr>
          <w:sz w:val="16"/>
          <w:szCs w:val="16"/>
          <w:lang w:val="es-MX"/>
        </w:rPr>
        <w:t xml:space="preserve"> </w:t>
      </w:r>
    </w:p>
  </w:footnote>
  <w:footnote w:id="48">
    <w:p w14:paraId="59DAC9DC" w14:textId="358386A0" w:rsidR="00930DC2" w:rsidRPr="00930DC2" w:rsidRDefault="00930DC2">
      <w:pPr>
        <w:pStyle w:val="Textonotapie"/>
        <w:rPr>
          <w:lang w:val="es-MX"/>
        </w:rPr>
      </w:pPr>
      <w:r>
        <w:rPr>
          <w:rStyle w:val="Refdenotaalpie"/>
        </w:rPr>
        <w:footnoteRef/>
      </w:r>
      <w:r>
        <w:t xml:space="preserve"> </w:t>
      </w:r>
      <w:r w:rsidR="00855CF7" w:rsidRPr="00855CF7">
        <w:rPr>
          <w:sz w:val="16"/>
          <w:szCs w:val="16"/>
          <w:lang w:val="es-MX"/>
        </w:rPr>
        <w:t>Función pública</w:t>
      </w:r>
      <w:r w:rsidR="00855CF7">
        <w:rPr>
          <w:sz w:val="16"/>
          <w:szCs w:val="16"/>
          <w:lang w:val="es-MX"/>
        </w:rPr>
        <w:t xml:space="preserve"> – </w:t>
      </w:r>
      <w:r w:rsidR="000C76B9">
        <w:rPr>
          <w:sz w:val="16"/>
          <w:szCs w:val="16"/>
          <w:lang w:val="es-MX"/>
        </w:rPr>
        <w:t>D</w:t>
      </w:r>
      <w:r w:rsidR="00855CF7">
        <w:rPr>
          <w:sz w:val="16"/>
          <w:szCs w:val="16"/>
          <w:lang w:val="es-MX"/>
        </w:rPr>
        <w:t>ecreto 1609 de 2002</w:t>
      </w:r>
      <w:r w:rsidR="00754723">
        <w:rPr>
          <w:sz w:val="16"/>
          <w:szCs w:val="16"/>
          <w:lang w:val="es-MX"/>
        </w:rPr>
        <w:t xml:space="preserve"> </w:t>
      </w:r>
      <w:r w:rsidR="00754723" w:rsidRPr="00754723">
        <w:rPr>
          <w:sz w:val="16"/>
          <w:szCs w:val="16"/>
          <w:lang w:val="es-MX"/>
        </w:rPr>
        <w:t>"Por el cual se reglamenta el manejo y transporte terrestre automotor de mercancías peligrosas por carretera".</w:t>
      </w:r>
      <w:r w:rsidR="00754723">
        <w:rPr>
          <w:sz w:val="16"/>
          <w:szCs w:val="16"/>
          <w:lang w:val="es-MX"/>
        </w:rPr>
        <w:t xml:space="preserve"> Fecha de publicación</w:t>
      </w:r>
      <w:r w:rsidR="000E3104">
        <w:rPr>
          <w:sz w:val="16"/>
          <w:szCs w:val="16"/>
          <w:lang w:val="es-MX"/>
        </w:rPr>
        <w:t>:</w:t>
      </w:r>
      <w:r w:rsidR="007A6B9D">
        <w:rPr>
          <w:sz w:val="16"/>
          <w:szCs w:val="16"/>
          <w:lang w:val="es-MX"/>
        </w:rPr>
        <w:t xml:space="preserve"> 31 de julio de 2002; Fecha de consulta 26 de mayo de 2026. </w:t>
      </w:r>
      <w:hyperlink r:id="rId46" w:history="1">
        <w:r w:rsidR="00F501CA" w:rsidRPr="001763CE">
          <w:rPr>
            <w:rStyle w:val="Hipervnculo"/>
            <w:sz w:val="16"/>
            <w:szCs w:val="16"/>
            <w:lang w:val="es-MX"/>
          </w:rPr>
          <w:t>https://www.funcionpublica.gov.co/eva/gestornormativo/norma.php?i=6101</w:t>
        </w:r>
      </w:hyperlink>
      <w:r w:rsidR="00F501CA">
        <w:rPr>
          <w:sz w:val="16"/>
          <w:szCs w:val="16"/>
          <w:lang w:val="es-MX"/>
        </w:rPr>
        <w:t xml:space="preserve"> </w:t>
      </w:r>
    </w:p>
  </w:footnote>
  <w:footnote w:id="49">
    <w:p w14:paraId="21215014" w14:textId="0795DD3D" w:rsidR="00192016" w:rsidRPr="003037B8" w:rsidRDefault="00192016">
      <w:pPr>
        <w:pStyle w:val="Textonotapie"/>
        <w:rPr>
          <w:sz w:val="16"/>
          <w:szCs w:val="16"/>
          <w:lang w:val="es-MX"/>
        </w:rPr>
      </w:pPr>
      <w:r>
        <w:rPr>
          <w:rStyle w:val="Refdenotaalpie"/>
        </w:rPr>
        <w:footnoteRef/>
      </w:r>
      <w:r>
        <w:t xml:space="preserve"> </w:t>
      </w:r>
      <w:r w:rsidR="003037B8">
        <w:rPr>
          <w:sz w:val="16"/>
          <w:szCs w:val="16"/>
        </w:rPr>
        <w:t>RETIE</w:t>
      </w:r>
      <w:r w:rsidR="00E03C74">
        <w:rPr>
          <w:sz w:val="16"/>
          <w:szCs w:val="16"/>
        </w:rPr>
        <w:t xml:space="preserve"> – Resolución 40117 del 2 de abril </w:t>
      </w:r>
      <w:r w:rsidR="00A22E96">
        <w:rPr>
          <w:sz w:val="16"/>
          <w:szCs w:val="16"/>
        </w:rPr>
        <w:t xml:space="preserve">de 2024. Fecha de publicación: 2 de abril de 2024; Fecha de consulta: </w:t>
      </w:r>
      <w:r w:rsidR="005369A5">
        <w:rPr>
          <w:sz w:val="16"/>
          <w:szCs w:val="16"/>
        </w:rPr>
        <w:t xml:space="preserve">26 de mayo de 2026. </w:t>
      </w:r>
      <w:hyperlink r:id="rId47" w:history="1">
        <w:r w:rsidR="005369A5" w:rsidRPr="001763CE">
          <w:rPr>
            <w:rStyle w:val="Hipervnculo"/>
            <w:sz w:val="16"/>
            <w:szCs w:val="16"/>
          </w:rPr>
          <w:t>https://www.minenergia.gov.co/es/misional/energia-electrica-2/reglamentos-tecnicos/reglamento-t%C3%A9cnico-de-instalaciones-el%C3%A9ctricas-retie/</w:t>
        </w:r>
      </w:hyperlink>
      <w:r w:rsidR="005369A5">
        <w:rPr>
          <w:sz w:val="16"/>
          <w:szCs w:val="16"/>
        </w:rPr>
        <w:t xml:space="preserve"> </w:t>
      </w:r>
    </w:p>
  </w:footnote>
  <w:footnote w:id="50">
    <w:p w14:paraId="19D9CA30" w14:textId="03735C4F" w:rsidR="001A0FAD" w:rsidRPr="001A0FAD" w:rsidRDefault="001A0FAD">
      <w:pPr>
        <w:pStyle w:val="Textonotapie"/>
        <w:rPr>
          <w:sz w:val="16"/>
          <w:szCs w:val="16"/>
          <w:lang w:val="es-MX"/>
        </w:rPr>
      </w:pPr>
      <w:r>
        <w:rPr>
          <w:rStyle w:val="Refdenotaalpie"/>
        </w:rPr>
        <w:footnoteRef/>
      </w:r>
      <w:r>
        <w:t xml:space="preserve"> </w:t>
      </w:r>
      <w:r w:rsidRPr="001A0FAD">
        <w:rPr>
          <w:sz w:val="16"/>
          <w:szCs w:val="16"/>
          <w:lang w:val="es-MX"/>
        </w:rPr>
        <w:t xml:space="preserve">Código </w:t>
      </w:r>
      <w:r w:rsidR="000C76B9">
        <w:rPr>
          <w:sz w:val="16"/>
          <w:szCs w:val="16"/>
          <w:lang w:val="es-MX"/>
        </w:rPr>
        <w:t>E</w:t>
      </w:r>
      <w:r>
        <w:rPr>
          <w:sz w:val="16"/>
          <w:szCs w:val="16"/>
          <w:lang w:val="es-MX"/>
        </w:rPr>
        <w:t xml:space="preserve">léctrico </w:t>
      </w:r>
      <w:r w:rsidR="000C76B9">
        <w:rPr>
          <w:sz w:val="16"/>
          <w:szCs w:val="16"/>
          <w:lang w:val="es-MX"/>
        </w:rPr>
        <w:t>C</w:t>
      </w:r>
      <w:r>
        <w:rPr>
          <w:sz w:val="16"/>
          <w:szCs w:val="16"/>
          <w:lang w:val="es-MX"/>
        </w:rPr>
        <w:t>olombiano – Norma técnica colombiana (NTC 2050). Fecha de publicación</w:t>
      </w:r>
      <w:r w:rsidR="00B41084">
        <w:rPr>
          <w:sz w:val="16"/>
          <w:szCs w:val="16"/>
          <w:lang w:val="es-MX"/>
        </w:rPr>
        <w:t xml:space="preserve">: 25 de noviembre de 1998; Fecha de consulta: </w:t>
      </w:r>
      <w:r w:rsidR="00192016">
        <w:rPr>
          <w:sz w:val="16"/>
          <w:szCs w:val="16"/>
          <w:lang w:val="es-MX"/>
        </w:rPr>
        <w:t xml:space="preserve">26 de mayo de 2025. </w:t>
      </w:r>
      <w:hyperlink r:id="rId48" w:history="1">
        <w:r w:rsidR="00192016" w:rsidRPr="001763CE">
          <w:rPr>
            <w:rStyle w:val="Hipervnculo"/>
            <w:sz w:val="16"/>
            <w:szCs w:val="16"/>
            <w:lang w:val="es-MX"/>
          </w:rPr>
          <w:t>https://osaic.com.co/wp-content/uploads/NTC-2050.pdf</w:t>
        </w:r>
      </w:hyperlink>
      <w:r w:rsidR="00192016">
        <w:rPr>
          <w:sz w:val="16"/>
          <w:szCs w:val="16"/>
          <w:lang w:val="es-MX"/>
        </w:rPr>
        <w:t xml:space="preserve"> </w:t>
      </w:r>
    </w:p>
  </w:footnote>
  <w:footnote w:id="51">
    <w:p w14:paraId="70958D2B" w14:textId="0FB77C68" w:rsidR="00BB3EB4" w:rsidRPr="00322FE5" w:rsidRDefault="00322FE5">
      <w:pPr>
        <w:pStyle w:val="Textonotapie"/>
        <w:rPr>
          <w:lang w:val="es-MX"/>
        </w:rPr>
      </w:pPr>
      <w:r>
        <w:rPr>
          <w:rStyle w:val="Refdenotaalpie"/>
        </w:rPr>
        <w:footnoteRef/>
      </w:r>
      <w:r>
        <w:t xml:space="preserve"> </w:t>
      </w:r>
      <w:r w:rsidR="00BB3EB4" w:rsidRPr="00BB3EB4">
        <w:rPr>
          <w:sz w:val="16"/>
          <w:szCs w:val="16"/>
          <w:lang w:val="es-MX"/>
        </w:rPr>
        <w:t>ICONTEC</w:t>
      </w:r>
      <w:r w:rsidR="00BB3EB4">
        <w:rPr>
          <w:sz w:val="16"/>
          <w:szCs w:val="16"/>
          <w:lang w:val="es-MX"/>
        </w:rPr>
        <w:t xml:space="preserve"> – Sistemas de gestión ambiental </w:t>
      </w:r>
      <w:r w:rsidR="00F33AE7">
        <w:rPr>
          <w:sz w:val="16"/>
          <w:szCs w:val="16"/>
          <w:lang w:val="es-MX"/>
        </w:rPr>
        <w:t>(NTC-ISO 14001). Fecha de publicación</w:t>
      </w:r>
      <w:r w:rsidR="003F3D1A">
        <w:rPr>
          <w:sz w:val="16"/>
          <w:szCs w:val="16"/>
          <w:lang w:val="es-MX"/>
        </w:rPr>
        <w:t>:23 de septiembre de 2015</w:t>
      </w:r>
      <w:r w:rsidR="008645FD">
        <w:rPr>
          <w:sz w:val="16"/>
          <w:szCs w:val="16"/>
          <w:lang w:val="es-MX"/>
        </w:rPr>
        <w:t xml:space="preserve">. Fecha de consulta: 26 de mayo de 2026. </w:t>
      </w:r>
      <w:hyperlink r:id="rId49" w:history="1">
        <w:r w:rsidR="008645FD" w:rsidRPr="001763CE">
          <w:rPr>
            <w:rStyle w:val="Hipervnculo"/>
            <w:sz w:val="16"/>
            <w:szCs w:val="16"/>
            <w:lang w:val="es-MX"/>
          </w:rPr>
          <w:t>https://forpo.gov.co/wp-content/uploads/2026/01/NTC-ISO-14001-2015.pdf</w:t>
        </w:r>
      </w:hyperlink>
      <w:r w:rsidR="008645FD">
        <w:rPr>
          <w:sz w:val="16"/>
          <w:szCs w:val="16"/>
          <w:lang w:val="es-MX"/>
        </w:rPr>
        <w:t xml:space="preserve"> </w:t>
      </w:r>
    </w:p>
  </w:footnote>
  <w:footnote w:id="52">
    <w:p w14:paraId="1E70FFDA" w14:textId="7BA8EE3B" w:rsidR="005537B8" w:rsidRPr="005537B8" w:rsidRDefault="005537B8">
      <w:pPr>
        <w:pStyle w:val="Textonotapie"/>
        <w:rPr>
          <w:lang w:val="es-MX"/>
        </w:rPr>
      </w:pPr>
      <w:r>
        <w:rPr>
          <w:rStyle w:val="Refdenotaalpie"/>
        </w:rPr>
        <w:footnoteRef/>
      </w:r>
      <w:r>
        <w:t xml:space="preserve"> </w:t>
      </w:r>
      <w:r w:rsidR="00BD2D91" w:rsidRPr="00013AE8">
        <w:rPr>
          <w:sz w:val="16"/>
          <w:szCs w:val="16"/>
        </w:rPr>
        <w:t xml:space="preserve">Norma internacional. ISO 45001 </w:t>
      </w:r>
      <w:r w:rsidR="00013AE8" w:rsidRPr="00013AE8">
        <w:rPr>
          <w:sz w:val="16"/>
          <w:szCs w:val="16"/>
        </w:rPr>
        <w:t>–</w:t>
      </w:r>
      <w:r w:rsidR="00BD2D91" w:rsidRPr="00013AE8">
        <w:rPr>
          <w:sz w:val="16"/>
          <w:szCs w:val="16"/>
        </w:rPr>
        <w:t xml:space="preserve"> </w:t>
      </w:r>
      <w:r w:rsidR="00013AE8" w:rsidRPr="00013AE8">
        <w:rPr>
          <w:sz w:val="16"/>
          <w:szCs w:val="16"/>
        </w:rPr>
        <w:t>Sistemas de gestión en la seguridad y salud en el trabajo</w:t>
      </w:r>
      <w:r w:rsidR="0070344C">
        <w:rPr>
          <w:sz w:val="16"/>
          <w:szCs w:val="16"/>
        </w:rPr>
        <w:t>. Fecha de publicación</w:t>
      </w:r>
      <w:r w:rsidR="001B2D5D">
        <w:rPr>
          <w:sz w:val="16"/>
          <w:szCs w:val="16"/>
        </w:rPr>
        <w:t xml:space="preserve">: </w:t>
      </w:r>
      <w:r w:rsidR="00243C2B">
        <w:rPr>
          <w:sz w:val="16"/>
          <w:szCs w:val="16"/>
        </w:rPr>
        <w:t>m</w:t>
      </w:r>
      <w:r w:rsidR="001B2D5D">
        <w:rPr>
          <w:sz w:val="16"/>
          <w:szCs w:val="16"/>
        </w:rPr>
        <w:t>arzo de 20</w:t>
      </w:r>
      <w:r w:rsidR="00243C2B">
        <w:rPr>
          <w:sz w:val="16"/>
          <w:szCs w:val="16"/>
        </w:rPr>
        <w:t xml:space="preserve">18. Fecha de consulta: </w:t>
      </w:r>
      <w:r w:rsidR="00600386">
        <w:rPr>
          <w:sz w:val="16"/>
          <w:szCs w:val="16"/>
        </w:rPr>
        <w:t>19 de agosto</w:t>
      </w:r>
      <w:r w:rsidR="00243C2B">
        <w:rPr>
          <w:sz w:val="16"/>
          <w:szCs w:val="16"/>
        </w:rPr>
        <w:t xml:space="preserve"> de 2026</w:t>
      </w:r>
      <w:r w:rsidR="00E73814">
        <w:rPr>
          <w:sz w:val="16"/>
          <w:szCs w:val="16"/>
        </w:rPr>
        <w:t xml:space="preserve">. </w:t>
      </w:r>
      <w:hyperlink r:id="rId50" w:history="1">
        <w:r w:rsidR="00E73814" w:rsidRPr="001763CE">
          <w:rPr>
            <w:rStyle w:val="Hipervnculo"/>
            <w:sz w:val="16"/>
            <w:szCs w:val="16"/>
          </w:rPr>
          <w:t>https://www.unidadvictimas.gov.co/wp-content/uploads/2020/07/iso-45001-norma-internacional.pdf</w:t>
        </w:r>
      </w:hyperlink>
      <w:r w:rsidR="00E73814">
        <w:rPr>
          <w:sz w:val="16"/>
          <w:szCs w:val="16"/>
        </w:rPr>
        <w:t xml:space="preserve"> </w:t>
      </w:r>
    </w:p>
  </w:footnote>
  <w:footnote w:id="53">
    <w:p w14:paraId="7546623C" w14:textId="1AC83BBB" w:rsidR="008443CD" w:rsidRPr="008443CD" w:rsidRDefault="008443CD" w:rsidP="00317210">
      <w:pPr>
        <w:pStyle w:val="Textonotapie"/>
        <w:rPr>
          <w:lang w:val="es-MX"/>
        </w:rPr>
      </w:pPr>
      <w:r>
        <w:rPr>
          <w:rStyle w:val="Refdenotaalpie"/>
        </w:rPr>
        <w:footnoteRef/>
      </w:r>
      <w:r>
        <w:t xml:space="preserve"> </w:t>
      </w:r>
      <w:r w:rsidR="00317210" w:rsidRPr="00013AE8">
        <w:rPr>
          <w:sz w:val="16"/>
          <w:szCs w:val="16"/>
        </w:rPr>
        <w:t xml:space="preserve">Norma </w:t>
      </w:r>
      <w:r w:rsidR="00317210">
        <w:rPr>
          <w:sz w:val="16"/>
          <w:szCs w:val="16"/>
        </w:rPr>
        <w:t>técnica colombiana</w:t>
      </w:r>
      <w:r w:rsidR="00317210" w:rsidRPr="00013AE8">
        <w:rPr>
          <w:sz w:val="16"/>
          <w:szCs w:val="16"/>
        </w:rPr>
        <w:t xml:space="preserve">. ISO </w:t>
      </w:r>
      <w:r w:rsidR="00317210">
        <w:rPr>
          <w:sz w:val="16"/>
          <w:szCs w:val="16"/>
        </w:rPr>
        <w:t>9</w:t>
      </w:r>
      <w:r w:rsidR="00317210" w:rsidRPr="00013AE8">
        <w:rPr>
          <w:sz w:val="16"/>
          <w:szCs w:val="16"/>
        </w:rPr>
        <w:t xml:space="preserve">001 – </w:t>
      </w:r>
      <w:r w:rsidR="002969CC">
        <w:rPr>
          <w:sz w:val="16"/>
          <w:szCs w:val="16"/>
        </w:rPr>
        <w:t>Sistemas de gestión de la calidad</w:t>
      </w:r>
      <w:r w:rsidR="00317210">
        <w:rPr>
          <w:sz w:val="16"/>
          <w:szCs w:val="16"/>
        </w:rPr>
        <w:t xml:space="preserve">. Fecha de publicación: </w:t>
      </w:r>
      <w:r w:rsidR="00D759E8">
        <w:rPr>
          <w:sz w:val="16"/>
          <w:szCs w:val="16"/>
        </w:rPr>
        <w:t>23 de septiembre de 2015</w:t>
      </w:r>
      <w:r w:rsidR="00317210">
        <w:rPr>
          <w:sz w:val="16"/>
          <w:szCs w:val="16"/>
        </w:rPr>
        <w:t xml:space="preserve">. Fecha de consulta: </w:t>
      </w:r>
      <w:r w:rsidR="00600386">
        <w:rPr>
          <w:sz w:val="16"/>
          <w:szCs w:val="16"/>
        </w:rPr>
        <w:t>19 de agosto</w:t>
      </w:r>
      <w:r w:rsidR="00317210">
        <w:rPr>
          <w:sz w:val="16"/>
          <w:szCs w:val="16"/>
        </w:rPr>
        <w:t xml:space="preserve"> de 2026.</w:t>
      </w:r>
      <w:r w:rsidR="00DE59ED">
        <w:rPr>
          <w:sz w:val="16"/>
          <w:szCs w:val="16"/>
        </w:rPr>
        <w:t xml:space="preserve"> </w:t>
      </w:r>
      <w:hyperlink r:id="rId51" w:history="1">
        <w:r w:rsidR="00DE59ED" w:rsidRPr="001763CE">
          <w:rPr>
            <w:rStyle w:val="Hipervnculo"/>
            <w:sz w:val="16"/>
            <w:szCs w:val="16"/>
          </w:rPr>
          <w:t>https://www.ins.gov.co/Transparencia/Docs/NTC-ISO%209001%20DE%202015.pdf</w:t>
        </w:r>
      </w:hyperlink>
      <w:r w:rsidR="00DE59ED">
        <w:rPr>
          <w:sz w:val="16"/>
          <w:szCs w:val="16"/>
        </w:rPr>
        <w:t xml:space="preserve"> </w:t>
      </w:r>
    </w:p>
  </w:footnote>
  <w:footnote w:id="54">
    <w:p w14:paraId="3900393B" w14:textId="3820C82A" w:rsidR="00DE59ED" w:rsidRPr="00DE59ED" w:rsidRDefault="00DE59ED">
      <w:pPr>
        <w:pStyle w:val="Textonotapie"/>
        <w:rPr>
          <w:lang w:val="es-MX"/>
        </w:rPr>
      </w:pPr>
      <w:r>
        <w:rPr>
          <w:rStyle w:val="Refdenotaalpie"/>
        </w:rPr>
        <w:footnoteRef/>
      </w:r>
      <w:r>
        <w:t xml:space="preserve"> </w:t>
      </w:r>
      <w:r w:rsidR="00170FE3">
        <w:rPr>
          <w:sz w:val="16"/>
          <w:szCs w:val="16"/>
        </w:rPr>
        <w:t>Guia técnica colombiana</w:t>
      </w:r>
      <w:r w:rsidR="002073BC" w:rsidRPr="00013AE8">
        <w:rPr>
          <w:sz w:val="16"/>
          <w:szCs w:val="16"/>
        </w:rPr>
        <w:t xml:space="preserve">. </w:t>
      </w:r>
      <w:r w:rsidR="00170FE3">
        <w:rPr>
          <w:sz w:val="16"/>
          <w:szCs w:val="16"/>
        </w:rPr>
        <w:t>GTC 45</w:t>
      </w:r>
      <w:r w:rsidR="002073BC" w:rsidRPr="00013AE8">
        <w:rPr>
          <w:sz w:val="16"/>
          <w:szCs w:val="16"/>
        </w:rPr>
        <w:t xml:space="preserve">– </w:t>
      </w:r>
      <w:r w:rsidR="001022FE">
        <w:rPr>
          <w:sz w:val="16"/>
          <w:szCs w:val="16"/>
        </w:rPr>
        <w:t xml:space="preserve">Guia </w:t>
      </w:r>
      <w:r w:rsidR="00170FE3">
        <w:rPr>
          <w:sz w:val="16"/>
          <w:szCs w:val="16"/>
        </w:rPr>
        <w:t>para la identificación de los peligros y la valoración de los riesgos en seguridad y salud ocupacional</w:t>
      </w:r>
      <w:r w:rsidR="002073BC">
        <w:rPr>
          <w:sz w:val="16"/>
          <w:szCs w:val="16"/>
        </w:rPr>
        <w:t>. Fecha de publicación: 2</w:t>
      </w:r>
      <w:r w:rsidR="003C2546">
        <w:rPr>
          <w:sz w:val="16"/>
          <w:szCs w:val="16"/>
        </w:rPr>
        <w:t>0</w:t>
      </w:r>
      <w:r w:rsidR="002073BC">
        <w:rPr>
          <w:sz w:val="16"/>
          <w:szCs w:val="16"/>
        </w:rPr>
        <w:t xml:space="preserve"> de </w:t>
      </w:r>
      <w:r w:rsidR="003C2546">
        <w:rPr>
          <w:sz w:val="16"/>
          <w:szCs w:val="16"/>
        </w:rPr>
        <w:t xml:space="preserve">junio </w:t>
      </w:r>
      <w:r w:rsidR="002073BC">
        <w:rPr>
          <w:sz w:val="16"/>
          <w:szCs w:val="16"/>
        </w:rPr>
        <w:t>de 201</w:t>
      </w:r>
      <w:r w:rsidR="003C2546">
        <w:rPr>
          <w:sz w:val="16"/>
          <w:szCs w:val="16"/>
        </w:rPr>
        <w:t>2</w:t>
      </w:r>
      <w:r w:rsidR="002073BC">
        <w:rPr>
          <w:sz w:val="16"/>
          <w:szCs w:val="16"/>
        </w:rPr>
        <w:t xml:space="preserve">. Fecha de consulta: 26 de mayo de 2026. </w:t>
      </w:r>
      <w:hyperlink r:id="rId52" w:history="1">
        <w:r w:rsidR="00063123" w:rsidRPr="001763CE">
          <w:rPr>
            <w:rStyle w:val="Hipervnculo"/>
            <w:sz w:val="16"/>
            <w:szCs w:val="16"/>
          </w:rPr>
          <w:t>http://132.255.23.82/sipnvo/normatividad/GTC_45_DE_2012.pdf</w:t>
        </w:r>
      </w:hyperlink>
      <w:r w:rsidR="00063123">
        <w:rPr>
          <w:sz w:val="16"/>
          <w:szCs w:val="16"/>
        </w:rPr>
        <w:t xml:space="preserve"> </w:t>
      </w:r>
    </w:p>
  </w:footnote>
  <w:footnote w:id="55">
    <w:p w14:paraId="191EB2A3" w14:textId="3C17DFEA" w:rsidR="003343C5" w:rsidRDefault="003343C5">
      <w:pPr>
        <w:pStyle w:val="Textonotapie"/>
      </w:pPr>
      <w:r>
        <w:rPr>
          <w:rStyle w:val="Refdenotaalpie"/>
        </w:rPr>
        <w:footnoteRef/>
      </w:r>
      <w:r>
        <w:t xml:space="preserve"> </w:t>
      </w:r>
      <w:r w:rsidR="0009060F">
        <w:rPr>
          <w:sz w:val="16"/>
          <w:szCs w:val="16"/>
        </w:rPr>
        <w:t>M</w:t>
      </w:r>
      <w:r w:rsidR="0009060F" w:rsidRPr="0009060F">
        <w:rPr>
          <w:sz w:val="16"/>
          <w:szCs w:val="16"/>
        </w:rPr>
        <w:t>inisterio de tecnologías de información y comunicaciones</w:t>
      </w:r>
      <w:r w:rsidR="00E411F5">
        <w:rPr>
          <w:sz w:val="16"/>
          <w:szCs w:val="16"/>
        </w:rPr>
        <w:t xml:space="preserve">. </w:t>
      </w:r>
      <w:r w:rsidR="00F07032">
        <w:rPr>
          <w:sz w:val="16"/>
          <w:szCs w:val="16"/>
        </w:rPr>
        <w:t>SECOP II – Contratos electrónicos</w:t>
      </w:r>
      <w:r w:rsidR="00A100D9">
        <w:rPr>
          <w:sz w:val="16"/>
          <w:szCs w:val="16"/>
        </w:rPr>
        <w:t xml:space="preserve"> (Estadísticas nacionales). </w:t>
      </w:r>
      <w:r w:rsidR="00051100">
        <w:rPr>
          <w:sz w:val="16"/>
          <w:szCs w:val="16"/>
        </w:rPr>
        <w:t xml:space="preserve">Fecha de publicación: </w:t>
      </w:r>
      <w:r w:rsidR="006C7C73">
        <w:rPr>
          <w:sz w:val="16"/>
          <w:szCs w:val="16"/>
        </w:rPr>
        <w:t xml:space="preserve">30 de septiembre de 2019; fecha de consulta: 28 de mayo de 2026. </w:t>
      </w:r>
      <w:hyperlink r:id="rId53" w:history="1">
        <w:r w:rsidR="006C7C73" w:rsidRPr="00BA0D79">
          <w:rPr>
            <w:rStyle w:val="Hipervnculo"/>
            <w:sz w:val="16"/>
            <w:szCs w:val="16"/>
          </w:rPr>
          <w:t>https://www.datos.gov.co/Estad-sticas-Nacionales/SECOP-II-Contratos-Electr-nicos/jbjy-vk9h/about_data</w:t>
        </w:r>
      </w:hyperlink>
      <w:r w:rsidR="006C7C73">
        <w:rPr>
          <w:sz w:val="16"/>
          <w:szCs w:val="16"/>
        </w:rPr>
        <w:t xml:space="preserve"> </w:t>
      </w:r>
    </w:p>
  </w:footnote>
  <w:footnote w:id="56">
    <w:p w14:paraId="3DA45FE5" w14:textId="702CDFE2" w:rsidR="002212FD" w:rsidRDefault="002212FD">
      <w:pPr>
        <w:pStyle w:val="Textonotapie"/>
      </w:pPr>
      <w:r>
        <w:rPr>
          <w:rStyle w:val="Refdenotaalpie"/>
        </w:rPr>
        <w:footnoteRef/>
      </w:r>
      <w:r>
        <w:t xml:space="preserve"> </w:t>
      </w:r>
      <w:r w:rsidR="0021615A" w:rsidRPr="0021615A">
        <w:rPr>
          <w:sz w:val="16"/>
          <w:szCs w:val="16"/>
        </w:rPr>
        <w:t>Se</w:t>
      </w:r>
      <w:r w:rsidR="0021615A">
        <w:rPr>
          <w:sz w:val="16"/>
          <w:szCs w:val="16"/>
        </w:rPr>
        <w:t xml:space="preserve">cretaria distrital de ambiente </w:t>
      </w:r>
      <w:r w:rsidR="002C01F9">
        <w:rPr>
          <w:sz w:val="16"/>
          <w:szCs w:val="16"/>
        </w:rPr>
        <w:t>–</w:t>
      </w:r>
      <w:r w:rsidR="00A32021">
        <w:rPr>
          <w:sz w:val="16"/>
          <w:szCs w:val="16"/>
        </w:rPr>
        <w:t xml:space="preserve"> listado</w:t>
      </w:r>
      <w:r w:rsidR="002C01F9">
        <w:rPr>
          <w:sz w:val="16"/>
          <w:szCs w:val="16"/>
        </w:rPr>
        <w:t xml:space="preserve"> gestores RESPEL Bogotá actualizado enero 2025. Fecha de publicación: Enero 2025; fecha de consulta 28 de mayo de 2026. </w:t>
      </w:r>
      <w:hyperlink r:id="rId54" w:history="1">
        <w:r w:rsidR="002C01F9" w:rsidRPr="00BA0D79">
          <w:rPr>
            <w:rStyle w:val="Hipervnculo"/>
            <w:sz w:val="16"/>
            <w:szCs w:val="16"/>
          </w:rPr>
          <w:t>https://www.ambientebogota.gov.co/documents/10184/1969442/LISTA+GESTORES+RESPEL+BOGOTA+ACTUALIZADO+Enero+2025.pdf/9e7f9bc2-cda4-45ce-a103-5f0d5b0d9456</w:t>
        </w:r>
      </w:hyperlink>
      <w:r w:rsidR="002C01F9">
        <w:rPr>
          <w:sz w:val="16"/>
          <w:szCs w:val="16"/>
        </w:rPr>
        <w:t xml:space="preserve"> </w:t>
      </w:r>
    </w:p>
  </w:footnote>
  <w:footnote w:id="57">
    <w:p w14:paraId="79E9E0FE" w14:textId="0EA836CD" w:rsidR="000349DE" w:rsidRDefault="000349DE">
      <w:pPr>
        <w:pStyle w:val="Textonotapie"/>
      </w:pPr>
      <w:r>
        <w:rPr>
          <w:rStyle w:val="Refdenotaalpie"/>
        </w:rPr>
        <w:footnoteRef/>
      </w:r>
      <w:r>
        <w:t xml:space="preserve"> </w:t>
      </w:r>
      <w:r w:rsidR="00AA5C2D" w:rsidRPr="002C60AE">
        <w:rPr>
          <w:sz w:val="16"/>
          <w:szCs w:val="16"/>
        </w:rPr>
        <w:t>DANE. Clasificación Industrial Internacional Uniforme de todas las actividades económicas</w:t>
      </w:r>
      <w:r w:rsidR="002C60AE" w:rsidRPr="002C60AE">
        <w:rPr>
          <w:sz w:val="16"/>
          <w:szCs w:val="16"/>
        </w:rPr>
        <w:t xml:space="preserve"> - </w:t>
      </w:r>
      <w:r w:rsidR="001A2797">
        <w:rPr>
          <w:sz w:val="16"/>
          <w:szCs w:val="16"/>
        </w:rPr>
        <w:t>R</w:t>
      </w:r>
      <w:r w:rsidR="002C60AE" w:rsidRPr="002C60AE">
        <w:rPr>
          <w:sz w:val="16"/>
          <w:szCs w:val="16"/>
        </w:rPr>
        <w:t>evisión 4 adaptada para Colombia</w:t>
      </w:r>
      <w:r w:rsidR="00C02EEF">
        <w:rPr>
          <w:sz w:val="16"/>
          <w:szCs w:val="16"/>
        </w:rPr>
        <w:t xml:space="preserve">. Fecha de publicación: marzo 2020; Fecha de consulta: </w:t>
      </w:r>
      <w:r w:rsidR="001A2797">
        <w:rPr>
          <w:sz w:val="16"/>
          <w:szCs w:val="16"/>
        </w:rPr>
        <w:t>20 de agosto</w:t>
      </w:r>
      <w:r w:rsidR="00C02EEF">
        <w:rPr>
          <w:sz w:val="16"/>
          <w:szCs w:val="16"/>
        </w:rPr>
        <w:t xml:space="preserve"> de 2026. </w:t>
      </w:r>
      <w:hyperlink r:id="rId55" w:history="1">
        <w:r w:rsidR="00B6196A" w:rsidRPr="00067F2B">
          <w:rPr>
            <w:rStyle w:val="Hipervnculo"/>
            <w:sz w:val="16"/>
            <w:szCs w:val="16"/>
          </w:rPr>
          <w:t>https://www.dane.gov.co/files/sen/nomenclatura/ciiu/CIIU_Rev_4_AC2020.pdf</w:t>
        </w:r>
      </w:hyperlink>
      <w:r w:rsidR="00B6196A">
        <w:rPr>
          <w:sz w:val="16"/>
          <w:szCs w:val="16"/>
        </w:rPr>
        <w:t xml:space="preserve"> </w:t>
      </w:r>
    </w:p>
  </w:footnote>
  <w:footnote w:id="58">
    <w:p w14:paraId="2DC31013" w14:textId="664AFCFC" w:rsidR="00464D5B" w:rsidRPr="00915023" w:rsidRDefault="00464D5B">
      <w:pPr>
        <w:pStyle w:val="Textonotapie"/>
        <w:rPr>
          <w:sz w:val="16"/>
          <w:szCs w:val="16"/>
        </w:rPr>
      </w:pPr>
      <w:r>
        <w:rPr>
          <w:rStyle w:val="Refdenotaalpie"/>
        </w:rPr>
        <w:footnoteRef/>
      </w:r>
      <w:r>
        <w:t xml:space="preserve"> </w:t>
      </w:r>
      <w:r w:rsidR="00CD55DC" w:rsidRPr="00915023">
        <w:rPr>
          <w:sz w:val="16"/>
          <w:szCs w:val="16"/>
        </w:rPr>
        <w:t xml:space="preserve">CIIU. Clasificación - </w:t>
      </w:r>
      <w:r w:rsidRPr="00915023">
        <w:rPr>
          <w:sz w:val="16"/>
          <w:szCs w:val="16"/>
        </w:rPr>
        <w:t>Actividades especializadas para la construcción de edificios y obras de ingeniería civil</w:t>
      </w:r>
      <w:r w:rsidR="00CD55DC" w:rsidRPr="00915023">
        <w:rPr>
          <w:sz w:val="16"/>
          <w:szCs w:val="16"/>
        </w:rPr>
        <w:t xml:space="preserve">. Fecha de publicación: (s,f); Fecha de consulta: </w:t>
      </w:r>
      <w:r w:rsidR="005932EA">
        <w:rPr>
          <w:sz w:val="16"/>
          <w:szCs w:val="16"/>
        </w:rPr>
        <w:t>20 de agosto</w:t>
      </w:r>
      <w:r w:rsidR="00C75C04" w:rsidRPr="00915023">
        <w:rPr>
          <w:sz w:val="16"/>
          <w:szCs w:val="16"/>
        </w:rPr>
        <w:t xml:space="preserve"> de 2026. </w:t>
      </w:r>
      <w:hyperlink r:id="rId56" w:history="1">
        <w:r w:rsidR="00723CEE" w:rsidRPr="00915023">
          <w:rPr>
            <w:rStyle w:val="Hipervnculo"/>
            <w:sz w:val="16"/>
            <w:szCs w:val="16"/>
          </w:rPr>
          <w:t>https://www.ciiu.co/clasificacion/F/43</w:t>
        </w:r>
      </w:hyperlink>
      <w:r w:rsidR="00723CEE" w:rsidRPr="00915023">
        <w:rPr>
          <w:sz w:val="16"/>
          <w:szCs w:val="16"/>
        </w:rPr>
        <w:t xml:space="preserve"> </w:t>
      </w:r>
    </w:p>
  </w:footnote>
  <w:footnote w:id="59">
    <w:p w14:paraId="65139879" w14:textId="112D297F" w:rsidR="00A34204" w:rsidRPr="0043007C" w:rsidRDefault="00A34204" w:rsidP="00915023">
      <w:pPr>
        <w:pStyle w:val="Textonotapie"/>
        <w:jc w:val="left"/>
        <w:rPr>
          <w:rFonts w:ascii="Arial Narrow" w:hAnsi="Arial Narrow"/>
          <w:lang w:val="es-MX"/>
        </w:rPr>
      </w:pPr>
      <w:r w:rsidRPr="0043007C">
        <w:rPr>
          <w:rStyle w:val="Refdenotaalpie"/>
          <w:rFonts w:ascii="Arial Narrow" w:hAnsi="Arial Narrow"/>
          <w:sz w:val="16"/>
          <w:szCs w:val="16"/>
        </w:rPr>
        <w:footnoteRef/>
      </w:r>
      <w:r w:rsidRPr="0043007C">
        <w:rPr>
          <w:rFonts w:ascii="Arial Narrow" w:hAnsi="Arial Narrow"/>
          <w:sz w:val="16"/>
          <w:szCs w:val="16"/>
        </w:rPr>
        <w:t xml:space="preserve"> </w:t>
      </w:r>
      <w:hyperlink r:id="rId57" w:history="1">
        <w:r w:rsidR="00094C36" w:rsidRPr="00E966EE">
          <w:rPr>
            <w:rStyle w:val="Hipervnculo"/>
            <w:rFonts w:ascii="Arial Narrow" w:hAnsi="Arial Narrow"/>
            <w:sz w:val="16"/>
            <w:szCs w:val="16"/>
          </w:rPr>
          <w:t>https://operaciones.colombiacompra.gov.co/sites/cce_public/files/cce_documents/cce-eicp-ma-04._manual_requisitos_habilitantes_v3_29-09-2023.pdf</w:t>
        </w:r>
      </w:hyperlink>
      <w:r w:rsidR="00094C36">
        <w:rPr>
          <w:rFonts w:ascii="Arial Narrow" w:hAnsi="Arial Narrow"/>
          <w:sz w:val="16"/>
          <w:szCs w:val="16"/>
        </w:rPr>
        <w:t xml:space="preserve"> </w:t>
      </w:r>
    </w:p>
  </w:footnote>
  <w:footnote w:id="60">
    <w:p w14:paraId="53AFC31D" w14:textId="65D83752" w:rsidR="002623FA" w:rsidRPr="00B07D51" w:rsidRDefault="002623FA" w:rsidP="00915023">
      <w:pPr>
        <w:pStyle w:val="Textonotapie"/>
        <w:jc w:val="left"/>
        <w:rPr>
          <w:lang w:val="es-MX"/>
        </w:rPr>
      </w:pPr>
      <w:r>
        <w:rPr>
          <w:rStyle w:val="Refdenotaalpie"/>
        </w:rPr>
        <w:footnoteRef/>
      </w:r>
      <w:r w:rsidRPr="008153DE">
        <w:rPr>
          <w:sz w:val="16"/>
          <w:szCs w:val="16"/>
        </w:rPr>
        <w:t xml:space="preserve"> Proceso Consulta a Proveedores SECOP 2. </w:t>
      </w:r>
      <w:r w:rsidR="00CD0AF6" w:rsidRPr="00B07D51">
        <w:rPr>
          <w:sz w:val="16"/>
          <w:szCs w:val="16"/>
          <w:lang w:val="es-MX"/>
        </w:rPr>
        <w:t>TMSA-SIP-16-2026</w:t>
      </w:r>
      <w:r w:rsidRPr="00B07D51">
        <w:rPr>
          <w:sz w:val="16"/>
          <w:szCs w:val="16"/>
          <w:lang w:val="es-MX"/>
        </w:rPr>
        <w:t xml:space="preserve"> </w:t>
      </w:r>
      <w:hyperlink r:id="rId58" w:history="1">
        <w:r w:rsidR="004F1823" w:rsidRPr="00B07D51">
          <w:rPr>
            <w:rStyle w:val="Hipervnculo"/>
            <w:sz w:val="16"/>
            <w:szCs w:val="16"/>
            <w:lang w:val="es-MX"/>
          </w:rPr>
          <w:t>https://www.secop.gov.co/CO1BusinessLine/Tendering/ContractNoticeView/Index?prevCtxLbl=Buscar+procesos&amp;prevCtxUrl=https%3a%2f%2fwww.secop.gov.co%3a443%2fCO1BusinessLine%2fTendering%2fContractNoticeManagement%2fIndex&amp;notice=CO1.NTC.10159142</w:t>
        </w:r>
      </w:hyperlink>
      <w:r w:rsidR="004F1823" w:rsidRPr="00B07D51">
        <w:rPr>
          <w:sz w:val="16"/>
          <w:szCs w:val="16"/>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18CD4" w14:textId="77777777" w:rsidR="00F36E0F" w:rsidRDefault="00F36E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970208" w:rsidRPr="003452CF" w:rsidRDefault="00970208" w:rsidP="00F94153">
    <w:pPr>
      <w:pStyle w:val="Encabezado"/>
      <w:tabs>
        <w:tab w:val="left" w:pos="3030"/>
        <w:tab w:val="center" w:pos="4678"/>
      </w:tabs>
    </w:pPr>
    <w:r w:rsidRPr="003452CF">
      <w:tab/>
    </w:r>
    <w:r w:rsidRPr="003452CF">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6F71A5" w:rsidRPr="003452CF" w14:paraId="045468F5" w14:textId="77777777">
      <w:trPr>
        <w:trHeight w:val="651"/>
      </w:trPr>
      <w:tc>
        <w:tcPr>
          <w:tcW w:w="959" w:type="pct"/>
          <w:vMerge w:val="restart"/>
          <w:vAlign w:val="center"/>
        </w:tcPr>
        <w:p w14:paraId="1C87785A" w14:textId="77777777" w:rsidR="006F71A5" w:rsidRPr="003452CF" w:rsidRDefault="006F71A5" w:rsidP="006F71A5">
          <w:pPr>
            <w:pStyle w:val="Encabezado"/>
            <w:rPr>
              <w:rFonts w:ascii="Arial" w:hAnsi="Arial" w:cs="Arial"/>
              <w:b/>
              <w:bCs/>
            </w:rPr>
          </w:pPr>
          <w:r w:rsidRPr="003452CF">
            <w:rPr>
              <w:noProof/>
              <w:lang w:eastAsia="es-CO"/>
            </w:rPr>
            <w:drawing>
              <wp:anchor distT="0" distB="0" distL="114300" distR="114300" simplePos="0" relativeHeight="251658240" behindDoc="1" locked="0" layoutInCell="1" allowOverlap="1" wp14:anchorId="258AB818" wp14:editId="55C536ED">
                <wp:simplePos x="0" y="0"/>
                <wp:positionH relativeFrom="column">
                  <wp:posOffset>99695</wp:posOffset>
                </wp:positionH>
                <wp:positionV relativeFrom="paragraph">
                  <wp:posOffset>34290</wp:posOffset>
                </wp:positionV>
                <wp:extent cx="643890" cy="771525"/>
                <wp:effectExtent l="0" t="0" r="381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420C720" w14:textId="77777777" w:rsidR="006F71A5" w:rsidRPr="003452CF" w:rsidRDefault="006F71A5" w:rsidP="006F71A5">
          <w:pPr>
            <w:pStyle w:val="Encabezado"/>
            <w:jc w:val="center"/>
            <w:rPr>
              <w:rFonts w:ascii="Arial" w:hAnsi="Arial" w:cs="Arial"/>
              <w:b/>
              <w:bCs/>
              <w:sz w:val="20"/>
              <w:szCs w:val="20"/>
            </w:rPr>
          </w:pPr>
          <w:r w:rsidRPr="003452CF">
            <w:rPr>
              <w:rFonts w:ascii="Arial" w:hAnsi="Arial" w:cs="Arial"/>
              <w:b/>
              <w:bCs/>
              <w:sz w:val="20"/>
              <w:szCs w:val="20"/>
            </w:rPr>
            <w:t>PROCESO DE ADQUISICIÓN DE BIENES Y SERVICIOS</w:t>
          </w:r>
        </w:p>
        <w:p w14:paraId="4883D377" w14:textId="770D37D5" w:rsidR="006F71A5" w:rsidRPr="003452CF" w:rsidRDefault="006F71A5" w:rsidP="006F71A5">
          <w:pPr>
            <w:pStyle w:val="Encabezado"/>
            <w:jc w:val="center"/>
            <w:rPr>
              <w:rFonts w:ascii="Arial" w:hAnsi="Arial" w:cs="Arial"/>
              <w:b/>
              <w:bCs/>
              <w:sz w:val="20"/>
              <w:szCs w:val="20"/>
            </w:rPr>
          </w:pPr>
          <w:r w:rsidRPr="003452CF">
            <w:rPr>
              <w:rFonts w:ascii="Arial" w:hAnsi="Arial" w:cs="Arial"/>
              <w:b/>
              <w:bCs/>
              <w:sz w:val="20"/>
              <w:szCs w:val="20"/>
            </w:rPr>
            <w:t>ESTUDIO DE MERCADO</w:t>
          </w:r>
        </w:p>
      </w:tc>
    </w:tr>
    <w:tr w:rsidR="006F71A5" w:rsidRPr="003452CF" w14:paraId="1963D262" w14:textId="77777777">
      <w:trPr>
        <w:trHeight w:val="632"/>
      </w:trPr>
      <w:tc>
        <w:tcPr>
          <w:tcW w:w="959" w:type="pct"/>
          <w:vMerge/>
          <w:vAlign w:val="center"/>
        </w:tcPr>
        <w:p w14:paraId="354B219F" w14:textId="77777777" w:rsidR="006F71A5" w:rsidRPr="003452CF" w:rsidRDefault="006F71A5" w:rsidP="006F71A5">
          <w:pPr>
            <w:pStyle w:val="Encabezado"/>
            <w:rPr>
              <w:lang w:eastAsia="es-CO"/>
            </w:rPr>
          </w:pPr>
        </w:p>
      </w:tc>
      <w:tc>
        <w:tcPr>
          <w:tcW w:w="1932" w:type="pct"/>
          <w:vAlign w:val="center"/>
        </w:tcPr>
        <w:p w14:paraId="1E55A775" w14:textId="4A2D0860" w:rsidR="006F71A5" w:rsidRPr="003452CF" w:rsidRDefault="006F71A5" w:rsidP="006F71A5">
          <w:pPr>
            <w:pStyle w:val="Encabezado"/>
            <w:jc w:val="center"/>
            <w:rPr>
              <w:rFonts w:ascii="Arial" w:hAnsi="Arial" w:cs="Arial"/>
              <w:b/>
              <w:bCs/>
              <w:sz w:val="20"/>
              <w:szCs w:val="20"/>
            </w:rPr>
          </w:pPr>
          <w:r w:rsidRPr="003452CF">
            <w:rPr>
              <w:rFonts w:ascii="Arial" w:hAnsi="Arial" w:cs="Arial"/>
              <w:b/>
              <w:sz w:val="20"/>
              <w:szCs w:val="16"/>
            </w:rPr>
            <w:t>CÒDIGO: R-DA-101</w:t>
          </w:r>
        </w:p>
      </w:tc>
      <w:tc>
        <w:tcPr>
          <w:tcW w:w="2109" w:type="pct"/>
          <w:vAlign w:val="center"/>
        </w:tcPr>
        <w:p w14:paraId="5705ED0C" w14:textId="2AA2C295" w:rsidR="006F71A5" w:rsidRPr="003452CF" w:rsidRDefault="006F71A5" w:rsidP="006F71A5">
          <w:pPr>
            <w:pStyle w:val="Encabezado"/>
            <w:jc w:val="center"/>
            <w:rPr>
              <w:rFonts w:ascii="Arial" w:hAnsi="Arial" w:cs="Arial"/>
              <w:b/>
              <w:bCs/>
              <w:sz w:val="20"/>
              <w:szCs w:val="20"/>
            </w:rPr>
          </w:pPr>
          <w:r w:rsidRPr="003452CF">
            <w:rPr>
              <w:rFonts w:ascii="Arial" w:hAnsi="Arial" w:cs="Arial"/>
              <w:b/>
              <w:sz w:val="20"/>
              <w:szCs w:val="16"/>
            </w:rPr>
            <w:t xml:space="preserve">FECHA: </w:t>
          </w:r>
          <w:r w:rsidR="004508C3" w:rsidRPr="003452CF">
            <w:rPr>
              <w:rFonts w:ascii="Arial" w:hAnsi="Arial" w:cs="Arial"/>
              <w:b/>
              <w:sz w:val="20"/>
              <w:szCs w:val="16"/>
            </w:rPr>
            <w:t>enero de 2019</w:t>
          </w:r>
        </w:p>
      </w:tc>
    </w:tr>
  </w:tbl>
  <w:p w14:paraId="2D0F0619" w14:textId="77777777" w:rsidR="00465DCA" w:rsidRPr="003452CF" w:rsidRDefault="00465DC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BC38A" w14:textId="77777777" w:rsidR="00F36E0F" w:rsidRDefault="00F36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DAAD83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2F22AC02"/>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0DC0E0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9BCECF6"/>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1357328"/>
    <w:multiLevelType w:val="hybridMultilevel"/>
    <w:tmpl w:val="D2EC2B80"/>
    <w:lvl w:ilvl="0" w:tplc="3DBA7B5A">
      <w:start w:val="1"/>
      <w:numFmt w:val="lowerRoman"/>
      <w:lvlText w:val="(%1)"/>
      <w:lvlJc w:val="left"/>
      <w:pPr>
        <w:ind w:left="644" w:hanging="720"/>
      </w:pPr>
      <w:rPr>
        <w:rFonts w:hint="default"/>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6" w15:restartNumberingAfterBreak="0">
    <w:nsid w:val="0AFD32D1"/>
    <w:multiLevelType w:val="hybridMultilevel"/>
    <w:tmpl w:val="1F28B974"/>
    <w:lvl w:ilvl="0" w:tplc="5C42CF5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147C61"/>
    <w:multiLevelType w:val="hybridMultilevel"/>
    <w:tmpl w:val="B48279FA"/>
    <w:lvl w:ilvl="0" w:tplc="FE3A98CE">
      <w:numFmt w:val="bullet"/>
      <w:lvlText w:val=""/>
      <w:lvlJc w:val="left"/>
      <w:pPr>
        <w:ind w:left="1286" w:hanging="360"/>
      </w:pPr>
      <w:rPr>
        <w:rFonts w:ascii="Symbol" w:eastAsiaTheme="minorHAnsi" w:hAnsi="Symbol" w:cstheme="minorBidi" w:hint="default"/>
      </w:rPr>
    </w:lvl>
    <w:lvl w:ilvl="1" w:tplc="240A0003" w:tentative="1">
      <w:start w:val="1"/>
      <w:numFmt w:val="bullet"/>
      <w:lvlText w:val="o"/>
      <w:lvlJc w:val="left"/>
      <w:pPr>
        <w:ind w:left="2006" w:hanging="360"/>
      </w:pPr>
      <w:rPr>
        <w:rFonts w:ascii="Courier New" w:hAnsi="Courier New" w:cs="Courier New" w:hint="default"/>
      </w:rPr>
    </w:lvl>
    <w:lvl w:ilvl="2" w:tplc="240A0005" w:tentative="1">
      <w:start w:val="1"/>
      <w:numFmt w:val="bullet"/>
      <w:lvlText w:val=""/>
      <w:lvlJc w:val="left"/>
      <w:pPr>
        <w:ind w:left="2726" w:hanging="360"/>
      </w:pPr>
      <w:rPr>
        <w:rFonts w:ascii="Wingdings" w:hAnsi="Wingdings" w:hint="default"/>
      </w:rPr>
    </w:lvl>
    <w:lvl w:ilvl="3" w:tplc="240A0001" w:tentative="1">
      <w:start w:val="1"/>
      <w:numFmt w:val="bullet"/>
      <w:lvlText w:val=""/>
      <w:lvlJc w:val="left"/>
      <w:pPr>
        <w:ind w:left="3446" w:hanging="360"/>
      </w:pPr>
      <w:rPr>
        <w:rFonts w:ascii="Symbol" w:hAnsi="Symbol" w:hint="default"/>
      </w:rPr>
    </w:lvl>
    <w:lvl w:ilvl="4" w:tplc="240A0003" w:tentative="1">
      <w:start w:val="1"/>
      <w:numFmt w:val="bullet"/>
      <w:lvlText w:val="o"/>
      <w:lvlJc w:val="left"/>
      <w:pPr>
        <w:ind w:left="4166" w:hanging="360"/>
      </w:pPr>
      <w:rPr>
        <w:rFonts w:ascii="Courier New" w:hAnsi="Courier New" w:cs="Courier New" w:hint="default"/>
      </w:rPr>
    </w:lvl>
    <w:lvl w:ilvl="5" w:tplc="240A0005" w:tentative="1">
      <w:start w:val="1"/>
      <w:numFmt w:val="bullet"/>
      <w:lvlText w:val=""/>
      <w:lvlJc w:val="left"/>
      <w:pPr>
        <w:ind w:left="4886" w:hanging="360"/>
      </w:pPr>
      <w:rPr>
        <w:rFonts w:ascii="Wingdings" w:hAnsi="Wingdings" w:hint="default"/>
      </w:rPr>
    </w:lvl>
    <w:lvl w:ilvl="6" w:tplc="240A0001" w:tentative="1">
      <w:start w:val="1"/>
      <w:numFmt w:val="bullet"/>
      <w:lvlText w:val=""/>
      <w:lvlJc w:val="left"/>
      <w:pPr>
        <w:ind w:left="5606" w:hanging="360"/>
      </w:pPr>
      <w:rPr>
        <w:rFonts w:ascii="Symbol" w:hAnsi="Symbol" w:hint="default"/>
      </w:rPr>
    </w:lvl>
    <w:lvl w:ilvl="7" w:tplc="240A0003" w:tentative="1">
      <w:start w:val="1"/>
      <w:numFmt w:val="bullet"/>
      <w:lvlText w:val="o"/>
      <w:lvlJc w:val="left"/>
      <w:pPr>
        <w:ind w:left="6326" w:hanging="360"/>
      </w:pPr>
      <w:rPr>
        <w:rFonts w:ascii="Courier New" w:hAnsi="Courier New" w:cs="Courier New" w:hint="default"/>
      </w:rPr>
    </w:lvl>
    <w:lvl w:ilvl="8" w:tplc="240A0005" w:tentative="1">
      <w:start w:val="1"/>
      <w:numFmt w:val="bullet"/>
      <w:lvlText w:val=""/>
      <w:lvlJc w:val="left"/>
      <w:pPr>
        <w:ind w:left="7046" w:hanging="360"/>
      </w:pPr>
      <w:rPr>
        <w:rFonts w:ascii="Wingdings" w:hAnsi="Wingdings" w:hint="default"/>
      </w:rPr>
    </w:lvl>
  </w:abstractNum>
  <w:abstractNum w:abstractNumId="8" w15:restartNumberingAfterBreak="0">
    <w:nsid w:val="0D3B3AAB"/>
    <w:multiLevelType w:val="hybridMultilevel"/>
    <w:tmpl w:val="FC829FA6"/>
    <w:lvl w:ilvl="0" w:tplc="8A3ED012">
      <w:start w:val="1"/>
      <w:numFmt w:val="lowerRoman"/>
      <w:lvlText w:val="(%1)"/>
      <w:lvlJc w:val="left"/>
      <w:pPr>
        <w:ind w:left="644" w:hanging="720"/>
      </w:pPr>
      <w:rPr>
        <w:rFonts w:hint="default"/>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9" w15:restartNumberingAfterBreak="0">
    <w:nsid w:val="0E337944"/>
    <w:multiLevelType w:val="hybridMultilevel"/>
    <w:tmpl w:val="ED1E2A7A"/>
    <w:lvl w:ilvl="0" w:tplc="FE3A98CE">
      <w:numFmt w:val="bullet"/>
      <w:lvlText w:val=""/>
      <w:lvlJc w:val="left"/>
      <w:pPr>
        <w:ind w:left="1080" w:hanging="720"/>
      </w:pPr>
      <w:rPr>
        <w:rFonts w:ascii="Symbol" w:eastAsiaTheme="minorHAnsi" w:hAnsi="Symbol"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1B90AB9"/>
    <w:multiLevelType w:val="hybridMultilevel"/>
    <w:tmpl w:val="10248A38"/>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DB384E"/>
    <w:multiLevelType w:val="hybridMultilevel"/>
    <w:tmpl w:val="B4C20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FE5AB9"/>
    <w:multiLevelType w:val="hybridMultilevel"/>
    <w:tmpl w:val="8036282E"/>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1270ED"/>
    <w:multiLevelType w:val="hybridMultilevel"/>
    <w:tmpl w:val="4D8AFD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7223FE"/>
    <w:multiLevelType w:val="hybridMultilevel"/>
    <w:tmpl w:val="4FB8B310"/>
    <w:lvl w:ilvl="0" w:tplc="F4E6C43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4A1AE5"/>
    <w:multiLevelType w:val="hybridMultilevel"/>
    <w:tmpl w:val="D9065D5A"/>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5B042A"/>
    <w:multiLevelType w:val="hybridMultilevel"/>
    <w:tmpl w:val="F6F224FE"/>
    <w:lvl w:ilvl="0" w:tplc="FE3A98CE">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3AE053F"/>
    <w:multiLevelType w:val="hybridMultilevel"/>
    <w:tmpl w:val="C3B8144A"/>
    <w:lvl w:ilvl="0" w:tplc="A992CF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AB1615"/>
    <w:multiLevelType w:val="hybridMultilevel"/>
    <w:tmpl w:val="885CD846"/>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32733429"/>
    <w:multiLevelType w:val="hybridMultilevel"/>
    <w:tmpl w:val="6FFA35FA"/>
    <w:lvl w:ilvl="0" w:tplc="FE3A98CE">
      <w:numFmt w:val="bullet"/>
      <w:lvlText w:val=""/>
      <w:lvlJc w:val="left"/>
      <w:pPr>
        <w:ind w:left="566"/>
      </w:pPr>
      <w:rPr>
        <w:rFonts w:ascii="Symbol" w:eastAsiaTheme="minorHAnsi" w:hAnsi="Symbol" w:cstheme="minorBidi"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58D3255"/>
    <w:multiLevelType w:val="hybridMultilevel"/>
    <w:tmpl w:val="6F0A5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1157C2"/>
    <w:multiLevelType w:val="hybridMultilevel"/>
    <w:tmpl w:val="D570D8D2"/>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B5D2F0E"/>
    <w:multiLevelType w:val="hybridMultilevel"/>
    <w:tmpl w:val="C1961290"/>
    <w:lvl w:ilvl="0" w:tplc="8C6A51D4">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3CE25FEC"/>
    <w:multiLevelType w:val="multilevel"/>
    <w:tmpl w:val="D8F829A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1442E5"/>
    <w:multiLevelType w:val="hybridMultilevel"/>
    <w:tmpl w:val="87682BD8"/>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E323983"/>
    <w:multiLevelType w:val="hybridMultilevel"/>
    <w:tmpl w:val="B8F2C7E0"/>
    <w:lvl w:ilvl="0" w:tplc="46DE0B4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8B77EE"/>
    <w:multiLevelType w:val="hybridMultilevel"/>
    <w:tmpl w:val="885CD846"/>
    <w:lvl w:ilvl="0" w:tplc="FFFFFFFF">
      <w:start w:val="1"/>
      <w:numFmt w:val="lowerRoman"/>
      <w:lvlText w:val="%1."/>
      <w:lvlJc w:val="righ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8" w15:restartNumberingAfterBreak="0">
    <w:nsid w:val="401F1FE8"/>
    <w:multiLevelType w:val="hybridMultilevel"/>
    <w:tmpl w:val="0E509668"/>
    <w:lvl w:ilvl="0" w:tplc="FE3A98CE">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44F4A96"/>
    <w:multiLevelType w:val="hybridMultilevel"/>
    <w:tmpl w:val="2A8EFA4E"/>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F2489B"/>
    <w:multiLevelType w:val="hybridMultilevel"/>
    <w:tmpl w:val="97DA102C"/>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A2F220F"/>
    <w:multiLevelType w:val="multilevel"/>
    <w:tmpl w:val="9706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9A32CA"/>
    <w:multiLevelType w:val="multilevel"/>
    <w:tmpl w:val="03C27126"/>
    <w:lvl w:ilvl="0">
      <w:numFmt w:val="bullet"/>
      <w:lvlText w:val=""/>
      <w:lvlJc w:val="left"/>
      <w:pPr>
        <w:tabs>
          <w:tab w:val="num" w:pos="720"/>
        </w:tabs>
        <w:ind w:left="720" w:hanging="360"/>
      </w:pPr>
      <w:rPr>
        <w:rFonts w:ascii="Symbol" w:eastAsiaTheme="minorHAnsi" w:hAnsi="Symbol"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E027EC"/>
    <w:multiLevelType w:val="hybridMultilevel"/>
    <w:tmpl w:val="9A645876"/>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F90245"/>
    <w:multiLevelType w:val="hybridMultilevel"/>
    <w:tmpl w:val="A77828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3749BB"/>
    <w:multiLevelType w:val="hybridMultilevel"/>
    <w:tmpl w:val="8E944D6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6F13E4"/>
    <w:multiLevelType w:val="hybridMultilevel"/>
    <w:tmpl w:val="ADFE5FAA"/>
    <w:lvl w:ilvl="0" w:tplc="24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82A7F85"/>
    <w:multiLevelType w:val="hybridMultilevel"/>
    <w:tmpl w:val="E2322CE2"/>
    <w:lvl w:ilvl="0" w:tplc="FFFFFFFF">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546D9E"/>
    <w:multiLevelType w:val="multilevel"/>
    <w:tmpl w:val="B530726C"/>
    <w:lvl w:ilvl="0">
      <w:start w:val="1"/>
      <w:numFmt w:val="decimal"/>
      <w:lvlText w:val="%1."/>
      <w:lvlJc w:val="left"/>
      <w:pPr>
        <w:ind w:left="720" w:hanging="360"/>
      </w:pPr>
      <w:rPr>
        <w:rFonts w:hint="default"/>
        <w:color w:val="auto"/>
        <w:sz w:val="24"/>
        <w:szCs w:val="20"/>
      </w:rPr>
    </w:lvl>
    <w:lvl w:ilvl="1">
      <w:start w:val="1"/>
      <w:numFmt w:val="decimal"/>
      <w:isLgl/>
      <w:lvlText w:val="%1.%2"/>
      <w:lvlJc w:val="left"/>
      <w:pPr>
        <w:ind w:left="644" w:hanging="360"/>
      </w:pPr>
      <w:rPr>
        <w:rFonts w:ascii="Arial" w:hAnsi="Arial" w:cs="Arial"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B691496"/>
    <w:multiLevelType w:val="multilevel"/>
    <w:tmpl w:val="57E6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720" w:hanging="360"/>
      </w:pPr>
      <w:rPr>
        <w:rFonts w:ascii="Symbol" w:eastAsiaTheme="minorHAnsi" w:hAnsi="Symbol"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7513BB"/>
    <w:multiLevelType w:val="hybridMultilevel"/>
    <w:tmpl w:val="667E839E"/>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DD33BA5"/>
    <w:multiLevelType w:val="hybridMultilevel"/>
    <w:tmpl w:val="BB9248C6"/>
    <w:lvl w:ilvl="0" w:tplc="04D4A6B8">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817086"/>
    <w:multiLevelType w:val="hybridMultilevel"/>
    <w:tmpl w:val="A10E024C"/>
    <w:lvl w:ilvl="0" w:tplc="FE3A98CE">
      <w:numFmt w:val="bullet"/>
      <w:lvlText w:val=""/>
      <w:lvlJc w:val="left"/>
      <w:pPr>
        <w:ind w:left="1440" w:hanging="360"/>
      </w:pPr>
      <w:rPr>
        <w:rFonts w:ascii="Symbol" w:eastAsiaTheme="minorHAnsi" w:hAnsi="Symbol" w:cstheme="minorBid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6878219E"/>
    <w:multiLevelType w:val="hybridMultilevel"/>
    <w:tmpl w:val="A5901210"/>
    <w:lvl w:ilvl="0" w:tplc="5CE2E8B2">
      <w:start w:val="1"/>
      <w:numFmt w:val="bullet"/>
      <w:lvlText w:val="-"/>
      <w:lvlJc w:val="left"/>
      <w:pPr>
        <w:ind w:left="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A2D812">
      <w:start w:val="1"/>
      <w:numFmt w:val="bullet"/>
      <w:lvlText w:val="o"/>
      <w:lvlJc w:val="left"/>
      <w:pPr>
        <w:ind w:left="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C8D85E">
      <w:start w:val="1"/>
      <w:numFmt w:val="bullet"/>
      <w:lvlText w:val="▪"/>
      <w:lvlJc w:val="left"/>
      <w:pPr>
        <w:ind w:left="1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E49826">
      <w:start w:val="1"/>
      <w:numFmt w:val="bullet"/>
      <w:lvlText w:val="•"/>
      <w:lvlJc w:val="left"/>
      <w:pPr>
        <w:ind w:left="2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5C2A08">
      <w:start w:val="1"/>
      <w:numFmt w:val="bullet"/>
      <w:lvlText w:val="o"/>
      <w:lvlJc w:val="left"/>
      <w:pPr>
        <w:ind w:left="3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4345E70">
      <w:start w:val="1"/>
      <w:numFmt w:val="bullet"/>
      <w:lvlText w:val="▪"/>
      <w:lvlJc w:val="left"/>
      <w:pPr>
        <w:ind w:left="3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2448844">
      <w:start w:val="1"/>
      <w:numFmt w:val="bullet"/>
      <w:lvlText w:val="•"/>
      <w:lvlJc w:val="left"/>
      <w:pPr>
        <w:ind w:left="4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F4F446">
      <w:start w:val="1"/>
      <w:numFmt w:val="bullet"/>
      <w:lvlText w:val="o"/>
      <w:lvlJc w:val="left"/>
      <w:pPr>
        <w:ind w:left="5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8C85A26">
      <w:start w:val="1"/>
      <w:numFmt w:val="bullet"/>
      <w:lvlText w:val="▪"/>
      <w:lvlJc w:val="left"/>
      <w:pPr>
        <w:ind w:left="5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A8961D0"/>
    <w:multiLevelType w:val="hybridMultilevel"/>
    <w:tmpl w:val="D8A0F256"/>
    <w:lvl w:ilvl="0" w:tplc="1E864A2C">
      <w:start w:val="1"/>
      <w:numFmt w:val="lowerRoman"/>
      <w:lvlText w:val="(%1)"/>
      <w:lvlJc w:val="left"/>
      <w:pPr>
        <w:ind w:left="644" w:hanging="720"/>
      </w:pPr>
      <w:rPr>
        <w:rFonts w:hint="default"/>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45" w15:restartNumberingAfterBreak="0">
    <w:nsid w:val="6BA452E1"/>
    <w:multiLevelType w:val="hybridMultilevel"/>
    <w:tmpl w:val="6D20E818"/>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C3D25F3"/>
    <w:multiLevelType w:val="hybridMultilevel"/>
    <w:tmpl w:val="7A3CBF0A"/>
    <w:lvl w:ilvl="0" w:tplc="792E4E48">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D093FB0"/>
    <w:multiLevelType w:val="hybridMultilevel"/>
    <w:tmpl w:val="19868810"/>
    <w:lvl w:ilvl="0" w:tplc="FE3A98CE">
      <w:numFmt w:val="bullet"/>
      <w:lvlText w:val=""/>
      <w:lvlJc w:val="left"/>
      <w:pPr>
        <w:ind w:left="1004" w:hanging="360"/>
      </w:pPr>
      <w:rPr>
        <w:rFonts w:ascii="Symbol" w:eastAsiaTheme="minorHAnsi" w:hAnsi="Symbol" w:cstheme="minorBidi"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9" w15:restartNumberingAfterBreak="0">
    <w:nsid w:val="6F1431F4"/>
    <w:multiLevelType w:val="hybridMultilevel"/>
    <w:tmpl w:val="1CDA53FE"/>
    <w:lvl w:ilvl="0" w:tplc="04D4A6B8">
      <w:start w:val="2"/>
      <w:numFmt w:val="bullet"/>
      <w:lvlText w:val="-"/>
      <w:lvlJc w:val="left"/>
      <w:pPr>
        <w:ind w:left="720" w:hanging="360"/>
      </w:pPr>
      <w:rPr>
        <w:rFonts w:ascii="Arial" w:eastAsiaTheme="minorHAnsi" w:hAnsi="Arial" w:cs="Aria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FA563B7"/>
    <w:multiLevelType w:val="hybridMultilevel"/>
    <w:tmpl w:val="557864C0"/>
    <w:lvl w:ilvl="0" w:tplc="04D4A6B8">
      <w:start w:val="2"/>
      <w:numFmt w:val="bullet"/>
      <w:lvlText w:val="-"/>
      <w:lvlJc w:val="left"/>
      <w:pPr>
        <w:ind w:left="566"/>
      </w:pPr>
      <w:rPr>
        <w:rFonts w:ascii="Arial" w:eastAsiaTheme="minorHAnsi"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12A39DE"/>
    <w:multiLevelType w:val="multilevel"/>
    <w:tmpl w:val="D8F829A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21E2AD7"/>
    <w:multiLevelType w:val="hybridMultilevel"/>
    <w:tmpl w:val="8DC2E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386301A"/>
    <w:multiLevelType w:val="multilevel"/>
    <w:tmpl w:val="AD7C1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747E529A"/>
    <w:multiLevelType w:val="hybridMultilevel"/>
    <w:tmpl w:val="26085A36"/>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3A346F"/>
    <w:multiLevelType w:val="hybridMultilevel"/>
    <w:tmpl w:val="789C706E"/>
    <w:lvl w:ilvl="0" w:tplc="FE3A98CE">
      <w:numFmt w:val="bullet"/>
      <w:lvlText w:val=""/>
      <w:lvlJc w:val="left"/>
      <w:pPr>
        <w:ind w:left="1146" w:hanging="360"/>
      </w:pPr>
      <w:rPr>
        <w:rFonts w:ascii="Symbol" w:eastAsiaTheme="minorHAnsi" w:hAnsi="Symbol" w:cstheme="minorBidi"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6" w15:restartNumberingAfterBreak="0">
    <w:nsid w:val="7D0331E6"/>
    <w:multiLevelType w:val="multilevel"/>
    <w:tmpl w:val="8EA283F8"/>
    <w:lvl w:ilvl="0">
      <w:numFmt w:val="bullet"/>
      <w:lvlText w:val=""/>
      <w:lvlJc w:val="left"/>
      <w:pPr>
        <w:tabs>
          <w:tab w:val="num" w:pos="720"/>
        </w:tabs>
        <w:ind w:left="720" w:hanging="360"/>
      </w:pPr>
      <w:rPr>
        <w:rFonts w:ascii="Symbol" w:eastAsiaTheme="minorHAnsi" w:hAnsi="Symbol"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955261"/>
    <w:multiLevelType w:val="hybridMultilevel"/>
    <w:tmpl w:val="C3A05910"/>
    <w:lvl w:ilvl="0" w:tplc="FE3A98CE">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05961817">
    <w:abstractNumId w:val="47"/>
  </w:num>
  <w:num w:numId="2" w16cid:durableId="317736998">
    <w:abstractNumId w:val="22"/>
  </w:num>
  <w:num w:numId="3" w16cid:durableId="193545589">
    <w:abstractNumId w:val="4"/>
  </w:num>
  <w:num w:numId="4" w16cid:durableId="1368022679">
    <w:abstractNumId w:val="3"/>
  </w:num>
  <w:num w:numId="5" w16cid:durableId="482702259">
    <w:abstractNumId w:val="2"/>
  </w:num>
  <w:num w:numId="6" w16cid:durableId="1666591962">
    <w:abstractNumId w:val="1"/>
  </w:num>
  <w:num w:numId="7" w16cid:durableId="1756392278">
    <w:abstractNumId w:val="0"/>
  </w:num>
  <w:num w:numId="8" w16cid:durableId="2146071909">
    <w:abstractNumId w:val="38"/>
  </w:num>
  <w:num w:numId="9" w16cid:durableId="42020744">
    <w:abstractNumId w:val="51"/>
  </w:num>
  <w:num w:numId="10" w16cid:durableId="593712993">
    <w:abstractNumId w:val="52"/>
  </w:num>
  <w:num w:numId="11" w16cid:durableId="2135563877">
    <w:abstractNumId w:val="49"/>
  </w:num>
  <w:num w:numId="12" w16cid:durableId="986055805">
    <w:abstractNumId w:val="6"/>
  </w:num>
  <w:num w:numId="13" w16cid:durableId="1691298454">
    <w:abstractNumId w:val="41"/>
  </w:num>
  <w:num w:numId="14" w16cid:durableId="1841843952">
    <w:abstractNumId w:val="36"/>
  </w:num>
  <w:num w:numId="15" w16cid:durableId="232934143">
    <w:abstractNumId w:val="11"/>
  </w:num>
  <w:num w:numId="16" w16cid:durableId="1882746879">
    <w:abstractNumId w:val="14"/>
  </w:num>
  <w:num w:numId="17" w16cid:durableId="1215853336">
    <w:abstractNumId w:val="34"/>
  </w:num>
  <w:num w:numId="18" w16cid:durableId="643437637">
    <w:abstractNumId w:val="53"/>
  </w:num>
  <w:num w:numId="19" w16cid:durableId="1368406539">
    <w:abstractNumId w:val="30"/>
  </w:num>
  <w:num w:numId="20" w16cid:durableId="2075005905">
    <w:abstractNumId w:val="44"/>
  </w:num>
  <w:num w:numId="21" w16cid:durableId="1878663769">
    <w:abstractNumId w:val="5"/>
  </w:num>
  <w:num w:numId="22" w16cid:durableId="1851942161">
    <w:abstractNumId w:val="8"/>
  </w:num>
  <w:num w:numId="23" w16cid:durableId="334379248">
    <w:abstractNumId w:val="15"/>
  </w:num>
  <w:num w:numId="24" w16cid:durableId="240717799">
    <w:abstractNumId w:val="28"/>
  </w:num>
  <w:num w:numId="25" w16cid:durableId="1303194151">
    <w:abstractNumId w:val="55"/>
  </w:num>
  <w:num w:numId="26" w16cid:durableId="1306742243">
    <w:abstractNumId w:val="57"/>
  </w:num>
  <w:num w:numId="27" w16cid:durableId="926885586">
    <w:abstractNumId w:val="16"/>
  </w:num>
  <w:num w:numId="28" w16cid:durableId="2130660017">
    <w:abstractNumId w:val="37"/>
  </w:num>
  <w:num w:numId="29" w16cid:durableId="900293959">
    <w:abstractNumId w:val="18"/>
  </w:num>
  <w:num w:numId="30" w16cid:durableId="756754369">
    <w:abstractNumId w:val="27"/>
  </w:num>
  <w:num w:numId="31" w16cid:durableId="1667442835">
    <w:abstractNumId w:val="31"/>
  </w:num>
  <w:num w:numId="32" w16cid:durableId="996227019">
    <w:abstractNumId w:val="39"/>
  </w:num>
  <w:num w:numId="33" w16cid:durableId="662587655">
    <w:abstractNumId w:val="43"/>
  </w:num>
  <w:num w:numId="34" w16cid:durableId="1239905774">
    <w:abstractNumId w:val="50"/>
  </w:num>
  <w:num w:numId="35" w16cid:durableId="1956599814">
    <w:abstractNumId w:val="12"/>
  </w:num>
  <w:num w:numId="36" w16cid:durableId="433787716">
    <w:abstractNumId w:val="24"/>
  </w:num>
  <w:num w:numId="37" w16cid:durableId="1048146300">
    <w:abstractNumId w:val="10"/>
  </w:num>
  <w:num w:numId="38" w16cid:durableId="1852521355">
    <w:abstractNumId w:val="54"/>
  </w:num>
  <w:num w:numId="39" w16cid:durableId="200409496">
    <w:abstractNumId w:val="17"/>
  </w:num>
  <w:num w:numId="40" w16cid:durableId="1700008307">
    <w:abstractNumId w:val="33"/>
  </w:num>
  <w:num w:numId="41" w16cid:durableId="309556019">
    <w:abstractNumId w:val="29"/>
  </w:num>
  <w:num w:numId="42" w16cid:durableId="921721268">
    <w:abstractNumId w:val="40"/>
  </w:num>
  <w:num w:numId="43" w16cid:durableId="619534684">
    <w:abstractNumId w:val="45"/>
  </w:num>
  <w:num w:numId="44" w16cid:durableId="1969357944">
    <w:abstractNumId w:val="26"/>
  </w:num>
  <w:num w:numId="45" w16cid:durableId="398360386">
    <w:abstractNumId w:val="56"/>
  </w:num>
  <w:num w:numId="46" w16cid:durableId="1293171139">
    <w:abstractNumId w:val="32"/>
  </w:num>
  <w:num w:numId="47" w16cid:durableId="753472700">
    <w:abstractNumId w:val="19"/>
  </w:num>
  <w:num w:numId="48" w16cid:durableId="659188360">
    <w:abstractNumId w:val="7"/>
  </w:num>
  <w:num w:numId="49" w16cid:durableId="670106252">
    <w:abstractNumId w:val="48"/>
  </w:num>
  <w:num w:numId="50" w16cid:durableId="245501373">
    <w:abstractNumId w:val="21"/>
  </w:num>
  <w:num w:numId="51" w16cid:durableId="201600685">
    <w:abstractNumId w:val="42"/>
  </w:num>
  <w:num w:numId="52" w16cid:durableId="475995339">
    <w:abstractNumId w:val="25"/>
  </w:num>
  <w:num w:numId="53" w16cid:durableId="240867645">
    <w:abstractNumId w:val="46"/>
  </w:num>
  <w:num w:numId="54" w16cid:durableId="144203466">
    <w:abstractNumId w:val="23"/>
  </w:num>
  <w:num w:numId="55" w16cid:durableId="1975671556">
    <w:abstractNumId w:val="9"/>
  </w:num>
  <w:num w:numId="56" w16cid:durableId="666401124">
    <w:abstractNumId w:val="20"/>
  </w:num>
  <w:num w:numId="57" w16cid:durableId="1202328869">
    <w:abstractNumId w:val="13"/>
  </w:num>
  <w:num w:numId="58" w16cid:durableId="1461849708">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116D"/>
    <w:rsid w:val="00001235"/>
    <w:rsid w:val="0000177E"/>
    <w:rsid w:val="00001E45"/>
    <w:rsid w:val="000028D1"/>
    <w:rsid w:val="00002A34"/>
    <w:rsid w:val="0000676A"/>
    <w:rsid w:val="00006C7D"/>
    <w:rsid w:val="00010ED9"/>
    <w:rsid w:val="00011E27"/>
    <w:rsid w:val="00011EEC"/>
    <w:rsid w:val="000127ED"/>
    <w:rsid w:val="00013AE8"/>
    <w:rsid w:val="00013B3C"/>
    <w:rsid w:val="000161D3"/>
    <w:rsid w:val="00017638"/>
    <w:rsid w:val="00017CDE"/>
    <w:rsid w:val="0002053B"/>
    <w:rsid w:val="000206F7"/>
    <w:rsid w:val="00020D90"/>
    <w:rsid w:val="000214AB"/>
    <w:rsid w:val="0002199E"/>
    <w:rsid w:val="00021CF1"/>
    <w:rsid w:val="00022DF0"/>
    <w:rsid w:val="00023177"/>
    <w:rsid w:val="00023F8F"/>
    <w:rsid w:val="000247DF"/>
    <w:rsid w:val="00025864"/>
    <w:rsid w:val="00025C11"/>
    <w:rsid w:val="00025DDE"/>
    <w:rsid w:val="00027705"/>
    <w:rsid w:val="00027BDE"/>
    <w:rsid w:val="00030D42"/>
    <w:rsid w:val="00030D5C"/>
    <w:rsid w:val="000315E6"/>
    <w:rsid w:val="00031EFA"/>
    <w:rsid w:val="00033CB1"/>
    <w:rsid w:val="00034054"/>
    <w:rsid w:val="000349DE"/>
    <w:rsid w:val="00034F2F"/>
    <w:rsid w:val="00036249"/>
    <w:rsid w:val="000373E0"/>
    <w:rsid w:val="00037F86"/>
    <w:rsid w:val="000402BE"/>
    <w:rsid w:val="00042041"/>
    <w:rsid w:val="00043141"/>
    <w:rsid w:val="0004354C"/>
    <w:rsid w:val="00043C3A"/>
    <w:rsid w:val="000453C2"/>
    <w:rsid w:val="00045CFA"/>
    <w:rsid w:val="00051100"/>
    <w:rsid w:val="00051AAF"/>
    <w:rsid w:val="00051FDA"/>
    <w:rsid w:val="000520E5"/>
    <w:rsid w:val="000525F7"/>
    <w:rsid w:val="00052A09"/>
    <w:rsid w:val="00052E33"/>
    <w:rsid w:val="00052F4A"/>
    <w:rsid w:val="00054EC1"/>
    <w:rsid w:val="00055FC5"/>
    <w:rsid w:val="0005732D"/>
    <w:rsid w:val="000578F8"/>
    <w:rsid w:val="00057D56"/>
    <w:rsid w:val="0006023B"/>
    <w:rsid w:val="000606C5"/>
    <w:rsid w:val="00060FDC"/>
    <w:rsid w:val="00061283"/>
    <w:rsid w:val="00061EB8"/>
    <w:rsid w:val="00062469"/>
    <w:rsid w:val="00062CAA"/>
    <w:rsid w:val="00063123"/>
    <w:rsid w:val="00064BAE"/>
    <w:rsid w:val="00065938"/>
    <w:rsid w:val="00067A62"/>
    <w:rsid w:val="00067D45"/>
    <w:rsid w:val="00070578"/>
    <w:rsid w:val="000709F4"/>
    <w:rsid w:val="00072866"/>
    <w:rsid w:val="000733D4"/>
    <w:rsid w:val="000744E0"/>
    <w:rsid w:val="00074F0C"/>
    <w:rsid w:val="00075444"/>
    <w:rsid w:val="0007621F"/>
    <w:rsid w:val="0007664D"/>
    <w:rsid w:val="00076B3F"/>
    <w:rsid w:val="00077321"/>
    <w:rsid w:val="000778C4"/>
    <w:rsid w:val="000779CD"/>
    <w:rsid w:val="00077D61"/>
    <w:rsid w:val="00080FBC"/>
    <w:rsid w:val="00081228"/>
    <w:rsid w:val="00081B0F"/>
    <w:rsid w:val="00081B68"/>
    <w:rsid w:val="000831BE"/>
    <w:rsid w:val="000845D1"/>
    <w:rsid w:val="000852B4"/>
    <w:rsid w:val="00085636"/>
    <w:rsid w:val="00085F8E"/>
    <w:rsid w:val="00085F96"/>
    <w:rsid w:val="00086280"/>
    <w:rsid w:val="000879BC"/>
    <w:rsid w:val="00087E40"/>
    <w:rsid w:val="0009009E"/>
    <w:rsid w:val="0009060F"/>
    <w:rsid w:val="000922B7"/>
    <w:rsid w:val="0009307F"/>
    <w:rsid w:val="00093834"/>
    <w:rsid w:val="00093C7F"/>
    <w:rsid w:val="00094C36"/>
    <w:rsid w:val="00095E73"/>
    <w:rsid w:val="0009615B"/>
    <w:rsid w:val="000962A2"/>
    <w:rsid w:val="000962F9"/>
    <w:rsid w:val="000963CE"/>
    <w:rsid w:val="000971E1"/>
    <w:rsid w:val="0009784B"/>
    <w:rsid w:val="00097AF7"/>
    <w:rsid w:val="000A04AC"/>
    <w:rsid w:val="000A10CB"/>
    <w:rsid w:val="000A208A"/>
    <w:rsid w:val="000A4917"/>
    <w:rsid w:val="000A4ABA"/>
    <w:rsid w:val="000A5471"/>
    <w:rsid w:val="000A56DB"/>
    <w:rsid w:val="000A5AD1"/>
    <w:rsid w:val="000A5B31"/>
    <w:rsid w:val="000A6139"/>
    <w:rsid w:val="000A6A60"/>
    <w:rsid w:val="000A7CC2"/>
    <w:rsid w:val="000A7F52"/>
    <w:rsid w:val="000B0508"/>
    <w:rsid w:val="000B05EB"/>
    <w:rsid w:val="000B110E"/>
    <w:rsid w:val="000B14BE"/>
    <w:rsid w:val="000B22DD"/>
    <w:rsid w:val="000B33F6"/>
    <w:rsid w:val="000B3BAF"/>
    <w:rsid w:val="000B3DC3"/>
    <w:rsid w:val="000B5157"/>
    <w:rsid w:val="000B572B"/>
    <w:rsid w:val="000B75B6"/>
    <w:rsid w:val="000B7670"/>
    <w:rsid w:val="000C0D15"/>
    <w:rsid w:val="000C34FE"/>
    <w:rsid w:val="000C39A5"/>
    <w:rsid w:val="000C3E00"/>
    <w:rsid w:val="000C4AE5"/>
    <w:rsid w:val="000C4EAE"/>
    <w:rsid w:val="000C628A"/>
    <w:rsid w:val="000C683A"/>
    <w:rsid w:val="000C76B9"/>
    <w:rsid w:val="000D06F6"/>
    <w:rsid w:val="000D106D"/>
    <w:rsid w:val="000D2447"/>
    <w:rsid w:val="000D26BF"/>
    <w:rsid w:val="000D3F62"/>
    <w:rsid w:val="000D41D2"/>
    <w:rsid w:val="000D6BB3"/>
    <w:rsid w:val="000D732E"/>
    <w:rsid w:val="000D7CB5"/>
    <w:rsid w:val="000E092C"/>
    <w:rsid w:val="000E09F1"/>
    <w:rsid w:val="000E1722"/>
    <w:rsid w:val="000E1EED"/>
    <w:rsid w:val="000E24CF"/>
    <w:rsid w:val="000E2A86"/>
    <w:rsid w:val="000E2DA6"/>
    <w:rsid w:val="000E3104"/>
    <w:rsid w:val="000E4DE0"/>
    <w:rsid w:val="000E50B6"/>
    <w:rsid w:val="000E62D1"/>
    <w:rsid w:val="000E707C"/>
    <w:rsid w:val="000E7621"/>
    <w:rsid w:val="000E7962"/>
    <w:rsid w:val="000F091F"/>
    <w:rsid w:val="000F133D"/>
    <w:rsid w:val="000F1E93"/>
    <w:rsid w:val="000F3FD3"/>
    <w:rsid w:val="000F42C2"/>
    <w:rsid w:val="000F6244"/>
    <w:rsid w:val="000F6B05"/>
    <w:rsid w:val="000F7686"/>
    <w:rsid w:val="0010163D"/>
    <w:rsid w:val="001022FE"/>
    <w:rsid w:val="00102A90"/>
    <w:rsid w:val="00104798"/>
    <w:rsid w:val="0010694F"/>
    <w:rsid w:val="00107739"/>
    <w:rsid w:val="00107B28"/>
    <w:rsid w:val="00107B51"/>
    <w:rsid w:val="00110072"/>
    <w:rsid w:val="0011026B"/>
    <w:rsid w:val="0011070F"/>
    <w:rsid w:val="00110CFC"/>
    <w:rsid w:val="0011248B"/>
    <w:rsid w:val="0011276E"/>
    <w:rsid w:val="001127ED"/>
    <w:rsid w:val="001133EE"/>
    <w:rsid w:val="001137A5"/>
    <w:rsid w:val="0011441D"/>
    <w:rsid w:val="001144AA"/>
    <w:rsid w:val="001146EC"/>
    <w:rsid w:val="0011541D"/>
    <w:rsid w:val="0011593A"/>
    <w:rsid w:val="00116A5B"/>
    <w:rsid w:val="00116DFE"/>
    <w:rsid w:val="0011723E"/>
    <w:rsid w:val="001216EB"/>
    <w:rsid w:val="0012361E"/>
    <w:rsid w:val="001240D7"/>
    <w:rsid w:val="00125502"/>
    <w:rsid w:val="00125C1F"/>
    <w:rsid w:val="00126E01"/>
    <w:rsid w:val="00126E29"/>
    <w:rsid w:val="00130CA6"/>
    <w:rsid w:val="00130D04"/>
    <w:rsid w:val="001332C4"/>
    <w:rsid w:val="00133994"/>
    <w:rsid w:val="00134256"/>
    <w:rsid w:val="00137663"/>
    <w:rsid w:val="00140818"/>
    <w:rsid w:val="0014093F"/>
    <w:rsid w:val="00141117"/>
    <w:rsid w:val="00142520"/>
    <w:rsid w:val="00142A26"/>
    <w:rsid w:val="001434FD"/>
    <w:rsid w:val="001439DD"/>
    <w:rsid w:val="00144640"/>
    <w:rsid w:val="00145506"/>
    <w:rsid w:val="0014557E"/>
    <w:rsid w:val="00145992"/>
    <w:rsid w:val="00146543"/>
    <w:rsid w:val="00146E95"/>
    <w:rsid w:val="0014708E"/>
    <w:rsid w:val="0015066C"/>
    <w:rsid w:val="00150751"/>
    <w:rsid w:val="00150769"/>
    <w:rsid w:val="00150E1F"/>
    <w:rsid w:val="001514A7"/>
    <w:rsid w:val="001517FA"/>
    <w:rsid w:val="00154434"/>
    <w:rsid w:val="00155259"/>
    <w:rsid w:val="001576CB"/>
    <w:rsid w:val="00157B4F"/>
    <w:rsid w:val="00157B5B"/>
    <w:rsid w:val="001606B7"/>
    <w:rsid w:val="00160E83"/>
    <w:rsid w:val="001630F2"/>
    <w:rsid w:val="00163A00"/>
    <w:rsid w:val="00164042"/>
    <w:rsid w:val="001650BE"/>
    <w:rsid w:val="00165443"/>
    <w:rsid w:val="00166CD6"/>
    <w:rsid w:val="00170FE3"/>
    <w:rsid w:val="001718A4"/>
    <w:rsid w:val="00171CFB"/>
    <w:rsid w:val="0017243D"/>
    <w:rsid w:val="00172535"/>
    <w:rsid w:val="001725B5"/>
    <w:rsid w:val="00172F31"/>
    <w:rsid w:val="0017302B"/>
    <w:rsid w:val="00173474"/>
    <w:rsid w:val="0017623C"/>
    <w:rsid w:val="0017658C"/>
    <w:rsid w:val="001769D4"/>
    <w:rsid w:val="00176B8D"/>
    <w:rsid w:val="00177C29"/>
    <w:rsid w:val="00180A6D"/>
    <w:rsid w:val="00181471"/>
    <w:rsid w:val="00182080"/>
    <w:rsid w:val="00183180"/>
    <w:rsid w:val="001838B2"/>
    <w:rsid w:val="0018430B"/>
    <w:rsid w:val="00184360"/>
    <w:rsid w:val="001855C3"/>
    <w:rsid w:val="00185AED"/>
    <w:rsid w:val="00191BBE"/>
    <w:rsid w:val="00192016"/>
    <w:rsid w:val="00192305"/>
    <w:rsid w:val="00192693"/>
    <w:rsid w:val="0019287B"/>
    <w:rsid w:val="00192B36"/>
    <w:rsid w:val="00193307"/>
    <w:rsid w:val="0019391D"/>
    <w:rsid w:val="00194B24"/>
    <w:rsid w:val="001958C9"/>
    <w:rsid w:val="00195A43"/>
    <w:rsid w:val="00195CFB"/>
    <w:rsid w:val="001963D0"/>
    <w:rsid w:val="00196493"/>
    <w:rsid w:val="001977C2"/>
    <w:rsid w:val="001A0E04"/>
    <w:rsid w:val="001A0FAD"/>
    <w:rsid w:val="001A1525"/>
    <w:rsid w:val="001A1D21"/>
    <w:rsid w:val="001A21D0"/>
    <w:rsid w:val="001A2797"/>
    <w:rsid w:val="001A42BF"/>
    <w:rsid w:val="001A544A"/>
    <w:rsid w:val="001A54FE"/>
    <w:rsid w:val="001A5DAD"/>
    <w:rsid w:val="001A774B"/>
    <w:rsid w:val="001A7966"/>
    <w:rsid w:val="001B0EBE"/>
    <w:rsid w:val="001B12F1"/>
    <w:rsid w:val="001B1693"/>
    <w:rsid w:val="001B1BB4"/>
    <w:rsid w:val="001B2488"/>
    <w:rsid w:val="001B288E"/>
    <w:rsid w:val="001B2D5D"/>
    <w:rsid w:val="001B2DF6"/>
    <w:rsid w:val="001B3E5B"/>
    <w:rsid w:val="001B4EF8"/>
    <w:rsid w:val="001B5A37"/>
    <w:rsid w:val="001C12CC"/>
    <w:rsid w:val="001C189C"/>
    <w:rsid w:val="001C2281"/>
    <w:rsid w:val="001C3A8D"/>
    <w:rsid w:val="001C445E"/>
    <w:rsid w:val="001C44E4"/>
    <w:rsid w:val="001C750F"/>
    <w:rsid w:val="001C7E9C"/>
    <w:rsid w:val="001D0114"/>
    <w:rsid w:val="001D0E58"/>
    <w:rsid w:val="001D17A1"/>
    <w:rsid w:val="001D6649"/>
    <w:rsid w:val="001D7605"/>
    <w:rsid w:val="001E082E"/>
    <w:rsid w:val="001E1145"/>
    <w:rsid w:val="001E191C"/>
    <w:rsid w:val="001E6A2F"/>
    <w:rsid w:val="001E7614"/>
    <w:rsid w:val="001E7899"/>
    <w:rsid w:val="001F0AB8"/>
    <w:rsid w:val="001F0E21"/>
    <w:rsid w:val="001F0FCD"/>
    <w:rsid w:val="001F48E7"/>
    <w:rsid w:val="001F5354"/>
    <w:rsid w:val="001F60DA"/>
    <w:rsid w:val="001F792B"/>
    <w:rsid w:val="001F7AF5"/>
    <w:rsid w:val="00201C12"/>
    <w:rsid w:val="0020561D"/>
    <w:rsid w:val="0020626D"/>
    <w:rsid w:val="002073BC"/>
    <w:rsid w:val="0020745A"/>
    <w:rsid w:val="00207829"/>
    <w:rsid w:val="00207B45"/>
    <w:rsid w:val="00207FA4"/>
    <w:rsid w:val="002117CE"/>
    <w:rsid w:val="00212321"/>
    <w:rsid w:val="00212579"/>
    <w:rsid w:val="0021300C"/>
    <w:rsid w:val="002142D9"/>
    <w:rsid w:val="002145D4"/>
    <w:rsid w:val="00215BD2"/>
    <w:rsid w:val="00215DEF"/>
    <w:rsid w:val="0021615A"/>
    <w:rsid w:val="00216335"/>
    <w:rsid w:val="0021652A"/>
    <w:rsid w:val="00217925"/>
    <w:rsid w:val="00220C32"/>
    <w:rsid w:val="002212FD"/>
    <w:rsid w:val="00221483"/>
    <w:rsid w:val="0022204F"/>
    <w:rsid w:val="002227B4"/>
    <w:rsid w:val="00222A04"/>
    <w:rsid w:val="00223394"/>
    <w:rsid w:val="00223442"/>
    <w:rsid w:val="0022370F"/>
    <w:rsid w:val="00224B27"/>
    <w:rsid w:val="002256FA"/>
    <w:rsid w:val="0022585C"/>
    <w:rsid w:val="00226348"/>
    <w:rsid w:val="00226653"/>
    <w:rsid w:val="0022746C"/>
    <w:rsid w:val="00230510"/>
    <w:rsid w:val="00231C58"/>
    <w:rsid w:val="0023307C"/>
    <w:rsid w:val="00233AC7"/>
    <w:rsid w:val="00233F3A"/>
    <w:rsid w:val="00234294"/>
    <w:rsid w:val="002343CD"/>
    <w:rsid w:val="00234DE3"/>
    <w:rsid w:val="00235624"/>
    <w:rsid w:val="00235796"/>
    <w:rsid w:val="0023721A"/>
    <w:rsid w:val="002375D8"/>
    <w:rsid w:val="00240321"/>
    <w:rsid w:val="0024089B"/>
    <w:rsid w:val="00241112"/>
    <w:rsid w:val="00241244"/>
    <w:rsid w:val="002419E6"/>
    <w:rsid w:val="00241D38"/>
    <w:rsid w:val="002425E2"/>
    <w:rsid w:val="0024372C"/>
    <w:rsid w:val="00243C27"/>
    <w:rsid w:val="00243C2B"/>
    <w:rsid w:val="002447F2"/>
    <w:rsid w:val="002473CD"/>
    <w:rsid w:val="00247532"/>
    <w:rsid w:val="002500B4"/>
    <w:rsid w:val="00250385"/>
    <w:rsid w:val="00251056"/>
    <w:rsid w:val="00251507"/>
    <w:rsid w:val="00251D7A"/>
    <w:rsid w:val="00252D42"/>
    <w:rsid w:val="00253D8D"/>
    <w:rsid w:val="0025401D"/>
    <w:rsid w:val="002544C4"/>
    <w:rsid w:val="002549E1"/>
    <w:rsid w:val="00255BCC"/>
    <w:rsid w:val="002564D7"/>
    <w:rsid w:val="0026178F"/>
    <w:rsid w:val="002623FA"/>
    <w:rsid w:val="00265546"/>
    <w:rsid w:val="00265748"/>
    <w:rsid w:val="00265E72"/>
    <w:rsid w:val="00266638"/>
    <w:rsid w:val="00266FE7"/>
    <w:rsid w:val="002671CD"/>
    <w:rsid w:val="0026748D"/>
    <w:rsid w:val="0026748F"/>
    <w:rsid w:val="00267614"/>
    <w:rsid w:val="0026761C"/>
    <w:rsid w:val="002677F8"/>
    <w:rsid w:val="00267DB0"/>
    <w:rsid w:val="00271DE7"/>
    <w:rsid w:val="00272337"/>
    <w:rsid w:val="002746B0"/>
    <w:rsid w:val="00275E26"/>
    <w:rsid w:val="00276D8C"/>
    <w:rsid w:val="00276F61"/>
    <w:rsid w:val="002803E5"/>
    <w:rsid w:val="00280AEF"/>
    <w:rsid w:val="00280DE7"/>
    <w:rsid w:val="00280E84"/>
    <w:rsid w:val="0028127D"/>
    <w:rsid w:val="00281641"/>
    <w:rsid w:val="00281955"/>
    <w:rsid w:val="00281A82"/>
    <w:rsid w:val="0028226E"/>
    <w:rsid w:val="00283345"/>
    <w:rsid w:val="00283386"/>
    <w:rsid w:val="00284D88"/>
    <w:rsid w:val="00284EA4"/>
    <w:rsid w:val="00285D36"/>
    <w:rsid w:val="002866F1"/>
    <w:rsid w:val="00286B00"/>
    <w:rsid w:val="00286D44"/>
    <w:rsid w:val="002906A5"/>
    <w:rsid w:val="002907C4"/>
    <w:rsid w:val="00290D26"/>
    <w:rsid w:val="00291028"/>
    <w:rsid w:val="00291066"/>
    <w:rsid w:val="00292162"/>
    <w:rsid w:val="0029257B"/>
    <w:rsid w:val="00293379"/>
    <w:rsid w:val="002940EE"/>
    <w:rsid w:val="002947E3"/>
    <w:rsid w:val="00294C68"/>
    <w:rsid w:val="002954D2"/>
    <w:rsid w:val="00295E81"/>
    <w:rsid w:val="002960EF"/>
    <w:rsid w:val="00296419"/>
    <w:rsid w:val="0029660D"/>
    <w:rsid w:val="00296640"/>
    <w:rsid w:val="002969CC"/>
    <w:rsid w:val="00296A4D"/>
    <w:rsid w:val="0029700D"/>
    <w:rsid w:val="002971C3"/>
    <w:rsid w:val="00297E6D"/>
    <w:rsid w:val="002A006B"/>
    <w:rsid w:val="002A062F"/>
    <w:rsid w:val="002A0DE8"/>
    <w:rsid w:val="002A18A1"/>
    <w:rsid w:val="002A3783"/>
    <w:rsid w:val="002A4E9A"/>
    <w:rsid w:val="002A5661"/>
    <w:rsid w:val="002A6086"/>
    <w:rsid w:val="002A6FD5"/>
    <w:rsid w:val="002B0946"/>
    <w:rsid w:val="002B0BCC"/>
    <w:rsid w:val="002B16AF"/>
    <w:rsid w:val="002B183A"/>
    <w:rsid w:val="002B2759"/>
    <w:rsid w:val="002B2DE8"/>
    <w:rsid w:val="002B5625"/>
    <w:rsid w:val="002B6509"/>
    <w:rsid w:val="002B6F12"/>
    <w:rsid w:val="002B70C0"/>
    <w:rsid w:val="002B7459"/>
    <w:rsid w:val="002B7756"/>
    <w:rsid w:val="002B7D47"/>
    <w:rsid w:val="002C01F9"/>
    <w:rsid w:val="002C1F59"/>
    <w:rsid w:val="002C22E8"/>
    <w:rsid w:val="002C3B10"/>
    <w:rsid w:val="002C3DAB"/>
    <w:rsid w:val="002C4714"/>
    <w:rsid w:val="002C4C81"/>
    <w:rsid w:val="002C527C"/>
    <w:rsid w:val="002C60AE"/>
    <w:rsid w:val="002C76E7"/>
    <w:rsid w:val="002C76F1"/>
    <w:rsid w:val="002D1E49"/>
    <w:rsid w:val="002D2186"/>
    <w:rsid w:val="002D2689"/>
    <w:rsid w:val="002D2D69"/>
    <w:rsid w:val="002D388F"/>
    <w:rsid w:val="002D38A8"/>
    <w:rsid w:val="002D517D"/>
    <w:rsid w:val="002D5C41"/>
    <w:rsid w:val="002D5CCE"/>
    <w:rsid w:val="002D5ED4"/>
    <w:rsid w:val="002D637D"/>
    <w:rsid w:val="002D6470"/>
    <w:rsid w:val="002D661A"/>
    <w:rsid w:val="002D677A"/>
    <w:rsid w:val="002D7A7A"/>
    <w:rsid w:val="002D7B9E"/>
    <w:rsid w:val="002D7F91"/>
    <w:rsid w:val="002E0385"/>
    <w:rsid w:val="002E13A6"/>
    <w:rsid w:val="002E1888"/>
    <w:rsid w:val="002E2ADE"/>
    <w:rsid w:val="002E3399"/>
    <w:rsid w:val="002E3A55"/>
    <w:rsid w:val="002E5F78"/>
    <w:rsid w:val="002E6AF6"/>
    <w:rsid w:val="002E7AE8"/>
    <w:rsid w:val="002F1D05"/>
    <w:rsid w:val="002F23F9"/>
    <w:rsid w:val="002F344B"/>
    <w:rsid w:val="002F430A"/>
    <w:rsid w:val="002F44A5"/>
    <w:rsid w:val="002F455D"/>
    <w:rsid w:val="002F4C73"/>
    <w:rsid w:val="002F5C75"/>
    <w:rsid w:val="002F6AB3"/>
    <w:rsid w:val="002F7D42"/>
    <w:rsid w:val="00302B43"/>
    <w:rsid w:val="0030338F"/>
    <w:rsid w:val="003033D7"/>
    <w:rsid w:val="003037B8"/>
    <w:rsid w:val="00305614"/>
    <w:rsid w:val="003072B8"/>
    <w:rsid w:val="0030741E"/>
    <w:rsid w:val="00307A13"/>
    <w:rsid w:val="0031176D"/>
    <w:rsid w:val="00311C1E"/>
    <w:rsid w:val="003123F3"/>
    <w:rsid w:val="00312846"/>
    <w:rsid w:val="00313633"/>
    <w:rsid w:val="00314376"/>
    <w:rsid w:val="00314758"/>
    <w:rsid w:val="003147EF"/>
    <w:rsid w:val="00314AAB"/>
    <w:rsid w:val="00314C9F"/>
    <w:rsid w:val="00314F67"/>
    <w:rsid w:val="003162D3"/>
    <w:rsid w:val="00316FFE"/>
    <w:rsid w:val="00317210"/>
    <w:rsid w:val="0032073D"/>
    <w:rsid w:val="003207E3"/>
    <w:rsid w:val="00322FE5"/>
    <w:rsid w:val="003231A7"/>
    <w:rsid w:val="003241D7"/>
    <w:rsid w:val="00324CD0"/>
    <w:rsid w:val="00324E56"/>
    <w:rsid w:val="00325AD8"/>
    <w:rsid w:val="003261C4"/>
    <w:rsid w:val="0032625C"/>
    <w:rsid w:val="0032634C"/>
    <w:rsid w:val="003271A1"/>
    <w:rsid w:val="003307E7"/>
    <w:rsid w:val="0033273C"/>
    <w:rsid w:val="003327FD"/>
    <w:rsid w:val="00332F95"/>
    <w:rsid w:val="0033395E"/>
    <w:rsid w:val="003343C5"/>
    <w:rsid w:val="003348B6"/>
    <w:rsid w:val="003361CF"/>
    <w:rsid w:val="00336B24"/>
    <w:rsid w:val="003375AD"/>
    <w:rsid w:val="003379BD"/>
    <w:rsid w:val="00340690"/>
    <w:rsid w:val="00342017"/>
    <w:rsid w:val="003423E5"/>
    <w:rsid w:val="00342664"/>
    <w:rsid w:val="00342A46"/>
    <w:rsid w:val="00344E4D"/>
    <w:rsid w:val="003452CF"/>
    <w:rsid w:val="00345F43"/>
    <w:rsid w:val="00345F8B"/>
    <w:rsid w:val="003467DD"/>
    <w:rsid w:val="00346D73"/>
    <w:rsid w:val="003471E2"/>
    <w:rsid w:val="003503C3"/>
    <w:rsid w:val="00350BE2"/>
    <w:rsid w:val="00350CEF"/>
    <w:rsid w:val="00351A44"/>
    <w:rsid w:val="00356E20"/>
    <w:rsid w:val="0036003D"/>
    <w:rsid w:val="003600EC"/>
    <w:rsid w:val="00360E0E"/>
    <w:rsid w:val="003617D0"/>
    <w:rsid w:val="00365F17"/>
    <w:rsid w:val="00366881"/>
    <w:rsid w:val="00367451"/>
    <w:rsid w:val="003701EB"/>
    <w:rsid w:val="00370A2E"/>
    <w:rsid w:val="00370B07"/>
    <w:rsid w:val="00370C8F"/>
    <w:rsid w:val="00370E70"/>
    <w:rsid w:val="00371000"/>
    <w:rsid w:val="003717AF"/>
    <w:rsid w:val="00371907"/>
    <w:rsid w:val="00372646"/>
    <w:rsid w:val="00372E40"/>
    <w:rsid w:val="00372EAD"/>
    <w:rsid w:val="0037316E"/>
    <w:rsid w:val="00373C3B"/>
    <w:rsid w:val="0037464D"/>
    <w:rsid w:val="0037657C"/>
    <w:rsid w:val="00376B80"/>
    <w:rsid w:val="00376DA6"/>
    <w:rsid w:val="003770C5"/>
    <w:rsid w:val="003772FE"/>
    <w:rsid w:val="0037772C"/>
    <w:rsid w:val="00380531"/>
    <w:rsid w:val="0038101B"/>
    <w:rsid w:val="00382792"/>
    <w:rsid w:val="00382989"/>
    <w:rsid w:val="003835C2"/>
    <w:rsid w:val="00384D69"/>
    <w:rsid w:val="00386BBD"/>
    <w:rsid w:val="003900D5"/>
    <w:rsid w:val="0039015F"/>
    <w:rsid w:val="00390990"/>
    <w:rsid w:val="003912CC"/>
    <w:rsid w:val="003913E9"/>
    <w:rsid w:val="00392432"/>
    <w:rsid w:val="00393391"/>
    <w:rsid w:val="00395D2C"/>
    <w:rsid w:val="00396A61"/>
    <w:rsid w:val="00396AF8"/>
    <w:rsid w:val="00397499"/>
    <w:rsid w:val="00397BCE"/>
    <w:rsid w:val="003A02A8"/>
    <w:rsid w:val="003A03D0"/>
    <w:rsid w:val="003A0BA3"/>
    <w:rsid w:val="003A1FE5"/>
    <w:rsid w:val="003A355A"/>
    <w:rsid w:val="003A3DE4"/>
    <w:rsid w:val="003A3F65"/>
    <w:rsid w:val="003A417D"/>
    <w:rsid w:val="003A443C"/>
    <w:rsid w:val="003A4BE4"/>
    <w:rsid w:val="003A585D"/>
    <w:rsid w:val="003A5B96"/>
    <w:rsid w:val="003A710F"/>
    <w:rsid w:val="003A774D"/>
    <w:rsid w:val="003A790F"/>
    <w:rsid w:val="003A799C"/>
    <w:rsid w:val="003B03AF"/>
    <w:rsid w:val="003B0B1C"/>
    <w:rsid w:val="003B10F9"/>
    <w:rsid w:val="003B16AE"/>
    <w:rsid w:val="003B22AB"/>
    <w:rsid w:val="003B2BF7"/>
    <w:rsid w:val="003B3329"/>
    <w:rsid w:val="003B40FF"/>
    <w:rsid w:val="003B4118"/>
    <w:rsid w:val="003B491A"/>
    <w:rsid w:val="003B59E1"/>
    <w:rsid w:val="003C0018"/>
    <w:rsid w:val="003C078B"/>
    <w:rsid w:val="003C2110"/>
    <w:rsid w:val="003C2546"/>
    <w:rsid w:val="003C2637"/>
    <w:rsid w:val="003C3B9F"/>
    <w:rsid w:val="003C4272"/>
    <w:rsid w:val="003C46F5"/>
    <w:rsid w:val="003C4A20"/>
    <w:rsid w:val="003C52F0"/>
    <w:rsid w:val="003D0509"/>
    <w:rsid w:val="003D0DBE"/>
    <w:rsid w:val="003D21E9"/>
    <w:rsid w:val="003D3433"/>
    <w:rsid w:val="003D3BD7"/>
    <w:rsid w:val="003D4894"/>
    <w:rsid w:val="003D584D"/>
    <w:rsid w:val="003D58EA"/>
    <w:rsid w:val="003D5980"/>
    <w:rsid w:val="003D5A58"/>
    <w:rsid w:val="003D6301"/>
    <w:rsid w:val="003D7406"/>
    <w:rsid w:val="003D775F"/>
    <w:rsid w:val="003D78C6"/>
    <w:rsid w:val="003D7CC7"/>
    <w:rsid w:val="003E0F6A"/>
    <w:rsid w:val="003E1DA6"/>
    <w:rsid w:val="003E2220"/>
    <w:rsid w:val="003E26DD"/>
    <w:rsid w:val="003E37C8"/>
    <w:rsid w:val="003E4872"/>
    <w:rsid w:val="003E4A19"/>
    <w:rsid w:val="003E4F8F"/>
    <w:rsid w:val="003E5943"/>
    <w:rsid w:val="003E6A26"/>
    <w:rsid w:val="003E6C42"/>
    <w:rsid w:val="003F0D63"/>
    <w:rsid w:val="003F21FA"/>
    <w:rsid w:val="003F2C98"/>
    <w:rsid w:val="003F3768"/>
    <w:rsid w:val="003F3D1A"/>
    <w:rsid w:val="003F5E86"/>
    <w:rsid w:val="0040069E"/>
    <w:rsid w:val="0040089F"/>
    <w:rsid w:val="00400D33"/>
    <w:rsid w:val="0040168B"/>
    <w:rsid w:val="00401B3B"/>
    <w:rsid w:val="00401BCC"/>
    <w:rsid w:val="00401EDB"/>
    <w:rsid w:val="004024B9"/>
    <w:rsid w:val="00402D0F"/>
    <w:rsid w:val="00403081"/>
    <w:rsid w:val="004055DA"/>
    <w:rsid w:val="004057C6"/>
    <w:rsid w:val="00406525"/>
    <w:rsid w:val="00406801"/>
    <w:rsid w:val="004070FF"/>
    <w:rsid w:val="00407AAC"/>
    <w:rsid w:val="0041080F"/>
    <w:rsid w:val="0041166F"/>
    <w:rsid w:val="00412DC5"/>
    <w:rsid w:val="00413424"/>
    <w:rsid w:val="0041342E"/>
    <w:rsid w:val="00414B34"/>
    <w:rsid w:val="00414CB7"/>
    <w:rsid w:val="00415021"/>
    <w:rsid w:val="004158A7"/>
    <w:rsid w:val="00416CF6"/>
    <w:rsid w:val="00417820"/>
    <w:rsid w:val="00420DCC"/>
    <w:rsid w:val="00421A29"/>
    <w:rsid w:val="00421B63"/>
    <w:rsid w:val="00424315"/>
    <w:rsid w:val="00425E2E"/>
    <w:rsid w:val="004267FA"/>
    <w:rsid w:val="00426890"/>
    <w:rsid w:val="00426B90"/>
    <w:rsid w:val="00427502"/>
    <w:rsid w:val="0042782E"/>
    <w:rsid w:val="0043161B"/>
    <w:rsid w:val="00431AF2"/>
    <w:rsid w:val="00431B87"/>
    <w:rsid w:val="00431C2E"/>
    <w:rsid w:val="00431F91"/>
    <w:rsid w:val="004337CB"/>
    <w:rsid w:val="00433861"/>
    <w:rsid w:val="00434B28"/>
    <w:rsid w:val="00434F5F"/>
    <w:rsid w:val="00436FC9"/>
    <w:rsid w:val="00437906"/>
    <w:rsid w:val="00437BA9"/>
    <w:rsid w:val="00441976"/>
    <w:rsid w:val="0044242A"/>
    <w:rsid w:val="00442B2D"/>
    <w:rsid w:val="00443202"/>
    <w:rsid w:val="0044369C"/>
    <w:rsid w:val="00443BD4"/>
    <w:rsid w:val="00443CAF"/>
    <w:rsid w:val="004452F8"/>
    <w:rsid w:val="00445553"/>
    <w:rsid w:val="004460CB"/>
    <w:rsid w:val="004469C6"/>
    <w:rsid w:val="004508C3"/>
    <w:rsid w:val="004513B5"/>
    <w:rsid w:val="0045263E"/>
    <w:rsid w:val="00453A4E"/>
    <w:rsid w:val="0045413F"/>
    <w:rsid w:val="00454A00"/>
    <w:rsid w:val="00455C38"/>
    <w:rsid w:val="00456891"/>
    <w:rsid w:val="00461FC9"/>
    <w:rsid w:val="0046259E"/>
    <w:rsid w:val="00462767"/>
    <w:rsid w:val="00463610"/>
    <w:rsid w:val="00463C3B"/>
    <w:rsid w:val="00463E0A"/>
    <w:rsid w:val="00464D5B"/>
    <w:rsid w:val="00465DCA"/>
    <w:rsid w:val="00466EC3"/>
    <w:rsid w:val="00470D16"/>
    <w:rsid w:val="00470DBE"/>
    <w:rsid w:val="00471195"/>
    <w:rsid w:val="0047359F"/>
    <w:rsid w:val="004745A4"/>
    <w:rsid w:val="00474D82"/>
    <w:rsid w:val="00475A8C"/>
    <w:rsid w:val="00475EFB"/>
    <w:rsid w:val="00477BE2"/>
    <w:rsid w:val="00477ECD"/>
    <w:rsid w:val="00481412"/>
    <w:rsid w:val="00481B48"/>
    <w:rsid w:val="004834CB"/>
    <w:rsid w:val="0048362A"/>
    <w:rsid w:val="0048454D"/>
    <w:rsid w:val="00484611"/>
    <w:rsid w:val="00484FDA"/>
    <w:rsid w:val="00486D43"/>
    <w:rsid w:val="00486FF4"/>
    <w:rsid w:val="00487D3F"/>
    <w:rsid w:val="00491222"/>
    <w:rsid w:val="004913C5"/>
    <w:rsid w:val="004918DC"/>
    <w:rsid w:val="0049278D"/>
    <w:rsid w:val="00492B8C"/>
    <w:rsid w:val="00492D96"/>
    <w:rsid w:val="00495679"/>
    <w:rsid w:val="00496C57"/>
    <w:rsid w:val="00497231"/>
    <w:rsid w:val="00497249"/>
    <w:rsid w:val="004979FC"/>
    <w:rsid w:val="004A0278"/>
    <w:rsid w:val="004A07F7"/>
    <w:rsid w:val="004A0A68"/>
    <w:rsid w:val="004A0B48"/>
    <w:rsid w:val="004A0FEA"/>
    <w:rsid w:val="004A2C6E"/>
    <w:rsid w:val="004A350B"/>
    <w:rsid w:val="004A37F6"/>
    <w:rsid w:val="004A4267"/>
    <w:rsid w:val="004A532D"/>
    <w:rsid w:val="004A6D7F"/>
    <w:rsid w:val="004B081F"/>
    <w:rsid w:val="004B18DB"/>
    <w:rsid w:val="004B1957"/>
    <w:rsid w:val="004B522C"/>
    <w:rsid w:val="004B6193"/>
    <w:rsid w:val="004B6AFD"/>
    <w:rsid w:val="004B71FF"/>
    <w:rsid w:val="004B7DE3"/>
    <w:rsid w:val="004C0287"/>
    <w:rsid w:val="004C0C47"/>
    <w:rsid w:val="004C2382"/>
    <w:rsid w:val="004C50DC"/>
    <w:rsid w:val="004C52EF"/>
    <w:rsid w:val="004C5901"/>
    <w:rsid w:val="004C5A37"/>
    <w:rsid w:val="004C5B83"/>
    <w:rsid w:val="004C6C6F"/>
    <w:rsid w:val="004C6D78"/>
    <w:rsid w:val="004C76ED"/>
    <w:rsid w:val="004C7E0E"/>
    <w:rsid w:val="004C7EFA"/>
    <w:rsid w:val="004D0672"/>
    <w:rsid w:val="004D17C8"/>
    <w:rsid w:val="004D1CD7"/>
    <w:rsid w:val="004D5647"/>
    <w:rsid w:val="004D5924"/>
    <w:rsid w:val="004D676F"/>
    <w:rsid w:val="004D70F1"/>
    <w:rsid w:val="004E0203"/>
    <w:rsid w:val="004E1028"/>
    <w:rsid w:val="004E3392"/>
    <w:rsid w:val="004E3572"/>
    <w:rsid w:val="004E4147"/>
    <w:rsid w:val="004E4190"/>
    <w:rsid w:val="004E43A3"/>
    <w:rsid w:val="004E45C6"/>
    <w:rsid w:val="004E46F7"/>
    <w:rsid w:val="004E4D5E"/>
    <w:rsid w:val="004E5BD2"/>
    <w:rsid w:val="004E6075"/>
    <w:rsid w:val="004E6268"/>
    <w:rsid w:val="004E6573"/>
    <w:rsid w:val="004F04DF"/>
    <w:rsid w:val="004F1823"/>
    <w:rsid w:val="004F1FCC"/>
    <w:rsid w:val="004F2AB1"/>
    <w:rsid w:val="004F3E91"/>
    <w:rsid w:val="004F417D"/>
    <w:rsid w:val="004F454E"/>
    <w:rsid w:val="004F6512"/>
    <w:rsid w:val="004F6880"/>
    <w:rsid w:val="00500F2F"/>
    <w:rsid w:val="00500F74"/>
    <w:rsid w:val="00503568"/>
    <w:rsid w:val="00504019"/>
    <w:rsid w:val="005045AA"/>
    <w:rsid w:val="005048D8"/>
    <w:rsid w:val="00504C53"/>
    <w:rsid w:val="00504C57"/>
    <w:rsid w:val="00504D8A"/>
    <w:rsid w:val="0050586F"/>
    <w:rsid w:val="0050649D"/>
    <w:rsid w:val="005064C1"/>
    <w:rsid w:val="00506BD7"/>
    <w:rsid w:val="005073AC"/>
    <w:rsid w:val="0051143C"/>
    <w:rsid w:val="0051197B"/>
    <w:rsid w:val="00512436"/>
    <w:rsid w:val="00512AE4"/>
    <w:rsid w:val="00512C8F"/>
    <w:rsid w:val="00514296"/>
    <w:rsid w:val="00514781"/>
    <w:rsid w:val="00516230"/>
    <w:rsid w:val="00517609"/>
    <w:rsid w:val="00517864"/>
    <w:rsid w:val="00520540"/>
    <w:rsid w:val="0052102A"/>
    <w:rsid w:val="0052210B"/>
    <w:rsid w:val="00522258"/>
    <w:rsid w:val="005222FA"/>
    <w:rsid w:val="00522E28"/>
    <w:rsid w:val="0052340A"/>
    <w:rsid w:val="005240CF"/>
    <w:rsid w:val="0052427A"/>
    <w:rsid w:val="0052547B"/>
    <w:rsid w:val="005308AD"/>
    <w:rsid w:val="0053398D"/>
    <w:rsid w:val="005340ED"/>
    <w:rsid w:val="0053476C"/>
    <w:rsid w:val="005369A5"/>
    <w:rsid w:val="00537BCF"/>
    <w:rsid w:val="00537DD4"/>
    <w:rsid w:val="005403B0"/>
    <w:rsid w:val="00540C55"/>
    <w:rsid w:val="00540DFC"/>
    <w:rsid w:val="00541AFC"/>
    <w:rsid w:val="00542869"/>
    <w:rsid w:val="00544523"/>
    <w:rsid w:val="00544ED0"/>
    <w:rsid w:val="00545004"/>
    <w:rsid w:val="005457F1"/>
    <w:rsid w:val="00545FE5"/>
    <w:rsid w:val="00546157"/>
    <w:rsid w:val="00551794"/>
    <w:rsid w:val="005537B8"/>
    <w:rsid w:val="00554BFC"/>
    <w:rsid w:val="00555C77"/>
    <w:rsid w:val="00555D3B"/>
    <w:rsid w:val="00555D78"/>
    <w:rsid w:val="00556D7A"/>
    <w:rsid w:val="00557E18"/>
    <w:rsid w:val="00557F39"/>
    <w:rsid w:val="0056000F"/>
    <w:rsid w:val="00560122"/>
    <w:rsid w:val="00563B4D"/>
    <w:rsid w:val="00564641"/>
    <w:rsid w:val="00565657"/>
    <w:rsid w:val="005657FC"/>
    <w:rsid w:val="00565F60"/>
    <w:rsid w:val="00567456"/>
    <w:rsid w:val="005674C4"/>
    <w:rsid w:val="00567618"/>
    <w:rsid w:val="0057082A"/>
    <w:rsid w:val="00571085"/>
    <w:rsid w:val="00571E28"/>
    <w:rsid w:val="00572787"/>
    <w:rsid w:val="005735F8"/>
    <w:rsid w:val="0057460C"/>
    <w:rsid w:val="005748B8"/>
    <w:rsid w:val="00576A2B"/>
    <w:rsid w:val="005774DB"/>
    <w:rsid w:val="00580842"/>
    <w:rsid w:val="00582C83"/>
    <w:rsid w:val="00582D69"/>
    <w:rsid w:val="00583453"/>
    <w:rsid w:val="00583EF0"/>
    <w:rsid w:val="00584FE8"/>
    <w:rsid w:val="00585250"/>
    <w:rsid w:val="005856CD"/>
    <w:rsid w:val="0058699C"/>
    <w:rsid w:val="00587732"/>
    <w:rsid w:val="00587772"/>
    <w:rsid w:val="00587E3C"/>
    <w:rsid w:val="0059064C"/>
    <w:rsid w:val="005920A6"/>
    <w:rsid w:val="005932EA"/>
    <w:rsid w:val="0059453E"/>
    <w:rsid w:val="00594F6F"/>
    <w:rsid w:val="00594FEB"/>
    <w:rsid w:val="00595283"/>
    <w:rsid w:val="0059558F"/>
    <w:rsid w:val="0059597B"/>
    <w:rsid w:val="00595C29"/>
    <w:rsid w:val="005966C2"/>
    <w:rsid w:val="0059753D"/>
    <w:rsid w:val="005A025B"/>
    <w:rsid w:val="005A168F"/>
    <w:rsid w:val="005A17C9"/>
    <w:rsid w:val="005A1ABC"/>
    <w:rsid w:val="005A27E0"/>
    <w:rsid w:val="005A2D1B"/>
    <w:rsid w:val="005A324D"/>
    <w:rsid w:val="005A32FD"/>
    <w:rsid w:val="005A3855"/>
    <w:rsid w:val="005A386A"/>
    <w:rsid w:val="005A5BAC"/>
    <w:rsid w:val="005A65FF"/>
    <w:rsid w:val="005A699A"/>
    <w:rsid w:val="005A716D"/>
    <w:rsid w:val="005A77DB"/>
    <w:rsid w:val="005B0DA3"/>
    <w:rsid w:val="005B1CC8"/>
    <w:rsid w:val="005B2A7E"/>
    <w:rsid w:val="005B2E97"/>
    <w:rsid w:val="005B3473"/>
    <w:rsid w:val="005B3835"/>
    <w:rsid w:val="005B5456"/>
    <w:rsid w:val="005B5F2A"/>
    <w:rsid w:val="005B5F8B"/>
    <w:rsid w:val="005B79B1"/>
    <w:rsid w:val="005C0DCB"/>
    <w:rsid w:val="005C1F0E"/>
    <w:rsid w:val="005C398D"/>
    <w:rsid w:val="005C4D2F"/>
    <w:rsid w:val="005C4F51"/>
    <w:rsid w:val="005C53BF"/>
    <w:rsid w:val="005C5497"/>
    <w:rsid w:val="005C5DC3"/>
    <w:rsid w:val="005C7F98"/>
    <w:rsid w:val="005D36B6"/>
    <w:rsid w:val="005D37B3"/>
    <w:rsid w:val="005D5913"/>
    <w:rsid w:val="005D67B3"/>
    <w:rsid w:val="005D7B9C"/>
    <w:rsid w:val="005D7D56"/>
    <w:rsid w:val="005E0487"/>
    <w:rsid w:val="005E1E46"/>
    <w:rsid w:val="005E2DBC"/>
    <w:rsid w:val="005E3E0C"/>
    <w:rsid w:val="005E408D"/>
    <w:rsid w:val="005E413D"/>
    <w:rsid w:val="005E43B3"/>
    <w:rsid w:val="005E6584"/>
    <w:rsid w:val="005E6A6A"/>
    <w:rsid w:val="005E6D7D"/>
    <w:rsid w:val="005E751A"/>
    <w:rsid w:val="005F0FB1"/>
    <w:rsid w:val="005F2B12"/>
    <w:rsid w:val="005F2BC3"/>
    <w:rsid w:val="005F3826"/>
    <w:rsid w:val="005F43F3"/>
    <w:rsid w:val="005F4FAF"/>
    <w:rsid w:val="005F6466"/>
    <w:rsid w:val="005F6722"/>
    <w:rsid w:val="005F6748"/>
    <w:rsid w:val="005F7959"/>
    <w:rsid w:val="00600386"/>
    <w:rsid w:val="006005B3"/>
    <w:rsid w:val="00600844"/>
    <w:rsid w:val="00601602"/>
    <w:rsid w:val="00601D25"/>
    <w:rsid w:val="00602B7F"/>
    <w:rsid w:val="00602C69"/>
    <w:rsid w:val="00603260"/>
    <w:rsid w:val="0060327D"/>
    <w:rsid w:val="00603548"/>
    <w:rsid w:val="00603840"/>
    <w:rsid w:val="00603D32"/>
    <w:rsid w:val="00604347"/>
    <w:rsid w:val="00604D12"/>
    <w:rsid w:val="00605999"/>
    <w:rsid w:val="00605BDE"/>
    <w:rsid w:val="006065F8"/>
    <w:rsid w:val="00607C0F"/>
    <w:rsid w:val="0061069C"/>
    <w:rsid w:val="00610A65"/>
    <w:rsid w:val="00611118"/>
    <w:rsid w:val="00611BC7"/>
    <w:rsid w:val="006121DB"/>
    <w:rsid w:val="006122A6"/>
    <w:rsid w:val="0061230A"/>
    <w:rsid w:val="00612B0C"/>
    <w:rsid w:val="006136F0"/>
    <w:rsid w:val="00613EE1"/>
    <w:rsid w:val="0061436B"/>
    <w:rsid w:val="006145E0"/>
    <w:rsid w:val="00614875"/>
    <w:rsid w:val="00614DB0"/>
    <w:rsid w:val="00616C19"/>
    <w:rsid w:val="00616FE1"/>
    <w:rsid w:val="00617232"/>
    <w:rsid w:val="006172E8"/>
    <w:rsid w:val="0062090F"/>
    <w:rsid w:val="00621140"/>
    <w:rsid w:val="006216D4"/>
    <w:rsid w:val="00621827"/>
    <w:rsid w:val="00621866"/>
    <w:rsid w:val="00622E7B"/>
    <w:rsid w:val="00623C99"/>
    <w:rsid w:val="00623E30"/>
    <w:rsid w:val="00624868"/>
    <w:rsid w:val="00625475"/>
    <w:rsid w:val="006255D6"/>
    <w:rsid w:val="00625714"/>
    <w:rsid w:val="006259A9"/>
    <w:rsid w:val="006277BE"/>
    <w:rsid w:val="00627E42"/>
    <w:rsid w:val="00627F7A"/>
    <w:rsid w:val="0063047C"/>
    <w:rsid w:val="00630C23"/>
    <w:rsid w:val="00631BF4"/>
    <w:rsid w:val="0063331D"/>
    <w:rsid w:val="00633657"/>
    <w:rsid w:val="00634138"/>
    <w:rsid w:val="00634674"/>
    <w:rsid w:val="00634A1E"/>
    <w:rsid w:val="00634EE1"/>
    <w:rsid w:val="00634F66"/>
    <w:rsid w:val="00635E15"/>
    <w:rsid w:val="00635F02"/>
    <w:rsid w:val="006402C0"/>
    <w:rsid w:val="00641AAC"/>
    <w:rsid w:val="00642D67"/>
    <w:rsid w:val="00643285"/>
    <w:rsid w:val="00644311"/>
    <w:rsid w:val="00645B60"/>
    <w:rsid w:val="006463CD"/>
    <w:rsid w:val="00646EAD"/>
    <w:rsid w:val="00646F6B"/>
    <w:rsid w:val="00647216"/>
    <w:rsid w:val="00647D6F"/>
    <w:rsid w:val="00650A6F"/>
    <w:rsid w:val="00650BFD"/>
    <w:rsid w:val="0065211B"/>
    <w:rsid w:val="00654771"/>
    <w:rsid w:val="00654A1A"/>
    <w:rsid w:val="00656601"/>
    <w:rsid w:val="00657401"/>
    <w:rsid w:val="006579B2"/>
    <w:rsid w:val="006601FF"/>
    <w:rsid w:val="006602ED"/>
    <w:rsid w:val="00660DEA"/>
    <w:rsid w:val="0066111B"/>
    <w:rsid w:val="00663DD5"/>
    <w:rsid w:val="00667ECE"/>
    <w:rsid w:val="00670E08"/>
    <w:rsid w:val="006735D2"/>
    <w:rsid w:val="00673BCA"/>
    <w:rsid w:val="00674932"/>
    <w:rsid w:val="00674F36"/>
    <w:rsid w:val="00676937"/>
    <w:rsid w:val="00677D9F"/>
    <w:rsid w:val="00677DAD"/>
    <w:rsid w:val="00680681"/>
    <w:rsid w:val="00681377"/>
    <w:rsid w:val="00683ACA"/>
    <w:rsid w:val="00684275"/>
    <w:rsid w:val="006848A8"/>
    <w:rsid w:val="00684920"/>
    <w:rsid w:val="00684937"/>
    <w:rsid w:val="00684C59"/>
    <w:rsid w:val="00684DB2"/>
    <w:rsid w:val="00685310"/>
    <w:rsid w:val="00685D50"/>
    <w:rsid w:val="00686055"/>
    <w:rsid w:val="0068610E"/>
    <w:rsid w:val="00686357"/>
    <w:rsid w:val="006863BD"/>
    <w:rsid w:val="00686CC4"/>
    <w:rsid w:val="0068765B"/>
    <w:rsid w:val="00691AC3"/>
    <w:rsid w:val="00692B3F"/>
    <w:rsid w:val="00692E03"/>
    <w:rsid w:val="00693890"/>
    <w:rsid w:val="00693C77"/>
    <w:rsid w:val="00694E9B"/>
    <w:rsid w:val="006967B2"/>
    <w:rsid w:val="00697415"/>
    <w:rsid w:val="006974A2"/>
    <w:rsid w:val="0069795D"/>
    <w:rsid w:val="006A1A33"/>
    <w:rsid w:val="006A4B6A"/>
    <w:rsid w:val="006A572A"/>
    <w:rsid w:val="006A6EC1"/>
    <w:rsid w:val="006A7544"/>
    <w:rsid w:val="006A79C6"/>
    <w:rsid w:val="006A7EF9"/>
    <w:rsid w:val="006B12FC"/>
    <w:rsid w:val="006B19AA"/>
    <w:rsid w:val="006B1D36"/>
    <w:rsid w:val="006B26D0"/>
    <w:rsid w:val="006B481F"/>
    <w:rsid w:val="006B496A"/>
    <w:rsid w:val="006B4E9A"/>
    <w:rsid w:val="006B5E1D"/>
    <w:rsid w:val="006B615B"/>
    <w:rsid w:val="006B68ED"/>
    <w:rsid w:val="006B7493"/>
    <w:rsid w:val="006B7633"/>
    <w:rsid w:val="006C0234"/>
    <w:rsid w:val="006C0311"/>
    <w:rsid w:val="006C1CE3"/>
    <w:rsid w:val="006C289D"/>
    <w:rsid w:val="006C2EFE"/>
    <w:rsid w:val="006C3F03"/>
    <w:rsid w:val="006C53AE"/>
    <w:rsid w:val="006C59DF"/>
    <w:rsid w:val="006C5AD5"/>
    <w:rsid w:val="006C5B49"/>
    <w:rsid w:val="006C5E48"/>
    <w:rsid w:val="006C6597"/>
    <w:rsid w:val="006C7600"/>
    <w:rsid w:val="006C782B"/>
    <w:rsid w:val="006C7C73"/>
    <w:rsid w:val="006D0845"/>
    <w:rsid w:val="006D0B7A"/>
    <w:rsid w:val="006D3150"/>
    <w:rsid w:val="006D374A"/>
    <w:rsid w:val="006D4FA4"/>
    <w:rsid w:val="006D5AC5"/>
    <w:rsid w:val="006D5EDD"/>
    <w:rsid w:val="006D65AF"/>
    <w:rsid w:val="006D6F7A"/>
    <w:rsid w:val="006D6F8B"/>
    <w:rsid w:val="006D7120"/>
    <w:rsid w:val="006D76FF"/>
    <w:rsid w:val="006D7860"/>
    <w:rsid w:val="006E0330"/>
    <w:rsid w:val="006E03DD"/>
    <w:rsid w:val="006E15B7"/>
    <w:rsid w:val="006E1752"/>
    <w:rsid w:val="006E1C7C"/>
    <w:rsid w:val="006E1DEF"/>
    <w:rsid w:val="006E351F"/>
    <w:rsid w:val="006E3D90"/>
    <w:rsid w:val="006E484C"/>
    <w:rsid w:val="006E4B95"/>
    <w:rsid w:val="006E61A8"/>
    <w:rsid w:val="006E6905"/>
    <w:rsid w:val="006F0D49"/>
    <w:rsid w:val="006F1B2B"/>
    <w:rsid w:val="006F27C8"/>
    <w:rsid w:val="006F2A58"/>
    <w:rsid w:val="006F363B"/>
    <w:rsid w:val="006F3E53"/>
    <w:rsid w:val="006F4080"/>
    <w:rsid w:val="006F522C"/>
    <w:rsid w:val="006F58F5"/>
    <w:rsid w:val="006F71A5"/>
    <w:rsid w:val="006F73BA"/>
    <w:rsid w:val="006F7421"/>
    <w:rsid w:val="006F7742"/>
    <w:rsid w:val="006F7FD9"/>
    <w:rsid w:val="00703438"/>
    <w:rsid w:val="0070344C"/>
    <w:rsid w:val="00704CE3"/>
    <w:rsid w:val="0070598C"/>
    <w:rsid w:val="00705CAD"/>
    <w:rsid w:val="00706180"/>
    <w:rsid w:val="007061CA"/>
    <w:rsid w:val="007109DD"/>
    <w:rsid w:val="007114A5"/>
    <w:rsid w:val="00712FE5"/>
    <w:rsid w:val="00713FB2"/>
    <w:rsid w:val="007142F0"/>
    <w:rsid w:val="007146BF"/>
    <w:rsid w:val="007152D8"/>
    <w:rsid w:val="00716683"/>
    <w:rsid w:val="00717527"/>
    <w:rsid w:val="00723CEE"/>
    <w:rsid w:val="00725897"/>
    <w:rsid w:val="0072701E"/>
    <w:rsid w:val="007276B7"/>
    <w:rsid w:val="00730004"/>
    <w:rsid w:val="00730A91"/>
    <w:rsid w:val="00731730"/>
    <w:rsid w:val="00731C9E"/>
    <w:rsid w:val="0073458F"/>
    <w:rsid w:val="00734918"/>
    <w:rsid w:val="00734F61"/>
    <w:rsid w:val="00737279"/>
    <w:rsid w:val="00737374"/>
    <w:rsid w:val="00742E52"/>
    <w:rsid w:val="00743EA4"/>
    <w:rsid w:val="00743FDF"/>
    <w:rsid w:val="00744915"/>
    <w:rsid w:val="00745ADE"/>
    <w:rsid w:val="00745FBB"/>
    <w:rsid w:val="00746830"/>
    <w:rsid w:val="00746E9C"/>
    <w:rsid w:val="007471C0"/>
    <w:rsid w:val="00747EA2"/>
    <w:rsid w:val="007515BA"/>
    <w:rsid w:val="00751D21"/>
    <w:rsid w:val="00752069"/>
    <w:rsid w:val="00752749"/>
    <w:rsid w:val="007528C9"/>
    <w:rsid w:val="0075393D"/>
    <w:rsid w:val="00753B51"/>
    <w:rsid w:val="00754723"/>
    <w:rsid w:val="007555D1"/>
    <w:rsid w:val="00755A70"/>
    <w:rsid w:val="00760A0A"/>
    <w:rsid w:val="007613BA"/>
    <w:rsid w:val="007614C4"/>
    <w:rsid w:val="00762D74"/>
    <w:rsid w:val="00763E2A"/>
    <w:rsid w:val="00765386"/>
    <w:rsid w:val="00766CE5"/>
    <w:rsid w:val="0076703D"/>
    <w:rsid w:val="007672E2"/>
    <w:rsid w:val="00767CA4"/>
    <w:rsid w:val="0077081C"/>
    <w:rsid w:val="007711FC"/>
    <w:rsid w:val="00771F3A"/>
    <w:rsid w:val="007732FC"/>
    <w:rsid w:val="0077381E"/>
    <w:rsid w:val="00774BF7"/>
    <w:rsid w:val="00774E2A"/>
    <w:rsid w:val="00777401"/>
    <w:rsid w:val="00777C10"/>
    <w:rsid w:val="00777DD6"/>
    <w:rsid w:val="00780B7E"/>
    <w:rsid w:val="007811F8"/>
    <w:rsid w:val="00782DD1"/>
    <w:rsid w:val="0078326E"/>
    <w:rsid w:val="00783862"/>
    <w:rsid w:val="00784E7D"/>
    <w:rsid w:val="0078503B"/>
    <w:rsid w:val="00786FCF"/>
    <w:rsid w:val="007871D9"/>
    <w:rsid w:val="0078747A"/>
    <w:rsid w:val="00790199"/>
    <w:rsid w:val="00791712"/>
    <w:rsid w:val="00791B08"/>
    <w:rsid w:val="0079208B"/>
    <w:rsid w:val="00792969"/>
    <w:rsid w:val="00794C3F"/>
    <w:rsid w:val="00796FA7"/>
    <w:rsid w:val="0079703A"/>
    <w:rsid w:val="0079722B"/>
    <w:rsid w:val="007A0C89"/>
    <w:rsid w:val="007A2500"/>
    <w:rsid w:val="007A2B85"/>
    <w:rsid w:val="007A2CF0"/>
    <w:rsid w:val="007A50C0"/>
    <w:rsid w:val="007A6098"/>
    <w:rsid w:val="007A6243"/>
    <w:rsid w:val="007A6B9D"/>
    <w:rsid w:val="007A70B2"/>
    <w:rsid w:val="007A7D38"/>
    <w:rsid w:val="007A7EB0"/>
    <w:rsid w:val="007B1EFE"/>
    <w:rsid w:val="007B3574"/>
    <w:rsid w:val="007B4EF6"/>
    <w:rsid w:val="007B608C"/>
    <w:rsid w:val="007B6C56"/>
    <w:rsid w:val="007B6FC7"/>
    <w:rsid w:val="007B7535"/>
    <w:rsid w:val="007C005E"/>
    <w:rsid w:val="007C077B"/>
    <w:rsid w:val="007C20F5"/>
    <w:rsid w:val="007C243A"/>
    <w:rsid w:val="007C2992"/>
    <w:rsid w:val="007C3A94"/>
    <w:rsid w:val="007C43EE"/>
    <w:rsid w:val="007C616D"/>
    <w:rsid w:val="007C6964"/>
    <w:rsid w:val="007C7237"/>
    <w:rsid w:val="007D0978"/>
    <w:rsid w:val="007D1AE9"/>
    <w:rsid w:val="007D2192"/>
    <w:rsid w:val="007D32E5"/>
    <w:rsid w:val="007D35B4"/>
    <w:rsid w:val="007D371C"/>
    <w:rsid w:val="007D3A71"/>
    <w:rsid w:val="007D6D21"/>
    <w:rsid w:val="007D7B9E"/>
    <w:rsid w:val="007D7D4F"/>
    <w:rsid w:val="007E01BF"/>
    <w:rsid w:val="007E0628"/>
    <w:rsid w:val="007E1505"/>
    <w:rsid w:val="007E189C"/>
    <w:rsid w:val="007E25DF"/>
    <w:rsid w:val="007E2AF7"/>
    <w:rsid w:val="007E2BC0"/>
    <w:rsid w:val="007E3D96"/>
    <w:rsid w:val="007E4241"/>
    <w:rsid w:val="007E42DB"/>
    <w:rsid w:val="007E7A88"/>
    <w:rsid w:val="007F0657"/>
    <w:rsid w:val="007F066B"/>
    <w:rsid w:val="007F1827"/>
    <w:rsid w:val="007F19AE"/>
    <w:rsid w:val="007F1FA2"/>
    <w:rsid w:val="007F2234"/>
    <w:rsid w:val="007F4AFB"/>
    <w:rsid w:val="007F7047"/>
    <w:rsid w:val="007F78D1"/>
    <w:rsid w:val="008014E7"/>
    <w:rsid w:val="00801BFA"/>
    <w:rsid w:val="00802B1B"/>
    <w:rsid w:val="0080305C"/>
    <w:rsid w:val="0080388E"/>
    <w:rsid w:val="00804498"/>
    <w:rsid w:val="008046EF"/>
    <w:rsid w:val="00805488"/>
    <w:rsid w:val="00805D33"/>
    <w:rsid w:val="00806019"/>
    <w:rsid w:val="00806073"/>
    <w:rsid w:val="00806565"/>
    <w:rsid w:val="0080697D"/>
    <w:rsid w:val="00806B9C"/>
    <w:rsid w:val="00807755"/>
    <w:rsid w:val="008078E2"/>
    <w:rsid w:val="00807913"/>
    <w:rsid w:val="00807CFA"/>
    <w:rsid w:val="00810C95"/>
    <w:rsid w:val="00811C34"/>
    <w:rsid w:val="0081262D"/>
    <w:rsid w:val="008152DA"/>
    <w:rsid w:val="0081594F"/>
    <w:rsid w:val="00816806"/>
    <w:rsid w:val="008178A9"/>
    <w:rsid w:val="0082004E"/>
    <w:rsid w:val="00821F10"/>
    <w:rsid w:val="0082238F"/>
    <w:rsid w:val="00822C4F"/>
    <w:rsid w:val="00822DBE"/>
    <w:rsid w:val="00823A7C"/>
    <w:rsid w:val="00823F77"/>
    <w:rsid w:val="00824328"/>
    <w:rsid w:val="00825017"/>
    <w:rsid w:val="008269F8"/>
    <w:rsid w:val="008272EA"/>
    <w:rsid w:val="008304CB"/>
    <w:rsid w:val="008314FE"/>
    <w:rsid w:val="00832FC5"/>
    <w:rsid w:val="0083314E"/>
    <w:rsid w:val="008338F9"/>
    <w:rsid w:val="00835224"/>
    <w:rsid w:val="008363C6"/>
    <w:rsid w:val="00836DE0"/>
    <w:rsid w:val="008379B0"/>
    <w:rsid w:val="00840302"/>
    <w:rsid w:val="00840C72"/>
    <w:rsid w:val="0084315F"/>
    <w:rsid w:val="00843F9C"/>
    <w:rsid w:val="008443CD"/>
    <w:rsid w:val="00844541"/>
    <w:rsid w:val="00844993"/>
    <w:rsid w:val="00844B28"/>
    <w:rsid w:val="00844CEA"/>
    <w:rsid w:val="00845F06"/>
    <w:rsid w:val="008468B3"/>
    <w:rsid w:val="0084782A"/>
    <w:rsid w:val="00847DD5"/>
    <w:rsid w:val="00850F1E"/>
    <w:rsid w:val="0085109B"/>
    <w:rsid w:val="00851D52"/>
    <w:rsid w:val="0085262D"/>
    <w:rsid w:val="008527A1"/>
    <w:rsid w:val="00852CF2"/>
    <w:rsid w:val="008531D7"/>
    <w:rsid w:val="00853B61"/>
    <w:rsid w:val="00855CF7"/>
    <w:rsid w:val="00856A40"/>
    <w:rsid w:val="00857730"/>
    <w:rsid w:val="00860757"/>
    <w:rsid w:val="00861CEE"/>
    <w:rsid w:val="0086341D"/>
    <w:rsid w:val="00863669"/>
    <w:rsid w:val="008644E7"/>
    <w:rsid w:val="008645FD"/>
    <w:rsid w:val="008646F8"/>
    <w:rsid w:val="00864817"/>
    <w:rsid w:val="008648C8"/>
    <w:rsid w:val="0086553F"/>
    <w:rsid w:val="00866C74"/>
    <w:rsid w:val="00867475"/>
    <w:rsid w:val="00870198"/>
    <w:rsid w:val="00870735"/>
    <w:rsid w:val="00871CCE"/>
    <w:rsid w:val="00872080"/>
    <w:rsid w:val="00872620"/>
    <w:rsid w:val="00872745"/>
    <w:rsid w:val="0087282A"/>
    <w:rsid w:val="00872D0F"/>
    <w:rsid w:val="00874064"/>
    <w:rsid w:val="00874200"/>
    <w:rsid w:val="008751DF"/>
    <w:rsid w:val="008753A7"/>
    <w:rsid w:val="00876B77"/>
    <w:rsid w:val="008773D5"/>
    <w:rsid w:val="00877A27"/>
    <w:rsid w:val="008801BD"/>
    <w:rsid w:val="0088082F"/>
    <w:rsid w:val="00883DD9"/>
    <w:rsid w:val="00885875"/>
    <w:rsid w:val="008861C9"/>
    <w:rsid w:val="008877D6"/>
    <w:rsid w:val="00890D8C"/>
    <w:rsid w:val="008916F0"/>
    <w:rsid w:val="00891D97"/>
    <w:rsid w:val="008920BF"/>
    <w:rsid w:val="0089361B"/>
    <w:rsid w:val="00895233"/>
    <w:rsid w:val="00895907"/>
    <w:rsid w:val="00895DAE"/>
    <w:rsid w:val="008970AC"/>
    <w:rsid w:val="008A1D3E"/>
    <w:rsid w:val="008A31ED"/>
    <w:rsid w:val="008A3589"/>
    <w:rsid w:val="008A36C2"/>
    <w:rsid w:val="008A3EB9"/>
    <w:rsid w:val="008A4F42"/>
    <w:rsid w:val="008A5754"/>
    <w:rsid w:val="008A6004"/>
    <w:rsid w:val="008A661D"/>
    <w:rsid w:val="008B0358"/>
    <w:rsid w:val="008B05F5"/>
    <w:rsid w:val="008B1113"/>
    <w:rsid w:val="008B2842"/>
    <w:rsid w:val="008B316F"/>
    <w:rsid w:val="008B402E"/>
    <w:rsid w:val="008B4B0B"/>
    <w:rsid w:val="008B5139"/>
    <w:rsid w:val="008B51CB"/>
    <w:rsid w:val="008B6343"/>
    <w:rsid w:val="008B6467"/>
    <w:rsid w:val="008B779D"/>
    <w:rsid w:val="008C01E6"/>
    <w:rsid w:val="008C1542"/>
    <w:rsid w:val="008C2048"/>
    <w:rsid w:val="008C35D1"/>
    <w:rsid w:val="008C3A54"/>
    <w:rsid w:val="008C3EFA"/>
    <w:rsid w:val="008C4416"/>
    <w:rsid w:val="008C4C0B"/>
    <w:rsid w:val="008C4C43"/>
    <w:rsid w:val="008C5AEE"/>
    <w:rsid w:val="008C7836"/>
    <w:rsid w:val="008C7BA7"/>
    <w:rsid w:val="008D0500"/>
    <w:rsid w:val="008D0B39"/>
    <w:rsid w:val="008D0BC4"/>
    <w:rsid w:val="008D16EC"/>
    <w:rsid w:val="008D1798"/>
    <w:rsid w:val="008D17F2"/>
    <w:rsid w:val="008D1BF7"/>
    <w:rsid w:val="008D1C8B"/>
    <w:rsid w:val="008D24AB"/>
    <w:rsid w:val="008D24F7"/>
    <w:rsid w:val="008D26AE"/>
    <w:rsid w:val="008D2F99"/>
    <w:rsid w:val="008D441E"/>
    <w:rsid w:val="008D5396"/>
    <w:rsid w:val="008D5850"/>
    <w:rsid w:val="008D5EEC"/>
    <w:rsid w:val="008D63EC"/>
    <w:rsid w:val="008E06CE"/>
    <w:rsid w:val="008E1544"/>
    <w:rsid w:val="008E1AD6"/>
    <w:rsid w:val="008E2A08"/>
    <w:rsid w:val="008E38B9"/>
    <w:rsid w:val="008E38D0"/>
    <w:rsid w:val="008E395B"/>
    <w:rsid w:val="008E3BBF"/>
    <w:rsid w:val="008E40FF"/>
    <w:rsid w:val="008E6247"/>
    <w:rsid w:val="008E656A"/>
    <w:rsid w:val="008E68E4"/>
    <w:rsid w:val="008E6AA5"/>
    <w:rsid w:val="008F075E"/>
    <w:rsid w:val="008F1024"/>
    <w:rsid w:val="008F3590"/>
    <w:rsid w:val="008F495C"/>
    <w:rsid w:val="008F6279"/>
    <w:rsid w:val="008F6DC6"/>
    <w:rsid w:val="008F70A7"/>
    <w:rsid w:val="008F7614"/>
    <w:rsid w:val="009003B9"/>
    <w:rsid w:val="0090060B"/>
    <w:rsid w:val="0090095A"/>
    <w:rsid w:val="00902437"/>
    <w:rsid w:val="00902496"/>
    <w:rsid w:val="009027F3"/>
    <w:rsid w:val="009028D1"/>
    <w:rsid w:val="00902DDA"/>
    <w:rsid w:val="00906223"/>
    <w:rsid w:val="0091097C"/>
    <w:rsid w:val="009118A5"/>
    <w:rsid w:val="00913A44"/>
    <w:rsid w:val="00915023"/>
    <w:rsid w:val="009153A2"/>
    <w:rsid w:val="0091575B"/>
    <w:rsid w:val="00916706"/>
    <w:rsid w:val="009167E6"/>
    <w:rsid w:val="009170BF"/>
    <w:rsid w:val="00920C05"/>
    <w:rsid w:val="00924838"/>
    <w:rsid w:val="00925067"/>
    <w:rsid w:val="009251F7"/>
    <w:rsid w:val="00925698"/>
    <w:rsid w:val="00925D1E"/>
    <w:rsid w:val="0092604C"/>
    <w:rsid w:val="0092668A"/>
    <w:rsid w:val="00926993"/>
    <w:rsid w:val="00926CB4"/>
    <w:rsid w:val="00927735"/>
    <w:rsid w:val="00927F46"/>
    <w:rsid w:val="00930DC2"/>
    <w:rsid w:val="009320AC"/>
    <w:rsid w:val="009326C8"/>
    <w:rsid w:val="0093332B"/>
    <w:rsid w:val="0093519A"/>
    <w:rsid w:val="0093535A"/>
    <w:rsid w:val="00935B98"/>
    <w:rsid w:val="00935D3E"/>
    <w:rsid w:val="00936716"/>
    <w:rsid w:val="00936AF0"/>
    <w:rsid w:val="0093731E"/>
    <w:rsid w:val="009418EF"/>
    <w:rsid w:val="0094202D"/>
    <w:rsid w:val="009421D1"/>
    <w:rsid w:val="00942E40"/>
    <w:rsid w:val="00944C17"/>
    <w:rsid w:val="00945269"/>
    <w:rsid w:val="009461ED"/>
    <w:rsid w:val="009466DA"/>
    <w:rsid w:val="00946999"/>
    <w:rsid w:val="00946C71"/>
    <w:rsid w:val="009470A0"/>
    <w:rsid w:val="0094713D"/>
    <w:rsid w:val="009472FE"/>
    <w:rsid w:val="00947410"/>
    <w:rsid w:val="00947CAC"/>
    <w:rsid w:val="00950721"/>
    <w:rsid w:val="00950DFC"/>
    <w:rsid w:val="0095160B"/>
    <w:rsid w:val="00951A08"/>
    <w:rsid w:val="00955016"/>
    <w:rsid w:val="0095545A"/>
    <w:rsid w:val="0095622D"/>
    <w:rsid w:val="00956DEA"/>
    <w:rsid w:val="009575EE"/>
    <w:rsid w:val="00957777"/>
    <w:rsid w:val="00960C7C"/>
    <w:rsid w:val="00961261"/>
    <w:rsid w:val="0096150E"/>
    <w:rsid w:val="00962635"/>
    <w:rsid w:val="00962B14"/>
    <w:rsid w:val="00965066"/>
    <w:rsid w:val="00965767"/>
    <w:rsid w:val="0096657D"/>
    <w:rsid w:val="00966C75"/>
    <w:rsid w:val="00967A24"/>
    <w:rsid w:val="00967BAC"/>
    <w:rsid w:val="00970208"/>
    <w:rsid w:val="009709E1"/>
    <w:rsid w:val="00970CCB"/>
    <w:rsid w:val="00971A81"/>
    <w:rsid w:val="009725BE"/>
    <w:rsid w:val="0097279F"/>
    <w:rsid w:val="009729A5"/>
    <w:rsid w:val="00973A8F"/>
    <w:rsid w:val="0097443E"/>
    <w:rsid w:val="00975284"/>
    <w:rsid w:val="0097634A"/>
    <w:rsid w:val="0098143B"/>
    <w:rsid w:val="009843B6"/>
    <w:rsid w:val="00986489"/>
    <w:rsid w:val="00986815"/>
    <w:rsid w:val="00990A18"/>
    <w:rsid w:val="00991085"/>
    <w:rsid w:val="009921B1"/>
    <w:rsid w:val="00992CAE"/>
    <w:rsid w:val="00994C05"/>
    <w:rsid w:val="00997820"/>
    <w:rsid w:val="009A1266"/>
    <w:rsid w:val="009A225A"/>
    <w:rsid w:val="009A318E"/>
    <w:rsid w:val="009A3954"/>
    <w:rsid w:val="009A3D21"/>
    <w:rsid w:val="009A3F0B"/>
    <w:rsid w:val="009A4C7A"/>
    <w:rsid w:val="009A5430"/>
    <w:rsid w:val="009A6215"/>
    <w:rsid w:val="009A62E9"/>
    <w:rsid w:val="009A6FCC"/>
    <w:rsid w:val="009A72FB"/>
    <w:rsid w:val="009A7CC2"/>
    <w:rsid w:val="009B1FA3"/>
    <w:rsid w:val="009B24C9"/>
    <w:rsid w:val="009B39B5"/>
    <w:rsid w:val="009B4DE2"/>
    <w:rsid w:val="009B4ED9"/>
    <w:rsid w:val="009B5F94"/>
    <w:rsid w:val="009B5F96"/>
    <w:rsid w:val="009B79A4"/>
    <w:rsid w:val="009B7C4C"/>
    <w:rsid w:val="009B7E9A"/>
    <w:rsid w:val="009C0B95"/>
    <w:rsid w:val="009C211D"/>
    <w:rsid w:val="009C21A8"/>
    <w:rsid w:val="009C21BB"/>
    <w:rsid w:val="009C2B16"/>
    <w:rsid w:val="009C2FEF"/>
    <w:rsid w:val="009C31BF"/>
    <w:rsid w:val="009C3897"/>
    <w:rsid w:val="009C3B98"/>
    <w:rsid w:val="009C681A"/>
    <w:rsid w:val="009C738D"/>
    <w:rsid w:val="009D13F6"/>
    <w:rsid w:val="009D14CF"/>
    <w:rsid w:val="009D1722"/>
    <w:rsid w:val="009D36BA"/>
    <w:rsid w:val="009D4578"/>
    <w:rsid w:val="009D51C4"/>
    <w:rsid w:val="009D5E30"/>
    <w:rsid w:val="009D7061"/>
    <w:rsid w:val="009E1D1B"/>
    <w:rsid w:val="009E212A"/>
    <w:rsid w:val="009E2161"/>
    <w:rsid w:val="009E300F"/>
    <w:rsid w:val="009E33BF"/>
    <w:rsid w:val="009E437B"/>
    <w:rsid w:val="009E54DD"/>
    <w:rsid w:val="009E665E"/>
    <w:rsid w:val="009E6EAA"/>
    <w:rsid w:val="009E7382"/>
    <w:rsid w:val="009E7B34"/>
    <w:rsid w:val="009F0FDE"/>
    <w:rsid w:val="009F10F6"/>
    <w:rsid w:val="009F16E8"/>
    <w:rsid w:val="009F19BE"/>
    <w:rsid w:val="009F1B14"/>
    <w:rsid w:val="009F2020"/>
    <w:rsid w:val="009F3C7A"/>
    <w:rsid w:val="009F566F"/>
    <w:rsid w:val="009F67DA"/>
    <w:rsid w:val="009F747A"/>
    <w:rsid w:val="009F7A44"/>
    <w:rsid w:val="009F7AC4"/>
    <w:rsid w:val="009F7C6E"/>
    <w:rsid w:val="00A02474"/>
    <w:rsid w:val="00A02D6F"/>
    <w:rsid w:val="00A030EC"/>
    <w:rsid w:val="00A03398"/>
    <w:rsid w:val="00A0502D"/>
    <w:rsid w:val="00A100D9"/>
    <w:rsid w:val="00A10C25"/>
    <w:rsid w:val="00A10FEB"/>
    <w:rsid w:val="00A1125B"/>
    <w:rsid w:val="00A11DC1"/>
    <w:rsid w:val="00A11F52"/>
    <w:rsid w:val="00A1247C"/>
    <w:rsid w:val="00A1408D"/>
    <w:rsid w:val="00A145A9"/>
    <w:rsid w:val="00A1482F"/>
    <w:rsid w:val="00A14EC2"/>
    <w:rsid w:val="00A15075"/>
    <w:rsid w:val="00A16E46"/>
    <w:rsid w:val="00A175F8"/>
    <w:rsid w:val="00A20376"/>
    <w:rsid w:val="00A207A8"/>
    <w:rsid w:val="00A211BC"/>
    <w:rsid w:val="00A214C2"/>
    <w:rsid w:val="00A22A20"/>
    <w:rsid w:val="00A22E96"/>
    <w:rsid w:val="00A23D61"/>
    <w:rsid w:val="00A240DB"/>
    <w:rsid w:val="00A24DD2"/>
    <w:rsid w:val="00A25FA6"/>
    <w:rsid w:val="00A312DF"/>
    <w:rsid w:val="00A32021"/>
    <w:rsid w:val="00A32369"/>
    <w:rsid w:val="00A33FF5"/>
    <w:rsid w:val="00A34204"/>
    <w:rsid w:val="00A3518E"/>
    <w:rsid w:val="00A355BF"/>
    <w:rsid w:val="00A35781"/>
    <w:rsid w:val="00A357EF"/>
    <w:rsid w:val="00A35EA8"/>
    <w:rsid w:val="00A35FD0"/>
    <w:rsid w:val="00A41C00"/>
    <w:rsid w:val="00A41F68"/>
    <w:rsid w:val="00A42B55"/>
    <w:rsid w:val="00A43181"/>
    <w:rsid w:val="00A433A2"/>
    <w:rsid w:val="00A43B1A"/>
    <w:rsid w:val="00A43C50"/>
    <w:rsid w:val="00A50816"/>
    <w:rsid w:val="00A513E0"/>
    <w:rsid w:val="00A51CB5"/>
    <w:rsid w:val="00A52229"/>
    <w:rsid w:val="00A52D19"/>
    <w:rsid w:val="00A52F35"/>
    <w:rsid w:val="00A52F42"/>
    <w:rsid w:val="00A538FC"/>
    <w:rsid w:val="00A5432A"/>
    <w:rsid w:val="00A548ED"/>
    <w:rsid w:val="00A54F36"/>
    <w:rsid w:val="00A55697"/>
    <w:rsid w:val="00A567DA"/>
    <w:rsid w:val="00A56F59"/>
    <w:rsid w:val="00A57545"/>
    <w:rsid w:val="00A6090C"/>
    <w:rsid w:val="00A60C19"/>
    <w:rsid w:val="00A6146E"/>
    <w:rsid w:val="00A62F0C"/>
    <w:rsid w:val="00A640F3"/>
    <w:rsid w:val="00A66CBC"/>
    <w:rsid w:val="00A70887"/>
    <w:rsid w:val="00A710FD"/>
    <w:rsid w:val="00A73554"/>
    <w:rsid w:val="00A73C5C"/>
    <w:rsid w:val="00A73D15"/>
    <w:rsid w:val="00A75A67"/>
    <w:rsid w:val="00A7617F"/>
    <w:rsid w:val="00A7666F"/>
    <w:rsid w:val="00A76C0C"/>
    <w:rsid w:val="00A76D9F"/>
    <w:rsid w:val="00A7747F"/>
    <w:rsid w:val="00A7785A"/>
    <w:rsid w:val="00A77D64"/>
    <w:rsid w:val="00A80DC2"/>
    <w:rsid w:val="00A812FC"/>
    <w:rsid w:val="00A81BCC"/>
    <w:rsid w:val="00A823AF"/>
    <w:rsid w:val="00A8274A"/>
    <w:rsid w:val="00A83DF0"/>
    <w:rsid w:val="00A840CF"/>
    <w:rsid w:val="00A844FE"/>
    <w:rsid w:val="00A84944"/>
    <w:rsid w:val="00A85120"/>
    <w:rsid w:val="00A86544"/>
    <w:rsid w:val="00A8661C"/>
    <w:rsid w:val="00A866E0"/>
    <w:rsid w:val="00A87225"/>
    <w:rsid w:val="00A87AAB"/>
    <w:rsid w:val="00A902D3"/>
    <w:rsid w:val="00A912BD"/>
    <w:rsid w:val="00A91624"/>
    <w:rsid w:val="00A917F8"/>
    <w:rsid w:val="00A930AE"/>
    <w:rsid w:val="00A93CA1"/>
    <w:rsid w:val="00A94DBE"/>
    <w:rsid w:val="00A95B67"/>
    <w:rsid w:val="00A961D9"/>
    <w:rsid w:val="00A96621"/>
    <w:rsid w:val="00A966F4"/>
    <w:rsid w:val="00A96D38"/>
    <w:rsid w:val="00AA068D"/>
    <w:rsid w:val="00AA1934"/>
    <w:rsid w:val="00AA1F2B"/>
    <w:rsid w:val="00AA2195"/>
    <w:rsid w:val="00AA376F"/>
    <w:rsid w:val="00AA3ED3"/>
    <w:rsid w:val="00AA4662"/>
    <w:rsid w:val="00AA4DAD"/>
    <w:rsid w:val="00AA5C2D"/>
    <w:rsid w:val="00AA69D8"/>
    <w:rsid w:val="00AA7FAF"/>
    <w:rsid w:val="00AB0463"/>
    <w:rsid w:val="00AB0758"/>
    <w:rsid w:val="00AB1679"/>
    <w:rsid w:val="00AB287C"/>
    <w:rsid w:val="00AB3301"/>
    <w:rsid w:val="00AB4F0A"/>
    <w:rsid w:val="00AB57FA"/>
    <w:rsid w:val="00AB5D99"/>
    <w:rsid w:val="00AB5E98"/>
    <w:rsid w:val="00AB7C32"/>
    <w:rsid w:val="00AC0A3F"/>
    <w:rsid w:val="00AC1F30"/>
    <w:rsid w:val="00AC4BA7"/>
    <w:rsid w:val="00AC590A"/>
    <w:rsid w:val="00AC5D06"/>
    <w:rsid w:val="00AC5FDD"/>
    <w:rsid w:val="00AC682B"/>
    <w:rsid w:val="00AC6DBB"/>
    <w:rsid w:val="00AD05C1"/>
    <w:rsid w:val="00AD1116"/>
    <w:rsid w:val="00AD149A"/>
    <w:rsid w:val="00AD24F7"/>
    <w:rsid w:val="00AD2C16"/>
    <w:rsid w:val="00AD2D90"/>
    <w:rsid w:val="00AD3880"/>
    <w:rsid w:val="00AD5FA4"/>
    <w:rsid w:val="00AD6726"/>
    <w:rsid w:val="00AD6813"/>
    <w:rsid w:val="00AD6930"/>
    <w:rsid w:val="00AD75AF"/>
    <w:rsid w:val="00AD7DAD"/>
    <w:rsid w:val="00AE0B30"/>
    <w:rsid w:val="00AE161D"/>
    <w:rsid w:val="00AE49BE"/>
    <w:rsid w:val="00AE707D"/>
    <w:rsid w:val="00AE70BC"/>
    <w:rsid w:val="00AE75A3"/>
    <w:rsid w:val="00AE7C9E"/>
    <w:rsid w:val="00AF0673"/>
    <w:rsid w:val="00AF09A9"/>
    <w:rsid w:val="00AF1F72"/>
    <w:rsid w:val="00AF3B77"/>
    <w:rsid w:val="00AF53C5"/>
    <w:rsid w:val="00AF5E61"/>
    <w:rsid w:val="00AF5F4A"/>
    <w:rsid w:val="00AF6E07"/>
    <w:rsid w:val="00AF7061"/>
    <w:rsid w:val="00B006E7"/>
    <w:rsid w:val="00B01755"/>
    <w:rsid w:val="00B0184A"/>
    <w:rsid w:val="00B01959"/>
    <w:rsid w:val="00B01BCA"/>
    <w:rsid w:val="00B01C76"/>
    <w:rsid w:val="00B01D07"/>
    <w:rsid w:val="00B048AA"/>
    <w:rsid w:val="00B079ED"/>
    <w:rsid w:val="00B07D51"/>
    <w:rsid w:val="00B10D5C"/>
    <w:rsid w:val="00B10FB6"/>
    <w:rsid w:val="00B11B02"/>
    <w:rsid w:val="00B12685"/>
    <w:rsid w:val="00B1329F"/>
    <w:rsid w:val="00B156C8"/>
    <w:rsid w:val="00B1586B"/>
    <w:rsid w:val="00B1634D"/>
    <w:rsid w:val="00B165A9"/>
    <w:rsid w:val="00B16D23"/>
    <w:rsid w:val="00B20604"/>
    <w:rsid w:val="00B21183"/>
    <w:rsid w:val="00B2206E"/>
    <w:rsid w:val="00B22B4F"/>
    <w:rsid w:val="00B2407E"/>
    <w:rsid w:val="00B24CA0"/>
    <w:rsid w:val="00B25E6D"/>
    <w:rsid w:val="00B3040E"/>
    <w:rsid w:val="00B30432"/>
    <w:rsid w:val="00B304D6"/>
    <w:rsid w:val="00B325CF"/>
    <w:rsid w:val="00B32744"/>
    <w:rsid w:val="00B32CCA"/>
    <w:rsid w:val="00B346BC"/>
    <w:rsid w:val="00B41084"/>
    <w:rsid w:val="00B42604"/>
    <w:rsid w:val="00B43C45"/>
    <w:rsid w:val="00B43F61"/>
    <w:rsid w:val="00B45188"/>
    <w:rsid w:val="00B45277"/>
    <w:rsid w:val="00B453C3"/>
    <w:rsid w:val="00B469B7"/>
    <w:rsid w:val="00B50A82"/>
    <w:rsid w:val="00B51425"/>
    <w:rsid w:val="00B53AC3"/>
    <w:rsid w:val="00B54097"/>
    <w:rsid w:val="00B541FC"/>
    <w:rsid w:val="00B548A9"/>
    <w:rsid w:val="00B56452"/>
    <w:rsid w:val="00B56B3E"/>
    <w:rsid w:val="00B60541"/>
    <w:rsid w:val="00B60781"/>
    <w:rsid w:val="00B60DB9"/>
    <w:rsid w:val="00B60E7F"/>
    <w:rsid w:val="00B6196A"/>
    <w:rsid w:val="00B63AF4"/>
    <w:rsid w:val="00B63F0F"/>
    <w:rsid w:val="00B64007"/>
    <w:rsid w:val="00B65110"/>
    <w:rsid w:val="00B66D09"/>
    <w:rsid w:val="00B6713B"/>
    <w:rsid w:val="00B67825"/>
    <w:rsid w:val="00B67DCA"/>
    <w:rsid w:val="00B707A1"/>
    <w:rsid w:val="00B70AB5"/>
    <w:rsid w:val="00B7365A"/>
    <w:rsid w:val="00B748A7"/>
    <w:rsid w:val="00B75B07"/>
    <w:rsid w:val="00B7694D"/>
    <w:rsid w:val="00B76E1F"/>
    <w:rsid w:val="00B76F7B"/>
    <w:rsid w:val="00B779F4"/>
    <w:rsid w:val="00B80E7A"/>
    <w:rsid w:val="00B8122A"/>
    <w:rsid w:val="00B82094"/>
    <w:rsid w:val="00B8350D"/>
    <w:rsid w:val="00B85244"/>
    <w:rsid w:val="00B870B2"/>
    <w:rsid w:val="00B87926"/>
    <w:rsid w:val="00B90EAB"/>
    <w:rsid w:val="00B923ED"/>
    <w:rsid w:val="00B925B2"/>
    <w:rsid w:val="00B92F7B"/>
    <w:rsid w:val="00B93299"/>
    <w:rsid w:val="00B93639"/>
    <w:rsid w:val="00B94610"/>
    <w:rsid w:val="00B952FD"/>
    <w:rsid w:val="00B96520"/>
    <w:rsid w:val="00BA08B9"/>
    <w:rsid w:val="00BA0A93"/>
    <w:rsid w:val="00BA3048"/>
    <w:rsid w:val="00BA39E0"/>
    <w:rsid w:val="00BA4AAE"/>
    <w:rsid w:val="00BA4F75"/>
    <w:rsid w:val="00BA592A"/>
    <w:rsid w:val="00BA617C"/>
    <w:rsid w:val="00BB07CB"/>
    <w:rsid w:val="00BB257F"/>
    <w:rsid w:val="00BB3E83"/>
    <w:rsid w:val="00BB3EB4"/>
    <w:rsid w:val="00BB4FE8"/>
    <w:rsid w:val="00BB51F2"/>
    <w:rsid w:val="00BB54D7"/>
    <w:rsid w:val="00BB5CA6"/>
    <w:rsid w:val="00BB72D2"/>
    <w:rsid w:val="00BB7E20"/>
    <w:rsid w:val="00BC16FE"/>
    <w:rsid w:val="00BC2AC0"/>
    <w:rsid w:val="00BC441B"/>
    <w:rsid w:val="00BC781C"/>
    <w:rsid w:val="00BD1BEC"/>
    <w:rsid w:val="00BD2C4D"/>
    <w:rsid w:val="00BD2D91"/>
    <w:rsid w:val="00BD32FE"/>
    <w:rsid w:val="00BD40DB"/>
    <w:rsid w:val="00BD4E9B"/>
    <w:rsid w:val="00BD7556"/>
    <w:rsid w:val="00BD764A"/>
    <w:rsid w:val="00BD7BAD"/>
    <w:rsid w:val="00BE0204"/>
    <w:rsid w:val="00BE22F4"/>
    <w:rsid w:val="00BE3D08"/>
    <w:rsid w:val="00BE5871"/>
    <w:rsid w:val="00BE5994"/>
    <w:rsid w:val="00BF034C"/>
    <w:rsid w:val="00BF1491"/>
    <w:rsid w:val="00BF2083"/>
    <w:rsid w:val="00BF5421"/>
    <w:rsid w:val="00BF620F"/>
    <w:rsid w:val="00BF6360"/>
    <w:rsid w:val="00BF6D43"/>
    <w:rsid w:val="00BF6FC2"/>
    <w:rsid w:val="00BF7EEB"/>
    <w:rsid w:val="00C00516"/>
    <w:rsid w:val="00C006B8"/>
    <w:rsid w:val="00C00C08"/>
    <w:rsid w:val="00C00EC1"/>
    <w:rsid w:val="00C019B1"/>
    <w:rsid w:val="00C01ADB"/>
    <w:rsid w:val="00C02BCC"/>
    <w:rsid w:val="00C02EEF"/>
    <w:rsid w:val="00C03FCA"/>
    <w:rsid w:val="00C04B0A"/>
    <w:rsid w:val="00C05A3C"/>
    <w:rsid w:val="00C06068"/>
    <w:rsid w:val="00C061B1"/>
    <w:rsid w:val="00C063E2"/>
    <w:rsid w:val="00C1068D"/>
    <w:rsid w:val="00C11EB9"/>
    <w:rsid w:val="00C12892"/>
    <w:rsid w:val="00C12F53"/>
    <w:rsid w:val="00C1361B"/>
    <w:rsid w:val="00C13F5F"/>
    <w:rsid w:val="00C143B6"/>
    <w:rsid w:val="00C147AA"/>
    <w:rsid w:val="00C1481C"/>
    <w:rsid w:val="00C14902"/>
    <w:rsid w:val="00C1617D"/>
    <w:rsid w:val="00C16C43"/>
    <w:rsid w:val="00C201F3"/>
    <w:rsid w:val="00C2024D"/>
    <w:rsid w:val="00C209C7"/>
    <w:rsid w:val="00C20C83"/>
    <w:rsid w:val="00C23F7D"/>
    <w:rsid w:val="00C243D4"/>
    <w:rsid w:val="00C24A15"/>
    <w:rsid w:val="00C25B0A"/>
    <w:rsid w:val="00C316E8"/>
    <w:rsid w:val="00C323B6"/>
    <w:rsid w:val="00C32532"/>
    <w:rsid w:val="00C32970"/>
    <w:rsid w:val="00C32CAC"/>
    <w:rsid w:val="00C33DA0"/>
    <w:rsid w:val="00C3401A"/>
    <w:rsid w:val="00C35072"/>
    <w:rsid w:val="00C355EC"/>
    <w:rsid w:val="00C35678"/>
    <w:rsid w:val="00C365E2"/>
    <w:rsid w:val="00C3796E"/>
    <w:rsid w:val="00C37F63"/>
    <w:rsid w:val="00C40090"/>
    <w:rsid w:val="00C40209"/>
    <w:rsid w:val="00C40B0C"/>
    <w:rsid w:val="00C40E37"/>
    <w:rsid w:val="00C40FB5"/>
    <w:rsid w:val="00C41B0F"/>
    <w:rsid w:val="00C42741"/>
    <w:rsid w:val="00C42DF1"/>
    <w:rsid w:val="00C44B8C"/>
    <w:rsid w:val="00C453A6"/>
    <w:rsid w:val="00C45527"/>
    <w:rsid w:val="00C45DAE"/>
    <w:rsid w:val="00C460CF"/>
    <w:rsid w:val="00C47318"/>
    <w:rsid w:val="00C47BB9"/>
    <w:rsid w:val="00C51883"/>
    <w:rsid w:val="00C52373"/>
    <w:rsid w:val="00C537C9"/>
    <w:rsid w:val="00C5563F"/>
    <w:rsid w:val="00C5595F"/>
    <w:rsid w:val="00C56D64"/>
    <w:rsid w:val="00C57F7D"/>
    <w:rsid w:val="00C608AC"/>
    <w:rsid w:val="00C60D9F"/>
    <w:rsid w:val="00C60E26"/>
    <w:rsid w:val="00C6191C"/>
    <w:rsid w:val="00C6192F"/>
    <w:rsid w:val="00C62052"/>
    <w:rsid w:val="00C62593"/>
    <w:rsid w:val="00C62A92"/>
    <w:rsid w:val="00C643FA"/>
    <w:rsid w:val="00C66F1E"/>
    <w:rsid w:val="00C67E70"/>
    <w:rsid w:val="00C707C4"/>
    <w:rsid w:val="00C71341"/>
    <w:rsid w:val="00C73158"/>
    <w:rsid w:val="00C73C0D"/>
    <w:rsid w:val="00C7428D"/>
    <w:rsid w:val="00C74375"/>
    <w:rsid w:val="00C7449C"/>
    <w:rsid w:val="00C75562"/>
    <w:rsid w:val="00C757C2"/>
    <w:rsid w:val="00C759C4"/>
    <w:rsid w:val="00C75A4A"/>
    <w:rsid w:val="00C75C04"/>
    <w:rsid w:val="00C76457"/>
    <w:rsid w:val="00C76C89"/>
    <w:rsid w:val="00C76D52"/>
    <w:rsid w:val="00C80532"/>
    <w:rsid w:val="00C808B7"/>
    <w:rsid w:val="00C824CB"/>
    <w:rsid w:val="00C82FD8"/>
    <w:rsid w:val="00C84CD2"/>
    <w:rsid w:val="00C906EE"/>
    <w:rsid w:val="00C92DC2"/>
    <w:rsid w:val="00C94100"/>
    <w:rsid w:val="00C95691"/>
    <w:rsid w:val="00C9691B"/>
    <w:rsid w:val="00C97322"/>
    <w:rsid w:val="00C97CA4"/>
    <w:rsid w:val="00CA053D"/>
    <w:rsid w:val="00CA14D6"/>
    <w:rsid w:val="00CA159A"/>
    <w:rsid w:val="00CA2B83"/>
    <w:rsid w:val="00CA2F16"/>
    <w:rsid w:val="00CA3A46"/>
    <w:rsid w:val="00CA3B8F"/>
    <w:rsid w:val="00CA58D5"/>
    <w:rsid w:val="00CA6520"/>
    <w:rsid w:val="00CA76D3"/>
    <w:rsid w:val="00CB1C61"/>
    <w:rsid w:val="00CB356A"/>
    <w:rsid w:val="00CB39D9"/>
    <w:rsid w:val="00CB40A0"/>
    <w:rsid w:val="00CB4ADE"/>
    <w:rsid w:val="00CB4C0C"/>
    <w:rsid w:val="00CB534B"/>
    <w:rsid w:val="00CB639C"/>
    <w:rsid w:val="00CB677C"/>
    <w:rsid w:val="00CB78AB"/>
    <w:rsid w:val="00CB7EBC"/>
    <w:rsid w:val="00CC0B9C"/>
    <w:rsid w:val="00CC19BE"/>
    <w:rsid w:val="00CC21E2"/>
    <w:rsid w:val="00CC27DD"/>
    <w:rsid w:val="00CC2EC8"/>
    <w:rsid w:val="00CC31A4"/>
    <w:rsid w:val="00CC33A0"/>
    <w:rsid w:val="00CC34A9"/>
    <w:rsid w:val="00CC3BBE"/>
    <w:rsid w:val="00CC3BCE"/>
    <w:rsid w:val="00CC4E2F"/>
    <w:rsid w:val="00CC50A2"/>
    <w:rsid w:val="00CC6252"/>
    <w:rsid w:val="00CC7F71"/>
    <w:rsid w:val="00CD0AF6"/>
    <w:rsid w:val="00CD1457"/>
    <w:rsid w:val="00CD1C67"/>
    <w:rsid w:val="00CD1EDB"/>
    <w:rsid w:val="00CD2AE8"/>
    <w:rsid w:val="00CD3BFC"/>
    <w:rsid w:val="00CD42E9"/>
    <w:rsid w:val="00CD4E76"/>
    <w:rsid w:val="00CD55DC"/>
    <w:rsid w:val="00CD57DB"/>
    <w:rsid w:val="00CD6C92"/>
    <w:rsid w:val="00CD6E80"/>
    <w:rsid w:val="00CD7744"/>
    <w:rsid w:val="00CE0167"/>
    <w:rsid w:val="00CE11B3"/>
    <w:rsid w:val="00CE1B34"/>
    <w:rsid w:val="00CE1E5E"/>
    <w:rsid w:val="00CE2791"/>
    <w:rsid w:val="00CE2D67"/>
    <w:rsid w:val="00CE4C9D"/>
    <w:rsid w:val="00CE66C8"/>
    <w:rsid w:val="00CE7429"/>
    <w:rsid w:val="00CF0021"/>
    <w:rsid w:val="00CF0343"/>
    <w:rsid w:val="00CF05F1"/>
    <w:rsid w:val="00CF0FBC"/>
    <w:rsid w:val="00CF174A"/>
    <w:rsid w:val="00CF19A0"/>
    <w:rsid w:val="00CF19A1"/>
    <w:rsid w:val="00CF1C87"/>
    <w:rsid w:val="00CF21A4"/>
    <w:rsid w:val="00CF266B"/>
    <w:rsid w:val="00CF277E"/>
    <w:rsid w:val="00CF32FC"/>
    <w:rsid w:val="00CF3EE8"/>
    <w:rsid w:val="00CF4828"/>
    <w:rsid w:val="00CF5451"/>
    <w:rsid w:val="00CF58C6"/>
    <w:rsid w:val="00CF5C47"/>
    <w:rsid w:val="00CF5CA3"/>
    <w:rsid w:val="00CF694C"/>
    <w:rsid w:val="00CF6E38"/>
    <w:rsid w:val="00CF7431"/>
    <w:rsid w:val="00CF7A74"/>
    <w:rsid w:val="00D0011C"/>
    <w:rsid w:val="00D007EE"/>
    <w:rsid w:val="00D01300"/>
    <w:rsid w:val="00D0152A"/>
    <w:rsid w:val="00D0232A"/>
    <w:rsid w:val="00D02828"/>
    <w:rsid w:val="00D033C8"/>
    <w:rsid w:val="00D0343F"/>
    <w:rsid w:val="00D03864"/>
    <w:rsid w:val="00D0443A"/>
    <w:rsid w:val="00D04B68"/>
    <w:rsid w:val="00D10079"/>
    <w:rsid w:val="00D10B1D"/>
    <w:rsid w:val="00D117E3"/>
    <w:rsid w:val="00D11C35"/>
    <w:rsid w:val="00D1229C"/>
    <w:rsid w:val="00D13996"/>
    <w:rsid w:val="00D14B9D"/>
    <w:rsid w:val="00D14DB2"/>
    <w:rsid w:val="00D1629E"/>
    <w:rsid w:val="00D16708"/>
    <w:rsid w:val="00D16E74"/>
    <w:rsid w:val="00D1719D"/>
    <w:rsid w:val="00D173A4"/>
    <w:rsid w:val="00D17926"/>
    <w:rsid w:val="00D230FD"/>
    <w:rsid w:val="00D2373C"/>
    <w:rsid w:val="00D23855"/>
    <w:rsid w:val="00D23A2E"/>
    <w:rsid w:val="00D23F41"/>
    <w:rsid w:val="00D25C12"/>
    <w:rsid w:val="00D25C32"/>
    <w:rsid w:val="00D279BD"/>
    <w:rsid w:val="00D30208"/>
    <w:rsid w:val="00D310B2"/>
    <w:rsid w:val="00D31DAD"/>
    <w:rsid w:val="00D324FB"/>
    <w:rsid w:val="00D33AE0"/>
    <w:rsid w:val="00D34524"/>
    <w:rsid w:val="00D3520B"/>
    <w:rsid w:val="00D35DFD"/>
    <w:rsid w:val="00D3661B"/>
    <w:rsid w:val="00D36D6D"/>
    <w:rsid w:val="00D37BFC"/>
    <w:rsid w:val="00D37E1E"/>
    <w:rsid w:val="00D401F1"/>
    <w:rsid w:val="00D41073"/>
    <w:rsid w:val="00D413FE"/>
    <w:rsid w:val="00D42874"/>
    <w:rsid w:val="00D436D2"/>
    <w:rsid w:val="00D44C93"/>
    <w:rsid w:val="00D47710"/>
    <w:rsid w:val="00D5275B"/>
    <w:rsid w:val="00D538A7"/>
    <w:rsid w:val="00D53A1F"/>
    <w:rsid w:val="00D54CAE"/>
    <w:rsid w:val="00D55E56"/>
    <w:rsid w:val="00D57F18"/>
    <w:rsid w:val="00D57F99"/>
    <w:rsid w:val="00D60197"/>
    <w:rsid w:val="00D60443"/>
    <w:rsid w:val="00D60777"/>
    <w:rsid w:val="00D60FD2"/>
    <w:rsid w:val="00D612D9"/>
    <w:rsid w:val="00D61492"/>
    <w:rsid w:val="00D620F3"/>
    <w:rsid w:val="00D626AC"/>
    <w:rsid w:val="00D62BC4"/>
    <w:rsid w:val="00D6376B"/>
    <w:rsid w:val="00D638D0"/>
    <w:rsid w:val="00D667CF"/>
    <w:rsid w:val="00D670E9"/>
    <w:rsid w:val="00D679EF"/>
    <w:rsid w:val="00D702A3"/>
    <w:rsid w:val="00D72120"/>
    <w:rsid w:val="00D72B0A"/>
    <w:rsid w:val="00D72D26"/>
    <w:rsid w:val="00D750F2"/>
    <w:rsid w:val="00D759E8"/>
    <w:rsid w:val="00D76CDD"/>
    <w:rsid w:val="00D7733F"/>
    <w:rsid w:val="00D77381"/>
    <w:rsid w:val="00D80813"/>
    <w:rsid w:val="00D815E6"/>
    <w:rsid w:val="00D81C2E"/>
    <w:rsid w:val="00D81F7E"/>
    <w:rsid w:val="00D822CD"/>
    <w:rsid w:val="00D83005"/>
    <w:rsid w:val="00D843C9"/>
    <w:rsid w:val="00D84485"/>
    <w:rsid w:val="00D8470C"/>
    <w:rsid w:val="00D84FAC"/>
    <w:rsid w:val="00D850B9"/>
    <w:rsid w:val="00D9235A"/>
    <w:rsid w:val="00D92BEC"/>
    <w:rsid w:val="00D92E07"/>
    <w:rsid w:val="00D94069"/>
    <w:rsid w:val="00D9468B"/>
    <w:rsid w:val="00D95558"/>
    <w:rsid w:val="00D959F3"/>
    <w:rsid w:val="00D9616A"/>
    <w:rsid w:val="00D966B6"/>
    <w:rsid w:val="00D9790E"/>
    <w:rsid w:val="00D97F4C"/>
    <w:rsid w:val="00DA0A10"/>
    <w:rsid w:val="00DA25CE"/>
    <w:rsid w:val="00DA46E5"/>
    <w:rsid w:val="00DA4CBC"/>
    <w:rsid w:val="00DA580A"/>
    <w:rsid w:val="00DA7658"/>
    <w:rsid w:val="00DA7C32"/>
    <w:rsid w:val="00DB005B"/>
    <w:rsid w:val="00DB0F6A"/>
    <w:rsid w:val="00DB2B86"/>
    <w:rsid w:val="00DB3156"/>
    <w:rsid w:val="00DB3584"/>
    <w:rsid w:val="00DB3B37"/>
    <w:rsid w:val="00DB41A4"/>
    <w:rsid w:val="00DB51D2"/>
    <w:rsid w:val="00DB58D1"/>
    <w:rsid w:val="00DB62F6"/>
    <w:rsid w:val="00DB6536"/>
    <w:rsid w:val="00DB6698"/>
    <w:rsid w:val="00DB750E"/>
    <w:rsid w:val="00DC0AE9"/>
    <w:rsid w:val="00DC22CF"/>
    <w:rsid w:val="00DC30FE"/>
    <w:rsid w:val="00DC3118"/>
    <w:rsid w:val="00DC446A"/>
    <w:rsid w:val="00DC5051"/>
    <w:rsid w:val="00DC5AEB"/>
    <w:rsid w:val="00DC6026"/>
    <w:rsid w:val="00DC7403"/>
    <w:rsid w:val="00DD0070"/>
    <w:rsid w:val="00DD0771"/>
    <w:rsid w:val="00DD28FE"/>
    <w:rsid w:val="00DD2C59"/>
    <w:rsid w:val="00DD31B2"/>
    <w:rsid w:val="00DD3546"/>
    <w:rsid w:val="00DD3D2C"/>
    <w:rsid w:val="00DD5B75"/>
    <w:rsid w:val="00DD780A"/>
    <w:rsid w:val="00DD7BB7"/>
    <w:rsid w:val="00DE1FD3"/>
    <w:rsid w:val="00DE241C"/>
    <w:rsid w:val="00DE2587"/>
    <w:rsid w:val="00DE2A68"/>
    <w:rsid w:val="00DE369D"/>
    <w:rsid w:val="00DE3A09"/>
    <w:rsid w:val="00DE526D"/>
    <w:rsid w:val="00DE5775"/>
    <w:rsid w:val="00DE59ED"/>
    <w:rsid w:val="00DE6DF3"/>
    <w:rsid w:val="00DE74A1"/>
    <w:rsid w:val="00DF0E9B"/>
    <w:rsid w:val="00DF2CE0"/>
    <w:rsid w:val="00DF341B"/>
    <w:rsid w:val="00DF38E4"/>
    <w:rsid w:val="00DF4508"/>
    <w:rsid w:val="00DF533D"/>
    <w:rsid w:val="00DF60B6"/>
    <w:rsid w:val="00DF6584"/>
    <w:rsid w:val="00DF6809"/>
    <w:rsid w:val="00E00AB0"/>
    <w:rsid w:val="00E0281A"/>
    <w:rsid w:val="00E02981"/>
    <w:rsid w:val="00E02A83"/>
    <w:rsid w:val="00E02E44"/>
    <w:rsid w:val="00E03C74"/>
    <w:rsid w:val="00E042D3"/>
    <w:rsid w:val="00E04EBE"/>
    <w:rsid w:val="00E05DB4"/>
    <w:rsid w:val="00E06E4F"/>
    <w:rsid w:val="00E0709D"/>
    <w:rsid w:val="00E074E6"/>
    <w:rsid w:val="00E1026B"/>
    <w:rsid w:val="00E10B73"/>
    <w:rsid w:val="00E11F6A"/>
    <w:rsid w:val="00E12A8B"/>
    <w:rsid w:val="00E1412C"/>
    <w:rsid w:val="00E14480"/>
    <w:rsid w:val="00E1489A"/>
    <w:rsid w:val="00E15568"/>
    <w:rsid w:val="00E16D39"/>
    <w:rsid w:val="00E17F5C"/>
    <w:rsid w:val="00E206C9"/>
    <w:rsid w:val="00E20D4D"/>
    <w:rsid w:val="00E21266"/>
    <w:rsid w:val="00E2129C"/>
    <w:rsid w:val="00E21E7F"/>
    <w:rsid w:val="00E228E4"/>
    <w:rsid w:val="00E24D30"/>
    <w:rsid w:val="00E2532A"/>
    <w:rsid w:val="00E25655"/>
    <w:rsid w:val="00E25AA0"/>
    <w:rsid w:val="00E263DD"/>
    <w:rsid w:val="00E26829"/>
    <w:rsid w:val="00E26E69"/>
    <w:rsid w:val="00E272F6"/>
    <w:rsid w:val="00E27553"/>
    <w:rsid w:val="00E27B84"/>
    <w:rsid w:val="00E3046F"/>
    <w:rsid w:val="00E31733"/>
    <w:rsid w:val="00E32034"/>
    <w:rsid w:val="00E342CF"/>
    <w:rsid w:val="00E3534E"/>
    <w:rsid w:val="00E378CF"/>
    <w:rsid w:val="00E40EA9"/>
    <w:rsid w:val="00E411F5"/>
    <w:rsid w:val="00E415F7"/>
    <w:rsid w:val="00E42095"/>
    <w:rsid w:val="00E42340"/>
    <w:rsid w:val="00E42596"/>
    <w:rsid w:val="00E441F7"/>
    <w:rsid w:val="00E44BAF"/>
    <w:rsid w:val="00E45783"/>
    <w:rsid w:val="00E47A1C"/>
    <w:rsid w:val="00E51BBA"/>
    <w:rsid w:val="00E51F89"/>
    <w:rsid w:val="00E523A3"/>
    <w:rsid w:val="00E5284B"/>
    <w:rsid w:val="00E53DB3"/>
    <w:rsid w:val="00E540F3"/>
    <w:rsid w:val="00E54266"/>
    <w:rsid w:val="00E54829"/>
    <w:rsid w:val="00E5584D"/>
    <w:rsid w:val="00E562E3"/>
    <w:rsid w:val="00E61580"/>
    <w:rsid w:val="00E61B1F"/>
    <w:rsid w:val="00E62F34"/>
    <w:rsid w:val="00E63E00"/>
    <w:rsid w:val="00E63FFA"/>
    <w:rsid w:val="00E65B12"/>
    <w:rsid w:val="00E66B9D"/>
    <w:rsid w:val="00E66F6C"/>
    <w:rsid w:val="00E671D8"/>
    <w:rsid w:val="00E6739F"/>
    <w:rsid w:val="00E67B0C"/>
    <w:rsid w:val="00E70662"/>
    <w:rsid w:val="00E708D7"/>
    <w:rsid w:val="00E71504"/>
    <w:rsid w:val="00E73814"/>
    <w:rsid w:val="00E740E6"/>
    <w:rsid w:val="00E743A4"/>
    <w:rsid w:val="00E74E77"/>
    <w:rsid w:val="00E75503"/>
    <w:rsid w:val="00E75652"/>
    <w:rsid w:val="00E75B97"/>
    <w:rsid w:val="00E75CE7"/>
    <w:rsid w:val="00E76E00"/>
    <w:rsid w:val="00E77DA8"/>
    <w:rsid w:val="00E77E0F"/>
    <w:rsid w:val="00E80498"/>
    <w:rsid w:val="00E80FCC"/>
    <w:rsid w:val="00E81B1E"/>
    <w:rsid w:val="00E828CF"/>
    <w:rsid w:val="00E82A39"/>
    <w:rsid w:val="00E8360B"/>
    <w:rsid w:val="00E8464E"/>
    <w:rsid w:val="00E84BD6"/>
    <w:rsid w:val="00E84C99"/>
    <w:rsid w:val="00E85F93"/>
    <w:rsid w:val="00E86345"/>
    <w:rsid w:val="00E90073"/>
    <w:rsid w:val="00E90C9A"/>
    <w:rsid w:val="00E9146B"/>
    <w:rsid w:val="00E917E0"/>
    <w:rsid w:val="00E91818"/>
    <w:rsid w:val="00E91A98"/>
    <w:rsid w:val="00E9315D"/>
    <w:rsid w:val="00E94902"/>
    <w:rsid w:val="00E95D17"/>
    <w:rsid w:val="00E972A2"/>
    <w:rsid w:val="00EA0342"/>
    <w:rsid w:val="00EA125A"/>
    <w:rsid w:val="00EA14E2"/>
    <w:rsid w:val="00EA249C"/>
    <w:rsid w:val="00EA298C"/>
    <w:rsid w:val="00EA30FF"/>
    <w:rsid w:val="00EA369C"/>
    <w:rsid w:val="00EA435C"/>
    <w:rsid w:val="00EA4945"/>
    <w:rsid w:val="00EA58BE"/>
    <w:rsid w:val="00EA602E"/>
    <w:rsid w:val="00EA6761"/>
    <w:rsid w:val="00EA6FF6"/>
    <w:rsid w:val="00EA75CF"/>
    <w:rsid w:val="00EB02BD"/>
    <w:rsid w:val="00EB1599"/>
    <w:rsid w:val="00EB2E17"/>
    <w:rsid w:val="00EB469F"/>
    <w:rsid w:val="00EB4C92"/>
    <w:rsid w:val="00EB4F9C"/>
    <w:rsid w:val="00EB7CF4"/>
    <w:rsid w:val="00EC00E8"/>
    <w:rsid w:val="00EC0E62"/>
    <w:rsid w:val="00EC11E5"/>
    <w:rsid w:val="00EC2CFD"/>
    <w:rsid w:val="00EC5013"/>
    <w:rsid w:val="00EC5961"/>
    <w:rsid w:val="00EC7334"/>
    <w:rsid w:val="00EC76C1"/>
    <w:rsid w:val="00ED0302"/>
    <w:rsid w:val="00ED379A"/>
    <w:rsid w:val="00ED3D65"/>
    <w:rsid w:val="00ED4341"/>
    <w:rsid w:val="00ED4372"/>
    <w:rsid w:val="00ED509F"/>
    <w:rsid w:val="00ED515A"/>
    <w:rsid w:val="00ED57FB"/>
    <w:rsid w:val="00ED68C4"/>
    <w:rsid w:val="00ED6AF4"/>
    <w:rsid w:val="00EE061C"/>
    <w:rsid w:val="00EE0E22"/>
    <w:rsid w:val="00EE2064"/>
    <w:rsid w:val="00EE5898"/>
    <w:rsid w:val="00EE66B8"/>
    <w:rsid w:val="00EE6D6B"/>
    <w:rsid w:val="00EE735A"/>
    <w:rsid w:val="00EE76D8"/>
    <w:rsid w:val="00EF006E"/>
    <w:rsid w:val="00EF0283"/>
    <w:rsid w:val="00EF049F"/>
    <w:rsid w:val="00EF30F2"/>
    <w:rsid w:val="00EF3AC8"/>
    <w:rsid w:val="00EF5DBF"/>
    <w:rsid w:val="00EF63B8"/>
    <w:rsid w:val="00EF6EBB"/>
    <w:rsid w:val="00EF7733"/>
    <w:rsid w:val="00F00833"/>
    <w:rsid w:val="00F022E6"/>
    <w:rsid w:val="00F05CC6"/>
    <w:rsid w:val="00F06257"/>
    <w:rsid w:val="00F065E5"/>
    <w:rsid w:val="00F07032"/>
    <w:rsid w:val="00F073F5"/>
    <w:rsid w:val="00F07D88"/>
    <w:rsid w:val="00F10B2E"/>
    <w:rsid w:val="00F10DB4"/>
    <w:rsid w:val="00F10E1C"/>
    <w:rsid w:val="00F110BE"/>
    <w:rsid w:val="00F1297B"/>
    <w:rsid w:val="00F129BE"/>
    <w:rsid w:val="00F12F7F"/>
    <w:rsid w:val="00F1442F"/>
    <w:rsid w:val="00F145B1"/>
    <w:rsid w:val="00F15EA9"/>
    <w:rsid w:val="00F16454"/>
    <w:rsid w:val="00F16B55"/>
    <w:rsid w:val="00F170E7"/>
    <w:rsid w:val="00F1767C"/>
    <w:rsid w:val="00F17FD2"/>
    <w:rsid w:val="00F20505"/>
    <w:rsid w:val="00F2066B"/>
    <w:rsid w:val="00F20B5A"/>
    <w:rsid w:val="00F20CE1"/>
    <w:rsid w:val="00F218ED"/>
    <w:rsid w:val="00F22052"/>
    <w:rsid w:val="00F25B04"/>
    <w:rsid w:val="00F270FA"/>
    <w:rsid w:val="00F27D9E"/>
    <w:rsid w:val="00F30303"/>
    <w:rsid w:val="00F30C6E"/>
    <w:rsid w:val="00F32E19"/>
    <w:rsid w:val="00F33AE7"/>
    <w:rsid w:val="00F33CEC"/>
    <w:rsid w:val="00F34DFD"/>
    <w:rsid w:val="00F3520B"/>
    <w:rsid w:val="00F35272"/>
    <w:rsid w:val="00F3592E"/>
    <w:rsid w:val="00F35CFC"/>
    <w:rsid w:val="00F36D6B"/>
    <w:rsid w:val="00F36E0F"/>
    <w:rsid w:val="00F377A7"/>
    <w:rsid w:val="00F40362"/>
    <w:rsid w:val="00F42C7A"/>
    <w:rsid w:val="00F43158"/>
    <w:rsid w:val="00F43709"/>
    <w:rsid w:val="00F4375F"/>
    <w:rsid w:val="00F43BC1"/>
    <w:rsid w:val="00F455A3"/>
    <w:rsid w:val="00F45F92"/>
    <w:rsid w:val="00F4720A"/>
    <w:rsid w:val="00F501CA"/>
    <w:rsid w:val="00F505FA"/>
    <w:rsid w:val="00F50729"/>
    <w:rsid w:val="00F51209"/>
    <w:rsid w:val="00F51E48"/>
    <w:rsid w:val="00F520E2"/>
    <w:rsid w:val="00F52284"/>
    <w:rsid w:val="00F529A5"/>
    <w:rsid w:val="00F52E9A"/>
    <w:rsid w:val="00F55C82"/>
    <w:rsid w:val="00F565C3"/>
    <w:rsid w:val="00F572E6"/>
    <w:rsid w:val="00F60F60"/>
    <w:rsid w:val="00F6111A"/>
    <w:rsid w:val="00F61F86"/>
    <w:rsid w:val="00F6234D"/>
    <w:rsid w:val="00F6257C"/>
    <w:rsid w:val="00F629B2"/>
    <w:rsid w:val="00F62CA4"/>
    <w:rsid w:val="00F6445A"/>
    <w:rsid w:val="00F64786"/>
    <w:rsid w:val="00F65861"/>
    <w:rsid w:val="00F67624"/>
    <w:rsid w:val="00F67B14"/>
    <w:rsid w:val="00F67DAE"/>
    <w:rsid w:val="00F71E88"/>
    <w:rsid w:val="00F72E98"/>
    <w:rsid w:val="00F72E9C"/>
    <w:rsid w:val="00F7386B"/>
    <w:rsid w:val="00F74094"/>
    <w:rsid w:val="00F74551"/>
    <w:rsid w:val="00F7456F"/>
    <w:rsid w:val="00F7512F"/>
    <w:rsid w:val="00F759C2"/>
    <w:rsid w:val="00F76827"/>
    <w:rsid w:val="00F772FE"/>
    <w:rsid w:val="00F81112"/>
    <w:rsid w:val="00F828E5"/>
    <w:rsid w:val="00F841BD"/>
    <w:rsid w:val="00F84B01"/>
    <w:rsid w:val="00F858CA"/>
    <w:rsid w:val="00F86F35"/>
    <w:rsid w:val="00F873B4"/>
    <w:rsid w:val="00F87782"/>
    <w:rsid w:val="00F87B0E"/>
    <w:rsid w:val="00F90404"/>
    <w:rsid w:val="00F90557"/>
    <w:rsid w:val="00F92AE3"/>
    <w:rsid w:val="00F935F7"/>
    <w:rsid w:val="00F93938"/>
    <w:rsid w:val="00F94153"/>
    <w:rsid w:val="00F9568A"/>
    <w:rsid w:val="00F95DD9"/>
    <w:rsid w:val="00F96315"/>
    <w:rsid w:val="00F97459"/>
    <w:rsid w:val="00F97B43"/>
    <w:rsid w:val="00FA0854"/>
    <w:rsid w:val="00FA1D23"/>
    <w:rsid w:val="00FA2772"/>
    <w:rsid w:val="00FA4389"/>
    <w:rsid w:val="00FA4723"/>
    <w:rsid w:val="00FA5891"/>
    <w:rsid w:val="00FA5B45"/>
    <w:rsid w:val="00FB01AD"/>
    <w:rsid w:val="00FB0611"/>
    <w:rsid w:val="00FB0723"/>
    <w:rsid w:val="00FB0793"/>
    <w:rsid w:val="00FB140C"/>
    <w:rsid w:val="00FB28A6"/>
    <w:rsid w:val="00FB34D6"/>
    <w:rsid w:val="00FB3593"/>
    <w:rsid w:val="00FB39A7"/>
    <w:rsid w:val="00FB3D83"/>
    <w:rsid w:val="00FB4312"/>
    <w:rsid w:val="00FB5E1B"/>
    <w:rsid w:val="00FB7516"/>
    <w:rsid w:val="00FC03E8"/>
    <w:rsid w:val="00FC07DC"/>
    <w:rsid w:val="00FC1F6B"/>
    <w:rsid w:val="00FC2FD2"/>
    <w:rsid w:val="00FC46CA"/>
    <w:rsid w:val="00FC4BCF"/>
    <w:rsid w:val="00FC6AB4"/>
    <w:rsid w:val="00FC75BD"/>
    <w:rsid w:val="00FC7841"/>
    <w:rsid w:val="00FD06DC"/>
    <w:rsid w:val="00FD0BE6"/>
    <w:rsid w:val="00FD0F66"/>
    <w:rsid w:val="00FD15FB"/>
    <w:rsid w:val="00FD1969"/>
    <w:rsid w:val="00FD1CC0"/>
    <w:rsid w:val="00FD2717"/>
    <w:rsid w:val="00FD41B4"/>
    <w:rsid w:val="00FD5166"/>
    <w:rsid w:val="00FD576C"/>
    <w:rsid w:val="00FD5C82"/>
    <w:rsid w:val="00FD6547"/>
    <w:rsid w:val="00FD6B05"/>
    <w:rsid w:val="00FD75E6"/>
    <w:rsid w:val="00FD774A"/>
    <w:rsid w:val="00FD7B54"/>
    <w:rsid w:val="00FD7BC9"/>
    <w:rsid w:val="00FE0414"/>
    <w:rsid w:val="00FE09DA"/>
    <w:rsid w:val="00FE2365"/>
    <w:rsid w:val="00FE3D78"/>
    <w:rsid w:val="00FE3F15"/>
    <w:rsid w:val="00FE55F4"/>
    <w:rsid w:val="00FE6C25"/>
    <w:rsid w:val="00FE6C6A"/>
    <w:rsid w:val="00FF0088"/>
    <w:rsid w:val="00FF0365"/>
    <w:rsid w:val="00FF0492"/>
    <w:rsid w:val="00FF0AE4"/>
    <w:rsid w:val="00FF0CE4"/>
    <w:rsid w:val="00FF0DFD"/>
    <w:rsid w:val="00FF1207"/>
    <w:rsid w:val="00FF1ACF"/>
    <w:rsid w:val="00FF305F"/>
    <w:rsid w:val="00FF32C3"/>
    <w:rsid w:val="00FF346E"/>
    <w:rsid w:val="00FF5585"/>
    <w:rsid w:val="00FF579D"/>
    <w:rsid w:val="00FF64EE"/>
    <w:rsid w:val="00FF6DD6"/>
    <w:rsid w:val="0A9017D6"/>
    <w:rsid w:val="1ACA1088"/>
    <w:rsid w:val="1F03D9B7"/>
    <w:rsid w:val="20838957"/>
    <w:rsid w:val="22979AEA"/>
    <w:rsid w:val="2CC23F6B"/>
    <w:rsid w:val="2D5D516A"/>
    <w:rsid w:val="3909DE8F"/>
    <w:rsid w:val="51F54566"/>
    <w:rsid w:val="556EA5F9"/>
    <w:rsid w:val="61E032DD"/>
    <w:rsid w:val="6BFEB500"/>
    <w:rsid w:val="756D6806"/>
    <w:rsid w:val="7CEBB0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3D895A8D-8AA0-4453-A63F-5EB00CBE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197"/>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Edgar 2,Título 2 Car1,Título 2 Car Car Car Car Car,Edgar 2 Car Car Car Car Car,Título 2 Car Car Car Car,Edgar 2 Car Car Car Car,Edgar 2 Car3 Car Car Car Car,Edgar 2 Car3 Car Car Car,Edgar 2 Car3 Car,Edgar 2 Car Car"/>
    <w:basedOn w:val="Normal"/>
    <w:next w:val="Normal"/>
    <w:link w:val="Ttulo2Car"/>
    <w:uiPriority w:val="9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nhideWhenUsed/>
    <w:qFormat/>
    <w:rsid w:val="003467DD"/>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semiHidden/>
    <w:unhideWhenUsed/>
    <w:qFormat/>
    <w:rsid w:val="00104798"/>
    <w:pPr>
      <w:keepNext/>
      <w:tabs>
        <w:tab w:val="num" w:pos="864"/>
      </w:tabs>
      <w:spacing w:before="240" w:after="60" w:line="240" w:lineRule="auto"/>
      <w:ind w:left="864" w:hanging="864"/>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semiHidden/>
    <w:unhideWhenUsed/>
    <w:qFormat/>
    <w:rsid w:val="00104798"/>
    <w:pPr>
      <w:tabs>
        <w:tab w:val="num" w:pos="1008"/>
      </w:tabs>
      <w:spacing w:before="240" w:after="60" w:line="240" w:lineRule="auto"/>
      <w:ind w:left="1008" w:hanging="1008"/>
      <w:outlineLvl w:val="4"/>
    </w:pPr>
    <w:rPr>
      <w:rFonts w:ascii="Times New Roman" w:eastAsia="Times New Roman" w:hAnsi="Times New Roman" w:cs="Times New Roman"/>
      <w:szCs w:val="20"/>
      <w:lang w:val="es-ES_tradnl" w:eastAsia="es-ES"/>
    </w:rPr>
  </w:style>
  <w:style w:type="paragraph" w:styleId="Ttulo6">
    <w:name w:val="heading 6"/>
    <w:basedOn w:val="Normal"/>
    <w:next w:val="Normal"/>
    <w:link w:val="Ttulo6Car"/>
    <w:semiHidden/>
    <w:unhideWhenUsed/>
    <w:qFormat/>
    <w:rsid w:val="00104798"/>
    <w:pPr>
      <w:tabs>
        <w:tab w:val="num" w:pos="1152"/>
      </w:tabs>
      <w:spacing w:before="240" w:after="60" w:line="240" w:lineRule="auto"/>
      <w:ind w:left="1152" w:hanging="1152"/>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semiHidden/>
    <w:unhideWhenUsed/>
    <w:qFormat/>
    <w:rsid w:val="00104798"/>
    <w:pPr>
      <w:tabs>
        <w:tab w:val="num" w:pos="1296"/>
      </w:tabs>
      <w:spacing w:before="240" w:after="60" w:line="240" w:lineRule="auto"/>
      <w:ind w:left="1296" w:hanging="1296"/>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9"/>
    <w:semiHidden/>
    <w:unhideWhenUsed/>
    <w:qFormat/>
    <w:rsid w:val="00104798"/>
    <w:pPr>
      <w:tabs>
        <w:tab w:val="num" w:pos="1440"/>
      </w:tabs>
      <w:spacing w:before="240" w:after="60" w:line="240" w:lineRule="auto"/>
      <w:ind w:left="1440" w:hanging="1440"/>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semiHidden/>
    <w:unhideWhenUsed/>
    <w:qFormat/>
    <w:rsid w:val="00104798"/>
    <w:pPr>
      <w:tabs>
        <w:tab w:val="num" w:pos="1584"/>
      </w:tabs>
      <w:spacing w:before="240" w:after="60" w:line="240" w:lineRule="auto"/>
      <w:ind w:left="1584" w:hanging="1584"/>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qFormat/>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uiPriority w:val="9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qFormat/>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Párrafo de lista4,BOLADEF,Párrafo de lista3,Párrafo de lista21,BOLA,Nivel 1 OS,Colorful List Accent 1,Colorful List - Accent 11,List Paragraph1,Ha,Foot,Bulletr List Paragraph,列出段落,列出段落1,List Paragraph21,b1,l"/>
    <w:basedOn w:val="Normal"/>
    <w:link w:val="PrrafodelistaCar"/>
    <w:uiPriority w:val="1"/>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rsid w:val="003467DD"/>
    <w:rPr>
      <w:rFonts w:ascii="Arial" w:eastAsia="MS Gothic" w:hAnsi="Arial" w:cs="Times New Roman"/>
      <w:b/>
      <w:bCs/>
      <w:color w:val="4E4D4D"/>
      <w:sz w:val="20"/>
      <w:szCs w:val="28"/>
    </w:rPr>
  </w:style>
  <w:style w:type="character" w:customStyle="1" w:styleId="Ttulo2Car">
    <w:name w:val="Título 2 Car"/>
    <w:aliases w:val="Título 2 CCE Car,Edgar 2 Car1,Título 2 Car1 Car1,Título 2 Car Car Car Car Car Car1,Edgar 2 Car Car Car Car Car Car1,Título 2 Car Car Car Car Car2,Edgar 2 Car Car Car Car Car2,Edgar 2 Car3 Car Car Car Car Car1,Edgar 2 Car3 Car Car Car Car2"/>
    <w:basedOn w:val="Fuentedeprrafopredeter"/>
    <w:link w:val="Ttulo2"/>
    <w:uiPriority w:val="9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semiHidden/>
    <w:unhideWhenUsed/>
    <w:qFormat/>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rsid w:val="003467DD"/>
    <w:rPr>
      <w:rFonts w:ascii="Arial" w:eastAsia="MS Gothic" w:hAnsi="Arial" w:cs="Times New Roman"/>
      <w:i/>
      <w:iCs/>
      <w:color w:val="1A1818"/>
      <w:spacing w:val="15"/>
      <w:sz w:val="24"/>
      <w:szCs w:val="24"/>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
    <w:basedOn w:val="Normal"/>
    <w:link w:val="TextonotapieCar"/>
    <w:unhideWhenUsed/>
    <w:qFormat/>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Car3 Car Car1,Car Car Car Car Car Car Car Car2,Car Car Car Car Car Car Car Car Car,Car3 Car Car Car Car Car1,texto de nota al pie Car1,ft Car1,Car3 Car2,Car31 Car1,Car3 Car Car Car Car2,Car Car1 Car1,Footnote Text Char Char Car1,C Car"/>
    <w:basedOn w:val="Fuentedeprrafopredeter"/>
    <w:link w:val="Textonotapie"/>
    <w:qFormat/>
    <w:rsid w:val="003467DD"/>
    <w:rPr>
      <w:rFonts w:ascii="Arial" w:eastAsia="Calibri" w:hAnsi="Arial" w:cs="Times New Roman"/>
      <w:sz w:val="20"/>
      <w:szCs w:val="20"/>
      <w:lang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paragraph" w:styleId="Asuntodelcomentario">
    <w:name w:val="annotation subject"/>
    <w:basedOn w:val="Textocomentario"/>
    <w:next w:val="Textocomentario"/>
    <w:link w:val="AsuntodelcomentarioCar"/>
    <w:uiPriority w:val="99"/>
    <w:semiHidden/>
    <w:unhideWhenUsed/>
    <w:qFormat/>
    <w:rsid w:val="00C33DA0"/>
    <w:rPr>
      <w:b/>
      <w:bCs/>
    </w:rPr>
  </w:style>
  <w:style w:type="character" w:customStyle="1" w:styleId="AsuntodelcomentarioCar">
    <w:name w:val="Asunto del comentario Car"/>
    <w:basedOn w:val="TextocomentarioCar"/>
    <w:link w:val="Asuntodelcomentario"/>
    <w:uiPriority w:val="99"/>
    <w:semiHidden/>
    <w:rsid w:val="00C33DA0"/>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Ttulo4Car">
    <w:name w:val="Título 4 Car"/>
    <w:basedOn w:val="Fuentedeprrafopredeter"/>
    <w:link w:val="Ttulo4"/>
    <w:semiHidden/>
    <w:rsid w:val="00104798"/>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semiHidden/>
    <w:rsid w:val="00104798"/>
    <w:rPr>
      <w:rFonts w:ascii="Times New Roman" w:eastAsia="Times New Roman" w:hAnsi="Times New Roman" w:cs="Times New Roman"/>
      <w:szCs w:val="20"/>
      <w:lang w:val="es-ES_tradnl" w:eastAsia="es-ES"/>
    </w:rPr>
  </w:style>
  <w:style w:type="character" w:customStyle="1" w:styleId="Ttulo6Car">
    <w:name w:val="Título 6 Car"/>
    <w:basedOn w:val="Fuentedeprrafopredeter"/>
    <w:link w:val="Ttulo6"/>
    <w:semiHidden/>
    <w:rsid w:val="00104798"/>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semiHidden/>
    <w:rsid w:val="00104798"/>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9"/>
    <w:semiHidden/>
    <w:rsid w:val="00104798"/>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semiHidden/>
    <w:rsid w:val="00104798"/>
    <w:rPr>
      <w:rFonts w:ascii="Arial" w:eastAsia="Times New Roman" w:hAnsi="Arial" w:cs="Times New Roman"/>
      <w:b/>
      <w:i/>
      <w:sz w:val="18"/>
      <w:szCs w:val="20"/>
      <w:lang w:val="es-ES_tradnl" w:eastAsia="es-ES"/>
    </w:rPr>
  </w:style>
  <w:style w:type="character" w:styleId="Hipervnculovisitado">
    <w:name w:val="FollowedHyperlink"/>
    <w:basedOn w:val="Fuentedeprrafopredeter"/>
    <w:uiPriority w:val="99"/>
    <w:semiHidden/>
    <w:unhideWhenUsed/>
    <w:rsid w:val="00104798"/>
    <w:rPr>
      <w:color w:val="800080" w:themeColor="followedHyperlink"/>
      <w:u w:val="single"/>
    </w:rPr>
  </w:style>
  <w:style w:type="character" w:customStyle="1" w:styleId="Ttulo2Car2">
    <w:name w:val="Título 2 Car2"/>
    <w:aliases w:val="Edgar 2 Car,Título 2 Car1 Car,Título 2 Car Car Car Car Car Car,Edgar 2 Car Car Car Car Car Car,Título 2 Car Car Car Car Car1,Edgar 2 Car Car Car Car Car1,Edgar 2 Car3 Car Car Car Car Car,Edgar 2 Car3 Car Car Car Car1,Edgar 2 Car3 Car Car"/>
    <w:uiPriority w:val="99"/>
    <w:semiHidden/>
    <w:locked/>
    <w:rsid w:val="00104798"/>
    <w:rPr>
      <w:rFonts w:ascii="Arial" w:hAnsi="Arial" w:cs="Arial" w:hint="default"/>
      <w:i/>
      <w:iCs/>
      <w:sz w:val="28"/>
      <w:szCs w:val="28"/>
      <w:lang w:val="es-ES" w:eastAsia="es-ES"/>
    </w:rPr>
  </w:style>
  <w:style w:type="character" w:customStyle="1" w:styleId="NormalWebCar">
    <w:name w:val="Normal (Web) Car"/>
    <w:link w:val="NormalWeb"/>
    <w:semiHidden/>
    <w:locked/>
    <w:rsid w:val="00104798"/>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unhideWhenUsed/>
    <w:qFormat/>
    <w:rsid w:val="00104798"/>
    <w:pPr>
      <w:spacing w:after="0" w:line="240" w:lineRule="auto"/>
    </w:pPr>
    <w:rPr>
      <w:rFonts w:ascii="Arial" w:eastAsia="Times New Roman" w:hAnsi="Arial" w:cs="Times New Roman"/>
      <w:szCs w:val="20"/>
      <w:lang w:eastAsia="es-CO"/>
    </w:rPr>
  </w:style>
  <w:style w:type="paragraph" w:styleId="TDC2">
    <w:name w:val="toc 2"/>
    <w:basedOn w:val="Normal"/>
    <w:next w:val="Normal"/>
    <w:autoRedefine/>
    <w:uiPriority w:val="39"/>
    <w:unhideWhenUsed/>
    <w:qFormat/>
    <w:rsid w:val="00104798"/>
    <w:pPr>
      <w:spacing w:after="0" w:line="240" w:lineRule="auto"/>
      <w:ind w:left="221"/>
    </w:pPr>
    <w:rPr>
      <w:rFonts w:ascii="Arial" w:eastAsia="Times New Roman" w:hAnsi="Arial" w:cs="Times New Roman"/>
      <w:lang w:eastAsia="es-CO"/>
    </w:rPr>
  </w:style>
  <w:style w:type="paragraph" w:styleId="TDC3">
    <w:name w:val="toc 3"/>
    <w:basedOn w:val="Normal"/>
    <w:next w:val="Normal"/>
    <w:autoRedefine/>
    <w:uiPriority w:val="39"/>
    <w:semiHidden/>
    <w:unhideWhenUsed/>
    <w:qFormat/>
    <w:rsid w:val="00104798"/>
    <w:pPr>
      <w:spacing w:after="0" w:line="240" w:lineRule="auto"/>
      <w:ind w:left="442"/>
    </w:pPr>
    <w:rPr>
      <w:rFonts w:ascii="Arial" w:eastAsia="Times New Roman" w:hAnsi="Arial" w:cs="Times New Roman"/>
      <w:lang w:eastAsia="es-CO"/>
    </w:rPr>
  </w:style>
  <w:style w:type="paragraph" w:styleId="TDC4">
    <w:name w:val="toc 4"/>
    <w:basedOn w:val="Normal"/>
    <w:next w:val="Normal"/>
    <w:autoRedefine/>
    <w:uiPriority w:val="39"/>
    <w:semiHidden/>
    <w:unhideWhenUsed/>
    <w:qFormat/>
    <w:rsid w:val="00104798"/>
    <w:pPr>
      <w:spacing w:after="100"/>
      <w:ind w:left="660"/>
    </w:pPr>
    <w:rPr>
      <w:rFonts w:ascii="Arial" w:eastAsia="Times New Roman" w:hAnsi="Arial" w:cs="Times New Roman"/>
      <w:lang w:eastAsia="es-CO"/>
    </w:rPr>
  </w:style>
  <w:style w:type="paragraph" w:styleId="TDC5">
    <w:name w:val="toc 5"/>
    <w:basedOn w:val="Normal"/>
    <w:next w:val="Normal"/>
    <w:autoRedefine/>
    <w:uiPriority w:val="39"/>
    <w:semiHidden/>
    <w:unhideWhenUsed/>
    <w:qFormat/>
    <w:rsid w:val="00104798"/>
    <w:pPr>
      <w:spacing w:after="100"/>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qFormat/>
    <w:rsid w:val="00104798"/>
    <w:pPr>
      <w:spacing w:after="100"/>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qFormat/>
    <w:rsid w:val="00104798"/>
    <w:pPr>
      <w:spacing w:after="100"/>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qFormat/>
    <w:rsid w:val="00104798"/>
    <w:pPr>
      <w:spacing w:after="100"/>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qFormat/>
    <w:rsid w:val="00104798"/>
    <w:pPr>
      <w:spacing w:after="100"/>
      <w:ind w:left="1760"/>
    </w:pPr>
    <w:rPr>
      <w:rFonts w:ascii="Calibri" w:eastAsia="Times New Roman" w:hAnsi="Calibri" w:cs="Times New Roman"/>
      <w:lang w:eastAsia="es-CO"/>
    </w:rPr>
  </w:style>
  <w:style w:type="character" w:customStyle="1" w:styleId="TextonotapieCar1">
    <w:name w:val="Texto nota pie Car1"/>
    <w:aliases w:val="Car3 Car Car,Car Car Car Car Car Car Car Car1,Car Car Car Car Car Car Car Car Car1,Car3 Car Car Car Car Car,texto de nota al pie Car,ft Car,Car3 Car1,Car31 Car,Car3 Car Car Car Car1,Car Car1 Car,Footnote Text Char Char Car,f Car"/>
    <w:uiPriority w:val="99"/>
    <w:semiHidden/>
    <w:qFormat/>
    <w:locked/>
    <w:rsid w:val="00104798"/>
    <w:rPr>
      <w:rFonts w:ascii="Arial" w:eastAsia="Times New Roman" w:hAnsi="Arial" w:cs="Arial"/>
      <w:lang w:eastAsia="es-CO"/>
    </w:rPr>
  </w:style>
  <w:style w:type="character" w:customStyle="1" w:styleId="EncabezadoCar1">
    <w:name w:val="Encabezado Car1"/>
    <w:aliases w:val="encabezado Car1"/>
    <w:basedOn w:val="Fuentedeprrafopredeter"/>
    <w:uiPriority w:val="99"/>
    <w:semiHidden/>
    <w:rsid w:val="00104798"/>
    <w:rPr>
      <w:rFonts w:ascii="Arial" w:eastAsia="Times New Roman" w:hAnsi="Arial" w:cs="Times New Roman"/>
      <w:sz w:val="20"/>
      <w:szCs w:val="20"/>
      <w:lang w:eastAsia="es-CO"/>
    </w:rPr>
  </w:style>
  <w:style w:type="paragraph" w:styleId="Descripcin">
    <w:name w:val="caption"/>
    <w:basedOn w:val="Normal"/>
    <w:next w:val="Normal"/>
    <w:uiPriority w:val="99"/>
    <w:semiHidden/>
    <w:unhideWhenUsed/>
    <w:qFormat/>
    <w:rsid w:val="00104798"/>
    <w:rPr>
      <w:rFonts w:ascii="Calibri" w:eastAsia="Calibri" w:hAnsi="Calibri" w:cs="Calibri"/>
      <w:b/>
      <w:bCs/>
      <w:sz w:val="20"/>
      <w:szCs w:val="20"/>
    </w:rPr>
  </w:style>
  <w:style w:type="paragraph" w:styleId="Textonotaalfinal">
    <w:name w:val="endnote text"/>
    <w:basedOn w:val="Normal"/>
    <w:link w:val="TextonotaalfinalCar"/>
    <w:uiPriority w:val="99"/>
    <w:semiHidden/>
    <w:unhideWhenUsed/>
    <w:qFormat/>
    <w:rsid w:val="00104798"/>
    <w:pPr>
      <w:spacing w:after="0" w:line="240" w:lineRule="auto"/>
    </w:pPr>
    <w:rPr>
      <w:rFonts w:ascii="Arial" w:eastAsia="Times New Roman" w:hAnsi="Arial" w:cs="Times New Roman"/>
      <w:sz w:val="20"/>
      <w:szCs w:val="20"/>
      <w:lang w:eastAsia="es-CO"/>
    </w:rPr>
  </w:style>
  <w:style w:type="character" w:customStyle="1" w:styleId="TextonotaalfinalCar">
    <w:name w:val="Texto nota al final Car"/>
    <w:basedOn w:val="Fuentedeprrafopredeter"/>
    <w:link w:val="Textonotaalfinal"/>
    <w:uiPriority w:val="99"/>
    <w:semiHidden/>
    <w:rsid w:val="00104798"/>
    <w:rPr>
      <w:rFonts w:ascii="Arial" w:eastAsia="Times New Roman" w:hAnsi="Arial" w:cs="Times New Roman"/>
      <w:sz w:val="20"/>
      <w:szCs w:val="20"/>
      <w:lang w:eastAsia="es-CO"/>
    </w:rPr>
  </w:style>
  <w:style w:type="paragraph" w:styleId="Lista">
    <w:name w:val="List"/>
    <w:basedOn w:val="Normal"/>
    <w:uiPriority w:val="99"/>
    <w:semiHidden/>
    <w:unhideWhenUsed/>
    <w:qFormat/>
    <w:rsid w:val="00104798"/>
    <w:pPr>
      <w:spacing w:after="0" w:line="240" w:lineRule="auto"/>
      <w:ind w:left="283" w:hanging="283"/>
    </w:pPr>
    <w:rPr>
      <w:rFonts w:ascii="Times New Roman" w:eastAsia="Times New Roman" w:hAnsi="Times New Roman" w:cs="Times New Roman"/>
      <w:sz w:val="24"/>
      <w:szCs w:val="24"/>
      <w:lang w:val="es-ES" w:eastAsia="es-ES"/>
    </w:rPr>
  </w:style>
  <w:style w:type="paragraph" w:styleId="Listaconvietas">
    <w:name w:val="List Bullet"/>
    <w:basedOn w:val="Normal"/>
    <w:uiPriority w:val="99"/>
    <w:semiHidden/>
    <w:unhideWhenUsed/>
    <w:qFormat/>
    <w:rsid w:val="00104798"/>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semiHidden/>
    <w:unhideWhenUsed/>
    <w:qFormat/>
    <w:rsid w:val="00104798"/>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semiHidden/>
    <w:unhideWhenUsed/>
    <w:qFormat/>
    <w:rsid w:val="00104798"/>
    <w:pPr>
      <w:spacing w:after="0" w:line="240" w:lineRule="auto"/>
      <w:ind w:left="849" w:hanging="283"/>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semiHidden/>
    <w:unhideWhenUsed/>
    <w:qFormat/>
    <w:rsid w:val="00104798"/>
    <w:pPr>
      <w:numPr>
        <w:numId w:val="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semiHidden/>
    <w:unhideWhenUsed/>
    <w:qFormat/>
    <w:rsid w:val="00104798"/>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semiHidden/>
    <w:unhideWhenUsed/>
    <w:qFormat/>
    <w:rsid w:val="00104798"/>
    <w:pPr>
      <w:numPr>
        <w:numId w:val="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semiHidden/>
    <w:unhideWhenUsed/>
    <w:qFormat/>
    <w:rsid w:val="00104798"/>
    <w:pPr>
      <w:numPr>
        <w:numId w:val="7"/>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TextindepT2 Car,body text Car,bt Car,Subsection Body Text Car"/>
    <w:basedOn w:val="Fuentedeprrafopredeter"/>
    <w:link w:val="Textoindependiente"/>
    <w:semiHidden/>
    <w:qFormat/>
    <w:locked/>
    <w:rsid w:val="00104798"/>
    <w:rPr>
      <w:rFonts w:ascii="Times New Roman" w:eastAsia="Times New Roman" w:hAnsi="Times New Roman" w:cs="Times New Roman"/>
      <w:sz w:val="24"/>
      <w:szCs w:val="24"/>
      <w:lang w:eastAsia="es-CO"/>
    </w:rPr>
  </w:style>
  <w:style w:type="paragraph" w:styleId="Textoindependiente">
    <w:name w:val="Body Text"/>
    <w:aliases w:val="TextindepT2,body text,bt,Subsection Body Text"/>
    <w:basedOn w:val="Normal"/>
    <w:link w:val="TextoindependienteCar"/>
    <w:semiHidden/>
    <w:unhideWhenUsed/>
    <w:qFormat/>
    <w:rsid w:val="0010479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Car1">
    <w:name w:val="Texto independiente Car1"/>
    <w:aliases w:val="TextindepT2 Car1,body text Car1,bt Car1,Subsection Body Text Car1"/>
    <w:basedOn w:val="Fuentedeprrafopredeter"/>
    <w:semiHidden/>
    <w:rsid w:val="00104798"/>
  </w:style>
  <w:style w:type="paragraph" w:styleId="Sangradetextonormal">
    <w:name w:val="Body Text Indent"/>
    <w:basedOn w:val="Normal"/>
    <w:link w:val="SangradetextonormalCar"/>
    <w:uiPriority w:val="99"/>
    <w:semiHidden/>
    <w:unhideWhenUsed/>
    <w:qFormat/>
    <w:rsid w:val="00104798"/>
    <w:pPr>
      <w:spacing w:after="120" w:line="240" w:lineRule="auto"/>
      <w:ind w:left="283"/>
    </w:pPr>
    <w:rPr>
      <w:rFonts w:ascii="Arial" w:eastAsia="Times New Roman" w:hAnsi="Arial" w:cs="Times New Roman"/>
      <w:sz w:val="20"/>
      <w:szCs w:val="20"/>
      <w:lang w:eastAsia="es-CO"/>
    </w:rPr>
  </w:style>
  <w:style w:type="character" w:customStyle="1" w:styleId="SangradetextonormalCar">
    <w:name w:val="Sangría de texto normal Car"/>
    <w:basedOn w:val="Fuentedeprrafopredeter"/>
    <w:link w:val="Sangradetextonormal"/>
    <w:uiPriority w:val="99"/>
    <w:semiHidden/>
    <w:rsid w:val="00104798"/>
    <w:rPr>
      <w:rFonts w:ascii="Arial" w:eastAsia="Times New Roman" w:hAnsi="Arial" w:cs="Times New Roman"/>
      <w:sz w:val="20"/>
      <w:szCs w:val="20"/>
      <w:lang w:eastAsia="es-CO"/>
    </w:rPr>
  </w:style>
  <w:style w:type="paragraph" w:styleId="Continuarlista">
    <w:name w:val="List Continue"/>
    <w:basedOn w:val="Normal"/>
    <w:uiPriority w:val="99"/>
    <w:semiHidden/>
    <w:unhideWhenUsed/>
    <w:qFormat/>
    <w:rsid w:val="00104798"/>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semiHidden/>
    <w:unhideWhenUsed/>
    <w:qFormat/>
    <w:rsid w:val="00104798"/>
    <w:pPr>
      <w:spacing w:after="120" w:line="240" w:lineRule="auto"/>
      <w:ind w:left="566"/>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semiHidden/>
    <w:unhideWhenUsed/>
    <w:qFormat/>
    <w:rsid w:val="00104798"/>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semiHidden/>
    <w:rsid w:val="00104798"/>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qFormat/>
    <w:rsid w:val="00104798"/>
    <w:pPr>
      <w:spacing w:before="0" w:beforeAutospacing="0" w:after="0" w:afterAutospacing="0"/>
      <w:ind w:firstLine="360"/>
    </w:pPr>
    <w:rPr>
      <w:lang w:val="x-none" w:eastAsia="x-none"/>
    </w:rPr>
  </w:style>
  <w:style w:type="character" w:customStyle="1" w:styleId="TextoindependienteprimerasangraCar">
    <w:name w:val="Texto independiente primera sangría Car"/>
    <w:basedOn w:val="TextoindependienteCar1"/>
    <w:link w:val="Textoindependienteprimerasangra"/>
    <w:uiPriority w:val="99"/>
    <w:semiHidden/>
    <w:rsid w:val="00104798"/>
    <w:rPr>
      <w:rFonts w:ascii="Times New Roman" w:eastAsia="Times New Roman" w:hAnsi="Times New Roman"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semiHidden/>
    <w:unhideWhenUsed/>
    <w:qFormat/>
    <w:rsid w:val="00104798"/>
    <w:pPr>
      <w:spacing w:after="0"/>
      <w:ind w:left="360" w:firstLine="360"/>
    </w:pPr>
    <w:rPr>
      <w:rFonts w:ascii="Times New Roman" w:hAnsi="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104798"/>
    <w:rPr>
      <w:rFonts w:ascii="Times New Roman" w:eastAsia="Times New Roman" w:hAnsi="Times New Roman" w:cs="Times New Roman"/>
      <w:sz w:val="24"/>
      <w:szCs w:val="24"/>
      <w:lang w:val="x-none" w:eastAsia="x-none"/>
    </w:rPr>
  </w:style>
  <w:style w:type="paragraph" w:styleId="Textoindependiente2">
    <w:name w:val="Body Text 2"/>
    <w:basedOn w:val="Normal"/>
    <w:link w:val="Textoindependiente2Car"/>
    <w:uiPriority w:val="99"/>
    <w:semiHidden/>
    <w:unhideWhenUsed/>
    <w:qFormat/>
    <w:rsid w:val="0010479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semiHidden/>
    <w:rsid w:val="0010479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qFormat/>
    <w:rsid w:val="00104798"/>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104798"/>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qFormat/>
    <w:rsid w:val="0010479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10479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qFormat/>
    <w:rsid w:val="0010479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qFormat/>
    <w:rsid w:val="00104798"/>
    <w:rPr>
      <w:rFonts w:ascii="Times New Roman" w:eastAsia="Times New Roman" w:hAnsi="Times New Roman" w:cs="Times New Roman"/>
      <w:sz w:val="16"/>
      <w:szCs w:val="16"/>
      <w:lang w:val="x-none" w:eastAsia="x-none"/>
    </w:rPr>
  </w:style>
  <w:style w:type="paragraph" w:styleId="Textosinformato">
    <w:name w:val="Plain Text"/>
    <w:basedOn w:val="Normal"/>
    <w:link w:val="TextosinformatoCar"/>
    <w:uiPriority w:val="99"/>
    <w:semiHidden/>
    <w:unhideWhenUsed/>
    <w:qFormat/>
    <w:rsid w:val="00104798"/>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semiHidden/>
    <w:rsid w:val="00104798"/>
    <w:rPr>
      <w:rFonts w:ascii="Courier New" w:eastAsia="Times New Roman" w:hAnsi="Courier New" w:cs="Times New Roman"/>
      <w:sz w:val="20"/>
      <w:szCs w:val="20"/>
      <w:lang w:val="es-ES" w:eastAsia="es-ES"/>
    </w:rPr>
  </w:style>
  <w:style w:type="character" w:customStyle="1" w:styleId="SinespaciadoCar">
    <w:name w:val="Sin espaciado Car"/>
    <w:aliases w:val="Encabezado CCE Car"/>
    <w:link w:val="Sinespaciado"/>
    <w:uiPriority w:val="1"/>
    <w:locked/>
    <w:rsid w:val="00104798"/>
    <w:rPr>
      <w:rFonts w:ascii="Arial" w:eastAsia="Arial" w:hAnsi="Arial" w:cs="Times New Roman"/>
      <w:b/>
      <w:color w:val="1A1818"/>
      <w:sz w:val="20"/>
    </w:rPr>
  </w:style>
  <w:style w:type="paragraph" w:styleId="Revisin">
    <w:name w:val="Revision"/>
    <w:uiPriority w:val="99"/>
    <w:semiHidden/>
    <w:qFormat/>
    <w:rsid w:val="0010479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1 Car,Ha Car,Foot Car,列出段落 Car,b1 Car"/>
    <w:link w:val="Prrafodelista"/>
    <w:uiPriority w:val="1"/>
    <w:qFormat/>
    <w:locked/>
    <w:rsid w:val="00104798"/>
  </w:style>
  <w:style w:type="paragraph" w:styleId="TtuloTDC">
    <w:name w:val="TOC Heading"/>
    <w:basedOn w:val="Ttulo1"/>
    <w:next w:val="Normal"/>
    <w:uiPriority w:val="39"/>
    <w:semiHidden/>
    <w:unhideWhenUsed/>
    <w:qFormat/>
    <w:rsid w:val="00104798"/>
    <w:pPr>
      <w:jc w:val="left"/>
      <w:outlineLvl w:val="9"/>
    </w:pPr>
    <w:rPr>
      <w:rFonts w:ascii="Cambria" w:eastAsia="Times New Roman" w:hAnsi="Cambria"/>
      <w:color w:val="365F91"/>
      <w:sz w:val="28"/>
      <w:lang w:eastAsia="es-CO"/>
    </w:rPr>
  </w:style>
  <w:style w:type="paragraph" w:customStyle="1" w:styleId="Car2">
    <w:name w:val="Car2"/>
    <w:basedOn w:val="Normal"/>
    <w:qFormat/>
    <w:rsid w:val="00104798"/>
    <w:pPr>
      <w:spacing w:after="160" w:line="240" w:lineRule="exact"/>
    </w:pPr>
    <w:rPr>
      <w:rFonts w:ascii="Verdana" w:eastAsia="Times New Roman" w:hAnsi="Verdana" w:cs="Verdana"/>
      <w:sz w:val="20"/>
      <w:szCs w:val="20"/>
      <w:lang w:val="es-ES"/>
    </w:rPr>
  </w:style>
  <w:style w:type="paragraph" w:customStyle="1" w:styleId="CarCarCarCarCarCarCarCarCar2">
    <w:name w:val="Car Car Car Car Car Car Car Car Car2"/>
    <w:basedOn w:val="Normal"/>
    <w:uiPriority w:val="99"/>
    <w:qFormat/>
    <w:rsid w:val="00104798"/>
    <w:pPr>
      <w:spacing w:after="160" w:line="240" w:lineRule="exact"/>
    </w:pPr>
    <w:rPr>
      <w:rFonts w:ascii="Verdana" w:eastAsia="Times New Roman" w:hAnsi="Verdana" w:cs="Times New Roman"/>
      <w:sz w:val="20"/>
      <w:szCs w:val="20"/>
      <w:lang w:val="es-ES_tradnl"/>
    </w:rPr>
  </w:style>
  <w:style w:type="character" w:customStyle="1" w:styleId="DefaultCar">
    <w:name w:val="Default Car"/>
    <w:basedOn w:val="Fuentedeprrafopredeter"/>
    <w:link w:val="Default"/>
    <w:locked/>
    <w:rsid w:val="00104798"/>
    <w:rPr>
      <w:rFonts w:ascii="Calibri" w:hAnsi="Calibri" w:cs="Calibri"/>
      <w:color w:val="000000"/>
      <w:sz w:val="24"/>
      <w:szCs w:val="24"/>
      <w:lang w:eastAsia="es-CO"/>
    </w:rPr>
  </w:style>
  <w:style w:type="paragraph" w:customStyle="1" w:styleId="Default">
    <w:name w:val="Default"/>
    <w:link w:val="DefaultCar"/>
    <w:qFormat/>
    <w:rsid w:val="00104798"/>
    <w:pPr>
      <w:autoSpaceDE w:val="0"/>
      <w:autoSpaceDN w:val="0"/>
      <w:adjustRightInd w:val="0"/>
      <w:spacing w:after="0" w:line="240" w:lineRule="auto"/>
    </w:pPr>
    <w:rPr>
      <w:rFonts w:ascii="Calibri" w:hAnsi="Calibri" w:cs="Calibri"/>
      <w:color w:val="000000"/>
      <w:sz w:val="24"/>
      <w:szCs w:val="24"/>
      <w:lang w:eastAsia="es-CO"/>
    </w:rPr>
  </w:style>
  <w:style w:type="paragraph" w:customStyle="1" w:styleId="Prrafodelista1">
    <w:name w:val="Párrafo de lista1"/>
    <w:aliases w:val="Bullet List,FooterText,numbered,Paragraphe de liste1,lp1"/>
    <w:basedOn w:val="Normal"/>
    <w:uiPriority w:val="99"/>
    <w:qFormat/>
    <w:rsid w:val="0010479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5">
    <w:name w:val="font5"/>
    <w:basedOn w:val="Normal"/>
    <w:qFormat/>
    <w:rsid w:val="0010479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10479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405">
    <w:name w:val="xl40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406">
    <w:name w:val="xl406"/>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407">
    <w:name w:val="xl407"/>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08">
    <w:name w:val="xl408"/>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sz w:val="16"/>
      <w:szCs w:val="16"/>
      <w:lang w:eastAsia="es-CO"/>
    </w:rPr>
  </w:style>
  <w:style w:type="paragraph" w:customStyle="1" w:styleId="xl409">
    <w:name w:val="xl409"/>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0">
    <w:name w:val="xl410"/>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xl411">
    <w:name w:val="xl411"/>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2">
    <w:name w:val="xl412"/>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3">
    <w:name w:val="xl413"/>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414">
    <w:name w:val="xl41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5">
    <w:name w:val="xl41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sz w:val="16"/>
      <w:szCs w:val="16"/>
      <w:lang w:eastAsia="es-CO"/>
    </w:rPr>
  </w:style>
  <w:style w:type="paragraph" w:customStyle="1" w:styleId="xl416">
    <w:name w:val="xl416"/>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7">
    <w:name w:val="xl417"/>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alibri" w:eastAsia="Times New Roman" w:hAnsi="Calibri" w:cs="Times New Roman"/>
      <w:color w:val="000000"/>
      <w:sz w:val="16"/>
      <w:szCs w:val="16"/>
      <w:lang w:eastAsia="es-CO"/>
    </w:rPr>
  </w:style>
  <w:style w:type="paragraph" w:customStyle="1" w:styleId="xl418">
    <w:name w:val="xl41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19">
    <w:name w:val="xl419"/>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20">
    <w:name w:val="xl420"/>
    <w:basedOn w:val="Normal"/>
    <w:qFormat/>
    <w:rsid w:val="00104798"/>
    <w:pPr>
      <w:pBdr>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21">
    <w:name w:val="xl421"/>
    <w:basedOn w:val="Normal"/>
    <w:qFormat/>
    <w:rsid w:val="00104798"/>
    <w:pPr>
      <w:pBdr>
        <w:left w:val="single" w:sz="4" w:space="0" w:color="auto"/>
        <w:bottom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22">
    <w:name w:val="xl422"/>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3">
    <w:name w:val="xl423"/>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4">
    <w:name w:val="xl424"/>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Calibri" w:eastAsia="Times New Roman" w:hAnsi="Calibri" w:cs="Times New Roman"/>
      <w:color w:val="000000"/>
      <w:sz w:val="12"/>
      <w:szCs w:val="12"/>
      <w:lang w:eastAsia="es-CO"/>
    </w:rPr>
  </w:style>
  <w:style w:type="paragraph" w:customStyle="1" w:styleId="xl425">
    <w:name w:val="xl425"/>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right"/>
    </w:pPr>
    <w:rPr>
      <w:rFonts w:ascii="Calibri" w:eastAsia="Times New Roman" w:hAnsi="Calibri" w:cs="Times New Roman"/>
      <w:color w:val="000000"/>
      <w:sz w:val="12"/>
      <w:szCs w:val="12"/>
      <w:lang w:eastAsia="es-CO"/>
    </w:rPr>
  </w:style>
  <w:style w:type="paragraph" w:customStyle="1" w:styleId="xl426">
    <w:name w:val="xl426"/>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7">
    <w:name w:val="xl427"/>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8">
    <w:name w:val="xl42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9">
    <w:name w:val="xl429"/>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0">
    <w:name w:val="xl430"/>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1">
    <w:name w:val="xl431"/>
    <w:basedOn w:val="Normal"/>
    <w:qFormat/>
    <w:rsid w:val="00104798"/>
    <w:pPr>
      <w:pBdr>
        <w:top w:val="single" w:sz="4" w:space="0" w:color="auto"/>
        <w:left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2">
    <w:name w:val="xl432"/>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jc w:val="both"/>
    </w:pPr>
    <w:rPr>
      <w:rFonts w:ascii="Arial Narrow" w:eastAsia="Times New Roman" w:hAnsi="Arial Narrow" w:cs="Times New Roman"/>
      <w:color w:val="000000"/>
      <w:sz w:val="12"/>
      <w:szCs w:val="12"/>
      <w:lang w:eastAsia="es-CO"/>
    </w:rPr>
  </w:style>
  <w:style w:type="paragraph" w:customStyle="1" w:styleId="xl433">
    <w:name w:val="xl433"/>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4">
    <w:name w:val="xl434"/>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35">
    <w:name w:val="xl435"/>
    <w:basedOn w:val="Normal"/>
    <w:qFormat/>
    <w:rsid w:val="00104798"/>
    <w:pPr>
      <w:pBdr>
        <w:top w:val="single" w:sz="4" w:space="0" w:color="auto"/>
        <w:bottom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36">
    <w:name w:val="xl436"/>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37">
    <w:name w:val="xl437"/>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38">
    <w:name w:val="xl43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39">
    <w:name w:val="xl439"/>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40">
    <w:name w:val="xl440"/>
    <w:basedOn w:val="Normal"/>
    <w:qFormat/>
    <w:rsid w:val="0010479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41">
    <w:name w:val="xl441"/>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2">
    <w:name w:val="xl442"/>
    <w:basedOn w:val="Normal"/>
    <w:qFormat/>
    <w:rsid w:val="00104798"/>
    <w:pP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3">
    <w:name w:val="xl443"/>
    <w:basedOn w:val="Normal"/>
    <w:qFormat/>
    <w:rsid w:val="00104798"/>
    <w:pPr>
      <w:pBdr>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4">
    <w:name w:val="xl444"/>
    <w:basedOn w:val="Normal"/>
    <w:qFormat/>
    <w:rsid w:val="00104798"/>
    <w:pPr>
      <w:pBdr>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5">
    <w:name w:val="xl445"/>
    <w:basedOn w:val="Normal"/>
    <w:qFormat/>
    <w:rsid w:val="00104798"/>
    <w:pPr>
      <w:pBdr>
        <w:left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6">
    <w:name w:val="xl446"/>
    <w:basedOn w:val="Normal"/>
    <w:qFormat/>
    <w:rsid w:val="00104798"/>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47">
    <w:name w:val="xl447"/>
    <w:basedOn w:val="Normal"/>
    <w:qFormat/>
    <w:rsid w:val="00104798"/>
    <w:pPr>
      <w:pBdr>
        <w:top w:val="single" w:sz="4" w:space="0" w:color="auto"/>
        <w:left w:val="single" w:sz="8" w:space="0" w:color="auto"/>
        <w:bottom w:val="single" w:sz="8" w:space="0" w:color="auto"/>
        <w:right w:val="single" w:sz="4" w:space="0" w:color="auto"/>
      </w:pBdr>
      <w:shd w:val="clear" w:color="auto" w:fill="D8E4BC"/>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8">
    <w:name w:val="xl448"/>
    <w:basedOn w:val="Normal"/>
    <w:qFormat/>
    <w:rsid w:val="00104798"/>
    <w:pPr>
      <w:pBdr>
        <w:top w:val="single" w:sz="4" w:space="0" w:color="auto"/>
        <w:left w:val="single" w:sz="4" w:space="0" w:color="auto"/>
        <w:bottom w:val="single" w:sz="8" w:space="0" w:color="auto"/>
        <w:right w:val="single" w:sz="4" w:space="0" w:color="auto"/>
      </w:pBdr>
      <w:shd w:val="clear" w:color="auto" w:fill="D8E4BC"/>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9">
    <w:name w:val="xl449"/>
    <w:basedOn w:val="Normal"/>
    <w:qFormat/>
    <w:rsid w:val="00104798"/>
    <w:pPr>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0">
    <w:name w:val="xl450"/>
    <w:basedOn w:val="Normal"/>
    <w:qFormat/>
    <w:rsid w:val="00104798"/>
    <w:pPr>
      <w:pBdr>
        <w:top w:val="single" w:sz="4" w:space="0" w:color="auto"/>
        <w:left w:val="single" w:sz="4" w:space="0" w:color="auto"/>
        <w:bottom w:val="single" w:sz="8" w:space="0" w:color="auto"/>
        <w:right w:val="single" w:sz="4" w:space="0" w:color="auto"/>
      </w:pBdr>
      <w:shd w:val="clear" w:color="auto" w:fill="C5D9F1"/>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1">
    <w:name w:val="xl451"/>
    <w:basedOn w:val="Normal"/>
    <w:qFormat/>
    <w:rsid w:val="00104798"/>
    <w:pPr>
      <w:pBdr>
        <w:top w:val="single" w:sz="4" w:space="0" w:color="auto"/>
        <w:left w:val="single" w:sz="4" w:space="0" w:color="auto"/>
        <w:bottom w:val="single" w:sz="8" w:space="0" w:color="auto"/>
        <w:right w:val="single" w:sz="8" w:space="0" w:color="auto"/>
      </w:pBdr>
      <w:shd w:val="clear" w:color="auto" w:fill="C5D9F1"/>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2">
    <w:name w:val="xl452"/>
    <w:basedOn w:val="Normal"/>
    <w:qFormat/>
    <w:rsid w:val="00104798"/>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3">
    <w:name w:val="xl453"/>
    <w:basedOn w:val="Normal"/>
    <w:qFormat/>
    <w:rsid w:val="00104798"/>
    <w:pPr>
      <w:pBdr>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4">
    <w:name w:val="xl454"/>
    <w:basedOn w:val="Normal"/>
    <w:qFormat/>
    <w:rsid w:val="00104798"/>
    <w:pPr>
      <w:pBdr>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5">
    <w:name w:val="xl455"/>
    <w:basedOn w:val="Normal"/>
    <w:qFormat/>
    <w:rsid w:val="00104798"/>
    <w:pPr>
      <w:pBdr>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6">
    <w:name w:val="xl456"/>
    <w:basedOn w:val="Normal"/>
    <w:qFormat/>
    <w:rsid w:val="00104798"/>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7">
    <w:name w:val="xl457"/>
    <w:basedOn w:val="Normal"/>
    <w:qFormat/>
    <w:rsid w:val="00104798"/>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8">
    <w:name w:val="xl458"/>
    <w:basedOn w:val="Normal"/>
    <w:qFormat/>
    <w:rsid w:val="00104798"/>
    <w:pPr>
      <w:pBdr>
        <w:top w:val="single" w:sz="4"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9">
    <w:name w:val="xl459"/>
    <w:basedOn w:val="Normal"/>
    <w:qFormat/>
    <w:rsid w:val="00104798"/>
    <w:pPr>
      <w:pBdr>
        <w:top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60">
    <w:name w:val="xl460"/>
    <w:basedOn w:val="Normal"/>
    <w:qFormat/>
    <w:rsid w:val="0010479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61">
    <w:name w:val="xl461"/>
    <w:basedOn w:val="Normal"/>
    <w:qFormat/>
    <w:rsid w:val="00104798"/>
    <w:pPr>
      <w:shd w:val="clear" w:color="auto" w:fill="E4DFEC"/>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62">
    <w:name w:val="xl462"/>
    <w:basedOn w:val="Normal"/>
    <w:qFormat/>
    <w:rsid w:val="00104798"/>
    <w:pPr>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3">
    <w:name w:val="xl463"/>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64">
    <w:name w:val="xl464"/>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65">
    <w:name w:val="xl465"/>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6">
    <w:name w:val="xl466"/>
    <w:basedOn w:val="Normal"/>
    <w:qFormat/>
    <w:rsid w:val="00104798"/>
    <w:pPr>
      <w:pBdr>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7">
    <w:name w:val="xl467"/>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8">
    <w:name w:val="xl468"/>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Times New Roman"/>
      <w:sz w:val="12"/>
      <w:szCs w:val="12"/>
      <w:lang w:eastAsia="es-CO"/>
    </w:rPr>
  </w:style>
  <w:style w:type="paragraph" w:customStyle="1" w:styleId="xl469">
    <w:name w:val="xl469"/>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0">
    <w:name w:val="xl470"/>
    <w:basedOn w:val="Normal"/>
    <w:qFormat/>
    <w:rsid w:val="00104798"/>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1">
    <w:name w:val="xl471"/>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2">
    <w:name w:val="xl472"/>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3">
    <w:name w:val="xl473"/>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74">
    <w:name w:val="xl47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75">
    <w:name w:val="xl47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6">
    <w:name w:val="xl476"/>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7">
    <w:name w:val="xl477"/>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8">
    <w:name w:val="xl478"/>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Times New Roman"/>
      <w:sz w:val="12"/>
      <w:szCs w:val="12"/>
      <w:lang w:eastAsia="es-CO"/>
    </w:rPr>
  </w:style>
  <w:style w:type="paragraph" w:customStyle="1" w:styleId="xl479">
    <w:name w:val="xl479"/>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0">
    <w:name w:val="xl480"/>
    <w:basedOn w:val="Normal"/>
    <w:qFormat/>
    <w:rsid w:val="00104798"/>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81">
    <w:name w:val="xl481"/>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2">
    <w:name w:val="xl482"/>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3">
    <w:name w:val="xl483"/>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4">
    <w:name w:val="xl48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mo" w:eastAsia="Times New Roman" w:hAnsi="Arimo" w:cs="Times New Roman"/>
      <w:sz w:val="12"/>
      <w:szCs w:val="12"/>
      <w:lang w:eastAsia="es-CO"/>
    </w:rPr>
  </w:style>
  <w:style w:type="paragraph" w:customStyle="1" w:styleId="xl485">
    <w:name w:val="xl48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2"/>
      <w:szCs w:val="12"/>
      <w:lang w:eastAsia="es-CO"/>
    </w:rPr>
  </w:style>
  <w:style w:type="paragraph" w:customStyle="1" w:styleId="xl486">
    <w:name w:val="xl486"/>
    <w:basedOn w:val="Normal"/>
    <w:qFormat/>
    <w:rsid w:val="0010479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87">
    <w:name w:val="xl487"/>
    <w:basedOn w:val="Normal"/>
    <w:qFormat/>
    <w:rsid w:val="0010479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88">
    <w:name w:val="xl488"/>
    <w:basedOn w:val="Normal"/>
    <w:qFormat/>
    <w:rsid w:val="0010479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89">
    <w:name w:val="xl489"/>
    <w:basedOn w:val="Normal"/>
    <w:qFormat/>
    <w:rsid w:val="00104798"/>
    <w:pPr>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0">
    <w:name w:val="xl490"/>
    <w:basedOn w:val="Normal"/>
    <w:qFormat/>
    <w:rsid w:val="00104798"/>
    <w:pPr>
      <w:shd w:val="clear" w:color="auto" w:fill="C4D79B"/>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1">
    <w:name w:val="xl491"/>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2">
    <w:name w:val="xl492"/>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3">
    <w:name w:val="xl493"/>
    <w:basedOn w:val="Normal"/>
    <w:qFormat/>
    <w:rsid w:val="00104798"/>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Arial" w:eastAsia="Times New Roman" w:hAnsi="Arial" w:cs="Arial"/>
      <w:sz w:val="12"/>
      <w:szCs w:val="12"/>
      <w:lang w:eastAsia="es-CO"/>
    </w:rPr>
  </w:style>
  <w:style w:type="paragraph" w:customStyle="1" w:styleId="Normal1">
    <w:name w:val="Normal1"/>
    <w:qFormat/>
    <w:rsid w:val="00104798"/>
    <w:pPr>
      <w:spacing w:after="0" w:line="240" w:lineRule="auto"/>
    </w:pPr>
    <w:rPr>
      <w:rFonts w:ascii="Times New Roman" w:eastAsia="Times New Roman" w:hAnsi="Times New Roman" w:cs="Times New Roman"/>
      <w:color w:val="000000"/>
      <w:sz w:val="24"/>
      <w:szCs w:val="24"/>
      <w:lang w:eastAsia="es-CO"/>
    </w:rPr>
  </w:style>
  <w:style w:type="paragraph" w:customStyle="1" w:styleId="subtitulos">
    <w:name w:val="subtitulos"/>
    <w:basedOn w:val="Normal"/>
    <w:qFormat/>
    <w:rsid w:val="001047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
    <w:name w:val="Car"/>
    <w:basedOn w:val="Normal"/>
    <w:uiPriority w:val="99"/>
    <w:qFormat/>
    <w:rsid w:val="00104798"/>
    <w:pPr>
      <w:spacing w:after="160" w:line="240" w:lineRule="exact"/>
    </w:pPr>
    <w:rPr>
      <w:rFonts w:ascii="Verdana" w:eastAsia="Times New Roman" w:hAnsi="Verdana" w:cs="Verdana"/>
      <w:sz w:val="20"/>
      <w:szCs w:val="20"/>
      <w:lang w:val="en-US"/>
    </w:rPr>
  </w:style>
  <w:style w:type="character" w:customStyle="1" w:styleId="NormalmariaCar1">
    <w:name w:val="Normal.maria Car1"/>
    <w:link w:val="Normalmaria"/>
    <w:locked/>
    <w:rsid w:val="00104798"/>
    <w:rPr>
      <w:rFonts w:ascii="Book Antiqua" w:hAnsi="Book Antiqua" w:cs="Book Antiqua"/>
      <w:i/>
      <w:iCs/>
      <w:kern w:val="16"/>
      <w:position w:val="-6"/>
      <w:sz w:val="24"/>
      <w:szCs w:val="24"/>
      <w:lang w:val="es-ES_tradnl"/>
    </w:rPr>
  </w:style>
  <w:style w:type="paragraph" w:customStyle="1" w:styleId="Normalmaria">
    <w:name w:val="Normal.maria"/>
    <w:link w:val="NormalmariaCar1"/>
    <w:qFormat/>
    <w:rsid w:val="00104798"/>
    <w:pPr>
      <w:widowControl w:val="0"/>
      <w:snapToGrid w:val="0"/>
      <w:spacing w:after="0" w:line="240" w:lineRule="auto"/>
    </w:pPr>
    <w:rPr>
      <w:rFonts w:ascii="Book Antiqua" w:hAnsi="Book Antiqua" w:cs="Book Antiqua"/>
      <w:i/>
      <w:iCs/>
      <w:kern w:val="16"/>
      <w:position w:val="-6"/>
      <w:sz w:val="24"/>
      <w:szCs w:val="24"/>
      <w:lang w:val="es-ES_tradnl"/>
    </w:rPr>
  </w:style>
  <w:style w:type="paragraph" w:customStyle="1" w:styleId="MARITZA3">
    <w:name w:val="MARITZA3"/>
    <w:qFormat/>
    <w:rsid w:val="00104798"/>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paragraph" w:customStyle="1" w:styleId="Standard">
    <w:name w:val="Standard"/>
    <w:qFormat/>
    <w:rsid w:val="00104798"/>
    <w:pPr>
      <w:autoSpaceDN w:val="0"/>
      <w:spacing w:after="0" w:line="240" w:lineRule="auto"/>
    </w:pPr>
    <w:rPr>
      <w:rFonts w:ascii="Times New Roman" w:eastAsia="Times New Roman" w:hAnsi="Times New Roman" w:cs="Times New Roman"/>
      <w:sz w:val="20"/>
      <w:szCs w:val="20"/>
      <w:lang w:eastAsia="es-CO"/>
    </w:rPr>
  </w:style>
  <w:style w:type="paragraph" w:customStyle="1" w:styleId="Articulo">
    <w:name w:val="Articulo"/>
    <w:basedOn w:val="Normal"/>
    <w:next w:val="Normal"/>
    <w:autoRedefine/>
    <w:uiPriority w:val="99"/>
    <w:qFormat/>
    <w:rsid w:val="00104798"/>
    <w:pPr>
      <w:spacing w:after="0" w:line="240" w:lineRule="auto"/>
      <w:ind w:right="-30"/>
      <w:jc w:val="right"/>
    </w:pPr>
    <w:rPr>
      <w:rFonts w:ascii="Tahoma" w:eastAsia="Times New Roman" w:hAnsi="Tahoma" w:cs="Tahoma"/>
      <w:sz w:val="24"/>
      <w:szCs w:val="24"/>
      <w:lang w:val="es-ES" w:eastAsia="es-ES"/>
    </w:rPr>
  </w:style>
  <w:style w:type="paragraph" w:customStyle="1" w:styleId="bodytext280">
    <w:name w:val="bodytext28"/>
    <w:basedOn w:val="Normal"/>
    <w:uiPriority w:val="99"/>
    <w:qFormat/>
    <w:rsid w:val="0010479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1CarCarCarCar">
    <w:name w:val="1 Car Car Car Car"/>
    <w:basedOn w:val="Normal"/>
    <w:uiPriority w:val="99"/>
    <w:qFormat/>
    <w:rsid w:val="00104798"/>
    <w:pPr>
      <w:suppressAutoHyphens/>
      <w:spacing w:after="160" w:line="240" w:lineRule="exact"/>
    </w:pPr>
    <w:rPr>
      <w:rFonts w:ascii="Verdana" w:eastAsia="Times New Roman" w:hAnsi="Verdana" w:cs="Verdana"/>
      <w:sz w:val="20"/>
      <w:szCs w:val="20"/>
      <w:lang w:val="en-US"/>
    </w:rPr>
  </w:style>
  <w:style w:type="paragraph" w:customStyle="1" w:styleId="Car4">
    <w:name w:val="Car4"/>
    <w:basedOn w:val="Normal"/>
    <w:uiPriority w:val="99"/>
    <w:qFormat/>
    <w:rsid w:val="00104798"/>
    <w:pPr>
      <w:spacing w:after="160" w:line="240" w:lineRule="exact"/>
    </w:pPr>
    <w:rPr>
      <w:rFonts w:ascii="Verdana" w:eastAsia="Times New Roman" w:hAnsi="Verdana" w:cs="Verdana"/>
      <w:sz w:val="20"/>
      <w:szCs w:val="20"/>
      <w:lang w:val="en-US"/>
    </w:rPr>
  </w:style>
  <w:style w:type="paragraph" w:customStyle="1" w:styleId="maritza4">
    <w:name w:val="maritza4"/>
    <w:basedOn w:val="Normal"/>
    <w:uiPriority w:val="99"/>
    <w:qFormat/>
    <w:rsid w:val="0010479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ITZA40">
    <w:name w:val="MARITZA4"/>
    <w:basedOn w:val="MARITZA3"/>
    <w:uiPriority w:val="99"/>
    <w:qFormat/>
    <w:rsid w:val="00104798"/>
    <w:pPr>
      <w:widowControl/>
      <w:suppressAutoHyphens w:val="0"/>
      <w:snapToGrid/>
      <w:jc w:val="center"/>
    </w:pPr>
    <w:rPr>
      <w:rFonts w:ascii="Times New Roman" w:hAnsi="Times New Roman"/>
      <w:b/>
      <w:bCs/>
      <w:spacing w:val="0"/>
      <w:szCs w:val="24"/>
    </w:rPr>
  </w:style>
  <w:style w:type="paragraph" w:customStyle="1" w:styleId="normalmaria0">
    <w:name w:val="normalmaria"/>
    <w:basedOn w:val="Normal"/>
    <w:uiPriority w:val="99"/>
    <w:qFormat/>
    <w:rsid w:val="00104798"/>
    <w:pPr>
      <w:snapToGrid w:val="0"/>
      <w:spacing w:after="0" w:line="240" w:lineRule="auto"/>
    </w:pPr>
    <w:rPr>
      <w:rFonts w:ascii="Book Antiqua" w:eastAsia="Times New Roman" w:hAnsi="Book Antiqua" w:cs="Book Antiqua"/>
      <w:i/>
      <w:iCs/>
      <w:sz w:val="24"/>
      <w:szCs w:val="24"/>
      <w:lang w:eastAsia="es-CO"/>
    </w:rPr>
  </w:style>
  <w:style w:type="paragraph" w:customStyle="1" w:styleId="BodyText32">
    <w:name w:val="Body Text 32"/>
    <w:basedOn w:val="Normal"/>
    <w:uiPriority w:val="99"/>
    <w:qFormat/>
    <w:rsid w:val="00104798"/>
    <w:pPr>
      <w:widowControl w:val="0"/>
      <w:overflowPunct w:val="0"/>
      <w:autoSpaceDE w:val="0"/>
      <w:autoSpaceDN w:val="0"/>
      <w:adjustRightInd w:val="0"/>
      <w:spacing w:after="0" w:line="240" w:lineRule="auto"/>
      <w:jc w:val="both"/>
    </w:pPr>
    <w:rPr>
      <w:rFonts w:ascii="Arial" w:eastAsia="Times New Roman" w:hAnsi="Arial" w:cs="Arial"/>
      <w:b/>
      <w:bCs/>
      <w:lang w:val="es-ES_tradnl" w:eastAsia="es-ES"/>
    </w:rPr>
  </w:style>
  <w:style w:type="paragraph" w:customStyle="1" w:styleId="Sangradet">
    <w:name w:val="Sangría de t"/>
    <w:aliases w:val="independiente"/>
    <w:basedOn w:val="Normal"/>
    <w:uiPriority w:val="99"/>
    <w:qFormat/>
    <w:rsid w:val="00104798"/>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1">
    <w:name w:val="1"/>
    <w:basedOn w:val="Normal"/>
    <w:next w:val="Sangradetextonormal"/>
    <w:uiPriority w:val="99"/>
    <w:qFormat/>
    <w:rsid w:val="00104798"/>
    <w:pPr>
      <w:spacing w:after="0" w:line="240" w:lineRule="auto"/>
      <w:ind w:left="360"/>
      <w:jc w:val="both"/>
    </w:pPr>
    <w:rPr>
      <w:rFonts w:ascii="Arial Narrow" w:eastAsia="Times New Roman" w:hAnsi="Arial Narrow" w:cs="Arial Narrow"/>
      <w:lang w:val="es-MX" w:eastAsia="es-ES"/>
    </w:rPr>
  </w:style>
  <w:style w:type="paragraph" w:customStyle="1" w:styleId="BodyText21">
    <w:name w:val="Body Text 21"/>
    <w:basedOn w:val="Normal"/>
    <w:uiPriority w:val="99"/>
    <w:qFormat/>
    <w:rsid w:val="00104798"/>
    <w:pPr>
      <w:widowControl w:val="0"/>
      <w:tabs>
        <w:tab w:val="left" w:pos="6804"/>
      </w:tabs>
      <w:spacing w:after="0" w:line="240" w:lineRule="auto"/>
      <w:jc w:val="both"/>
    </w:pPr>
    <w:rPr>
      <w:rFonts w:ascii="Arial" w:eastAsia="Times New Roman" w:hAnsi="Arial" w:cs="Arial"/>
      <w:b/>
      <w:bCs/>
      <w:sz w:val="24"/>
      <w:szCs w:val="24"/>
      <w:lang w:val="es-ES_tradnl" w:eastAsia="es-ES"/>
    </w:rPr>
  </w:style>
  <w:style w:type="paragraph" w:customStyle="1" w:styleId="Cdetexto">
    <w:name w:val="C  de texto"/>
    <w:uiPriority w:val="99"/>
    <w:qFormat/>
    <w:rsid w:val="0010479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NormalSencillo">
    <w:name w:val="Normal Sencillo"/>
    <w:basedOn w:val="Normal"/>
    <w:next w:val="Normal"/>
    <w:uiPriority w:val="99"/>
    <w:qFormat/>
    <w:rsid w:val="00104798"/>
    <w:pPr>
      <w:suppressAutoHyphens/>
      <w:spacing w:after="0" w:line="240" w:lineRule="auto"/>
      <w:jc w:val="both"/>
    </w:pPr>
    <w:rPr>
      <w:rFonts w:ascii="Arial" w:eastAsia="Times New Roman" w:hAnsi="Arial" w:cs="Arial"/>
      <w:sz w:val="20"/>
      <w:szCs w:val="20"/>
      <w:lang w:val="es-ES_tradnl" w:eastAsia="es-ES"/>
    </w:rPr>
  </w:style>
  <w:style w:type="paragraph" w:customStyle="1" w:styleId="estilo1">
    <w:name w:val="estilo1"/>
    <w:basedOn w:val="Normal"/>
    <w:uiPriority w:val="99"/>
    <w:qFormat/>
    <w:rsid w:val="00104798"/>
    <w:pPr>
      <w:spacing w:before="230" w:after="230" w:line="216" w:lineRule="atLeast"/>
      <w:ind w:left="230" w:right="230"/>
    </w:pPr>
    <w:rPr>
      <w:rFonts w:ascii="Verdana" w:eastAsia="Times New Roman" w:hAnsi="Verdana" w:cs="Verdana"/>
      <w:color w:val="000000"/>
      <w:sz w:val="18"/>
      <w:szCs w:val="18"/>
      <w:lang w:val="es-ES" w:eastAsia="es-ES"/>
    </w:rPr>
  </w:style>
  <w:style w:type="paragraph" w:customStyle="1" w:styleId="listparagraph">
    <w:name w:val="listparagraph"/>
    <w:basedOn w:val="Normal"/>
    <w:qFormat/>
    <w:rsid w:val="00104798"/>
    <w:pPr>
      <w:spacing w:after="0" w:line="240" w:lineRule="auto"/>
      <w:ind w:left="720"/>
    </w:pPr>
    <w:rPr>
      <w:rFonts w:ascii="Times New Roman" w:eastAsia="Times New Roman" w:hAnsi="Times New Roman" w:cs="Times New Roman"/>
      <w:sz w:val="20"/>
      <w:szCs w:val="20"/>
      <w:lang w:eastAsia="es-CO"/>
    </w:rPr>
  </w:style>
  <w:style w:type="character" w:customStyle="1" w:styleId="NoSpacingChar1">
    <w:name w:val="No Spacing Char1"/>
    <w:link w:val="Sinespaciado1"/>
    <w:locked/>
    <w:rsid w:val="00104798"/>
    <w:rPr>
      <w:rFonts w:ascii="Times New Roman" w:eastAsia="Times New Roman" w:hAnsi="Times New Roman" w:cs="Calibri"/>
    </w:rPr>
  </w:style>
  <w:style w:type="paragraph" w:customStyle="1" w:styleId="Sinespaciado1">
    <w:name w:val="Sin espaciado1"/>
    <w:link w:val="NoSpacingChar1"/>
    <w:qFormat/>
    <w:rsid w:val="00104798"/>
    <w:pPr>
      <w:spacing w:after="0" w:line="240" w:lineRule="auto"/>
    </w:pPr>
    <w:rPr>
      <w:rFonts w:ascii="Times New Roman" w:eastAsia="Times New Roman" w:hAnsi="Times New Roman" w:cs="Calibri"/>
    </w:rPr>
  </w:style>
  <w:style w:type="paragraph" w:customStyle="1" w:styleId="toa">
    <w:name w:val="toa"/>
    <w:basedOn w:val="Normal"/>
    <w:uiPriority w:val="99"/>
    <w:qFormat/>
    <w:rsid w:val="00104798"/>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4"/>
      <w:lang w:val="en-US" w:eastAsia="es-ES"/>
    </w:rPr>
  </w:style>
  <w:style w:type="character" w:customStyle="1" w:styleId="NoSpacingChar">
    <w:name w:val="No Spacing Char"/>
    <w:link w:val="Sinespaciado11"/>
    <w:uiPriority w:val="1"/>
    <w:locked/>
    <w:rsid w:val="00104798"/>
    <w:rPr>
      <w:rFonts w:ascii="Times New Roman" w:eastAsia="Times New Roman" w:hAnsi="Times New Roman" w:cs="Times New Roman"/>
      <w:lang w:eastAsia="es-MX"/>
    </w:rPr>
  </w:style>
  <w:style w:type="paragraph" w:customStyle="1" w:styleId="Sinespaciado11">
    <w:name w:val="Sin espaciado11"/>
    <w:link w:val="NoSpacingChar"/>
    <w:uiPriority w:val="1"/>
    <w:qFormat/>
    <w:rsid w:val="00104798"/>
    <w:pPr>
      <w:spacing w:after="0" w:line="240" w:lineRule="auto"/>
    </w:pPr>
    <w:rPr>
      <w:rFonts w:ascii="Times New Roman" w:eastAsia="Times New Roman" w:hAnsi="Times New Roman" w:cs="Times New Roman"/>
      <w:lang w:eastAsia="es-MX"/>
    </w:rPr>
  </w:style>
  <w:style w:type="paragraph" w:customStyle="1" w:styleId="BodyText31">
    <w:name w:val="Body Text 31"/>
    <w:basedOn w:val="Normal"/>
    <w:uiPriority w:val="99"/>
    <w:qFormat/>
    <w:rsid w:val="00104798"/>
    <w:pPr>
      <w:widowControl w:val="0"/>
      <w:overflowPunct w:val="0"/>
      <w:autoSpaceDE w:val="0"/>
      <w:autoSpaceDN w:val="0"/>
      <w:adjustRightInd w:val="0"/>
      <w:spacing w:after="0" w:line="240" w:lineRule="auto"/>
      <w:jc w:val="both"/>
    </w:pPr>
    <w:rPr>
      <w:rFonts w:ascii="Arial" w:eastAsia="Times New Roman" w:hAnsi="Arial" w:cs="Arial"/>
      <w:sz w:val="24"/>
      <w:szCs w:val="24"/>
      <w:lang w:eastAsia="es-ES"/>
    </w:rPr>
  </w:style>
  <w:style w:type="paragraph" w:customStyle="1" w:styleId="Car3CarCarCarCarCarCar">
    <w:name w:val="Car3 Car Car Car Car Car Car"/>
    <w:basedOn w:val="Normal"/>
    <w:uiPriority w:val="99"/>
    <w:qFormat/>
    <w:rsid w:val="00104798"/>
    <w:pPr>
      <w:spacing w:after="160" w:line="240" w:lineRule="exact"/>
    </w:pPr>
    <w:rPr>
      <w:rFonts w:ascii="Verdana" w:eastAsia="Times New Roman" w:hAnsi="Verdana" w:cs="Verdana"/>
      <w:sz w:val="20"/>
      <w:szCs w:val="20"/>
      <w:lang w:val="en-US"/>
    </w:rPr>
  </w:style>
  <w:style w:type="paragraph" w:customStyle="1" w:styleId="Prrafodelista2">
    <w:name w:val="Párrafo de lista2"/>
    <w:basedOn w:val="Normal"/>
    <w:qFormat/>
    <w:rsid w:val="00104798"/>
    <w:pPr>
      <w:spacing w:after="0" w:line="240" w:lineRule="auto"/>
      <w:ind w:left="708"/>
    </w:pPr>
    <w:rPr>
      <w:rFonts w:ascii="Times New Roman" w:eastAsia="Times New Roman" w:hAnsi="Times New Roman" w:cs="Times New Roman"/>
      <w:sz w:val="24"/>
      <w:szCs w:val="24"/>
      <w:lang w:val="es-ES" w:eastAsia="es-ES"/>
    </w:rPr>
  </w:style>
  <w:style w:type="paragraph" w:customStyle="1" w:styleId="Car1">
    <w:name w:val="Car1"/>
    <w:basedOn w:val="Normal"/>
    <w:qFormat/>
    <w:rsid w:val="00104798"/>
    <w:pPr>
      <w:spacing w:after="160" w:line="240" w:lineRule="exact"/>
    </w:pPr>
    <w:rPr>
      <w:rFonts w:ascii="Verdana" w:eastAsia="Times New Roman" w:hAnsi="Verdana" w:cs="Times New Roman"/>
      <w:sz w:val="20"/>
      <w:szCs w:val="20"/>
      <w:lang w:val="en-US"/>
    </w:rPr>
  </w:style>
  <w:style w:type="paragraph" w:customStyle="1" w:styleId="xmsonormal">
    <w:name w:val="x_msonormal"/>
    <w:basedOn w:val="Normal"/>
    <w:qFormat/>
    <w:rsid w:val="00104798"/>
    <w:pPr>
      <w:spacing w:before="100" w:beforeAutospacing="1" w:after="100" w:afterAutospacing="1" w:line="240" w:lineRule="auto"/>
    </w:pPr>
    <w:rPr>
      <w:rFonts w:ascii="Times" w:eastAsia="Times New Roman" w:hAnsi="Times" w:cs="Times New Roman"/>
      <w:sz w:val="20"/>
      <w:szCs w:val="20"/>
      <w:lang w:val="en-US"/>
    </w:rPr>
  </w:style>
  <w:style w:type="paragraph" w:customStyle="1" w:styleId="p0">
    <w:name w:val="p0"/>
    <w:basedOn w:val="Normal"/>
    <w:uiPriority w:val="99"/>
    <w:qFormat/>
    <w:rsid w:val="00104798"/>
    <w:pPr>
      <w:widowControl w:val="0"/>
      <w:tabs>
        <w:tab w:val="left" w:pos="720"/>
      </w:tabs>
      <w:spacing w:after="0" w:line="240" w:lineRule="atLeast"/>
      <w:jc w:val="both"/>
    </w:pPr>
    <w:rPr>
      <w:rFonts w:ascii="Times New Roman" w:eastAsia="Times New Roman" w:hAnsi="Times New Roman" w:cs="Times New Roman"/>
      <w:sz w:val="24"/>
      <w:szCs w:val="24"/>
      <w:lang w:eastAsia="es-ES"/>
    </w:rPr>
  </w:style>
  <w:style w:type="paragraph" w:customStyle="1" w:styleId="maritza30">
    <w:name w:val="maritza3"/>
    <w:basedOn w:val="Normal"/>
    <w:uiPriority w:val="99"/>
    <w:semiHidden/>
    <w:qFormat/>
    <w:rsid w:val="00104798"/>
    <w:pPr>
      <w:snapToGrid w:val="0"/>
      <w:spacing w:after="0" w:line="240" w:lineRule="auto"/>
      <w:jc w:val="both"/>
    </w:pPr>
    <w:rPr>
      <w:rFonts w:ascii="Courier New" w:eastAsia="Calibri" w:hAnsi="Courier New" w:cs="Courier New"/>
      <w:spacing w:val="-2"/>
      <w:sz w:val="24"/>
      <w:szCs w:val="24"/>
      <w:lang w:eastAsia="es-MX"/>
    </w:rPr>
  </w:style>
  <w:style w:type="character" w:styleId="Nmerodepgina">
    <w:name w:val="page number"/>
    <w:uiPriority w:val="99"/>
    <w:semiHidden/>
    <w:unhideWhenUsed/>
    <w:rsid w:val="00104798"/>
    <w:rPr>
      <w:rFonts w:ascii="Times New Roman" w:hAnsi="Times New Roman" w:cs="Times New Roman" w:hint="default"/>
    </w:rPr>
  </w:style>
  <w:style w:type="character" w:styleId="Refdenotaalfinal">
    <w:name w:val="endnote reference"/>
    <w:uiPriority w:val="99"/>
    <w:semiHidden/>
    <w:unhideWhenUsed/>
    <w:rsid w:val="00104798"/>
    <w:rPr>
      <w:vertAlign w:val="superscript"/>
    </w:rPr>
  </w:style>
  <w:style w:type="character" w:customStyle="1" w:styleId="apple-converted-space">
    <w:name w:val="apple-converted-space"/>
    <w:rsid w:val="00104798"/>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Texto nota pie Car Char"/>
    <w:uiPriority w:val="99"/>
    <w:semiHidden/>
    <w:locked/>
    <w:rsid w:val="00104798"/>
    <w:rPr>
      <w:lang w:eastAsia="es-ES"/>
    </w:rPr>
  </w:style>
  <w:style w:type="character" w:customStyle="1" w:styleId="FootnoteTextChar1">
    <w:name w:val="Footnote Text Char1"/>
    <w:aliases w:val="Car3 Car Char1,Car Car Car Car Car Car Car Char1,Car Car Car Car Car Car Car Car Char1,Car3 Car Car Car Car Char1,texto de nota al pie Char1,ft Char1,Car3 Char1,Car31 Char1,Car3 Car Car Car Char1,Car Car1 Char1"/>
    <w:uiPriority w:val="99"/>
    <w:semiHidden/>
    <w:locked/>
    <w:rsid w:val="00104798"/>
    <w:rPr>
      <w:rFonts w:ascii="Times New Roman" w:hAnsi="Times New Roman" w:cs="Times New Roman" w:hint="default"/>
      <w:sz w:val="20"/>
      <w:szCs w:val="20"/>
      <w:lang w:val="es-ES" w:eastAsia="es-ES"/>
    </w:rPr>
  </w:style>
  <w:style w:type="character" w:customStyle="1" w:styleId="Mencinsinresolver1">
    <w:name w:val="Mención sin resolver1"/>
    <w:basedOn w:val="Fuentedeprrafopredeter"/>
    <w:uiPriority w:val="99"/>
    <w:semiHidden/>
    <w:rsid w:val="00104798"/>
    <w:rPr>
      <w:color w:val="808080"/>
      <w:shd w:val="clear" w:color="auto" w:fill="E6E6E6"/>
    </w:rPr>
  </w:style>
  <w:style w:type="character" w:customStyle="1" w:styleId="text-capitalize">
    <w:name w:val="text-capitalize"/>
    <w:basedOn w:val="Fuentedeprrafopredeter"/>
    <w:rsid w:val="00104798"/>
  </w:style>
  <w:style w:type="character" w:customStyle="1" w:styleId="Mencinsinresolver2">
    <w:name w:val="Mención sin resolver2"/>
    <w:basedOn w:val="Fuentedeprrafopredeter"/>
    <w:uiPriority w:val="99"/>
    <w:semiHidden/>
    <w:rsid w:val="00104798"/>
    <w:rPr>
      <w:color w:val="808080"/>
      <w:shd w:val="clear" w:color="auto" w:fill="E6E6E6"/>
    </w:rPr>
  </w:style>
  <w:style w:type="character" w:customStyle="1" w:styleId="semibold">
    <w:name w:val="semibold"/>
    <w:basedOn w:val="Fuentedeprrafopredeter"/>
    <w:rsid w:val="00104798"/>
  </w:style>
  <w:style w:type="character" w:customStyle="1" w:styleId="HeaderChar">
    <w:name w:val="Header Char"/>
    <w:aliases w:val="encabezado Char,encabezado Car Char"/>
    <w:locked/>
    <w:rsid w:val="00104798"/>
    <w:rPr>
      <w:rFonts w:ascii="Times New Roman" w:hAnsi="Times New Roman" w:cs="Times New Roman" w:hint="default"/>
      <w:kern w:val="2"/>
      <w:sz w:val="24"/>
      <w:szCs w:val="24"/>
      <w:lang w:val="es-CO"/>
    </w:rPr>
  </w:style>
  <w:style w:type="character" w:customStyle="1" w:styleId="ListParagraphChar">
    <w:name w:val="List Paragraph Char"/>
    <w:aliases w:val="Bullet List Char,FooterText Char,numbered Char,List Paragraph1 Char,Paragraphe de liste1 Char,lp1 Char,Párrafo de lista2 Char"/>
    <w:locked/>
    <w:rsid w:val="00104798"/>
    <w:rPr>
      <w:lang w:eastAsia="es-ES"/>
    </w:rPr>
  </w:style>
  <w:style w:type="character" w:customStyle="1" w:styleId="apple-tab-span">
    <w:name w:val="apple-tab-span"/>
    <w:basedOn w:val="Fuentedeprrafopredeter"/>
    <w:rsid w:val="00104798"/>
  </w:style>
  <w:style w:type="character" w:customStyle="1" w:styleId="Destacado">
    <w:name w:val="Destacado"/>
    <w:uiPriority w:val="20"/>
    <w:qFormat/>
    <w:locked/>
    <w:rsid w:val="00104798"/>
    <w:rPr>
      <w:i/>
      <w:iCs/>
    </w:rPr>
  </w:style>
  <w:style w:type="table" w:styleId="Sombreadoclaro">
    <w:name w:val="Light Shading"/>
    <w:basedOn w:val="Tablanormal"/>
    <w:uiPriority w:val="60"/>
    <w:semiHidden/>
    <w:unhideWhenUsed/>
    <w:rsid w:val="00104798"/>
    <w:pPr>
      <w:spacing w:after="0" w:line="240" w:lineRule="auto"/>
    </w:pPr>
    <w:rPr>
      <w:color w:val="000000" w:themeColor="text1" w:themeShade="BF"/>
      <w:lang w:val="es-E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uadrculamedia3-nfasis6">
    <w:name w:val="Medium Grid 3 Accent 6"/>
    <w:basedOn w:val="Tablanormal"/>
    <w:uiPriority w:val="69"/>
    <w:semiHidden/>
    <w:unhideWhenUsed/>
    <w:rsid w:val="00104798"/>
    <w:pPr>
      <w:spacing w:after="0" w:line="240" w:lineRule="auto"/>
    </w:pPr>
    <w:rPr>
      <w:lang w:val="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Textoindependiente31">
    <w:name w:val="Texto independiente 31"/>
    <w:basedOn w:val="Normal"/>
    <w:rsid w:val="002F1D05"/>
    <w:pPr>
      <w:spacing w:after="0" w:line="240" w:lineRule="auto"/>
      <w:jc w:val="both"/>
    </w:pPr>
    <w:rPr>
      <w:rFonts w:ascii="Arial" w:eastAsia="Times New Roman" w:hAnsi="Arial" w:cs="Times New Roman"/>
      <w:szCs w:val="20"/>
      <w:lang w:val="es-ES" w:eastAsia="es-ES"/>
    </w:rPr>
  </w:style>
  <w:style w:type="character" w:styleId="Mencinsinresolver">
    <w:name w:val="Unresolved Mention"/>
    <w:basedOn w:val="Fuentedeprrafopredeter"/>
    <w:uiPriority w:val="99"/>
    <w:semiHidden/>
    <w:unhideWhenUsed/>
    <w:rsid w:val="001A54FE"/>
    <w:rPr>
      <w:color w:val="605E5C"/>
      <w:shd w:val="clear" w:color="auto" w:fill="E1DFDD"/>
    </w:rPr>
  </w:style>
  <w:style w:type="paragraph" w:styleId="Textocomentario">
    <w:name w:val="annotation text"/>
    <w:basedOn w:val="Normal"/>
    <w:link w:val="TextocomentarioCar"/>
    <w:uiPriority w:val="99"/>
    <w:unhideWhenUsed/>
    <w:qFormat/>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CommentReference1">
    <w:name w:val="Comment Reference1"/>
    <w:basedOn w:val="Fuentedeprrafopredeter"/>
    <w:uiPriority w:val="99"/>
    <w:semiHidden/>
    <w:unhideWhenUsed/>
    <w:rsid w:val="00373C3B"/>
    <w:rPr>
      <w:sz w:val="16"/>
      <w:szCs w:val="16"/>
    </w:rPr>
  </w:style>
  <w:style w:type="paragraph" w:customStyle="1" w:styleId="CommentText1">
    <w:name w:val="Comment Text1"/>
    <w:basedOn w:val="Normal"/>
    <w:uiPriority w:val="99"/>
    <w:unhideWhenUsed/>
    <w:qFormat/>
    <w:rsid w:val="00373C3B"/>
    <w:pPr>
      <w:spacing w:line="240" w:lineRule="auto"/>
    </w:pPr>
    <w:rPr>
      <w:sz w:val="20"/>
      <w:szCs w:val="20"/>
    </w:rPr>
  </w:style>
  <w:style w:type="paragraph" w:customStyle="1" w:styleId="msonormal0">
    <w:name w:val="msonormal"/>
    <w:basedOn w:val="Normal"/>
    <w:rsid w:val="009F19B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9F19B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4">
    <w:name w:val="xl64"/>
    <w:basedOn w:val="Normal"/>
    <w:rsid w:val="009F19BE"/>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5">
    <w:name w:val="xl65"/>
    <w:basedOn w:val="Normal"/>
    <w:rsid w:val="009F19B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6">
    <w:name w:val="xl66"/>
    <w:basedOn w:val="Normal"/>
    <w:rsid w:val="009F19BE"/>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7">
    <w:name w:val="xl67"/>
    <w:basedOn w:val="Normal"/>
    <w:rsid w:val="009F19B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8">
    <w:name w:val="xl68"/>
    <w:basedOn w:val="Normal"/>
    <w:rsid w:val="009F19B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9">
    <w:name w:val="xl69"/>
    <w:basedOn w:val="Normal"/>
    <w:rsid w:val="009F19BE"/>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70">
    <w:name w:val="xl70"/>
    <w:basedOn w:val="Normal"/>
    <w:rsid w:val="009F19B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71">
    <w:name w:val="xl71"/>
    <w:basedOn w:val="Normal"/>
    <w:rsid w:val="009F19BE"/>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2">
    <w:name w:val="xl72"/>
    <w:basedOn w:val="Normal"/>
    <w:rsid w:val="009F19BE"/>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3">
    <w:name w:val="xl73"/>
    <w:basedOn w:val="Normal"/>
    <w:rsid w:val="009F19BE"/>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4">
    <w:name w:val="xl74"/>
    <w:basedOn w:val="Normal"/>
    <w:rsid w:val="009F19BE"/>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9F19BE"/>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9F19BE"/>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9F19BE"/>
    <w:pPr>
      <w:pBdr>
        <w:left w:val="single" w:sz="8" w:space="0" w:color="auto"/>
        <w:bottom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9F19B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9F19B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9F19B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9F19B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9F19BE"/>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9F19BE"/>
    <w:pPr>
      <w:pBdr>
        <w:left w:val="single" w:sz="8" w:space="0" w:color="auto"/>
        <w:bottom w:val="single" w:sz="8" w:space="0" w:color="auto"/>
        <w:right w:val="single" w:sz="8" w:space="0" w:color="auto"/>
      </w:pBdr>
      <w:shd w:val="clear" w:color="000000" w:fill="E2EFDA"/>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9F19BE"/>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9F19BE"/>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9F19BE"/>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7">
    <w:name w:val="xl87"/>
    <w:basedOn w:val="Normal"/>
    <w:rsid w:val="009F19BE"/>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CommentSubject1">
    <w:name w:val="Comment Subject1"/>
    <w:basedOn w:val="CommentText1"/>
    <w:next w:val="CommentText1"/>
    <w:uiPriority w:val="99"/>
    <w:semiHidden/>
    <w:unhideWhenUsed/>
    <w:qFormat/>
    <w:rsid w:val="009F19BE"/>
    <w:rPr>
      <w:b/>
      <w:bCs/>
    </w:rPr>
  </w:style>
  <w:style w:type="character" w:styleId="Mencionar">
    <w:name w:val="Mention"/>
    <w:basedOn w:val="Fuentedeprrafopredeter"/>
    <w:uiPriority w:val="99"/>
    <w:unhideWhenUsed/>
    <w:rsid w:val="000214AB"/>
    <w:rPr>
      <w:color w:val="2B579A"/>
      <w:shd w:val="clear" w:color="auto" w:fill="E1DFDD"/>
    </w:rPr>
  </w:style>
  <w:style w:type="paragraph" w:customStyle="1" w:styleId="xl88">
    <w:name w:val="xl88"/>
    <w:basedOn w:val="Normal"/>
    <w:rsid w:val="008468B3"/>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9">
    <w:name w:val="xl89"/>
    <w:basedOn w:val="Normal"/>
    <w:rsid w:val="008468B3"/>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0">
    <w:name w:val="xl90"/>
    <w:basedOn w:val="Normal"/>
    <w:rsid w:val="008468B3"/>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1">
    <w:name w:val="xl91"/>
    <w:basedOn w:val="Normal"/>
    <w:rsid w:val="008468B3"/>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7743">
      <w:bodyDiv w:val="1"/>
      <w:marLeft w:val="0"/>
      <w:marRight w:val="0"/>
      <w:marTop w:val="0"/>
      <w:marBottom w:val="0"/>
      <w:divBdr>
        <w:top w:val="none" w:sz="0" w:space="0" w:color="auto"/>
        <w:left w:val="none" w:sz="0" w:space="0" w:color="auto"/>
        <w:bottom w:val="none" w:sz="0" w:space="0" w:color="auto"/>
        <w:right w:val="none" w:sz="0" w:space="0" w:color="auto"/>
      </w:divBdr>
    </w:div>
    <w:div w:id="544217680">
      <w:marLeft w:val="0"/>
      <w:marRight w:val="0"/>
      <w:marTop w:val="0"/>
      <w:marBottom w:val="0"/>
      <w:divBdr>
        <w:top w:val="none" w:sz="0" w:space="0" w:color="auto"/>
        <w:left w:val="none" w:sz="0" w:space="0" w:color="auto"/>
        <w:bottom w:val="none" w:sz="0" w:space="0" w:color="auto"/>
        <w:right w:val="none" w:sz="0" w:space="0" w:color="auto"/>
      </w:divBdr>
    </w:div>
    <w:div w:id="729379770">
      <w:bodyDiv w:val="1"/>
      <w:marLeft w:val="0"/>
      <w:marRight w:val="0"/>
      <w:marTop w:val="0"/>
      <w:marBottom w:val="0"/>
      <w:divBdr>
        <w:top w:val="none" w:sz="0" w:space="0" w:color="auto"/>
        <w:left w:val="none" w:sz="0" w:space="0" w:color="auto"/>
        <w:bottom w:val="none" w:sz="0" w:space="0" w:color="auto"/>
        <w:right w:val="none" w:sz="0" w:space="0" w:color="auto"/>
      </w:divBdr>
    </w:div>
    <w:div w:id="1291939413">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655067344">
      <w:bodyDiv w:val="1"/>
      <w:marLeft w:val="0"/>
      <w:marRight w:val="0"/>
      <w:marTop w:val="0"/>
      <w:marBottom w:val="0"/>
      <w:divBdr>
        <w:top w:val="none" w:sz="0" w:space="0" w:color="auto"/>
        <w:left w:val="none" w:sz="0" w:space="0" w:color="auto"/>
        <w:bottom w:val="none" w:sz="0" w:space="0" w:color="auto"/>
        <w:right w:val="none" w:sz="0" w:space="0" w:color="auto"/>
      </w:divBdr>
    </w:div>
    <w:div w:id="184362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dane.gov.co/files/operaciones/PIB/bol-PIB-IItrim2026.pdf" TargetMode="External"/><Relationship Id="rId26" Type="http://schemas.openxmlformats.org/officeDocument/2006/relationships/hyperlink" Target="https://www.banrep.gov.co/es/publicaciones-investigaciones/boletin-economico-regional/bogota-2-trimestre-2026" TargetMode="External"/><Relationship Id="rId39"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9307519" TargetMode="External"/><Relationship Id="rId21" Type="http://schemas.openxmlformats.org/officeDocument/2006/relationships/image" Target="media/image6.png"/><Relationship Id="rId34" Type="http://schemas.openxmlformats.org/officeDocument/2006/relationships/hyperlink" Target="https://www.dane.gov.co/files/operaciones/IPC/ago2026/bol-IPC-ago2026.pdf"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ane.gov.co/files/operaciones/PIB/bol-PIB-IItrim2026.pdf"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anrep.gov.co/es/publicaciones-investigaciones/boletin-economico-regional/bogota-2-trimestre-2026" TargetMode="External"/><Relationship Id="rId32" Type="http://schemas.openxmlformats.org/officeDocument/2006/relationships/hyperlink" Target="https://www.dane.gov.co/files/operaciones/ICOCIV/bol-ICOCIV-ago2026.pdf" TargetMode="External"/><Relationship Id="rId37"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452162" TargetMode="External"/><Relationship Id="rId40"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8550560" TargetMode="External"/><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camacol.co/sites/default/files/descargables/IAE%20-%20Abr26.pdf" TargetMode="External"/><Relationship Id="rId36"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9851648"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ne.gov.co/files/operaciones/PIB/bol-PIB-IItrim2026.pdf" TargetMode="External"/><Relationship Id="rId22" Type="http://schemas.openxmlformats.org/officeDocument/2006/relationships/hyperlink" Target="https://www.dane.gov.co/files/operaciones/GEIH/bol-GEIH-ago2026.pdf" TargetMode="External"/><Relationship Id="rId27" Type="http://schemas.openxmlformats.org/officeDocument/2006/relationships/image" Target="media/image9.png"/><Relationship Id="rId30" Type="http://schemas.openxmlformats.org/officeDocument/2006/relationships/hyperlink" Target="https://www.dane.gov.co/files/operaciones/IEAC/bol-IEAC-IItrim2026.pdf" TargetMode="External"/><Relationship Id="rId35"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8587195"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dane.gov.co/files/operaciones/PIB/bol-PIB-IItrim2026.pdf"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3974843" TargetMode="External"/><Relationship Id="rId46" Type="http://schemas.openxmlformats.org/officeDocument/2006/relationships/footer" Target="footer3.xml"/><Relationship Id="rId20" Type="http://schemas.openxmlformats.org/officeDocument/2006/relationships/hyperlink" Target="https://www.dane.gov.co/files/operaciones/GEIH/bol-GEIH-ago2026.pdf" TargetMode="External"/><Relationship Id="rId41"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camacol.co/sites/default/files/descargables/Datos%20que%20construyen%20-%2028feb25.pdf" TargetMode="External"/><Relationship Id="rId18" Type="http://schemas.openxmlformats.org/officeDocument/2006/relationships/hyperlink" Target="https://www.dane.gov.co/files/operaciones/GEIH/bol-GEIH-ago2026.pdf" TargetMode="External"/><Relationship Id="rId26" Type="http://schemas.openxmlformats.org/officeDocument/2006/relationships/hyperlink" Target="https://lanota.com/index.php/CONFIDENCIAS/ranking-2024-lideres-servicios-petroleros-de-colombia.html" TargetMode="External"/><Relationship Id="rId39" Type="http://schemas.openxmlformats.org/officeDocument/2006/relationships/hyperlink" Target="https://www.dumfriesandgalloway.gov.uk/sites/default/files/2024-07/Petrol_filling_stations_decomissioning_guide.pdf" TargetMode="External"/><Relationship Id="rId21" Type="http://schemas.openxmlformats.org/officeDocument/2006/relationships/hyperlink" Target="https://www.banrep.gov.co/es/publicaciones-investigaciones/boletin-economico-regional/bogota-2-trimestre-2026" TargetMode="External"/><Relationship Id="rId34" Type="http://schemas.openxmlformats.org/officeDocument/2006/relationships/hyperlink" Target="https://totoro.banrep.gov.co/estadisticas-economicas/faces/pages/Buscador.xhtml" TargetMode="External"/><Relationship Id="rId42" Type="http://schemas.openxmlformats.org/officeDocument/2006/relationships/hyperlink" Target="https://www.funcionpublica.gov.co/eva/gestornormativo/norma.php?i=77653" TargetMode="External"/><Relationship Id="rId47" Type="http://schemas.openxmlformats.org/officeDocument/2006/relationships/hyperlink" Target="https://www.minenergia.gov.co/es/misional/energia-electrica-2/reglamentos-tecnicos/reglamento-t%C3%A9cnico-de-instalaciones-el%C3%A9ctricas-retie/" TargetMode="External"/><Relationship Id="rId50" Type="http://schemas.openxmlformats.org/officeDocument/2006/relationships/hyperlink" Target="https://www.unidadvictimas.gov.co/wp-content/uploads/2020/07/iso-45001-norma-internacional.pdf" TargetMode="External"/><Relationship Id="rId55" Type="http://schemas.openxmlformats.org/officeDocument/2006/relationships/hyperlink" Target="https://www.dane.gov.co/files/sen/nomenclatura/ciiu/CIIU_Rev_4_AC2020.pdf" TargetMode="External"/><Relationship Id="rId7" Type="http://schemas.openxmlformats.org/officeDocument/2006/relationships/hyperlink" Target="https://www.dane.gov.co/files/operaciones/PIB/bol-PIB-IItrim2026.pdf" TargetMode="External"/><Relationship Id="rId2" Type="http://schemas.openxmlformats.org/officeDocument/2006/relationships/hyperlink" Target="https://www.funcionpublica.gov.co/eva/gestornormativo/norma.php?i=78153" TargetMode="External"/><Relationship Id="rId16" Type="http://schemas.openxmlformats.org/officeDocument/2006/relationships/hyperlink" Target="https://www.dane.gov.co/files/operaciones/IEAC/bol-IEAC-IItrim2026.pdf" TargetMode="External"/><Relationship Id="rId29" Type="http://schemas.openxmlformats.org/officeDocument/2006/relationships/hyperlink" Target="https://www.camacolbyc.co/documentos/Perspectiva/eco-marzo26.pdf" TargetMode="External"/><Relationship Id="rId11" Type="http://schemas.openxmlformats.org/officeDocument/2006/relationships/hyperlink" Target="https://www.dane.gov.co/files/operaciones/IEAC/bol-IEAC-IItrim2026.pdf" TargetMode="External"/><Relationship Id="rId24" Type="http://schemas.openxmlformats.org/officeDocument/2006/relationships/hyperlink" Target="https://campetrol.org/documentos/datos_campetrol/Datos%20CAMPETROL%20-%20Actividad%20de%20taladros%20en%20Colombia%20-%20Mayo%202026.pdf" TargetMode="External"/><Relationship Id="rId32" Type="http://schemas.openxmlformats.org/officeDocument/2006/relationships/hyperlink" Target="https://www.dane.gov.co/files/operaciones/IPC/ago2026/bol-IPC-ago2026.pdf" TargetMode="External"/><Relationship Id="rId37" Type="http://schemas.openxmlformats.org/officeDocument/2006/relationships/hyperlink" Target="https://www.dane.gov.co/files/operaciones/ICOCIV/bol-ICOCIV-ago2026.pdf" TargetMode="External"/><Relationship Id="rId40" Type="http://schemas.openxmlformats.org/officeDocument/2006/relationships/hyperlink" Target="https://www.iogp.org/workstreams/environment/decommissioning/" TargetMode="External"/><Relationship Id="rId45" Type="http://schemas.openxmlformats.org/officeDocument/2006/relationships/hyperlink" Target="https://www.funcionpublica.gov.co/eva/gestornormativo/norma.php?i=77889" TargetMode="External"/><Relationship Id="rId53" Type="http://schemas.openxmlformats.org/officeDocument/2006/relationships/hyperlink" Target="https://www.datos.gov.co/Estad-sticas-Nacionales/SECOP-II-Contratos-Electr-nicos/jbjy-vk9h/about_data" TargetMode="External"/><Relationship Id="rId58"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10159142" TargetMode="External"/><Relationship Id="rId5" Type="http://schemas.openxmlformats.org/officeDocument/2006/relationships/hyperlink" Target="https://centuryassetmanagement.com/es/impact-of-rates-and-inflation-on-construction-in-colombia/" TargetMode="External"/><Relationship Id="rId19" Type="http://schemas.openxmlformats.org/officeDocument/2006/relationships/hyperlink" Target="https://www.banrep.gov.co/es/publicaciones-investigaciones/boletin-economico-regional/bogota-2-trimestre-2026" TargetMode="External"/><Relationship Id="rId4" Type="http://schemas.openxmlformats.org/officeDocument/2006/relationships/hyperlink" Target="https://www.dane.gov.co/files/operaciones/IEAC/bol-IEAC-Itrim2026.pdf" TargetMode="External"/><Relationship Id="rId9" Type="http://schemas.openxmlformats.org/officeDocument/2006/relationships/hyperlink" Target="https://observatorio.desarrolloeconomico.gov.co/informes-construccion-bogota/" TargetMode="External"/><Relationship Id="rId14" Type="http://schemas.openxmlformats.org/officeDocument/2006/relationships/hyperlink" Target="https://observatorio.habitatbogota.gov.co/wp-content/uploads/2026/05/ML_Marzo_2026.pdf" TargetMode="External"/><Relationship Id="rId22" Type="http://schemas.openxmlformats.org/officeDocument/2006/relationships/hyperlink" Target="https://camacol.co/sites/default/files/descargables/IAE%20-%20Abr26.pdf" TargetMode="External"/><Relationship Id="rId27" Type="http://schemas.openxmlformats.org/officeDocument/2006/relationships/hyperlink" Target="https://actualicese.com/historico-del-salario-minimo-y-el-auxilio-de-transporte/" TargetMode="External"/><Relationship Id="rId30" Type="http://schemas.openxmlformats.org/officeDocument/2006/relationships/hyperlink" Target="https://www.portafolio.co/mis-finanzas/vivienda/costo-de-la-mano-de-obra-y-los-desistimientos-en-las-ventas-las-preocupaciones-de-los-constructores-en-bogota-487245" TargetMode="External"/><Relationship Id="rId35" Type="http://schemas.openxmlformats.org/officeDocument/2006/relationships/hyperlink" Target="https://www.superfinanciera.gov.co/publicaciones/10116205/superfinanciera-certifica-el-interes-bancario-corriente/" TargetMode="External"/><Relationship Id="rId43" Type="http://schemas.openxmlformats.org/officeDocument/2006/relationships/hyperlink" Target="https://www.funcionpublica.gov.co/eva/gestornormativo/norma.php?i=72173" TargetMode="External"/><Relationship Id="rId48" Type="http://schemas.openxmlformats.org/officeDocument/2006/relationships/hyperlink" Target="https://osaic.com.co/wp-content/uploads/NTC-2050.pdf" TargetMode="External"/><Relationship Id="rId56" Type="http://schemas.openxmlformats.org/officeDocument/2006/relationships/hyperlink" Target="https://www.ciiu.co/clasificacion/F/43" TargetMode="External"/><Relationship Id="rId8" Type="http://schemas.openxmlformats.org/officeDocument/2006/relationships/hyperlink" Target="https://www.dane.gov.co/files/operaciones/GEIH/bol-GEIH-ago2026.pdf" TargetMode="External"/><Relationship Id="rId51" Type="http://schemas.openxmlformats.org/officeDocument/2006/relationships/hyperlink" Target="https://www.ins.gov.co/Transparencia/Docs/NTC-ISO%209001%20DE%202015.pdf" TargetMode="External"/><Relationship Id="rId3" Type="http://schemas.openxmlformats.org/officeDocument/2006/relationships/hyperlink" Target="https://introduccionalaeconomia.com/importancia-sector-construccion-colombia/" TargetMode="External"/><Relationship Id="rId12" Type="http://schemas.openxmlformats.org/officeDocument/2006/relationships/hyperlink" Target="https://www.dane.gov.co/files/operaciones/GEIH/bol-GEIH-jun2026.pdf" TargetMode="External"/><Relationship Id="rId17" Type="http://schemas.openxmlformats.org/officeDocument/2006/relationships/hyperlink" Target="https://www.banrep.gov.co/es/publicaciones-investigaciones/boletin-economico-regional/bogota-2-trimestre-2026" TargetMode="External"/><Relationship Id="rId25" Type="http://schemas.openxmlformats.org/officeDocument/2006/relationships/hyperlink" Target="https://acp.com.co/portal/gremios-del-sector-de-hidrocarburos-presentan-propuestas-de-politica-publica-para-fortalecer-la-seguridad-energetica-de-colombia/" TargetMode="External"/><Relationship Id="rId33" Type="http://schemas.openxmlformats.org/officeDocument/2006/relationships/hyperlink" Target="https://datosmacro.expansion.com/ipc-paises/colombia?dr=2026-07" TargetMode="External"/><Relationship Id="rId38" Type="http://schemas.openxmlformats.org/officeDocument/2006/relationships/hyperlink" Target="https://www.ecfr.gov/current/title-40/chapter-I/subchapter-I/part-280/subpart-G" TargetMode="External"/><Relationship Id="rId46" Type="http://schemas.openxmlformats.org/officeDocument/2006/relationships/hyperlink" Target="https://www.funcionpublica.gov.co/eva/gestornormativo/norma.php?i=6101" TargetMode="External"/><Relationship Id="rId20" Type="http://schemas.openxmlformats.org/officeDocument/2006/relationships/hyperlink" Target="https://www.dane.gov.co/files/operaciones/GEIH/bol-GEIH-ago2026.pdf" TargetMode="External"/><Relationship Id="rId41" Type="http://schemas.openxmlformats.org/officeDocument/2006/relationships/hyperlink" Target="https://www.funcionpublica.gov.co/eva/gestornormativo/norma.php?i=184686" TargetMode="External"/><Relationship Id="rId54" Type="http://schemas.openxmlformats.org/officeDocument/2006/relationships/hyperlink" Target="https://www.ambientebogota.gov.co/documents/10184/1969442/LISTA+GESTORES+RESPEL+BOGOTA+ACTUALIZADO+Enero+2025.pdf/9e7f9bc2-cda4-45ce-a103-5f0d5b0d9456" TargetMode="External"/><Relationship Id="rId1" Type="http://schemas.openxmlformats.org/officeDocument/2006/relationships/hyperlink" Target="https://normograma.dian.gov.co/dian/compilacion/docs/resolucion_minminas_40405_2020.htm" TargetMode="External"/><Relationship Id="rId6" Type="http://schemas.openxmlformats.org/officeDocument/2006/relationships/hyperlink" Target="https://colombia.argos.co/sector-de-la-construccion-2025-cifras-retos-y-oportunidades-del-segundo-trimestre/" TargetMode="External"/><Relationship Id="rId15" Type="http://schemas.openxmlformats.org/officeDocument/2006/relationships/hyperlink" Target="https://www.dane.gov.co/files/operaciones/GEIH/bol-GEIH-ago2026.pdf" TargetMode="External"/><Relationship Id="rId23" Type="http://schemas.openxmlformats.org/officeDocument/2006/relationships/hyperlink" Target="https://www.dane.gov.co/files/operaciones/IEAC/bol-IEAC-IItrim2026.pdf" TargetMode="External"/><Relationship Id="rId28" Type="http://schemas.openxmlformats.org/officeDocument/2006/relationships/hyperlink" Target="https://www.dane.gov.co/files/operaciones/ICOCIV/bol-ICOCIV-jun2026.pdf" TargetMode="External"/><Relationship Id="rId36" Type="http://schemas.openxmlformats.org/officeDocument/2006/relationships/hyperlink" Target="https://www.banrep.gov.co/es/publicaciones-investigaciones/boletin-economico-regional/bogota-2-trimestre-2026" TargetMode="External"/><Relationship Id="rId49" Type="http://schemas.openxmlformats.org/officeDocument/2006/relationships/hyperlink" Target="https://forpo.gov.co/wp-content/uploads/2026/01/NTC-ISO-14001-2015.pdf" TargetMode="External"/><Relationship Id="rId57" Type="http://schemas.openxmlformats.org/officeDocument/2006/relationships/hyperlink" Target="https://operaciones.colombiacompra.gov.co/sites/cce_public/files/cce_documents/cce-eicp-ma-04._manual_requisitos_habilitantes_v3_29-09-2023.pdf" TargetMode="External"/><Relationship Id="rId10" Type="http://schemas.openxmlformats.org/officeDocument/2006/relationships/hyperlink" Target="https://diarioriente.com/nacional/desempleo-en-colombi.html" TargetMode="External"/><Relationship Id="rId31" Type="http://schemas.openxmlformats.org/officeDocument/2006/relationships/hyperlink" Target="https://www.dane.gov.co/files/operaciones/ICOCIV/bol-ICOCIV-ago2026.pdf" TargetMode="External"/><Relationship Id="rId44" Type="http://schemas.openxmlformats.org/officeDocument/2006/relationships/hyperlink" Target="https://www1.funcionpublica.gov.co/documents/34645357/34703621/Resolucion_0312_de_2019.pdf/3c93008d-dd8e-8b0d-e5ea-ec6699db86e7" TargetMode="External"/><Relationship Id="rId52" Type="http://schemas.openxmlformats.org/officeDocument/2006/relationships/hyperlink" Target="http://132.255.23.82/sipnvo/normatividad/GTC_45_DE_2012.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2.xml><?xml version="1.0" encoding="utf-8"?>
<ds:datastoreItem xmlns:ds="http://schemas.openxmlformats.org/officeDocument/2006/customXml" ds:itemID="{E710C702-F4CD-41BB-ACA6-AE7222756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4894C6FB-E5CF-4725-8369-BAEE58E24F05}">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137</TotalTime>
  <Pages>82</Pages>
  <Words>24681</Words>
  <Characters>145623</Characters>
  <Application>Microsoft Office Word</Application>
  <DocSecurity>0</DocSecurity>
  <Lines>5824</Lines>
  <Paragraphs>3960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Deisy Rocio Vargas Torres</cp:lastModifiedBy>
  <cp:revision>7</cp:revision>
  <cp:lastPrinted>2014-03-06T02:32:00Z</cp:lastPrinted>
  <dcterms:created xsi:type="dcterms:W3CDTF">2026-09-27T23:59:00Z</dcterms:created>
  <dcterms:modified xsi:type="dcterms:W3CDTF">2026-10-05T16:15:00Z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