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7314B" w14:textId="77777777" w:rsidR="0077727E" w:rsidRPr="0090542B" w:rsidRDefault="0077727E" w:rsidP="008E1E1A">
      <w:pPr>
        <w:spacing w:after="120"/>
        <w:jc w:val="center"/>
        <w:rPr>
          <w:rFonts w:ascii="Arial" w:hAnsi="Arial" w:cs="Arial"/>
          <w:b/>
          <w:color w:val="000000" w:themeColor="text1"/>
          <w:sz w:val="20"/>
          <w:szCs w:val="20"/>
        </w:rPr>
      </w:pPr>
      <w:r>
        <w:rPr>
          <w:rFonts w:ascii="Arial" w:hAnsi="Arial" w:cs="Arial"/>
          <w:b/>
          <w:color w:val="000000" w:themeColor="text1"/>
          <w:sz w:val="20"/>
          <w:szCs w:val="20"/>
        </w:rPr>
        <w:t>MATRIZ 3 RIESGOS</w:t>
      </w:r>
    </w:p>
    <w:p w14:paraId="34B47AE3" w14:textId="77777777" w:rsidR="00DB09BC" w:rsidRPr="0090542B" w:rsidRDefault="00DB09BC" w:rsidP="007C702A">
      <w:pPr>
        <w:rPr>
          <w:rFonts w:ascii="Arial" w:hAnsi="Arial" w:cs="Arial"/>
          <w:color w:val="000000" w:themeColor="text1"/>
          <w:sz w:val="20"/>
          <w:szCs w:val="20"/>
          <w:lang w:eastAsia="es-CO"/>
        </w:rPr>
      </w:pPr>
    </w:p>
    <w:p w14:paraId="0ADB24EB" w14:textId="77777777" w:rsidR="00D91F90" w:rsidRPr="0090542B" w:rsidRDefault="00D91F90" w:rsidP="1D2C459F">
      <w:pPr>
        <w:rPr>
          <w:rFonts w:ascii="Arial" w:hAnsi="Arial" w:cs="Arial"/>
          <w:color w:val="000000" w:themeColor="text1"/>
          <w:sz w:val="20"/>
          <w:szCs w:val="20"/>
          <w:lang w:val="es-ES" w:eastAsia="es-CO"/>
        </w:rPr>
      </w:pPr>
      <w:r>
        <w:rPr>
          <w:rFonts w:ascii="Arial" w:hAnsi="Arial" w:cs="Arial"/>
          <w:color w:val="000000" w:themeColor="text1"/>
          <w:sz w:val="20"/>
          <w:szCs w:val="20"/>
          <w:lang w:val="es-ES" w:eastAsia="es-CO"/>
        </w:rPr>
        <w:t>Para el Proceso Contractual, en atención a lo dispuesto en la Ley 1150 de 2007 y en 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142405AB" w14:textId="77777777" w:rsidR="00D91F90" w:rsidRPr="0090542B" w:rsidRDefault="00D91F90" w:rsidP="00D91F90">
      <w:pPr>
        <w:rPr>
          <w:rFonts w:ascii="Arial" w:hAnsi="Arial" w:cs="Arial"/>
          <w:color w:val="000000" w:themeColor="text1"/>
          <w:sz w:val="20"/>
          <w:szCs w:val="20"/>
          <w:lang w:val="es-ES_tradnl" w:eastAsia="es-CO"/>
        </w:rPr>
      </w:pPr>
    </w:p>
    <w:p w14:paraId="44FA30BC" w14:textId="77777777" w:rsidR="00D91F90" w:rsidRPr="0090542B" w:rsidRDefault="00D91F90" w:rsidP="1D2C459F">
      <w:pPr>
        <w:rPr>
          <w:rFonts w:ascii="Arial" w:hAnsi="Arial" w:cs="Arial"/>
          <w:color w:val="000000" w:themeColor="text1"/>
          <w:sz w:val="20"/>
          <w:szCs w:val="20"/>
          <w:lang w:val="es-ES" w:eastAsia="es-CO"/>
        </w:rPr>
      </w:pPr>
      <w:r>
        <w:rPr>
          <w:rFonts w:ascii="Arial" w:hAnsi="Arial" w:cs="Arial"/>
          <w:color w:val="000000" w:themeColor="text1"/>
          <w:sz w:val="20"/>
          <w:szCs w:val="20"/>
          <w:lang w:val="es-ES" w:eastAsia="es-CO"/>
        </w:rPr>
        <w:t xml:space="preserve">Corresponderá al contratista seleccionado la asunción del riesgo previsible propio de este tipo de contratación asumiendo su costo, siempre que el mismo no se encuentre expresamente a cargo de la Entidad Estatal en el contrato. </w:t>
      </w:r>
    </w:p>
    <w:p w14:paraId="4D2C7E4D" w14:textId="77777777" w:rsidR="00D91F90" w:rsidRPr="0090542B" w:rsidRDefault="00D91F90" w:rsidP="00D91F90">
      <w:pPr>
        <w:rPr>
          <w:rFonts w:ascii="Arial" w:hAnsi="Arial" w:cs="Arial"/>
          <w:color w:val="000000" w:themeColor="text1"/>
          <w:sz w:val="20"/>
          <w:szCs w:val="20"/>
          <w:lang w:val="es-ES_tradnl" w:eastAsia="es-CO"/>
        </w:rPr>
      </w:pPr>
    </w:p>
    <w:p w14:paraId="3EF6404A" w14:textId="77777777" w:rsidR="00D91F90" w:rsidRPr="0090542B" w:rsidRDefault="00D91F90" w:rsidP="1D2C459F">
      <w:pPr>
        <w:rPr>
          <w:rFonts w:ascii="Arial" w:hAnsi="Arial" w:cs="Arial"/>
          <w:color w:val="000000" w:themeColor="text1"/>
          <w:sz w:val="20"/>
          <w:szCs w:val="20"/>
          <w:lang w:val="es-ES" w:eastAsia="es-CO"/>
        </w:rPr>
      </w:pPr>
      <w:r>
        <w:rPr>
          <w:rFonts w:ascii="Arial" w:hAnsi="Arial" w:cs="Arial"/>
          <w:color w:val="000000" w:themeColor="text1"/>
          <w:sz w:val="20"/>
          <w:szCs w:val="20"/>
          <w:lang w:val="es-ES" w:eastAsia="es-CO"/>
        </w:rPr>
        <w:t>De acuerdo con procedimiento de la referencia, se establece la tipificación, estimación y asignación de los Riesgos previsibles que puedan afectar el Proceso de Contratación.</w:t>
      </w:r>
    </w:p>
    <w:p w14:paraId="080D3B71" w14:textId="77777777" w:rsidR="1D2C459F" w:rsidRDefault="1D2C459F" w:rsidP="1D2C459F">
      <w:pPr>
        <w:rPr>
          <w:rFonts w:ascii="Arial" w:hAnsi="Arial" w:cs="Arial"/>
          <w:color w:val="000000" w:themeColor="text1"/>
          <w:sz w:val="20"/>
          <w:szCs w:val="20"/>
          <w:lang w:val="es-ES" w:eastAsia="es-CO"/>
        </w:rPr>
      </w:pPr>
    </w:p>
    <w:p w14:paraId="7EAE0862" w14:textId="77777777" w:rsidR="1D2C459F" w:rsidRDefault="0055750F" w:rsidP="1D2C459F">
      <w:pPr>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7584897D" w14:textId="77777777" w:rsidR="00D91F90" w:rsidRPr="0090542B" w:rsidRDefault="00D91F90" w:rsidP="00D91F90">
      <w:pPr>
        <w:rPr>
          <w:rFonts w:ascii="Arial" w:hAnsi="Arial" w:cs="Arial"/>
          <w:color w:val="000000" w:themeColor="text1"/>
          <w:sz w:val="20"/>
          <w:szCs w:val="20"/>
          <w:lang w:val="es-ES_tradnl" w:eastAsia="es-CO"/>
        </w:rPr>
      </w:pPr>
    </w:p>
    <w:p w14:paraId="71E2A12D" w14:textId="77777777" w:rsidR="0011793B" w:rsidRDefault="0011793B">
      <w:pPr>
        <w:sectPr w:rsidR="0011793B" w:rsidSect="000F4C04">
          <w:headerReference w:type="default" r:id="rId11"/>
          <w:footerReference w:type="default" r:id="rId12"/>
          <w:pgSz w:w="12240" w:h="15840" w:code="1"/>
          <w:pgMar w:top="720" w:right="720" w:bottom="720" w:left="720" w:header="720" w:footer="720" w:gutter="0"/>
          <w:cols w:space="720"/>
          <w:noEndnote/>
          <w:docGrid w:linePitch="299"/>
        </w:sectPr>
      </w:pPr>
    </w:p>
    <w:p w14:paraId="1E4E4196" w14:textId="77777777" w:rsidR="00D91F90" w:rsidRPr="002C3E53" w:rsidRDefault="00D91F90" w:rsidP="00A05E1E">
      <w:pPr>
        <w:spacing w:after="100" w:afterAutospacing="1"/>
        <w:jc w:val="center"/>
        <w:rPr>
          <w:rFonts w:ascii="Arial" w:eastAsia="SimSun" w:hAnsi="Arial" w:cs="Arial"/>
          <w:kern w:val="3"/>
          <w:sz w:val="20"/>
          <w:szCs w:val="20"/>
          <w:lang w:eastAsia="zh-CN" w:bidi="hi-IN"/>
        </w:rPr>
      </w:pPr>
      <w:r>
        <w:rPr>
          <w:rFonts w:ascii="Arial" w:eastAsia="SimSun" w:hAnsi="Arial" w:cs="Arial"/>
          <w:b/>
          <w:kern w:val="3"/>
          <w:sz w:val="20"/>
          <w:szCs w:val="20"/>
          <w:u w:val="single"/>
          <w:lang w:eastAsia="zh-CN" w:bidi="hi-IN"/>
        </w:rPr>
        <w:lastRenderedPageBreak/>
        <w:t>Matriz de Riesgos</w:t>
      </w:r>
    </w:p>
    <w:p w14:paraId="3B36C786" w14:textId="77777777" w:rsidR="00D91F90" w:rsidRPr="002C3E53" w:rsidRDefault="00D91F90" w:rsidP="00D91F90">
      <w:pPr>
        <w:spacing w:after="100" w:afterAutospacing="1"/>
        <w:rPr>
          <w:rFonts w:ascii="Arial" w:eastAsia="SimSun" w:hAnsi="Arial" w:cs="Arial"/>
          <w:kern w:val="3"/>
          <w:sz w:val="20"/>
          <w:szCs w:val="20"/>
          <w:lang w:eastAsia="zh-CN" w:bidi="hi-IN"/>
        </w:rPr>
      </w:pPr>
    </w:p>
    <w:tbl>
      <w:tblPr>
        <w:tblStyle w:val="Tablaconcuadrcula"/>
        <w:tblW w:w="14400" w:type="dxa"/>
        <w:tblLayout w:type="fixed"/>
        <w:tblLook w:val="04A0" w:firstRow="1" w:lastRow="0" w:firstColumn="1" w:lastColumn="0" w:noHBand="0" w:noVBand="1"/>
      </w:tblPr>
      <w:tblGrid>
        <w:gridCol w:w="425"/>
        <w:gridCol w:w="600"/>
        <w:gridCol w:w="560"/>
        <w:gridCol w:w="640"/>
        <w:gridCol w:w="760"/>
        <w:gridCol w:w="1120"/>
        <w:gridCol w:w="1070"/>
        <w:gridCol w:w="425"/>
        <w:gridCol w:w="425"/>
        <w:gridCol w:w="425"/>
        <w:gridCol w:w="425"/>
        <w:gridCol w:w="620"/>
        <w:gridCol w:w="1250"/>
        <w:gridCol w:w="425"/>
        <w:gridCol w:w="425"/>
        <w:gridCol w:w="425"/>
        <w:gridCol w:w="425"/>
        <w:gridCol w:w="600"/>
        <w:gridCol w:w="900"/>
        <w:gridCol w:w="800"/>
        <w:gridCol w:w="1000"/>
        <w:gridCol w:w="655"/>
      </w:tblGrid>
      <w:tr w:rsidR="001E546E" w:rsidRPr="00FF5BE9" w14:paraId="26ACFB98" w14:textId="77777777" w:rsidTr="001653EA">
        <w:trPr>
          <w:cantSplit/>
          <w:trHeight w:val="1212"/>
          <w:tblHeader/>
        </w:trPr>
        <w:tc>
          <w:tcPr>
            <w:tcW w:w="425" w:type="dxa"/>
            <w:vMerge w:val="restart"/>
            <w:shd w:val="clear" w:color="auto" w:fill="4D4D4D"/>
            <w:textDirection w:val="btLr"/>
          </w:tcPr>
          <w:p w14:paraId="3F9123B7" w14:textId="77777777" w:rsidR="00D91F90" w:rsidRPr="008E1E1A" w:rsidRDefault="00D91F90" w:rsidP="0068195B">
            <w:pPr>
              <w:spacing w:after="100" w:afterAutospacing="1"/>
              <w:jc w:val="center"/>
              <w:rPr>
                <w:rFonts w:ascii="Arial" w:eastAsia="SimSun" w:hAnsi="Arial" w:cs="Arial"/>
                <w:color w:val="FFFFFF" w:themeColor="background1"/>
                <w:kern w:val="3"/>
                <w:sz w:val="20"/>
                <w:szCs w:val="20"/>
                <w:lang w:eastAsia="zh-CN" w:bidi="hi-IN"/>
              </w:rPr>
            </w:pPr>
            <w:r>
              <w:rPr>
                <w:rFonts w:ascii="Arial" w:eastAsia="SimSun" w:hAnsi="Arial" w:cs="Arial"/>
                <w:color w:val="FFFFFF" w:themeColor="background1"/>
                <w:kern w:val="3"/>
                <w:sz w:val="20"/>
                <w:szCs w:val="20"/>
                <w:lang w:eastAsia="zh-CN" w:bidi="hi-IN"/>
              </w:rPr>
              <w:t>No.</w:t>
            </w:r>
          </w:p>
        </w:tc>
        <w:tc>
          <w:tcPr>
            <w:tcW w:w="600" w:type="dxa"/>
            <w:vMerge w:val="restart"/>
            <w:shd w:val="clear" w:color="auto" w:fill="4D4D4D"/>
            <w:textDirection w:val="btLr"/>
          </w:tcPr>
          <w:p w14:paraId="3E13FA9F" w14:textId="77777777" w:rsidR="00D91F90" w:rsidRPr="008E1E1A" w:rsidRDefault="00D91F90" w:rsidP="0068195B">
            <w:pPr>
              <w:spacing w:after="100" w:afterAutospacing="1"/>
              <w:jc w:val="center"/>
              <w:rPr>
                <w:rFonts w:ascii="Arial" w:eastAsia="SimSun" w:hAnsi="Arial" w:cs="Arial"/>
                <w:color w:val="FFFFFF" w:themeColor="background1"/>
                <w:kern w:val="3"/>
                <w:sz w:val="20"/>
                <w:szCs w:val="20"/>
                <w:lang w:eastAsia="zh-CN" w:bidi="hi-IN"/>
              </w:rPr>
            </w:pPr>
            <w:r>
              <w:rPr>
                <w:rFonts w:ascii="Arial" w:eastAsia="SimSun" w:hAnsi="Arial" w:cs="Arial"/>
                <w:color w:val="FFFFFF" w:themeColor="background1"/>
                <w:kern w:val="3"/>
                <w:sz w:val="20"/>
                <w:szCs w:val="20"/>
                <w:lang w:eastAsia="zh-CN" w:bidi="hi-IN"/>
              </w:rPr>
              <w:t>Clase</w:t>
            </w:r>
          </w:p>
        </w:tc>
        <w:tc>
          <w:tcPr>
            <w:tcW w:w="560" w:type="dxa"/>
            <w:vMerge w:val="restart"/>
            <w:shd w:val="clear" w:color="auto" w:fill="4D4D4D"/>
            <w:textDirection w:val="btLr"/>
          </w:tcPr>
          <w:p w14:paraId="1F82891E" w14:textId="77777777" w:rsidR="00D91F90" w:rsidRPr="008E1E1A" w:rsidRDefault="00D91F90" w:rsidP="0068195B">
            <w:pPr>
              <w:spacing w:after="100" w:afterAutospacing="1"/>
              <w:jc w:val="center"/>
              <w:rPr>
                <w:rFonts w:ascii="Arial" w:eastAsia="SimSun" w:hAnsi="Arial" w:cs="Arial"/>
                <w:color w:val="FFFFFF" w:themeColor="background1"/>
                <w:kern w:val="3"/>
                <w:sz w:val="20"/>
                <w:szCs w:val="20"/>
                <w:lang w:eastAsia="zh-CN" w:bidi="hi-IN"/>
              </w:rPr>
            </w:pPr>
            <w:r>
              <w:rPr>
                <w:rFonts w:ascii="Arial" w:eastAsia="SimSun" w:hAnsi="Arial" w:cs="Arial"/>
                <w:color w:val="FFFFFF" w:themeColor="background1"/>
                <w:kern w:val="3"/>
                <w:sz w:val="20"/>
                <w:szCs w:val="20"/>
                <w:lang w:eastAsia="zh-CN" w:bidi="hi-IN"/>
              </w:rPr>
              <w:t>Fuente</w:t>
            </w:r>
          </w:p>
        </w:tc>
        <w:tc>
          <w:tcPr>
            <w:tcW w:w="640" w:type="dxa"/>
            <w:vMerge w:val="restart"/>
            <w:shd w:val="clear" w:color="auto" w:fill="4D4D4D"/>
            <w:textDirection w:val="btLr"/>
          </w:tcPr>
          <w:p w14:paraId="6DD31831" w14:textId="77777777" w:rsidR="00D91F90" w:rsidRPr="008E1E1A" w:rsidRDefault="00D91F90" w:rsidP="0068195B">
            <w:pPr>
              <w:spacing w:after="100" w:afterAutospacing="1"/>
              <w:jc w:val="center"/>
              <w:rPr>
                <w:rFonts w:ascii="Arial" w:eastAsia="SimSun" w:hAnsi="Arial" w:cs="Arial"/>
                <w:color w:val="FFFFFF" w:themeColor="background1"/>
                <w:kern w:val="3"/>
                <w:sz w:val="20"/>
                <w:szCs w:val="20"/>
                <w:lang w:eastAsia="zh-CN" w:bidi="hi-IN"/>
              </w:rPr>
            </w:pPr>
            <w:r>
              <w:rPr>
                <w:rFonts w:ascii="Arial" w:eastAsia="SimSun" w:hAnsi="Arial" w:cs="Arial"/>
                <w:color w:val="FFFFFF" w:themeColor="background1"/>
                <w:kern w:val="3"/>
                <w:sz w:val="20"/>
                <w:szCs w:val="20"/>
                <w:lang w:eastAsia="zh-CN" w:bidi="hi-IN"/>
              </w:rPr>
              <w:t>Etapa</w:t>
            </w:r>
          </w:p>
        </w:tc>
        <w:tc>
          <w:tcPr>
            <w:tcW w:w="760" w:type="dxa"/>
            <w:vMerge w:val="restart"/>
            <w:shd w:val="clear" w:color="auto" w:fill="4D4D4D"/>
            <w:textDirection w:val="btLr"/>
          </w:tcPr>
          <w:p w14:paraId="5653F6E7" w14:textId="77777777" w:rsidR="00D91F90" w:rsidRPr="008E1E1A" w:rsidRDefault="00D91F90" w:rsidP="0068195B">
            <w:pPr>
              <w:spacing w:after="100" w:afterAutospacing="1"/>
              <w:jc w:val="center"/>
              <w:rPr>
                <w:rFonts w:ascii="Arial" w:eastAsia="SimSun" w:hAnsi="Arial" w:cs="Arial"/>
                <w:color w:val="FFFFFF" w:themeColor="background1"/>
                <w:kern w:val="3"/>
                <w:sz w:val="20"/>
                <w:szCs w:val="20"/>
                <w:lang w:eastAsia="zh-CN" w:bidi="hi-IN"/>
              </w:rPr>
            </w:pPr>
            <w:r>
              <w:rPr>
                <w:rFonts w:ascii="Arial" w:eastAsia="SimSun" w:hAnsi="Arial" w:cs="Arial"/>
                <w:color w:val="FFFFFF" w:themeColor="background1"/>
                <w:kern w:val="3"/>
                <w:sz w:val="20"/>
                <w:szCs w:val="20"/>
                <w:lang w:eastAsia="zh-CN" w:bidi="hi-IN"/>
              </w:rPr>
              <w:t>Tipo</w:t>
            </w:r>
          </w:p>
        </w:tc>
        <w:tc>
          <w:tcPr>
            <w:tcW w:w="1120" w:type="dxa"/>
            <w:vMerge w:val="restart"/>
            <w:shd w:val="clear" w:color="auto" w:fill="4D4D4D"/>
            <w:textDirection w:val="btLr"/>
          </w:tcPr>
          <w:p w14:paraId="6E33D35B" w14:textId="77777777" w:rsidR="00D91F90" w:rsidRPr="008E1E1A" w:rsidRDefault="00D91F90" w:rsidP="0068195B">
            <w:pPr>
              <w:spacing w:after="100" w:afterAutospacing="1"/>
              <w:jc w:val="center"/>
              <w:rPr>
                <w:rFonts w:ascii="Arial" w:eastAsia="SimSun" w:hAnsi="Arial" w:cs="Arial"/>
                <w:color w:val="FFFFFF" w:themeColor="background1"/>
                <w:kern w:val="3"/>
                <w:sz w:val="20"/>
                <w:szCs w:val="20"/>
                <w:lang w:eastAsia="zh-CN" w:bidi="hi-IN"/>
              </w:rPr>
            </w:pPr>
            <w:r>
              <w:rPr>
                <w:rFonts w:ascii="Arial" w:eastAsia="SimSun" w:hAnsi="Arial" w:cs="Arial"/>
                <w:color w:val="FFFFFF" w:themeColor="background1"/>
                <w:kern w:val="3"/>
                <w:sz w:val="20"/>
                <w:szCs w:val="20"/>
                <w:lang w:eastAsia="zh-CN" w:bidi="hi-IN"/>
              </w:rPr>
              <w:t>Descripción</w:t>
            </w:r>
          </w:p>
          <w:p w14:paraId="55404949" w14:textId="77777777" w:rsidR="00D91F90" w:rsidRPr="008E1E1A" w:rsidRDefault="00D91F90" w:rsidP="0068195B">
            <w:pPr>
              <w:spacing w:after="100" w:afterAutospacing="1"/>
              <w:jc w:val="center"/>
              <w:rPr>
                <w:rFonts w:ascii="Arial" w:eastAsia="SimSun" w:hAnsi="Arial" w:cs="Arial"/>
                <w:color w:val="FFFFFF" w:themeColor="background1"/>
                <w:kern w:val="3"/>
                <w:sz w:val="20"/>
                <w:szCs w:val="20"/>
                <w:lang w:eastAsia="zh-CN" w:bidi="hi-IN"/>
              </w:rPr>
            </w:pPr>
            <w:r>
              <w:rPr>
                <w:rFonts w:ascii="Arial" w:eastAsia="SimSun" w:hAnsi="Arial" w:cs="Arial"/>
                <w:color w:val="FFFFFF" w:themeColor="background1"/>
                <w:kern w:val="3"/>
                <w:sz w:val="20"/>
                <w:szCs w:val="20"/>
                <w:lang w:eastAsia="zh-CN" w:bidi="hi-IN"/>
              </w:rPr>
              <w:t>(Qué puede pasar y como puede ocurrir)</w:t>
            </w:r>
          </w:p>
          <w:p w14:paraId="1E485FD8" w14:textId="77777777" w:rsidR="00D91F90" w:rsidRPr="008E1E1A" w:rsidRDefault="00D91F90" w:rsidP="0068195B">
            <w:pPr>
              <w:spacing w:after="100" w:afterAutospacing="1"/>
              <w:jc w:val="center"/>
              <w:rPr>
                <w:rFonts w:ascii="Arial" w:eastAsia="SimSun" w:hAnsi="Arial" w:cs="Arial"/>
                <w:color w:val="FFFFFF" w:themeColor="background1"/>
                <w:kern w:val="3"/>
                <w:sz w:val="20"/>
                <w:szCs w:val="20"/>
                <w:lang w:eastAsia="zh-CN" w:bidi="hi-IN"/>
              </w:rPr>
            </w:pPr>
          </w:p>
        </w:tc>
        <w:tc>
          <w:tcPr>
            <w:tcW w:w="1070" w:type="dxa"/>
            <w:vMerge w:val="restart"/>
            <w:shd w:val="clear" w:color="auto" w:fill="4D4D4D"/>
            <w:textDirection w:val="btLr"/>
          </w:tcPr>
          <w:p w14:paraId="5991B1A4" w14:textId="77777777" w:rsidR="00D91F90" w:rsidRPr="008E1E1A" w:rsidRDefault="00D91F90" w:rsidP="0068195B">
            <w:pPr>
              <w:spacing w:after="100" w:afterAutospacing="1"/>
              <w:jc w:val="center"/>
              <w:rPr>
                <w:rFonts w:ascii="Arial" w:eastAsia="SimSun" w:hAnsi="Arial" w:cs="Arial"/>
                <w:color w:val="FFFFFF" w:themeColor="background1"/>
                <w:kern w:val="3"/>
                <w:sz w:val="20"/>
                <w:szCs w:val="20"/>
                <w:lang w:eastAsia="zh-CN" w:bidi="hi-IN"/>
              </w:rPr>
            </w:pPr>
            <w:r>
              <w:rPr>
                <w:rFonts w:ascii="Arial" w:eastAsia="SimSun" w:hAnsi="Arial" w:cs="Arial"/>
                <w:color w:val="FFFFFF" w:themeColor="background1"/>
                <w:kern w:val="3"/>
                <w:sz w:val="20"/>
                <w:szCs w:val="20"/>
                <w:lang w:eastAsia="zh-CN" w:bidi="hi-IN"/>
              </w:rPr>
              <w:t>Consecuencia de la ocurrencia del evento</w:t>
            </w:r>
          </w:p>
        </w:tc>
        <w:tc>
          <w:tcPr>
            <w:tcW w:w="425" w:type="dxa"/>
            <w:vMerge w:val="restart"/>
            <w:shd w:val="clear" w:color="auto" w:fill="4D4D4D"/>
            <w:textDirection w:val="btLr"/>
          </w:tcPr>
          <w:p w14:paraId="4558C80E" w14:textId="77777777" w:rsidR="00D91F90" w:rsidRPr="008E1E1A" w:rsidRDefault="00D91F90" w:rsidP="0068195B">
            <w:pPr>
              <w:spacing w:after="100" w:afterAutospacing="1"/>
              <w:jc w:val="center"/>
              <w:rPr>
                <w:rFonts w:ascii="Arial" w:eastAsia="SimSun" w:hAnsi="Arial" w:cs="Arial"/>
                <w:color w:val="FFFFFF" w:themeColor="background1"/>
                <w:kern w:val="3"/>
                <w:sz w:val="20"/>
                <w:szCs w:val="20"/>
                <w:lang w:eastAsia="zh-CN" w:bidi="hi-IN"/>
              </w:rPr>
            </w:pPr>
            <w:r>
              <w:rPr>
                <w:rFonts w:ascii="Arial" w:eastAsia="SimSun" w:hAnsi="Arial" w:cs="Arial"/>
                <w:color w:val="FFFFFF" w:themeColor="background1"/>
                <w:kern w:val="3"/>
                <w:sz w:val="20"/>
                <w:szCs w:val="20"/>
                <w:lang w:eastAsia="zh-CN" w:bidi="hi-IN"/>
              </w:rPr>
              <w:t>Probabilidad</w:t>
            </w:r>
          </w:p>
        </w:tc>
        <w:tc>
          <w:tcPr>
            <w:tcW w:w="425" w:type="dxa"/>
            <w:vMerge w:val="restart"/>
            <w:shd w:val="clear" w:color="auto" w:fill="4D4D4D"/>
            <w:textDirection w:val="btLr"/>
          </w:tcPr>
          <w:p w14:paraId="79FF9501" w14:textId="77777777" w:rsidR="00D91F90" w:rsidRPr="008E1E1A" w:rsidRDefault="00D91F90" w:rsidP="0068195B">
            <w:pPr>
              <w:spacing w:after="100" w:afterAutospacing="1"/>
              <w:jc w:val="center"/>
              <w:rPr>
                <w:rFonts w:ascii="Arial" w:eastAsia="SimSun" w:hAnsi="Arial" w:cs="Arial"/>
                <w:color w:val="FFFFFF" w:themeColor="background1"/>
                <w:kern w:val="3"/>
                <w:sz w:val="20"/>
                <w:szCs w:val="20"/>
                <w:lang w:eastAsia="zh-CN" w:bidi="hi-IN"/>
              </w:rPr>
            </w:pPr>
            <w:r>
              <w:rPr>
                <w:rFonts w:ascii="Arial" w:eastAsia="SimSun" w:hAnsi="Arial" w:cs="Arial"/>
                <w:color w:val="FFFFFF" w:themeColor="background1"/>
                <w:kern w:val="3"/>
                <w:sz w:val="20"/>
                <w:szCs w:val="20"/>
                <w:lang w:eastAsia="zh-CN" w:bidi="hi-IN"/>
              </w:rPr>
              <w:t>Impacto</w:t>
            </w:r>
          </w:p>
        </w:tc>
        <w:tc>
          <w:tcPr>
            <w:tcW w:w="425" w:type="dxa"/>
            <w:vMerge w:val="restart"/>
            <w:shd w:val="clear" w:color="auto" w:fill="4D4D4D"/>
            <w:textDirection w:val="btLr"/>
          </w:tcPr>
          <w:p w14:paraId="5D0431FC" w14:textId="77777777" w:rsidR="00D91F90" w:rsidRPr="008E1E1A" w:rsidRDefault="00D91F90" w:rsidP="0068195B">
            <w:pPr>
              <w:spacing w:after="100" w:afterAutospacing="1"/>
              <w:jc w:val="center"/>
              <w:rPr>
                <w:rFonts w:ascii="Arial" w:eastAsia="SimSun" w:hAnsi="Arial" w:cs="Arial"/>
                <w:color w:val="FFFFFF" w:themeColor="background1"/>
                <w:kern w:val="3"/>
                <w:sz w:val="20"/>
                <w:szCs w:val="20"/>
                <w:lang w:eastAsia="zh-CN" w:bidi="hi-IN"/>
              </w:rPr>
            </w:pPr>
            <w:r>
              <w:rPr>
                <w:rFonts w:ascii="Arial" w:eastAsia="SimSun" w:hAnsi="Arial" w:cs="Arial"/>
                <w:color w:val="FFFFFF" w:themeColor="background1"/>
                <w:kern w:val="3"/>
                <w:sz w:val="20"/>
                <w:szCs w:val="20"/>
                <w:lang w:eastAsia="zh-CN" w:bidi="hi-IN"/>
              </w:rPr>
              <w:t>Valoración del riesgo</w:t>
            </w:r>
          </w:p>
        </w:tc>
        <w:tc>
          <w:tcPr>
            <w:tcW w:w="425" w:type="dxa"/>
            <w:vMerge w:val="restart"/>
            <w:shd w:val="clear" w:color="auto" w:fill="4D4D4D"/>
            <w:textDirection w:val="btLr"/>
          </w:tcPr>
          <w:p w14:paraId="04FE7CAC" w14:textId="77777777" w:rsidR="00D91F90" w:rsidRPr="008E1E1A" w:rsidRDefault="00D91F90" w:rsidP="0068195B">
            <w:pPr>
              <w:spacing w:after="100" w:afterAutospacing="1"/>
              <w:jc w:val="center"/>
              <w:rPr>
                <w:rFonts w:ascii="Arial" w:eastAsia="SimSun" w:hAnsi="Arial" w:cs="Arial"/>
                <w:color w:val="FFFFFF" w:themeColor="background1"/>
                <w:kern w:val="3"/>
                <w:sz w:val="20"/>
                <w:szCs w:val="20"/>
                <w:lang w:eastAsia="zh-CN" w:bidi="hi-IN"/>
              </w:rPr>
            </w:pPr>
            <w:r>
              <w:rPr>
                <w:rFonts w:ascii="Arial" w:eastAsia="SimSun" w:hAnsi="Arial" w:cs="Arial"/>
                <w:color w:val="FFFFFF" w:themeColor="background1"/>
                <w:kern w:val="3"/>
                <w:sz w:val="20"/>
                <w:szCs w:val="20"/>
                <w:lang w:eastAsia="zh-CN" w:bidi="hi-IN"/>
              </w:rPr>
              <w:t>Categoría</w:t>
            </w:r>
          </w:p>
        </w:tc>
        <w:tc>
          <w:tcPr>
            <w:tcW w:w="620" w:type="dxa"/>
            <w:vMerge w:val="restart"/>
            <w:shd w:val="clear" w:color="auto" w:fill="BFBFBF" w:themeFill="background1" w:themeFillShade="BF"/>
            <w:textDirection w:val="btLr"/>
          </w:tcPr>
          <w:p w14:paraId="32018A15"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Pr>
                <w:rFonts w:ascii="Arial" w:eastAsia="SimSun" w:hAnsi="Arial" w:cs="Arial"/>
                <w:b/>
                <w:kern w:val="3"/>
                <w:sz w:val="20"/>
                <w:szCs w:val="20"/>
                <w:lang w:eastAsia="zh-CN" w:bidi="hi-IN"/>
              </w:rPr>
              <w:t>¿A quién se le asigna?</w:t>
            </w:r>
          </w:p>
        </w:tc>
        <w:tc>
          <w:tcPr>
            <w:tcW w:w="1250" w:type="dxa"/>
            <w:vMerge w:val="restart"/>
            <w:shd w:val="clear" w:color="auto" w:fill="BFBFBF" w:themeFill="background1" w:themeFillShade="BF"/>
            <w:textDirection w:val="btLr"/>
          </w:tcPr>
          <w:p w14:paraId="001B18EE"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Pr>
                <w:rFonts w:ascii="Arial" w:eastAsia="SimSun" w:hAnsi="Arial" w:cs="Arial"/>
                <w:b/>
                <w:kern w:val="3"/>
                <w:sz w:val="20"/>
                <w:szCs w:val="20"/>
                <w:lang w:eastAsia="zh-CN" w:bidi="hi-IN"/>
              </w:rPr>
              <w:t>Tratamiento/Controles a ser implementados</w:t>
            </w:r>
          </w:p>
        </w:tc>
        <w:tc>
          <w:tcPr>
            <w:tcW w:w="1700" w:type="dxa"/>
            <w:gridSpan w:val="4"/>
            <w:shd w:val="clear" w:color="auto" w:fill="BFBFBF" w:themeFill="background1" w:themeFillShade="BF"/>
          </w:tcPr>
          <w:p w14:paraId="2A981903"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p w14:paraId="2804448F"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p w14:paraId="46C6FA37"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Pr>
                <w:rFonts w:ascii="Arial" w:eastAsia="SimSun" w:hAnsi="Arial" w:cs="Arial"/>
                <w:b/>
                <w:kern w:val="3"/>
                <w:sz w:val="20"/>
                <w:szCs w:val="20"/>
                <w:lang w:eastAsia="zh-CN" w:bidi="hi-IN"/>
              </w:rPr>
              <w:t>Impacto después del tratamiento</w:t>
            </w:r>
          </w:p>
        </w:tc>
        <w:tc>
          <w:tcPr>
            <w:tcW w:w="600" w:type="dxa"/>
            <w:vMerge w:val="restart"/>
            <w:shd w:val="clear" w:color="auto" w:fill="BFBFBF" w:themeFill="background1" w:themeFillShade="BF"/>
            <w:textDirection w:val="btLr"/>
          </w:tcPr>
          <w:p w14:paraId="5A79E8C5"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Pr>
                <w:rFonts w:ascii="Arial" w:eastAsia="SimSun" w:hAnsi="Arial" w:cs="Arial"/>
                <w:b/>
                <w:kern w:val="3"/>
                <w:sz w:val="20"/>
                <w:szCs w:val="20"/>
                <w:lang w:eastAsia="zh-CN" w:bidi="hi-IN"/>
              </w:rPr>
              <w:t>¿Afecta la ejecución del contrato?</w:t>
            </w:r>
          </w:p>
        </w:tc>
        <w:tc>
          <w:tcPr>
            <w:tcW w:w="900" w:type="dxa"/>
            <w:vMerge w:val="restart"/>
            <w:shd w:val="clear" w:color="auto" w:fill="BFBFBF" w:themeFill="background1" w:themeFillShade="BF"/>
            <w:textDirection w:val="btLr"/>
          </w:tcPr>
          <w:p w14:paraId="11E3B0C6"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Pr>
                <w:rFonts w:ascii="Arial" w:eastAsia="SimSun" w:hAnsi="Arial" w:cs="Arial"/>
                <w:b/>
                <w:kern w:val="3"/>
                <w:sz w:val="20"/>
                <w:szCs w:val="20"/>
                <w:lang w:eastAsia="zh-CN" w:bidi="hi-IN"/>
              </w:rPr>
              <w:t>Persona responsable por implementar el tratamiento</w:t>
            </w:r>
          </w:p>
        </w:tc>
        <w:tc>
          <w:tcPr>
            <w:tcW w:w="800" w:type="dxa"/>
            <w:vMerge w:val="restart"/>
            <w:shd w:val="clear" w:color="auto" w:fill="BFBFBF" w:themeFill="background1" w:themeFillShade="BF"/>
            <w:textDirection w:val="btLr"/>
          </w:tcPr>
          <w:p w14:paraId="67016249"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Pr>
                <w:rFonts w:ascii="Arial" w:eastAsia="SimSun" w:hAnsi="Arial" w:cs="Arial"/>
                <w:b/>
                <w:kern w:val="3"/>
                <w:sz w:val="20"/>
                <w:szCs w:val="20"/>
                <w:lang w:eastAsia="zh-CN" w:bidi="hi-IN"/>
              </w:rPr>
              <w:t>Fecha estimada en que se completa el tratamiento</w:t>
            </w:r>
          </w:p>
        </w:tc>
        <w:tc>
          <w:tcPr>
            <w:tcW w:w="1655" w:type="dxa"/>
            <w:gridSpan w:val="2"/>
            <w:shd w:val="clear" w:color="auto" w:fill="BFBFBF" w:themeFill="background1" w:themeFillShade="BF"/>
          </w:tcPr>
          <w:p w14:paraId="3B2479DD"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p w14:paraId="0163E9FB"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p w14:paraId="7113FBBA"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Pr>
                <w:rFonts w:ascii="Arial" w:eastAsia="SimSun" w:hAnsi="Arial" w:cs="Arial"/>
                <w:b/>
                <w:kern w:val="3"/>
                <w:sz w:val="20"/>
                <w:szCs w:val="20"/>
                <w:lang w:eastAsia="zh-CN" w:bidi="hi-IN"/>
              </w:rPr>
              <w:t>Monitoreo y revisión</w:t>
            </w:r>
          </w:p>
        </w:tc>
      </w:tr>
      <w:tr w:rsidR="001E546E" w:rsidRPr="00FF5BE9" w14:paraId="71808360" w14:textId="77777777" w:rsidTr="001653EA">
        <w:trPr>
          <w:cantSplit/>
          <w:trHeight w:val="2063"/>
          <w:tblHeader/>
        </w:trPr>
        <w:tc>
          <w:tcPr>
            <w:tcW w:w="425" w:type="dxa"/>
            <w:vMerge/>
            <w:shd w:val="clear" w:color="auto" w:fill="4D4D4D"/>
            <w:textDirection w:val="btLr"/>
          </w:tcPr>
          <w:p w14:paraId="553CC052"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600" w:type="dxa"/>
            <w:vMerge/>
            <w:shd w:val="clear" w:color="auto" w:fill="4D4D4D"/>
            <w:textDirection w:val="btLr"/>
          </w:tcPr>
          <w:p w14:paraId="16AAFC48"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560" w:type="dxa"/>
            <w:vMerge/>
            <w:shd w:val="clear" w:color="auto" w:fill="4D4D4D"/>
            <w:textDirection w:val="btLr"/>
          </w:tcPr>
          <w:p w14:paraId="389D1E9D"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640" w:type="dxa"/>
            <w:vMerge/>
            <w:shd w:val="clear" w:color="auto" w:fill="4D4D4D"/>
            <w:textDirection w:val="btLr"/>
          </w:tcPr>
          <w:p w14:paraId="7EAC394F"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760" w:type="dxa"/>
            <w:vMerge/>
            <w:shd w:val="clear" w:color="auto" w:fill="4D4D4D"/>
            <w:textDirection w:val="btLr"/>
          </w:tcPr>
          <w:p w14:paraId="301F8875"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1120" w:type="dxa"/>
            <w:vMerge/>
            <w:shd w:val="clear" w:color="auto" w:fill="4D4D4D"/>
            <w:textDirection w:val="btLr"/>
          </w:tcPr>
          <w:p w14:paraId="44C2B49D"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1070" w:type="dxa"/>
            <w:vMerge/>
            <w:shd w:val="clear" w:color="auto" w:fill="4D4D4D"/>
            <w:textDirection w:val="btLr"/>
          </w:tcPr>
          <w:p w14:paraId="7C97C924"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vMerge/>
            <w:shd w:val="clear" w:color="auto" w:fill="4D4D4D"/>
            <w:textDirection w:val="btLr"/>
          </w:tcPr>
          <w:p w14:paraId="660C6FAC"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vMerge/>
            <w:shd w:val="clear" w:color="auto" w:fill="4D4D4D"/>
            <w:textDirection w:val="btLr"/>
          </w:tcPr>
          <w:p w14:paraId="06251498"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vMerge/>
            <w:shd w:val="clear" w:color="auto" w:fill="4D4D4D"/>
            <w:textDirection w:val="btLr"/>
          </w:tcPr>
          <w:p w14:paraId="5793CF67"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vMerge/>
            <w:shd w:val="clear" w:color="auto" w:fill="4D4D4D"/>
            <w:textDirection w:val="btLr"/>
          </w:tcPr>
          <w:p w14:paraId="5C88877F"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620" w:type="dxa"/>
            <w:vMerge/>
            <w:shd w:val="clear" w:color="auto" w:fill="BFBFBF" w:themeFill="background1" w:themeFillShade="BF"/>
            <w:textDirection w:val="btLr"/>
          </w:tcPr>
          <w:p w14:paraId="7CC2EE3F"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1250" w:type="dxa"/>
            <w:vMerge/>
            <w:shd w:val="clear" w:color="auto" w:fill="BFBFBF" w:themeFill="background1" w:themeFillShade="BF"/>
            <w:textDirection w:val="btLr"/>
          </w:tcPr>
          <w:p w14:paraId="5D3AE24B"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425" w:type="dxa"/>
            <w:shd w:val="clear" w:color="auto" w:fill="BFBFBF" w:themeFill="background1" w:themeFillShade="BF"/>
            <w:textDirection w:val="btLr"/>
          </w:tcPr>
          <w:p w14:paraId="37083761"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Pr>
                <w:rFonts w:ascii="Arial" w:eastAsia="SimSun" w:hAnsi="Arial" w:cs="Arial"/>
                <w:b/>
                <w:kern w:val="3"/>
                <w:sz w:val="20"/>
                <w:szCs w:val="20"/>
                <w:lang w:eastAsia="zh-CN" w:bidi="hi-IN"/>
              </w:rPr>
              <w:t>Probabilidad</w:t>
            </w:r>
          </w:p>
        </w:tc>
        <w:tc>
          <w:tcPr>
            <w:tcW w:w="425" w:type="dxa"/>
            <w:shd w:val="clear" w:color="auto" w:fill="BFBFBF" w:themeFill="background1" w:themeFillShade="BF"/>
            <w:textDirection w:val="btLr"/>
          </w:tcPr>
          <w:p w14:paraId="51415FCD"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Pr>
                <w:rFonts w:ascii="Arial" w:eastAsia="SimSun" w:hAnsi="Arial" w:cs="Arial"/>
                <w:b/>
                <w:kern w:val="3"/>
                <w:sz w:val="20"/>
                <w:szCs w:val="20"/>
                <w:lang w:eastAsia="zh-CN" w:bidi="hi-IN"/>
              </w:rPr>
              <w:t>Impacto</w:t>
            </w:r>
          </w:p>
        </w:tc>
        <w:tc>
          <w:tcPr>
            <w:tcW w:w="425" w:type="dxa"/>
            <w:shd w:val="clear" w:color="auto" w:fill="BFBFBF" w:themeFill="background1" w:themeFillShade="BF"/>
            <w:textDirection w:val="btLr"/>
          </w:tcPr>
          <w:p w14:paraId="540513F6"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Pr>
                <w:rFonts w:ascii="Arial" w:eastAsia="SimSun" w:hAnsi="Arial" w:cs="Arial"/>
                <w:b/>
                <w:kern w:val="3"/>
                <w:sz w:val="20"/>
                <w:szCs w:val="20"/>
                <w:lang w:eastAsia="zh-CN" w:bidi="hi-IN"/>
              </w:rPr>
              <w:t>Valoración del Riesgo</w:t>
            </w:r>
          </w:p>
        </w:tc>
        <w:tc>
          <w:tcPr>
            <w:tcW w:w="425" w:type="dxa"/>
            <w:shd w:val="clear" w:color="auto" w:fill="BFBFBF" w:themeFill="background1" w:themeFillShade="BF"/>
            <w:textDirection w:val="btLr"/>
          </w:tcPr>
          <w:p w14:paraId="61DBB20F"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Pr>
                <w:rFonts w:ascii="Arial" w:eastAsia="SimSun" w:hAnsi="Arial" w:cs="Arial"/>
                <w:b/>
                <w:kern w:val="3"/>
                <w:sz w:val="20"/>
                <w:szCs w:val="20"/>
                <w:lang w:eastAsia="zh-CN" w:bidi="hi-IN"/>
              </w:rPr>
              <w:t>Categoría</w:t>
            </w:r>
          </w:p>
        </w:tc>
        <w:tc>
          <w:tcPr>
            <w:tcW w:w="600" w:type="dxa"/>
            <w:vMerge/>
            <w:shd w:val="clear" w:color="auto" w:fill="BFBFBF" w:themeFill="background1" w:themeFillShade="BF"/>
            <w:textDirection w:val="btLr"/>
          </w:tcPr>
          <w:p w14:paraId="444AE6A8"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900" w:type="dxa"/>
            <w:vMerge/>
            <w:shd w:val="clear" w:color="auto" w:fill="BFBFBF" w:themeFill="background1" w:themeFillShade="BF"/>
            <w:textDirection w:val="btLr"/>
          </w:tcPr>
          <w:p w14:paraId="087F8284"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800" w:type="dxa"/>
            <w:vMerge/>
            <w:shd w:val="clear" w:color="auto" w:fill="BFBFBF" w:themeFill="background1" w:themeFillShade="BF"/>
            <w:textDirection w:val="btLr"/>
          </w:tcPr>
          <w:p w14:paraId="1EBEC05F"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1000" w:type="dxa"/>
            <w:shd w:val="clear" w:color="auto" w:fill="BFBFBF" w:themeFill="background1" w:themeFillShade="BF"/>
            <w:textDirection w:val="btLr"/>
          </w:tcPr>
          <w:p w14:paraId="16E6BBC1"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Pr>
                <w:rFonts w:ascii="Arial" w:eastAsia="SimSun" w:hAnsi="Arial" w:cs="Arial"/>
                <w:b/>
                <w:kern w:val="3"/>
                <w:sz w:val="20"/>
                <w:szCs w:val="20"/>
                <w:lang w:eastAsia="zh-CN" w:bidi="hi-IN"/>
              </w:rPr>
              <w:t>¿Cómo se realiza el monitoreo?</w:t>
            </w:r>
          </w:p>
        </w:tc>
        <w:tc>
          <w:tcPr>
            <w:tcW w:w="655" w:type="dxa"/>
            <w:shd w:val="clear" w:color="auto" w:fill="BFBFBF" w:themeFill="background1" w:themeFillShade="BF"/>
            <w:textDirection w:val="btLr"/>
          </w:tcPr>
          <w:p w14:paraId="2CBD9A48"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Pr>
                <w:rFonts w:ascii="Arial" w:eastAsia="SimSun" w:hAnsi="Arial" w:cs="Arial"/>
                <w:b/>
                <w:kern w:val="3"/>
                <w:sz w:val="20"/>
                <w:szCs w:val="20"/>
                <w:lang w:eastAsia="zh-CN" w:bidi="hi-IN"/>
              </w:rPr>
              <w:t>Periodicidad</w:t>
            </w:r>
          </w:p>
          <w:p w14:paraId="00D4745B"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Pr>
                <w:rFonts w:ascii="Arial" w:eastAsia="SimSun" w:hAnsi="Arial" w:cs="Arial"/>
                <w:b/>
                <w:kern w:val="3"/>
                <w:sz w:val="20"/>
                <w:szCs w:val="20"/>
                <w:lang w:eastAsia="zh-CN" w:bidi="hi-IN"/>
              </w:rPr>
              <w:t>¿Cuándo?</w:t>
            </w:r>
          </w:p>
        </w:tc>
      </w:tr>
      <w:tr w:rsidR="001E546E" w:rsidRPr="00FF5BE9" w14:paraId="2676450E" w14:textId="77777777" w:rsidTr="001653EA">
        <w:trPr>
          <w:cantSplit/>
          <w:trHeight w:val="466"/>
        </w:trPr>
        <w:tc>
          <w:tcPr>
            <w:tcW w:w="425" w:type="dxa"/>
            <w:shd w:val="clear" w:color="auto" w:fill="auto"/>
            <w:tcMar>
              <w:left w:w="45" w:type="dxa"/>
              <w:right w:w="45" w:type="dxa"/>
            </w:tcMar>
            <w:vAlign w:val="center"/>
          </w:tcPr>
          <w:p w14:paraId="6A3CDC2E"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1</w:t>
            </w:r>
          </w:p>
        </w:tc>
        <w:tc>
          <w:tcPr>
            <w:tcW w:w="600" w:type="dxa"/>
            <w:shd w:val="clear" w:color="auto" w:fill="auto"/>
            <w:tcMar>
              <w:left w:w="45" w:type="dxa"/>
              <w:right w:w="45" w:type="dxa"/>
            </w:tcMar>
            <w:vAlign w:val="center"/>
          </w:tcPr>
          <w:p w14:paraId="3BD7C214"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General</w:t>
            </w:r>
          </w:p>
        </w:tc>
        <w:tc>
          <w:tcPr>
            <w:tcW w:w="560" w:type="dxa"/>
            <w:shd w:val="clear" w:color="auto" w:fill="auto"/>
            <w:tcMar>
              <w:left w:w="45" w:type="dxa"/>
              <w:right w:w="45" w:type="dxa"/>
            </w:tcMar>
            <w:vAlign w:val="center"/>
          </w:tcPr>
          <w:p w14:paraId="5F3D4C49"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Interno</w:t>
            </w:r>
          </w:p>
        </w:tc>
        <w:tc>
          <w:tcPr>
            <w:tcW w:w="640" w:type="dxa"/>
            <w:shd w:val="clear" w:color="auto" w:fill="auto"/>
            <w:tcMar>
              <w:left w:w="45" w:type="dxa"/>
              <w:right w:w="45" w:type="dxa"/>
            </w:tcMar>
            <w:vAlign w:val="center"/>
          </w:tcPr>
          <w:p w14:paraId="4DA47040"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Selección / Contratación</w:t>
            </w:r>
          </w:p>
        </w:tc>
        <w:tc>
          <w:tcPr>
            <w:tcW w:w="760" w:type="dxa"/>
            <w:shd w:val="clear" w:color="auto" w:fill="auto"/>
            <w:tcMar>
              <w:left w:w="45" w:type="dxa"/>
              <w:right w:w="45" w:type="dxa"/>
            </w:tcMar>
            <w:vAlign w:val="center"/>
          </w:tcPr>
          <w:p w14:paraId="38731806"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Operacional / Calendario</w:t>
            </w:r>
          </w:p>
        </w:tc>
        <w:tc>
          <w:tcPr>
            <w:tcW w:w="1120" w:type="dxa"/>
            <w:shd w:val="clear" w:color="auto" w:fill="auto"/>
            <w:tcMar>
              <w:left w:w="45" w:type="dxa"/>
              <w:right w:w="45" w:type="dxa"/>
            </w:tcMar>
            <w:vAlign w:val="center"/>
          </w:tcPr>
          <w:p w14:paraId="326D70AD"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Retrasos en la suscripción del acta de inicio por demora del contratista en la entrega de pólizas, afiliación de cuadrillas a seguridad social integral o designación del personal operativo y técnico.</w:t>
            </w:r>
          </w:p>
        </w:tc>
        <w:tc>
          <w:tcPr>
            <w:tcW w:w="1070" w:type="dxa"/>
            <w:shd w:val="clear" w:color="auto" w:fill="auto"/>
            <w:tcMar>
              <w:left w:w="45" w:type="dxa"/>
              <w:right w:w="45" w:type="dxa"/>
            </w:tcMar>
            <w:vAlign w:val="center"/>
          </w:tcPr>
          <w:p w14:paraId="2B88762A"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Desfase del cronograma inicial en la ruta crítica de 45 días calendario y aplazamiento del inicio de obras de cerramiento.</w:t>
            </w:r>
          </w:p>
        </w:tc>
        <w:tc>
          <w:tcPr>
            <w:tcW w:w="425" w:type="dxa"/>
            <w:shd w:val="clear" w:color="auto" w:fill="auto"/>
            <w:tcMar>
              <w:left w:w="45" w:type="dxa"/>
              <w:right w:w="45" w:type="dxa"/>
            </w:tcMar>
            <w:vAlign w:val="center"/>
          </w:tcPr>
          <w:p w14:paraId="2D29F084"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3</w:t>
            </w:r>
          </w:p>
        </w:tc>
        <w:tc>
          <w:tcPr>
            <w:tcW w:w="425" w:type="dxa"/>
            <w:shd w:val="clear" w:color="auto" w:fill="auto"/>
            <w:tcMar>
              <w:left w:w="45" w:type="dxa"/>
              <w:right w:w="45" w:type="dxa"/>
            </w:tcMar>
            <w:vAlign w:val="center"/>
          </w:tcPr>
          <w:p w14:paraId="3CFCC7D4"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3</w:t>
            </w:r>
          </w:p>
        </w:tc>
        <w:tc>
          <w:tcPr>
            <w:tcW w:w="425" w:type="dxa"/>
            <w:shd w:val="clear" w:color="auto" w:fill="auto"/>
            <w:tcMar>
              <w:left w:w="45" w:type="dxa"/>
              <w:right w:w="45" w:type="dxa"/>
            </w:tcMar>
            <w:vAlign w:val="center"/>
          </w:tcPr>
          <w:p w14:paraId="488ADB9E"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6</w:t>
            </w:r>
          </w:p>
        </w:tc>
        <w:tc>
          <w:tcPr>
            <w:tcW w:w="425" w:type="dxa"/>
            <w:shd w:val="clear" w:color="auto" w:fill="auto"/>
            <w:tcMar>
              <w:left w:w="45" w:type="dxa"/>
              <w:right w:w="45" w:type="dxa"/>
            </w:tcMar>
            <w:vAlign w:val="center"/>
          </w:tcPr>
          <w:p w14:paraId="121820CE"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Medio</w:t>
            </w:r>
          </w:p>
        </w:tc>
        <w:tc>
          <w:tcPr>
            <w:tcW w:w="620" w:type="dxa"/>
            <w:shd w:val="clear" w:color="auto" w:fill="auto"/>
            <w:tcMar>
              <w:left w:w="45" w:type="dxa"/>
              <w:right w:w="45" w:type="dxa"/>
            </w:tcMar>
            <w:vAlign w:val="center"/>
          </w:tcPr>
          <w:p w14:paraId="42AF4199"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Contratista</w:t>
            </w:r>
          </w:p>
        </w:tc>
        <w:tc>
          <w:tcPr>
            <w:tcW w:w="1250" w:type="dxa"/>
            <w:shd w:val="clear" w:color="auto" w:fill="auto"/>
            <w:tcMar>
              <w:left w:w="45" w:type="dxa"/>
              <w:right w:w="45" w:type="dxa"/>
            </w:tcMar>
            <w:vAlign w:val="center"/>
          </w:tcPr>
          <w:p w14:paraId="58745E5A"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Gestión inmediata y previa de pólizas contractuales; presentación obligatoria de planillas de afiliación a ARL, EPS y AFP al momento de suscribir el acta de inicio.</w:t>
            </w:r>
          </w:p>
        </w:tc>
        <w:tc>
          <w:tcPr>
            <w:tcW w:w="425" w:type="dxa"/>
            <w:shd w:val="clear" w:color="auto" w:fill="auto"/>
            <w:tcMar>
              <w:left w:w="45" w:type="dxa"/>
              <w:right w:w="45" w:type="dxa"/>
            </w:tcMar>
            <w:vAlign w:val="center"/>
          </w:tcPr>
          <w:p w14:paraId="03547F63"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1</w:t>
            </w:r>
          </w:p>
        </w:tc>
        <w:tc>
          <w:tcPr>
            <w:tcW w:w="425" w:type="dxa"/>
            <w:shd w:val="clear" w:color="auto" w:fill="auto"/>
            <w:tcMar>
              <w:left w:w="45" w:type="dxa"/>
              <w:right w:w="45" w:type="dxa"/>
            </w:tcMar>
            <w:vAlign w:val="center"/>
          </w:tcPr>
          <w:p w14:paraId="5BA7A087"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2</w:t>
            </w:r>
          </w:p>
        </w:tc>
        <w:tc>
          <w:tcPr>
            <w:tcW w:w="425" w:type="dxa"/>
            <w:shd w:val="clear" w:color="auto" w:fill="auto"/>
            <w:tcMar>
              <w:left w:w="45" w:type="dxa"/>
              <w:right w:w="45" w:type="dxa"/>
            </w:tcMar>
            <w:vAlign w:val="center"/>
          </w:tcPr>
          <w:p w14:paraId="48C6314A"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3</w:t>
            </w:r>
          </w:p>
        </w:tc>
        <w:tc>
          <w:tcPr>
            <w:tcW w:w="425" w:type="dxa"/>
            <w:shd w:val="clear" w:color="auto" w:fill="auto"/>
            <w:tcMar>
              <w:left w:w="45" w:type="dxa"/>
              <w:right w:w="45" w:type="dxa"/>
            </w:tcMar>
            <w:vAlign w:val="center"/>
          </w:tcPr>
          <w:p w14:paraId="765DB0FB"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Bajo</w:t>
            </w:r>
          </w:p>
        </w:tc>
        <w:tc>
          <w:tcPr>
            <w:tcW w:w="600" w:type="dxa"/>
            <w:shd w:val="clear" w:color="auto" w:fill="auto"/>
            <w:tcMar>
              <w:left w:w="45" w:type="dxa"/>
              <w:right w:w="45" w:type="dxa"/>
            </w:tcMar>
            <w:vAlign w:val="center"/>
          </w:tcPr>
          <w:p w14:paraId="035B89DE"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Sí</w:t>
            </w:r>
          </w:p>
        </w:tc>
        <w:tc>
          <w:tcPr>
            <w:tcW w:w="900" w:type="dxa"/>
            <w:shd w:val="clear" w:color="auto" w:fill="auto"/>
            <w:tcMar>
              <w:left w:w="45" w:type="dxa"/>
              <w:right w:w="45" w:type="dxa"/>
            </w:tcMar>
            <w:vAlign w:val="center"/>
          </w:tcPr>
          <w:p w14:paraId="69C4C6B6"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Contratista y Supervisor del Contrato</w:t>
            </w:r>
          </w:p>
        </w:tc>
        <w:tc>
          <w:tcPr>
            <w:tcW w:w="800" w:type="dxa"/>
            <w:shd w:val="clear" w:color="auto" w:fill="auto"/>
            <w:tcMar>
              <w:left w:w="45" w:type="dxa"/>
              <w:right w:w="45" w:type="dxa"/>
            </w:tcMar>
            <w:vAlign w:val="center"/>
          </w:tcPr>
          <w:p w14:paraId="3D0835BE"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Al suscribir el acta de inicio (dentro de los 3 días hábiles siguientes al RP)</w:t>
            </w:r>
          </w:p>
        </w:tc>
        <w:tc>
          <w:tcPr>
            <w:tcW w:w="1000" w:type="dxa"/>
            <w:shd w:val="clear" w:color="auto" w:fill="auto"/>
            <w:tcMar>
              <w:left w:w="45" w:type="dxa"/>
              <w:right w:w="45" w:type="dxa"/>
            </w:tcMar>
            <w:vAlign w:val="center"/>
          </w:tcPr>
          <w:p w14:paraId="7F029D00"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Verificación de la expedición oportuna del RP, pólizas aprobadas y planillas PILA del personal.</w:t>
            </w:r>
          </w:p>
        </w:tc>
        <w:tc>
          <w:tcPr>
            <w:tcW w:w="655" w:type="dxa"/>
            <w:shd w:val="clear" w:color="auto" w:fill="auto"/>
            <w:tcMar>
              <w:left w:w="45" w:type="dxa"/>
              <w:right w:w="45" w:type="dxa"/>
            </w:tcMar>
            <w:vAlign w:val="center"/>
          </w:tcPr>
          <w:p w14:paraId="224E072E"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Al inicio del contrato</w:t>
            </w:r>
          </w:p>
        </w:tc>
      </w:tr>
      <w:tr w:rsidR="001E546E" w:rsidRPr="00FF5BE9" w14:paraId="3AE67D46" w14:textId="77777777" w:rsidTr="001653EA">
        <w:trPr>
          <w:cantSplit/>
          <w:trHeight w:val="466"/>
        </w:trPr>
        <w:tc>
          <w:tcPr>
            <w:tcW w:w="425" w:type="dxa"/>
            <w:shd w:val="clear" w:color="auto" w:fill="auto"/>
            <w:tcMar>
              <w:left w:w="45" w:type="dxa"/>
              <w:right w:w="45" w:type="dxa"/>
            </w:tcMar>
            <w:vAlign w:val="center"/>
          </w:tcPr>
          <w:p w14:paraId="2243FFA8"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2</w:t>
            </w:r>
          </w:p>
        </w:tc>
        <w:tc>
          <w:tcPr>
            <w:tcW w:w="600" w:type="dxa"/>
            <w:shd w:val="clear" w:color="auto" w:fill="auto"/>
            <w:tcMar>
              <w:left w:w="45" w:type="dxa"/>
              <w:right w:w="45" w:type="dxa"/>
            </w:tcMar>
            <w:vAlign w:val="center"/>
          </w:tcPr>
          <w:p w14:paraId="25B39425"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Específico</w:t>
            </w:r>
          </w:p>
        </w:tc>
        <w:tc>
          <w:tcPr>
            <w:tcW w:w="560" w:type="dxa"/>
            <w:shd w:val="clear" w:color="auto" w:fill="auto"/>
            <w:tcMar>
              <w:left w:w="45" w:type="dxa"/>
              <w:right w:w="45" w:type="dxa"/>
            </w:tcMar>
            <w:vAlign w:val="center"/>
          </w:tcPr>
          <w:p w14:paraId="7547072F"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Interno</w:t>
            </w:r>
          </w:p>
        </w:tc>
        <w:tc>
          <w:tcPr>
            <w:tcW w:w="640" w:type="dxa"/>
            <w:shd w:val="clear" w:color="auto" w:fill="auto"/>
            <w:tcMar>
              <w:left w:w="45" w:type="dxa"/>
              <w:right w:w="45" w:type="dxa"/>
            </w:tcMar>
            <w:vAlign w:val="center"/>
          </w:tcPr>
          <w:p w14:paraId="40EB9BAC"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Ejecución</w:t>
            </w:r>
          </w:p>
        </w:tc>
        <w:tc>
          <w:tcPr>
            <w:tcW w:w="760" w:type="dxa"/>
            <w:shd w:val="clear" w:color="auto" w:fill="auto"/>
            <w:tcMar>
              <w:left w:w="45" w:type="dxa"/>
              <w:right w:w="45" w:type="dxa"/>
            </w:tcMar>
            <w:vAlign w:val="center"/>
          </w:tcPr>
          <w:p w14:paraId="29BFEA3B"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Operacional / Rendimiento</w:t>
            </w:r>
          </w:p>
        </w:tc>
        <w:tc>
          <w:tcPr>
            <w:tcW w:w="1120" w:type="dxa"/>
            <w:shd w:val="clear" w:color="auto" w:fill="auto"/>
            <w:tcMar>
              <w:left w:w="45" w:type="dxa"/>
              <w:right w:w="45" w:type="dxa"/>
            </w:tcMar>
            <w:vAlign w:val="center"/>
          </w:tcPr>
          <w:p w14:paraId="42899D9E"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Rendimiento insuficiente de mano de obra en demoliciones (56,50 m² de muro y 14,40 m² de andén), excavación manual de zanja (19,80 ml x 0,40 x 0,40 m) y retiro inmediato de escombros.</w:t>
            </w:r>
          </w:p>
        </w:tc>
        <w:tc>
          <w:tcPr>
            <w:tcW w:w="1070" w:type="dxa"/>
            <w:shd w:val="clear" w:color="auto" w:fill="auto"/>
            <w:tcMar>
              <w:left w:w="45" w:type="dxa"/>
              <w:right w:w="45" w:type="dxa"/>
            </w:tcMar>
            <w:vAlign w:val="center"/>
          </w:tcPr>
          <w:p w14:paraId="34709B7A"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Acumulación de escombros en vía pública (Carrera 5), retraso en el inicio de la cimentación e incumplimiento del Hito 1 de obra.</w:t>
            </w:r>
          </w:p>
        </w:tc>
        <w:tc>
          <w:tcPr>
            <w:tcW w:w="425" w:type="dxa"/>
            <w:shd w:val="clear" w:color="auto" w:fill="auto"/>
            <w:tcMar>
              <w:left w:w="45" w:type="dxa"/>
              <w:right w:w="45" w:type="dxa"/>
            </w:tcMar>
            <w:vAlign w:val="center"/>
          </w:tcPr>
          <w:p w14:paraId="5F09726E"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3</w:t>
            </w:r>
          </w:p>
        </w:tc>
        <w:tc>
          <w:tcPr>
            <w:tcW w:w="425" w:type="dxa"/>
            <w:shd w:val="clear" w:color="auto" w:fill="auto"/>
            <w:tcMar>
              <w:left w:w="45" w:type="dxa"/>
              <w:right w:w="45" w:type="dxa"/>
            </w:tcMar>
            <w:vAlign w:val="center"/>
          </w:tcPr>
          <w:p w14:paraId="0877E15F"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4</w:t>
            </w:r>
          </w:p>
        </w:tc>
        <w:tc>
          <w:tcPr>
            <w:tcW w:w="425" w:type="dxa"/>
            <w:shd w:val="clear" w:color="auto" w:fill="auto"/>
            <w:tcMar>
              <w:left w:w="45" w:type="dxa"/>
              <w:right w:w="45" w:type="dxa"/>
            </w:tcMar>
            <w:vAlign w:val="center"/>
          </w:tcPr>
          <w:p w14:paraId="7A0DB334"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7</w:t>
            </w:r>
          </w:p>
        </w:tc>
        <w:tc>
          <w:tcPr>
            <w:tcW w:w="425" w:type="dxa"/>
            <w:shd w:val="clear" w:color="auto" w:fill="auto"/>
            <w:tcMar>
              <w:left w:w="45" w:type="dxa"/>
              <w:right w:w="45" w:type="dxa"/>
            </w:tcMar>
            <w:vAlign w:val="center"/>
          </w:tcPr>
          <w:p w14:paraId="7AA0CCD8"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Medio</w:t>
            </w:r>
          </w:p>
        </w:tc>
        <w:tc>
          <w:tcPr>
            <w:tcW w:w="620" w:type="dxa"/>
            <w:shd w:val="clear" w:color="auto" w:fill="auto"/>
            <w:tcMar>
              <w:left w:w="45" w:type="dxa"/>
              <w:right w:w="45" w:type="dxa"/>
            </w:tcMar>
            <w:vAlign w:val="center"/>
          </w:tcPr>
          <w:p w14:paraId="05DF7D86"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Contratista</w:t>
            </w:r>
          </w:p>
        </w:tc>
        <w:tc>
          <w:tcPr>
            <w:tcW w:w="1250" w:type="dxa"/>
            <w:shd w:val="clear" w:color="auto" w:fill="auto"/>
            <w:tcMar>
              <w:left w:w="45" w:type="dxa"/>
              <w:right w:w="45" w:type="dxa"/>
            </w:tcMar>
            <w:vAlign w:val="center"/>
          </w:tcPr>
          <w:p w14:paraId="69DF2551"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Disposición de cuadrilla completa dedicada (oficial y ayudantes), retiro diario de escombros en volquetas carpadas a escombrera autorizada por CORPAMAG en menos de 24 horas.</w:t>
            </w:r>
          </w:p>
        </w:tc>
        <w:tc>
          <w:tcPr>
            <w:tcW w:w="425" w:type="dxa"/>
            <w:shd w:val="clear" w:color="auto" w:fill="auto"/>
            <w:tcMar>
              <w:left w:w="45" w:type="dxa"/>
              <w:right w:w="45" w:type="dxa"/>
            </w:tcMar>
            <w:vAlign w:val="center"/>
          </w:tcPr>
          <w:p w14:paraId="30A771A3"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1</w:t>
            </w:r>
          </w:p>
        </w:tc>
        <w:tc>
          <w:tcPr>
            <w:tcW w:w="425" w:type="dxa"/>
            <w:shd w:val="clear" w:color="auto" w:fill="auto"/>
            <w:tcMar>
              <w:left w:w="45" w:type="dxa"/>
              <w:right w:w="45" w:type="dxa"/>
            </w:tcMar>
            <w:vAlign w:val="center"/>
          </w:tcPr>
          <w:p w14:paraId="22BF528F"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2</w:t>
            </w:r>
          </w:p>
        </w:tc>
        <w:tc>
          <w:tcPr>
            <w:tcW w:w="425" w:type="dxa"/>
            <w:shd w:val="clear" w:color="auto" w:fill="auto"/>
            <w:tcMar>
              <w:left w:w="45" w:type="dxa"/>
              <w:right w:w="45" w:type="dxa"/>
            </w:tcMar>
            <w:vAlign w:val="center"/>
          </w:tcPr>
          <w:p w14:paraId="20CEF159"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3</w:t>
            </w:r>
          </w:p>
        </w:tc>
        <w:tc>
          <w:tcPr>
            <w:tcW w:w="425" w:type="dxa"/>
            <w:shd w:val="clear" w:color="auto" w:fill="auto"/>
            <w:tcMar>
              <w:left w:w="45" w:type="dxa"/>
              <w:right w:w="45" w:type="dxa"/>
            </w:tcMar>
            <w:vAlign w:val="center"/>
          </w:tcPr>
          <w:p w14:paraId="3E0D9C0E"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Bajo</w:t>
            </w:r>
          </w:p>
        </w:tc>
        <w:tc>
          <w:tcPr>
            <w:tcW w:w="600" w:type="dxa"/>
            <w:shd w:val="clear" w:color="auto" w:fill="auto"/>
            <w:tcMar>
              <w:left w:w="45" w:type="dxa"/>
              <w:right w:w="45" w:type="dxa"/>
            </w:tcMar>
            <w:vAlign w:val="center"/>
          </w:tcPr>
          <w:p w14:paraId="2B288BD2"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Sí</w:t>
            </w:r>
          </w:p>
        </w:tc>
        <w:tc>
          <w:tcPr>
            <w:tcW w:w="900" w:type="dxa"/>
            <w:shd w:val="clear" w:color="auto" w:fill="auto"/>
            <w:tcMar>
              <w:left w:w="45" w:type="dxa"/>
              <w:right w:w="45" w:type="dxa"/>
            </w:tcMar>
            <w:vAlign w:val="center"/>
          </w:tcPr>
          <w:p w14:paraId="4D88BCBF"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Contratista / Supervisión Municipal</w:t>
            </w:r>
          </w:p>
        </w:tc>
        <w:tc>
          <w:tcPr>
            <w:tcW w:w="800" w:type="dxa"/>
            <w:shd w:val="clear" w:color="auto" w:fill="auto"/>
            <w:tcMar>
              <w:left w:w="45" w:type="dxa"/>
              <w:right w:w="45" w:type="dxa"/>
            </w:tcMar>
            <w:vAlign w:val="center"/>
          </w:tcPr>
          <w:p w14:paraId="11BDD3D7"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Durante la ejecución de los preliminares y demoliciones (Días 1 al 8)</w:t>
            </w:r>
          </w:p>
        </w:tc>
        <w:tc>
          <w:tcPr>
            <w:tcW w:w="1000" w:type="dxa"/>
            <w:shd w:val="clear" w:color="auto" w:fill="auto"/>
            <w:tcMar>
              <w:left w:w="45" w:type="dxa"/>
              <w:right w:w="45" w:type="dxa"/>
            </w:tcMar>
            <w:vAlign w:val="center"/>
          </w:tcPr>
          <w:p w14:paraId="3A749A86"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Inspección visual diaria en el frente de obra, revisión de la bitácora y comprobantes de disposición de RCD.</w:t>
            </w:r>
          </w:p>
        </w:tc>
        <w:tc>
          <w:tcPr>
            <w:tcW w:w="655" w:type="dxa"/>
            <w:shd w:val="clear" w:color="auto" w:fill="auto"/>
            <w:tcMar>
              <w:left w:w="45" w:type="dxa"/>
              <w:right w:w="45" w:type="dxa"/>
            </w:tcMar>
            <w:vAlign w:val="center"/>
          </w:tcPr>
          <w:p w14:paraId="2658E218"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Diario / Semanal</w:t>
            </w:r>
          </w:p>
        </w:tc>
      </w:tr>
      <w:tr w:rsidR="001E546E" w:rsidRPr="00FF5BE9" w14:paraId="523A950B" w14:textId="77777777" w:rsidTr="001653EA">
        <w:trPr>
          <w:cantSplit/>
          <w:trHeight w:val="466"/>
        </w:trPr>
        <w:tc>
          <w:tcPr>
            <w:tcW w:w="425" w:type="dxa"/>
            <w:shd w:val="clear" w:color="auto" w:fill="auto"/>
            <w:tcMar>
              <w:left w:w="45" w:type="dxa"/>
              <w:right w:w="45" w:type="dxa"/>
            </w:tcMar>
            <w:vAlign w:val="center"/>
          </w:tcPr>
          <w:p w14:paraId="3760B601"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lastRenderedPageBreak/>
              <w:t>3</w:t>
            </w:r>
          </w:p>
        </w:tc>
        <w:tc>
          <w:tcPr>
            <w:tcW w:w="600" w:type="dxa"/>
            <w:shd w:val="clear" w:color="auto" w:fill="auto"/>
            <w:tcMar>
              <w:left w:w="45" w:type="dxa"/>
              <w:right w:w="45" w:type="dxa"/>
            </w:tcMar>
            <w:vAlign w:val="center"/>
          </w:tcPr>
          <w:p w14:paraId="14331A75"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Específico</w:t>
            </w:r>
          </w:p>
        </w:tc>
        <w:tc>
          <w:tcPr>
            <w:tcW w:w="560" w:type="dxa"/>
            <w:shd w:val="clear" w:color="auto" w:fill="auto"/>
            <w:tcMar>
              <w:left w:w="45" w:type="dxa"/>
              <w:right w:w="45" w:type="dxa"/>
            </w:tcMar>
            <w:vAlign w:val="center"/>
          </w:tcPr>
          <w:p w14:paraId="078AC908"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Interno</w:t>
            </w:r>
          </w:p>
        </w:tc>
        <w:tc>
          <w:tcPr>
            <w:tcW w:w="640" w:type="dxa"/>
            <w:shd w:val="clear" w:color="auto" w:fill="auto"/>
            <w:tcMar>
              <w:left w:w="45" w:type="dxa"/>
              <w:right w:w="45" w:type="dxa"/>
            </w:tcMar>
            <w:vAlign w:val="center"/>
          </w:tcPr>
          <w:p w14:paraId="724EF92B"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Ejecución</w:t>
            </w:r>
          </w:p>
        </w:tc>
        <w:tc>
          <w:tcPr>
            <w:tcW w:w="760" w:type="dxa"/>
            <w:shd w:val="clear" w:color="auto" w:fill="auto"/>
            <w:tcMar>
              <w:left w:w="45" w:type="dxa"/>
              <w:right w:w="45" w:type="dxa"/>
            </w:tcMar>
            <w:vAlign w:val="center"/>
          </w:tcPr>
          <w:p w14:paraId="5AB9C87A"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Técnico / Calidad</w:t>
            </w:r>
          </w:p>
        </w:tc>
        <w:tc>
          <w:tcPr>
            <w:tcW w:w="1120" w:type="dxa"/>
            <w:shd w:val="clear" w:color="auto" w:fill="auto"/>
            <w:tcMar>
              <w:left w:w="45" w:type="dxa"/>
              <w:right w:w="45" w:type="dxa"/>
            </w:tcMar>
            <w:vAlign w:val="center"/>
          </w:tcPr>
          <w:p w14:paraId="244CD2DA"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Inadecuada calidad técnica de materiales o mezclas en sitio: concreto estructural f'c &lt; 21 MPa (3.000 PSI) en viga (25x25), columnetas (20x12) y viguetas (12x20), o bloques sin resistencia de 13 MPa.</w:t>
            </w:r>
          </w:p>
        </w:tc>
        <w:tc>
          <w:tcPr>
            <w:tcW w:w="1070" w:type="dxa"/>
            <w:shd w:val="clear" w:color="auto" w:fill="auto"/>
            <w:tcMar>
              <w:left w:w="45" w:type="dxa"/>
              <w:right w:w="45" w:type="dxa"/>
            </w:tcMar>
            <w:vAlign w:val="center"/>
          </w:tcPr>
          <w:p w14:paraId="3241C991"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Deficiencias estructurales en el confinamiento del cerramiento, fisuración prematura, rechazo de ítems por supervisión y reprocesos constructivos.</w:t>
            </w:r>
          </w:p>
        </w:tc>
        <w:tc>
          <w:tcPr>
            <w:tcW w:w="425" w:type="dxa"/>
            <w:shd w:val="clear" w:color="auto" w:fill="auto"/>
            <w:tcMar>
              <w:left w:w="45" w:type="dxa"/>
              <w:right w:w="45" w:type="dxa"/>
            </w:tcMar>
            <w:vAlign w:val="center"/>
          </w:tcPr>
          <w:p w14:paraId="20DE8762"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2</w:t>
            </w:r>
          </w:p>
        </w:tc>
        <w:tc>
          <w:tcPr>
            <w:tcW w:w="425" w:type="dxa"/>
            <w:shd w:val="clear" w:color="auto" w:fill="auto"/>
            <w:tcMar>
              <w:left w:w="45" w:type="dxa"/>
              <w:right w:w="45" w:type="dxa"/>
            </w:tcMar>
            <w:vAlign w:val="center"/>
          </w:tcPr>
          <w:p w14:paraId="13FC8DED"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4</w:t>
            </w:r>
          </w:p>
        </w:tc>
        <w:tc>
          <w:tcPr>
            <w:tcW w:w="425" w:type="dxa"/>
            <w:shd w:val="clear" w:color="auto" w:fill="auto"/>
            <w:tcMar>
              <w:left w:w="45" w:type="dxa"/>
              <w:right w:w="45" w:type="dxa"/>
            </w:tcMar>
            <w:vAlign w:val="center"/>
          </w:tcPr>
          <w:p w14:paraId="5ADD6FF9"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6</w:t>
            </w:r>
          </w:p>
        </w:tc>
        <w:tc>
          <w:tcPr>
            <w:tcW w:w="425" w:type="dxa"/>
            <w:shd w:val="clear" w:color="auto" w:fill="auto"/>
            <w:tcMar>
              <w:left w:w="45" w:type="dxa"/>
              <w:right w:w="45" w:type="dxa"/>
            </w:tcMar>
            <w:vAlign w:val="center"/>
          </w:tcPr>
          <w:p w14:paraId="7C1D8A1B"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Medio</w:t>
            </w:r>
          </w:p>
        </w:tc>
        <w:tc>
          <w:tcPr>
            <w:tcW w:w="620" w:type="dxa"/>
            <w:shd w:val="clear" w:color="auto" w:fill="auto"/>
            <w:tcMar>
              <w:left w:w="45" w:type="dxa"/>
              <w:right w:w="45" w:type="dxa"/>
            </w:tcMar>
            <w:vAlign w:val="center"/>
          </w:tcPr>
          <w:p w14:paraId="1448282B"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Contratista</w:t>
            </w:r>
          </w:p>
        </w:tc>
        <w:tc>
          <w:tcPr>
            <w:tcW w:w="1250" w:type="dxa"/>
            <w:shd w:val="clear" w:color="auto" w:fill="auto"/>
            <w:tcMar>
              <w:left w:w="45" w:type="dxa"/>
              <w:right w:w="45" w:type="dxa"/>
            </w:tcMar>
            <w:vAlign w:val="center"/>
          </w:tcPr>
          <w:p w14:paraId="2F39C4ED"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Exigencia de certificados de calidad de fábrica del bloque de cemento (13 MPa) y acero figurado Grado 60; toma de testigos cilíndricos de concreto para ensayo a compresión (NSR-10) y curado continuo.</w:t>
            </w:r>
          </w:p>
        </w:tc>
        <w:tc>
          <w:tcPr>
            <w:tcW w:w="425" w:type="dxa"/>
            <w:shd w:val="clear" w:color="auto" w:fill="auto"/>
            <w:tcMar>
              <w:left w:w="45" w:type="dxa"/>
              <w:right w:w="45" w:type="dxa"/>
            </w:tcMar>
            <w:vAlign w:val="center"/>
          </w:tcPr>
          <w:p w14:paraId="564480A1"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1</w:t>
            </w:r>
          </w:p>
        </w:tc>
        <w:tc>
          <w:tcPr>
            <w:tcW w:w="425" w:type="dxa"/>
            <w:shd w:val="clear" w:color="auto" w:fill="auto"/>
            <w:tcMar>
              <w:left w:w="45" w:type="dxa"/>
              <w:right w:w="45" w:type="dxa"/>
            </w:tcMar>
            <w:vAlign w:val="center"/>
          </w:tcPr>
          <w:p w14:paraId="1D0773BC"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2</w:t>
            </w:r>
          </w:p>
        </w:tc>
        <w:tc>
          <w:tcPr>
            <w:tcW w:w="425" w:type="dxa"/>
            <w:shd w:val="clear" w:color="auto" w:fill="auto"/>
            <w:tcMar>
              <w:left w:w="45" w:type="dxa"/>
              <w:right w:w="45" w:type="dxa"/>
            </w:tcMar>
            <w:vAlign w:val="center"/>
          </w:tcPr>
          <w:p w14:paraId="41EFC591"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3</w:t>
            </w:r>
          </w:p>
        </w:tc>
        <w:tc>
          <w:tcPr>
            <w:tcW w:w="425" w:type="dxa"/>
            <w:shd w:val="clear" w:color="auto" w:fill="auto"/>
            <w:tcMar>
              <w:left w:w="45" w:type="dxa"/>
              <w:right w:w="45" w:type="dxa"/>
            </w:tcMar>
            <w:vAlign w:val="center"/>
          </w:tcPr>
          <w:p w14:paraId="267B3673"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Bajo</w:t>
            </w:r>
          </w:p>
        </w:tc>
        <w:tc>
          <w:tcPr>
            <w:tcW w:w="600" w:type="dxa"/>
            <w:shd w:val="clear" w:color="auto" w:fill="auto"/>
            <w:tcMar>
              <w:left w:w="45" w:type="dxa"/>
              <w:right w:w="45" w:type="dxa"/>
            </w:tcMar>
            <w:vAlign w:val="center"/>
          </w:tcPr>
          <w:p w14:paraId="5FE4AD65"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Sí</w:t>
            </w:r>
          </w:p>
        </w:tc>
        <w:tc>
          <w:tcPr>
            <w:tcW w:w="900" w:type="dxa"/>
            <w:shd w:val="clear" w:color="auto" w:fill="auto"/>
            <w:tcMar>
              <w:left w:w="45" w:type="dxa"/>
              <w:right w:w="45" w:type="dxa"/>
            </w:tcMar>
            <w:vAlign w:val="center"/>
          </w:tcPr>
          <w:p w14:paraId="62DCF0CD"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Contratista y Supervisor Técnico</w:t>
            </w:r>
          </w:p>
        </w:tc>
        <w:tc>
          <w:tcPr>
            <w:tcW w:w="800" w:type="dxa"/>
            <w:shd w:val="clear" w:color="auto" w:fill="auto"/>
            <w:tcMar>
              <w:left w:w="45" w:type="dxa"/>
              <w:right w:w="45" w:type="dxa"/>
            </w:tcMar>
            <w:vAlign w:val="center"/>
          </w:tcPr>
          <w:p w14:paraId="510EE501"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Durante el vaciado estructural y levante de mampostería (Días 9 al 32)</w:t>
            </w:r>
          </w:p>
        </w:tc>
        <w:tc>
          <w:tcPr>
            <w:tcW w:w="1000" w:type="dxa"/>
            <w:shd w:val="clear" w:color="auto" w:fill="auto"/>
            <w:tcMar>
              <w:left w:w="45" w:type="dxa"/>
              <w:right w:w="45" w:type="dxa"/>
            </w:tcMar>
            <w:vAlign w:val="center"/>
          </w:tcPr>
          <w:p w14:paraId="43742CDB"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Revisión de cilindros de rotura en laboratorio certificado y verificación geométrica de formaletas y armaduras.</w:t>
            </w:r>
          </w:p>
        </w:tc>
        <w:tc>
          <w:tcPr>
            <w:tcW w:w="655" w:type="dxa"/>
            <w:shd w:val="clear" w:color="auto" w:fill="auto"/>
            <w:tcMar>
              <w:left w:w="45" w:type="dxa"/>
              <w:right w:w="45" w:type="dxa"/>
            </w:tcMar>
            <w:vAlign w:val="center"/>
          </w:tcPr>
          <w:p w14:paraId="5AE9B110"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Por cada vaciado / Semanal</w:t>
            </w:r>
          </w:p>
        </w:tc>
      </w:tr>
      <w:tr w:rsidR="001E546E" w:rsidRPr="00FF5BE9" w14:paraId="1BF3E2CF" w14:textId="77777777" w:rsidTr="001653EA">
        <w:trPr>
          <w:cantSplit/>
          <w:trHeight w:val="466"/>
        </w:trPr>
        <w:tc>
          <w:tcPr>
            <w:tcW w:w="425" w:type="dxa"/>
            <w:shd w:val="clear" w:color="auto" w:fill="auto"/>
            <w:tcMar>
              <w:left w:w="45" w:type="dxa"/>
              <w:right w:w="45" w:type="dxa"/>
            </w:tcMar>
            <w:vAlign w:val="center"/>
          </w:tcPr>
          <w:p w14:paraId="2C74A5DB"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4</w:t>
            </w:r>
          </w:p>
        </w:tc>
        <w:tc>
          <w:tcPr>
            <w:tcW w:w="600" w:type="dxa"/>
            <w:shd w:val="clear" w:color="auto" w:fill="auto"/>
            <w:tcMar>
              <w:left w:w="45" w:type="dxa"/>
              <w:right w:w="45" w:type="dxa"/>
            </w:tcMar>
            <w:vAlign w:val="center"/>
          </w:tcPr>
          <w:p w14:paraId="120B9AC1"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General</w:t>
            </w:r>
          </w:p>
        </w:tc>
        <w:tc>
          <w:tcPr>
            <w:tcW w:w="560" w:type="dxa"/>
            <w:shd w:val="clear" w:color="auto" w:fill="auto"/>
            <w:tcMar>
              <w:left w:w="45" w:type="dxa"/>
              <w:right w:w="45" w:type="dxa"/>
            </w:tcMar>
            <w:vAlign w:val="center"/>
          </w:tcPr>
          <w:p w14:paraId="623C8992"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Externo</w:t>
            </w:r>
          </w:p>
        </w:tc>
        <w:tc>
          <w:tcPr>
            <w:tcW w:w="640" w:type="dxa"/>
            <w:shd w:val="clear" w:color="auto" w:fill="auto"/>
            <w:tcMar>
              <w:left w:w="45" w:type="dxa"/>
              <w:right w:w="45" w:type="dxa"/>
            </w:tcMar>
            <w:vAlign w:val="center"/>
          </w:tcPr>
          <w:p w14:paraId="47768D5D"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Ejecución</w:t>
            </w:r>
          </w:p>
        </w:tc>
        <w:tc>
          <w:tcPr>
            <w:tcW w:w="760" w:type="dxa"/>
            <w:shd w:val="clear" w:color="auto" w:fill="auto"/>
            <w:tcMar>
              <w:left w:w="45" w:type="dxa"/>
              <w:right w:w="45" w:type="dxa"/>
            </w:tcMar>
            <w:vAlign w:val="center"/>
          </w:tcPr>
          <w:p w14:paraId="2A1A1522"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De la naturaleza (Fuerza Mayor / Climático)</w:t>
            </w:r>
          </w:p>
        </w:tc>
        <w:tc>
          <w:tcPr>
            <w:tcW w:w="1120" w:type="dxa"/>
            <w:shd w:val="clear" w:color="auto" w:fill="auto"/>
            <w:tcMar>
              <w:left w:w="45" w:type="dxa"/>
              <w:right w:w="45" w:type="dxa"/>
            </w:tcMar>
            <w:vAlign w:val="center"/>
          </w:tcPr>
          <w:p w14:paraId="45A985DA"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Lluvias intensas o vendavales típicos de la región sobre la cabecera municipal de Fundación que inunden zanjas de excavación abiertas o afecten el vaciado de concreto fresco o pañetes.</w:t>
            </w:r>
          </w:p>
        </w:tc>
        <w:tc>
          <w:tcPr>
            <w:tcW w:w="1070" w:type="dxa"/>
            <w:shd w:val="clear" w:color="auto" w:fill="auto"/>
            <w:tcMar>
              <w:left w:w="45" w:type="dxa"/>
              <w:right w:w="45" w:type="dxa"/>
            </w:tcMar>
            <w:vAlign w:val="center"/>
          </w:tcPr>
          <w:p w14:paraId="1380E77F"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Socavación de paredes de la zanja de cimentación, lavado de mezclas frescas de mortero/concreto y suspensión temporal involuntaria de actividades.</w:t>
            </w:r>
          </w:p>
        </w:tc>
        <w:tc>
          <w:tcPr>
            <w:tcW w:w="425" w:type="dxa"/>
            <w:shd w:val="clear" w:color="auto" w:fill="auto"/>
            <w:tcMar>
              <w:left w:w="45" w:type="dxa"/>
              <w:right w:w="45" w:type="dxa"/>
            </w:tcMar>
            <w:vAlign w:val="center"/>
          </w:tcPr>
          <w:p w14:paraId="533DAACF"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4</w:t>
            </w:r>
          </w:p>
        </w:tc>
        <w:tc>
          <w:tcPr>
            <w:tcW w:w="425" w:type="dxa"/>
            <w:shd w:val="clear" w:color="auto" w:fill="auto"/>
            <w:tcMar>
              <w:left w:w="45" w:type="dxa"/>
              <w:right w:w="45" w:type="dxa"/>
            </w:tcMar>
            <w:vAlign w:val="center"/>
          </w:tcPr>
          <w:p w14:paraId="7FCE9F76"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4</w:t>
            </w:r>
          </w:p>
        </w:tc>
        <w:tc>
          <w:tcPr>
            <w:tcW w:w="425" w:type="dxa"/>
            <w:shd w:val="clear" w:color="auto" w:fill="auto"/>
            <w:tcMar>
              <w:left w:w="45" w:type="dxa"/>
              <w:right w:w="45" w:type="dxa"/>
            </w:tcMar>
            <w:vAlign w:val="center"/>
          </w:tcPr>
          <w:p w14:paraId="34C87106"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8</w:t>
            </w:r>
          </w:p>
        </w:tc>
        <w:tc>
          <w:tcPr>
            <w:tcW w:w="425" w:type="dxa"/>
            <w:shd w:val="clear" w:color="auto" w:fill="auto"/>
            <w:tcMar>
              <w:left w:w="45" w:type="dxa"/>
              <w:right w:w="45" w:type="dxa"/>
            </w:tcMar>
            <w:vAlign w:val="center"/>
          </w:tcPr>
          <w:p w14:paraId="08A4B01A"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Alto</w:t>
            </w:r>
          </w:p>
        </w:tc>
        <w:tc>
          <w:tcPr>
            <w:tcW w:w="620" w:type="dxa"/>
            <w:shd w:val="clear" w:color="auto" w:fill="auto"/>
            <w:tcMar>
              <w:left w:w="45" w:type="dxa"/>
              <w:right w:w="45" w:type="dxa"/>
            </w:tcMar>
            <w:vAlign w:val="center"/>
          </w:tcPr>
          <w:p w14:paraId="31047C69"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Compartido</w:t>
            </w:r>
          </w:p>
        </w:tc>
        <w:tc>
          <w:tcPr>
            <w:tcW w:w="1250" w:type="dxa"/>
            <w:shd w:val="clear" w:color="auto" w:fill="auto"/>
            <w:tcMar>
              <w:left w:w="45" w:type="dxa"/>
              <w:right w:w="45" w:type="dxa"/>
            </w:tcMar>
            <w:vAlign w:val="center"/>
          </w:tcPr>
          <w:p w14:paraId="14258D02"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Monitoreo de alertas del IDEAM; protección perimetral del frente con carpas plásticas y polisombra; bombeo manual o mecánico inmediato de agua acumulada; reprogramación o suspensión formal si es insuperable.</w:t>
            </w:r>
          </w:p>
        </w:tc>
        <w:tc>
          <w:tcPr>
            <w:tcW w:w="425" w:type="dxa"/>
            <w:shd w:val="clear" w:color="auto" w:fill="auto"/>
            <w:tcMar>
              <w:left w:w="45" w:type="dxa"/>
              <w:right w:w="45" w:type="dxa"/>
            </w:tcMar>
            <w:vAlign w:val="center"/>
          </w:tcPr>
          <w:p w14:paraId="7F9F366D"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2</w:t>
            </w:r>
          </w:p>
        </w:tc>
        <w:tc>
          <w:tcPr>
            <w:tcW w:w="425" w:type="dxa"/>
            <w:shd w:val="clear" w:color="auto" w:fill="auto"/>
            <w:tcMar>
              <w:left w:w="45" w:type="dxa"/>
              <w:right w:w="45" w:type="dxa"/>
            </w:tcMar>
            <w:vAlign w:val="center"/>
          </w:tcPr>
          <w:p w14:paraId="19F7F65A"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2</w:t>
            </w:r>
          </w:p>
        </w:tc>
        <w:tc>
          <w:tcPr>
            <w:tcW w:w="425" w:type="dxa"/>
            <w:shd w:val="clear" w:color="auto" w:fill="auto"/>
            <w:tcMar>
              <w:left w:w="45" w:type="dxa"/>
              <w:right w:w="45" w:type="dxa"/>
            </w:tcMar>
            <w:vAlign w:val="center"/>
          </w:tcPr>
          <w:p w14:paraId="58B28CD2"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4</w:t>
            </w:r>
          </w:p>
        </w:tc>
        <w:tc>
          <w:tcPr>
            <w:tcW w:w="425" w:type="dxa"/>
            <w:shd w:val="clear" w:color="auto" w:fill="auto"/>
            <w:tcMar>
              <w:left w:w="45" w:type="dxa"/>
              <w:right w:w="45" w:type="dxa"/>
            </w:tcMar>
            <w:vAlign w:val="center"/>
          </w:tcPr>
          <w:p w14:paraId="54D141FC"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Bajo</w:t>
            </w:r>
          </w:p>
        </w:tc>
        <w:tc>
          <w:tcPr>
            <w:tcW w:w="600" w:type="dxa"/>
            <w:shd w:val="clear" w:color="auto" w:fill="auto"/>
            <w:tcMar>
              <w:left w:w="45" w:type="dxa"/>
              <w:right w:w="45" w:type="dxa"/>
            </w:tcMar>
            <w:vAlign w:val="center"/>
          </w:tcPr>
          <w:p w14:paraId="7ADD3763"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Sí</w:t>
            </w:r>
          </w:p>
        </w:tc>
        <w:tc>
          <w:tcPr>
            <w:tcW w:w="900" w:type="dxa"/>
            <w:shd w:val="clear" w:color="auto" w:fill="auto"/>
            <w:tcMar>
              <w:left w:w="45" w:type="dxa"/>
              <w:right w:w="45" w:type="dxa"/>
            </w:tcMar>
            <w:vAlign w:val="center"/>
          </w:tcPr>
          <w:p w14:paraId="13A2BED0"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Contratista y Secretaría de Planeación e Infraestructura</w:t>
            </w:r>
          </w:p>
        </w:tc>
        <w:tc>
          <w:tcPr>
            <w:tcW w:w="800" w:type="dxa"/>
            <w:shd w:val="clear" w:color="auto" w:fill="auto"/>
            <w:tcMar>
              <w:left w:w="45" w:type="dxa"/>
              <w:right w:w="45" w:type="dxa"/>
            </w:tcMar>
            <w:vAlign w:val="center"/>
          </w:tcPr>
          <w:p w14:paraId="657EF020"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Durante toda la ejecución de zanjas, concretos y pañetes (45 días)</w:t>
            </w:r>
          </w:p>
        </w:tc>
        <w:tc>
          <w:tcPr>
            <w:tcW w:w="1000" w:type="dxa"/>
            <w:shd w:val="clear" w:color="auto" w:fill="auto"/>
            <w:tcMar>
              <w:left w:w="45" w:type="dxa"/>
              <w:right w:w="45" w:type="dxa"/>
            </w:tcMar>
            <w:vAlign w:val="center"/>
          </w:tcPr>
          <w:p w14:paraId="51CEEF2A"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Inspección visual del terreno post-evento y suscripción concertada de actas de suspensión y reinicio si amerita.</w:t>
            </w:r>
          </w:p>
        </w:tc>
        <w:tc>
          <w:tcPr>
            <w:tcW w:w="655" w:type="dxa"/>
            <w:shd w:val="clear" w:color="auto" w:fill="auto"/>
            <w:tcMar>
              <w:left w:w="45" w:type="dxa"/>
              <w:right w:w="45" w:type="dxa"/>
            </w:tcMar>
            <w:vAlign w:val="center"/>
          </w:tcPr>
          <w:p w14:paraId="0AB9FB8C"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Permanente / Eventual ante eventos climáticos</w:t>
            </w:r>
          </w:p>
        </w:tc>
      </w:tr>
      <w:tr w:rsidR="001E546E" w:rsidRPr="00FF5BE9" w14:paraId="025786C5" w14:textId="77777777" w:rsidTr="001653EA">
        <w:trPr>
          <w:cantSplit/>
          <w:trHeight w:val="466"/>
        </w:trPr>
        <w:tc>
          <w:tcPr>
            <w:tcW w:w="425" w:type="dxa"/>
            <w:shd w:val="clear" w:color="auto" w:fill="auto"/>
            <w:tcMar>
              <w:left w:w="45" w:type="dxa"/>
              <w:right w:w="45" w:type="dxa"/>
            </w:tcMar>
            <w:vAlign w:val="center"/>
          </w:tcPr>
          <w:p w14:paraId="7650D478"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lastRenderedPageBreak/>
              <w:t>5</w:t>
            </w:r>
          </w:p>
        </w:tc>
        <w:tc>
          <w:tcPr>
            <w:tcW w:w="600" w:type="dxa"/>
            <w:shd w:val="clear" w:color="auto" w:fill="auto"/>
            <w:tcMar>
              <w:left w:w="45" w:type="dxa"/>
              <w:right w:w="45" w:type="dxa"/>
            </w:tcMar>
            <w:vAlign w:val="center"/>
          </w:tcPr>
          <w:p w14:paraId="15F4056B"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General</w:t>
            </w:r>
          </w:p>
        </w:tc>
        <w:tc>
          <w:tcPr>
            <w:tcW w:w="560" w:type="dxa"/>
            <w:shd w:val="clear" w:color="auto" w:fill="auto"/>
            <w:tcMar>
              <w:left w:w="45" w:type="dxa"/>
              <w:right w:w="45" w:type="dxa"/>
            </w:tcMar>
            <w:vAlign w:val="center"/>
          </w:tcPr>
          <w:p w14:paraId="4D809D3B"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Interno</w:t>
            </w:r>
          </w:p>
        </w:tc>
        <w:tc>
          <w:tcPr>
            <w:tcW w:w="640" w:type="dxa"/>
            <w:shd w:val="clear" w:color="auto" w:fill="auto"/>
            <w:tcMar>
              <w:left w:w="45" w:type="dxa"/>
              <w:right w:w="45" w:type="dxa"/>
            </w:tcMar>
            <w:vAlign w:val="center"/>
          </w:tcPr>
          <w:p w14:paraId="5A1CC596"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Ejecución</w:t>
            </w:r>
          </w:p>
        </w:tc>
        <w:tc>
          <w:tcPr>
            <w:tcW w:w="760" w:type="dxa"/>
            <w:shd w:val="clear" w:color="auto" w:fill="auto"/>
            <w:tcMar>
              <w:left w:w="45" w:type="dxa"/>
              <w:right w:w="45" w:type="dxa"/>
            </w:tcMar>
            <w:vAlign w:val="center"/>
          </w:tcPr>
          <w:p w14:paraId="1CD4ED93"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Laboral / Prestacional / Social</w:t>
            </w:r>
          </w:p>
        </w:tc>
        <w:tc>
          <w:tcPr>
            <w:tcW w:w="1120" w:type="dxa"/>
            <w:shd w:val="clear" w:color="auto" w:fill="auto"/>
            <w:tcMar>
              <w:left w:w="45" w:type="dxa"/>
              <w:right w:w="45" w:type="dxa"/>
            </w:tcMar>
            <w:vAlign w:val="center"/>
          </w:tcPr>
          <w:p w14:paraId="2FAAF154"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Mora del contratista en el pago de salarios o aportes al SGSSS de los obreros, o incumplimiento en la vinculación del 10% de mano de obra en población vulnerable (Componente Social - Dec. 1860/2021).</w:t>
            </w:r>
          </w:p>
        </w:tc>
        <w:tc>
          <w:tcPr>
            <w:tcW w:w="1070" w:type="dxa"/>
            <w:shd w:val="clear" w:color="auto" w:fill="auto"/>
            <w:tcMar>
              <w:left w:w="45" w:type="dxa"/>
              <w:right w:w="45" w:type="dxa"/>
            </w:tcMar>
            <w:vAlign w:val="center"/>
          </w:tcPr>
          <w:p w14:paraId="4BF8DD96"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Paralización de trabajos por reclamaciones de los trabajadores, afectación patrimonial a operarios y aplicación de multas o retención de pagos por supervisión.</w:t>
            </w:r>
          </w:p>
        </w:tc>
        <w:tc>
          <w:tcPr>
            <w:tcW w:w="425" w:type="dxa"/>
            <w:shd w:val="clear" w:color="auto" w:fill="auto"/>
            <w:tcMar>
              <w:left w:w="45" w:type="dxa"/>
              <w:right w:w="45" w:type="dxa"/>
            </w:tcMar>
            <w:vAlign w:val="center"/>
          </w:tcPr>
          <w:p w14:paraId="25599491"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2</w:t>
            </w:r>
          </w:p>
        </w:tc>
        <w:tc>
          <w:tcPr>
            <w:tcW w:w="425" w:type="dxa"/>
            <w:shd w:val="clear" w:color="auto" w:fill="auto"/>
            <w:tcMar>
              <w:left w:w="45" w:type="dxa"/>
              <w:right w:w="45" w:type="dxa"/>
            </w:tcMar>
            <w:vAlign w:val="center"/>
          </w:tcPr>
          <w:p w14:paraId="78A546AE"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4</w:t>
            </w:r>
          </w:p>
        </w:tc>
        <w:tc>
          <w:tcPr>
            <w:tcW w:w="425" w:type="dxa"/>
            <w:shd w:val="clear" w:color="auto" w:fill="auto"/>
            <w:tcMar>
              <w:left w:w="45" w:type="dxa"/>
              <w:right w:w="45" w:type="dxa"/>
            </w:tcMar>
            <w:vAlign w:val="center"/>
          </w:tcPr>
          <w:p w14:paraId="77957067"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6</w:t>
            </w:r>
          </w:p>
        </w:tc>
        <w:tc>
          <w:tcPr>
            <w:tcW w:w="425" w:type="dxa"/>
            <w:shd w:val="clear" w:color="auto" w:fill="auto"/>
            <w:tcMar>
              <w:left w:w="45" w:type="dxa"/>
              <w:right w:w="45" w:type="dxa"/>
            </w:tcMar>
            <w:vAlign w:val="center"/>
          </w:tcPr>
          <w:p w14:paraId="3B060E8A"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Medio</w:t>
            </w:r>
          </w:p>
        </w:tc>
        <w:tc>
          <w:tcPr>
            <w:tcW w:w="620" w:type="dxa"/>
            <w:shd w:val="clear" w:color="auto" w:fill="auto"/>
            <w:tcMar>
              <w:left w:w="45" w:type="dxa"/>
              <w:right w:w="45" w:type="dxa"/>
            </w:tcMar>
            <w:vAlign w:val="center"/>
          </w:tcPr>
          <w:p w14:paraId="726885FE"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Contratista</w:t>
            </w:r>
          </w:p>
        </w:tc>
        <w:tc>
          <w:tcPr>
            <w:tcW w:w="1250" w:type="dxa"/>
            <w:shd w:val="clear" w:color="auto" w:fill="auto"/>
            <w:tcMar>
              <w:left w:w="45" w:type="dxa"/>
              <w:right w:w="45" w:type="dxa"/>
            </w:tcMar>
            <w:vAlign w:val="center"/>
          </w:tcPr>
          <w:p w14:paraId="2EE95484"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Exigencia de planillas PILA pagadas y contratos laborales del personal del componente social dentro de los primeros 10 días de ejecución y como requisito preclusivo de cada pago (Art. 41 Ley 80/93).</w:t>
            </w:r>
          </w:p>
        </w:tc>
        <w:tc>
          <w:tcPr>
            <w:tcW w:w="425" w:type="dxa"/>
            <w:shd w:val="clear" w:color="auto" w:fill="auto"/>
            <w:tcMar>
              <w:left w:w="45" w:type="dxa"/>
              <w:right w:w="45" w:type="dxa"/>
            </w:tcMar>
            <w:vAlign w:val="center"/>
          </w:tcPr>
          <w:p w14:paraId="485C0D84"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1</w:t>
            </w:r>
          </w:p>
        </w:tc>
        <w:tc>
          <w:tcPr>
            <w:tcW w:w="425" w:type="dxa"/>
            <w:shd w:val="clear" w:color="auto" w:fill="auto"/>
            <w:tcMar>
              <w:left w:w="45" w:type="dxa"/>
              <w:right w:w="45" w:type="dxa"/>
            </w:tcMar>
            <w:vAlign w:val="center"/>
          </w:tcPr>
          <w:p w14:paraId="0E7F5853"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2</w:t>
            </w:r>
          </w:p>
        </w:tc>
        <w:tc>
          <w:tcPr>
            <w:tcW w:w="425" w:type="dxa"/>
            <w:shd w:val="clear" w:color="auto" w:fill="auto"/>
            <w:tcMar>
              <w:left w:w="45" w:type="dxa"/>
              <w:right w:w="45" w:type="dxa"/>
            </w:tcMar>
            <w:vAlign w:val="center"/>
          </w:tcPr>
          <w:p w14:paraId="466C13B0"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3</w:t>
            </w:r>
          </w:p>
        </w:tc>
        <w:tc>
          <w:tcPr>
            <w:tcW w:w="425" w:type="dxa"/>
            <w:shd w:val="clear" w:color="auto" w:fill="auto"/>
            <w:tcMar>
              <w:left w:w="45" w:type="dxa"/>
              <w:right w:w="45" w:type="dxa"/>
            </w:tcMar>
            <w:vAlign w:val="center"/>
          </w:tcPr>
          <w:p w14:paraId="3B3C0EDF"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Bajo</w:t>
            </w:r>
          </w:p>
        </w:tc>
        <w:tc>
          <w:tcPr>
            <w:tcW w:w="600" w:type="dxa"/>
            <w:shd w:val="clear" w:color="auto" w:fill="auto"/>
            <w:tcMar>
              <w:left w:w="45" w:type="dxa"/>
              <w:right w:w="45" w:type="dxa"/>
            </w:tcMar>
            <w:vAlign w:val="center"/>
          </w:tcPr>
          <w:p w14:paraId="0A1342E1"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Sí</w:t>
            </w:r>
          </w:p>
        </w:tc>
        <w:tc>
          <w:tcPr>
            <w:tcW w:w="900" w:type="dxa"/>
            <w:shd w:val="clear" w:color="auto" w:fill="auto"/>
            <w:tcMar>
              <w:left w:w="45" w:type="dxa"/>
              <w:right w:w="45" w:type="dxa"/>
            </w:tcMar>
            <w:vAlign w:val="center"/>
          </w:tcPr>
          <w:p w14:paraId="1FF95841"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Supervisor del Contrato y Secretaría de Hacienda</w:t>
            </w:r>
          </w:p>
        </w:tc>
        <w:tc>
          <w:tcPr>
            <w:tcW w:w="800" w:type="dxa"/>
            <w:shd w:val="clear" w:color="auto" w:fill="auto"/>
            <w:tcMar>
              <w:left w:w="45" w:type="dxa"/>
              <w:right w:w="45" w:type="dxa"/>
            </w:tcMar>
            <w:vAlign w:val="center"/>
          </w:tcPr>
          <w:p w14:paraId="3BBB7707"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Previo al trámite de cada acta de cobro y liquidación final</w:t>
            </w:r>
          </w:p>
        </w:tc>
        <w:tc>
          <w:tcPr>
            <w:tcW w:w="1000" w:type="dxa"/>
            <w:shd w:val="clear" w:color="auto" w:fill="auto"/>
            <w:tcMar>
              <w:left w:w="45" w:type="dxa"/>
              <w:right w:w="45" w:type="dxa"/>
            </w:tcMar>
            <w:vAlign w:val="center"/>
          </w:tcPr>
          <w:p w14:paraId="21D210FA"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Cotejo de planillas de seguridad social contra el listado del personal en bitácora y verificación de acreditación social.</w:t>
            </w:r>
          </w:p>
        </w:tc>
        <w:tc>
          <w:tcPr>
            <w:tcW w:w="655" w:type="dxa"/>
            <w:shd w:val="clear" w:color="auto" w:fill="auto"/>
            <w:tcMar>
              <w:left w:w="45" w:type="dxa"/>
              <w:right w:w="45" w:type="dxa"/>
            </w:tcMar>
            <w:vAlign w:val="center"/>
          </w:tcPr>
          <w:p w14:paraId="12E1FA99"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Quincenal / Con cada cuenta de cobro</w:t>
            </w:r>
          </w:p>
        </w:tc>
      </w:tr>
      <w:tr w:rsidR="001E546E" w:rsidRPr="00FF5BE9" w14:paraId="50EE6BAA" w14:textId="77777777" w:rsidTr="001653EA">
        <w:trPr>
          <w:cantSplit/>
          <w:trHeight w:val="466"/>
        </w:trPr>
        <w:tc>
          <w:tcPr>
            <w:tcW w:w="425" w:type="dxa"/>
            <w:shd w:val="clear" w:color="auto" w:fill="auto"/>
            <w:tcMar>
              <w:left w:w="45" w:type="dxa"/>
              <w:right w:w="45" w:type="dxa"/>
            </w:tcMar>
            <w:vAlign w:val="center"/>
          </w:tcPr>
          <w:p w14:paraId="72D9D61B"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6</w:t>
            </w:r>
          </w:p>
        </w:tc>
        <w:tc>
          <w:tcPr>
            <w:tcW w:w="600" w:type="dxa"/>
            <w:shd w:val="clear" w:color="auto" w:fill="auto"/>
            <w:tcMar>
              <w:left w:w="45" w:type="dxa"/>
              <w:right w:w="45" w:type="dxa"/>
            </w:tcMar>
            <w:vAlign w:val="center"/>
          </w:tcPr>
          <w:p w14:paraId="29F7BFE6"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Específico</w:t>
            </w:r>
          </w:p>
        </w:tc>
        <w:tc>
          <w:tcPr>
            <w:tcW w:w="560" w:type="dxa"/>
            <w:shd w:val="clear" w:color="auto" w:fill="auto"/>
            <w:tcMar>
              <w:left w:w="45" w:type="dxa"/>
              <w:right w:w="45" w:type="dxa"/>
            </w:tcMar>
            <w:vAlign w:val="center"/>
          </w:tcPr>
          <w:p w14:paraId="2089AF4D"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Interno / Externo</w:t>
            </w:r>
          </w:p>
        </w:tc>
        <w:tc>
          <w:tcPr>
            <w:tcW w:w="640" w:type="dxa"/>
            <w:shd w:val="clear" w:color="auto" w:fill="auto"/>
            <w:tcMar>
              <w:left w:w="45" w:type="dxa"/>
              <w:right w:w="45" w:type="dxa"/>
            </w:tcMar>
            <w:vAlign w:val="center"/>
          </w:tcPr>
          <w:p w14:paraId="5D16E128"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Ejecución</w:t>
            </w:r>
          </w:p>
        </w:tc>
        <w:tc>
          <w:tcPr>
            <w:tcW w:w="760" w:type="dxa"/>
            <w:shd w:val="clear" w:color="auto" w:fill="auto"/>
            <w:tcMar>
              <w:left w:w="45" w:type="dxa"/>
              <w:right w:w="45" w:type="dxa"/>
            </w:tcMar>
            <w:vAlign w:val="center"/>
          </w:tcPr>
          <w:p w14:paraId="51C8A09C"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Operacional / Espacio Público y Tránsito</w:t>
            </w:r>
          </w:p>
        </w:tc>
        <w:tc>
          <w:tcPr>
            <w:tcW w:w="1120" w:type="dxa"/>
            <w:shd w:val="clear" w:color="auto" w:fill="auto"/>
            <w:tcMar>
              <w:left w:w="45" w:type="dxa"/>
              <w:right w:w="45" w:type="dxa"/>
            </w:tcMar>
            <w:vAlign w:val="center"/>
          </w:tcPr>
          <w:p w14:paraId="18C65BCA"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Afectación al flujo peatonal o vehicular sobre la Carrera 5 o accidentes de transeúntes y usuarios del Palacio Municipal por caída de escombros, falta de delimitación o zanjas descubiertas.</w:t>
            </w:r>
          </w:p>
        </w:tc>
        <w:tc>
          <w:tcPr>
            <w:tcW w:w="1070" w:type="dxa"/>
            <w:shd w:val="clear" w:color="auto" w:fill="auto"/>
            <w:tcMar>
              <w:left w:w="45" w:type="dxa"/>
              <w:right w:w="45" w:type="dxa"/>
            </w:tcMar>
            <w:vAlign w:val="center"/>
          </w:tcPr>
          <w:p w14:paraId="0CBC0311"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Reclamaciones de responsabilidad civil extracontractual contra el Municipio, traumatismos en el acceso al despacho municipal y quejas ciudadanas.</w:t>
            </w:r>
          </w:p>
        </w:tc>
        <w:tc>
          <w:tcPr>
            <w:tcW w:w="425" w:type="dxa"/>
            <w:shd w:val="clear" w:color="auto" w:fill="auto"/>
            <w:tcMar>
              <w:left w:w="45" w:type="dxa"/>
              <w:right w:w="45" w:type="dxa"/>
            </w:tcMar>
            <w:vAlign w:val="center"/>
          </w:tcPr>
          <w:p w14:paraId="23CE5CDF"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3</w:t>
            </w:r>
          </w:p>
        </w:tc>
        <w:tc>
          <w:tcPr>
            <w:tcW w:w="425" w:type="dxa"/>
            <w:shd w:val="clear" w:color="auto" w:fill="auto"/>
            <w:tcMar>
              <w:left w:w="45" w:type="dxa"/>
              <w:right w:w="45" w:type="dxa"/>
            </w:tcMar>
            <w:vAlign w:val="center"/>
          </w:tcPr>
          <w:p w14:paraId="3ECDAB9B"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4</w:t>
            </w:r>
          </w:p>
        </w:tc>
        <w:tc>
          <w:tcPr>
            <w:tcW w:w="425" w:type="dxa"/>
            <w:shd w:val="clear" w:color="auto" w:fill="auto"/>
            <w:tcMar>
              <w:left w:w="45" w:type="dxa"/>
              <w:right w:w="45" w:type="dxa"/>
            </w:tcMar>
            <w:vAlign w:val="center"/>
          </w:tcPr>
          <w:p w14:paraId="733D35EB"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7</w:t>
            </w:r>
          </w:p>
        </w:tc>
        <w:tc>
          <w:tcPr>
            <w:tcW w:w="425" w:type="dxa"/>
            <w:shd w:val="clear" w:color="auto" w:fill="auto"/>
            <w:tcMar>
              <w:left w:w="45" w:type="dxa"/>
              <w:right w:w="45" w:type="dxa"/>
            </w:tcMar>
            <w:vAlign w:val="center"/>
          </w:tcPr>
          <w:p w14:paraId="0E4A65B2"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Medio</w:t>
            </w:r>
          </w:p>
        </w:tc>
        <w:tc>
          <w:tcPr>
            <w:tcW w:w="620" w:type="dxa"/>
            <w:shd w:val="clear" w:color="auto" w:fill="auto"/>
            <w:tcMar>
              <w:left w:w="45" w:type="dxa"/>
              <w:right w:w="45" w:type="dxa"/>
            </w:tcMar>
            <w:vAlign w:val="center"/>
          </w:tcPr>
          <w:p w14:paraId="572C11BD"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Contratista</w:t>
            </w:r>
          </w:p>
        </w:tc>
        <w:tc>
          <w:tcPr>
            <w:tcW w:w="1250" w:type="dxa"/>
            <w:shd w:val="clear" w:color="auto" w:fill="auto"/>
            <w:tcMar>
              <w:left w:w="45" w:type="dxa"/>
              <w:right w:w="45" w:type="dxa"/>
            </w:tcMar>
            <w:vAlign w:val="center"/>
          </w:tcPr>
          <w:p w14:paraId="50B162B7"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Instalación obligatoria de cerramiento preventivo en lona/polisombra; sendero peatonal temporal señalizado; señalización reflectiva; y constitución de Póliza de Responsabilidad Civil Extracontractual.</w:t>
            </w:r>
          </w:p>
        </w:tc>
        <w:tc>
          <w:tcPr>
            <w:tcW w:w="425" w:type="dxa"/>
            <w:shd w:val="clear" w:color="auto" w:fill="auto"/>
            <w:tcMar>
              <w:left w:w="45" w:type="dxa"/>
              <w:right w:w="45" w:type="dxa"/>
            </w:tcMar>
            <w:vAlign w:val="center"/>
          </w:tcPr>
          <w:p w14:paraId="4024E544"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1</w:t>
            </w:r>
          </w:p>
        </w:tc>
        <w:tc>
          <w:tcPr>
            <w:tcW w:w="425" w:type="dxa"/>
            <w:shd w:val="clear" w:color="auto" w:fill="auto"/>
            <w:tcMar>
              <w:left w:w="45" w:type="dxa"/>
              <w:right w:w="45" w:type="dxa"/>
            </w:tcMar>
            <w:vAlign w:val="center"/>
          </w:tcPr>
          <w:p w14:paraId="627C32EC"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2</w:t>
            </w:r>
          </w:p>
        </w:tc>
        <w:tc>
          <w:tcPr>
            <w:tcW w:w="425" w:type="dxa"/>
            <w:shd w:val="clear" w:color="auto" w:fill="auto"/>
            <w:tcMar>
              <w:left w:w="45" w:type="dxa"/>
              <w:right w:w="45" w:type="dxa"/>
            </w:tcMar>
            <w:vAlign w:val="center"/>
          </w:tcPr>
          <w:p w14:paraId="51BA840A"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3</w:t>
            </w:r>
          </w:p>
        </w:tc>
        <w:tc>
          <w:tcPr>
            <w:tcW w:w="425" w:type="dxa"/>
            <w:shd w:val="clear" w:color="auto" w:fill="auto"/>
            <w:tcMar>
              <w:left w:w="45" w:type="dxa"/>
              <w:right w:w="45" w:type="dxa"/>
            </w:tcMar>
            <w:vAlign w:val="center"/>
          </w:tcPr>
          <w:p w14:paraId="7B685A95"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Bajo</w:t>
            </w:r>
          </w:p>
        </w:tc>
        <w:tc>
          <w:tcPr>
            <w:tcW w:w="600" w:type="dxa"/>
            <w:shd w:val="clear" w:color="auto" w:fill="auto"/>
            <w:tcMar>
              <w:left w:w="45" w:type="dxa"/>
              <w:right w:w="45" w:type="dxa"/>
            </w:tcMar>
            <w:vAlign w:val="center"/>
          </w:tcPr>
          <w:p w14:paraId="6D67F5FF"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Sí</w:t>
            </w:r>
          </w:p>
        </w:tc>
        <w:tc>
          <w:tcPr>
            <w:tcW w:w="900" w:type="dxa"/>
            <w:shd w:val="clear" w:color="auto" w:fill="auto"/>
            <w:tcMar>
              <w:left w:w="45" w:type="dxa"/>
              <w:right w:w="45" w:type="dxa"/>
            </w:tcMar>
            <w:vAlign w:val="center"/>
          </w:tcPr>
          <w:p w14:paraId="485518D2"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Contratista / Supervisión Municipal</w:t>
            </w:r>
          </w:p>
        </w:tc>
        <w:tc>
          <w:tcPr>
            <w:tcW w:w="800" w:type="dxa"/>
            <w:shd w:val="clear" w:color="auto" w:fill="auto"/>
            <w:tcMar>
              <w:left w:w="45" w:type="dxa"/>
              <w:right w:w="45" w:type="dxa"/>
            </w:tcMar>
            <w:vAlign w:val="center"/>
          </w:tcPr>
          <w:p w14:paraId="03A5FA66"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Desde el día 1 de ejecución hasta la reposición del andén (Día 45)</w:t>
            </w:r>
          </w:p>
        </w:tc>
        <w:tc>
          <w:tcPr>
            <w:tcW w:w="1000" w:type="dxa"/>
            <w:shd w:val="clear" w:color="auto" w:fill="auto"/>
            <w:tcMar>
              <w:left w:w="45" w:type="dxa"/>
              <w:right w:w="45" w:type="dxa"/>
            </w:tcMar>
            <w:vAlign w:val="center"/>
          </w:tcPr>
          <w:p w14:paraId="1183C0D2"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Inspección física diaria del estado del cerramiento provisional, señalización diurna/nocturna y orden en la acera.</w:t>
            </w:r>
          </w:p>
        </w:tc>
        <w:tc>
          <w:tcPr>
            <w:tcW w:w="655" w:type="dxa"/>
            <w:shd w:val="clear" w:color="auto" w:fill="auto"/>
            <w:tcMar>
              <w:left w:w="45" w:type="dxa"/>
              <w:right w:w="45" w:type="dxa"/>
            </w:tcMar>
            <w:vAlign w:val="center"/>
          </w:tcPr>
          <w:p w14:paraId="068900C0"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Diario</w:t>
            </w:r>
          </w:p>
        </w:tc>
      </w:tr>
      <w:tr w:rsidR="001E546E" w:rsidRPr="00FF5BE9" w14:paraId="0518DCA6" w14:textId="77777777" w:rsidTr="001653EA">
        <w:trPr>
          <w:cantSplit/>
          <w:trHeight w:val="466"/>
        </w:trPr>
        <w:tc>
          <w:tcPr>
            <w:tcW w:w="425" w:type="dxa"/>
            <w:shd w:val="clear" w:color="auto" w:fill="auto"/>
            <w:tcMar>
              <w:left w:w="45" w:type="dxa"/>
              <w:right w:w="45" w:type="dxa"/>
            </w:tcMar>
            <w:vAlign w:val="center"/>
          </w:tcPr>
          <w:p w14:paraId="65A52F26"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lastRenderedPageBreak/>
              <w:t>7</w:t>
            </w:r>
          </w:p>
        </w:tc>
        <w:tc>
          <w:tcPr>
            <w:tcW w:w="600" w:type="dxa"/>
            <w:shd w:val="clear" w:color="auto" w:fill="auto"/>
            <w:tcMar>
              <w:left w:w="45" w:type="dxa"/>
              <w:right w:w="45" w:type="dxa"/>
            </w:tcMar>
            <w:vAlign w:val="center"/>
          </w:tcPr>
          <w:p w14:paraId="0D0EAF35"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General</w:t>
            </w:r>
          </w:p>
        </w:tc>
        <w:tc>
          <w:tcPr>
            <w:tcW w:w="560" w:type="dxa"/>
            <w:shd w:val="clear" w:color="auto" w:fill="auto"/>
            <w:tcMar>
              <w:left w:w="45" w:type="dxa"/>
              <w:right w:w="45" w:type="dxa"/>
            </w:tcMar>
            <w:vAlign w:val="center"/>
          </w:tcPr>
          <w:p w14:paraId="07643509"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Interno</w:t>
            </w:r>
          </w:p>
        </w:tc>
        <w:tc>
          <w:tcPr>
            <w:tcW w:w="640" w:type="dxa"/>
            <w:shd w:val="clear" w:color="auto" w:fill="auto"/>
            <w:tcMar>
              <w:left w:w="45" w:type="dxa"/>
              <w:right w:w="45" w:type="dxa"/>
            </w:tcMar>
            <w:vAlign w:val="center"/>
          </w:tcPr>
          <w:p w14:paraId="2A535743"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Selección / Ejecución</w:t>
            </w:r>
          </w:p>
        </w:tc>
        <w:tc>
          <w:tcPr>
            <w:tcW w:w="760" w:type="dxa"/>
            <w:shd w:val="clear" w:color="auto" w:fill="auto"/>
            <w:tcMar>
              <w:left w:w="45" w:type="dxa"/>
              <w:right w:w="45" w:type="dxa"/>
            </w:tcMar>
            <w:vAlign w:val="center"/>
          </w:tcPr>
          <w:p w14:paraId="5A4779A2"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Corrupción / Integridad Pública</w:t>
            </w:r>
          </w:p>
        </w:tc>
        <w:tc>
          <w:tcPr>
            <w:tcW w:w="1120" w:type="dxa"/>
            <w:shd w:val="clear" w:color="auto" w:fill="auto"/>
            <w:tcMar>
              <w:left w:w="45" w:type="dxa"/>
              <w:right w:w="45" w:type="dxa"/>
            </w:tcMar>
            <w:vAlign w:val="center"/>
          </w:tcPr>
          <w:p w14:paraId="031222F5"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Ofrecimiento de dádivas, favorecimiento en la evaluación de mínima cuantía o conflicto de interés no declarado en la adjudicación o supervisión técnica de la obra.</w:t>
            </w:r>
          </w:p>
        </w:tc>
        <w:tc>
          <w:tcPr>
            <w:tcW w:w="1070" w:type="dxa"/>
            <w:shd w:val="clear" w:color="auto" w:fill="auto"/>
            <w:tcMar>
              <w:left w:w="45" w:type="dxa"/>
              <w:right w:w="45" w:type="dxa"/>
            </w:tcMar>
            <w:vAlign w:val="center"/>
          </w:tcPr>
          <w:p w14:paraId="69D3C214"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Nulidad absoluta del contrato, investigaciones disciplinarias, fiscales y penales, y detrimento a la moralidad administrativa municipal.</w:t>
            </w:r>
          </w:p>
        </w:tc>
        <w:tc>
          <w:tcPr>
            <w:tcW w:w="425" w:type="dxa"/>
            <w:shd w:val="clear" w:color="auto" w:fill="auto"/>
            <w:tcMar>
              <w:left w:w="45" w:type="dxa"/>
              <w:right w:w="45" w:type="dxa"/>
            </w:tcMar>
            <w:vAlign w:val="center"/>
          </w:tcPr>
          <w:p w14:paraId="7BC9787E"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1</w:t>
            </w:r>
          </w:p>
        </w:tc>
        <w:tc>
          <w:tcPr>
            <w:tcW w:w="425" w:type="dxa"/>
            <w:shd w:val="clear" w:color="auto" w:fill="auto"/>
            <w:tcMar>
              <w:left w:w="45" w:type="dxa"/>
              <w:right w:w="45" w:type="dxa"/>
            </w:tcMar>
            <w:vAlign w:val="center"/>
          </w:tcPr>
          <w:p w14:paraId="7B207AF2"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5</w:t>
            </w:r>
          </w:p>
        </w:tc>
        <w:tc>
          <w:tcPr>
            <w:tcW w:w="425" w:type="dxa"/>
            <w:shd w:val="clear" w:color="auto" w:fill="auto"/>
            <w:tcMar>
              <w:left w:w="45" w:type="dxa"/>
              <w:right w:w="45" w:type="dxa"/>
            </w:tcMar>
            <w:vAlign w:val="center"/>
          </w:tcPr>
          <w:p w14:paraId="28199BD0"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6</w:t>
            </w:r>
          </w:p>
        </w:tc>
        <w:tc>
          <w:tcPr>
            <w:tcW w:w="425" w:type="dxa"/>
            <w:shd w:val="clear" w:color="auto" w:fill="auto"/>
            <w:tcMar>
              <w:left w:w="45" w:type="dxa"/>
              <w:right w:w="45" w:type="dxa"/>
            </w:tcMar>
            <w:vAlign w:val="center"/>
          </w:tcPr>
          <w:p w14:paraId="797B44D0"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Medio</w:t>
            </w:r>
          </w:p>
        </w:tc>
        <w:tc>
          <w:tcPr>
            <w:tcW w:w="620" w:type="dxa"/>
            <w:shd w:val="clear" w:color="auto" w:fill="auto"/>
            <w:tcMar>
              <w:left w:w="45" w:type="dxa"/>
              <w:right w:w="45" w:type="dxa"/>
            </w:tcMar>
            <w:vAlign w:val="center"/>
          </w:tcPr>
          <w:p w14:paraId="090BDFFE"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Entidad Estatal</w:t>
            </w:r>
          </w:p>
        </w:tc>
        <w:tc>
          <w:tcPr>
            <w:tcW w:w="1250" w:type="dxa"/>
            <w:shd w:val="clear" w:color="auto" w:fill="auto"/>
            <w:tcMar>
              <w:left w:w="45" w:type="dxa"/>
              <w:right w:w="45" w:type="dxa"/>
            </w:tcMar>
            <w:vAlign w:val="center"/>
          </w:tcPr>
          <w:p w14:paraId="279CD3A3"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Trámite íntegro y abierto en SECOP II; estricta selección por menor precio objetivo; suscripción del Pacto de Transparencia; y veeduría ciudadana permanente conforme a la Ley 1474 de 2011.</w:t>
            </w:r>
          </w:p>
        </w:tc>
        <w:tc>
          <w:tcPr>
            <w:tcW w:w="425" w:type="dxa"/>
            <w:shd w:val="clear" w:color="auto" w:fill="auto"/>
            <w:tcMar>
              <w:left w:w="45" w:type="dxa"/>
              <w:right w:w="45" w:type="dxa"/>
            </w:tcMar>
            <w:vAlign w:val="center"/>
          </w:tcPr>
          <w:p w14:paraId="466FEF2D"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1</w:t>
            </w:r>
          </w:p>
        </w:tc>
        <w:tc>
          <w:tcPr>
            <w:tcW w:w="425" w:type="dxa"/>
            <w:shd w:val="clear" w:color="auto" w:fill="auto"/>
            <w:tcMar>
              <w:left w:w="45" w:type="dxa"/>
              <w:right w:w="45" w:type="dxa"/>
            </w:tcMar>
            <w:vAlign w:val="center"/>
          </w:tcPr>
          <w:p w14:paraId="4F377ED1"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2</w:t>
            </w:r>
          </w:p>
        </w:tc>
        <w:tc>
          <w:tcPr>
            <w:tcW w:w="425" w:type="dxa"/>
            <w:shd w:val="clear" w:color="auto" w:fill="auto"/>
            <w:tcMar>
              <w:left w:w="45" w:type="dxa"/>
              <w:right w:w="45" w:type="dxa"/>
            </w:tcMar>
            <w:vAlign w:val="center"/>
          </w:tcPr>
          <w:p w14:paraId="1F09003A"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3</w:t>
            </w:r>
          </w:p>
        </w:tc>
        <w:tc>
          <w:tcPr>
            <w:tcW w:w="425" w:type="dxa"/>
            <w:shd w:val="clear" w:color="auto" w:fill="auto"/>
            <w:tcMar>
              <w:left w:w="45" w:type="dxa"/>
              <w:right w:w="45" w:type="dxa"/>
            </w:tcMar>
            <w:vAlign w:val="center"/>
          </w:tcPr>
          <w:p w14:paraId="375A84EA"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Bajo</w:t>
            </w:r>
          </w:p>
        </w:tc>
        <w:tc>
          <w:tcPr>
            <w:tcW w:w="600" w:type="dxa"/>
            <w:shd w:val="clear" w:color="auto" w:fill="auto"/>
            <w:tcMar>
              <w:left w:w="45" w:type="dxa"/>
              <w:right w:w="45" w:type="dxa"/>
            </w:tcMar>
            <w:vAlign w:val="center"/>
          </w:tcPr>
          <w:p w14:paraId="26A9E8AA"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No</w:t>
            </w:r>
          </w:p>
        </w:tc>
        <w:tc>
          <w:tcPr>
            <w:tcW w:w="900" w:type="dxa"/>
            <w:shd w:val="clear" w:color="auto" w:fill="auto"/>
            <w:tcMar>
              <w:left w:w="45" w:type="dxa"/>
              <w:right w:w="45" w:type="dxa"/>
            </w:tcMar>
            <w:vAlign w:val="center"/>
          </w:tcPr>
          <w:p w14:paraId="5F4F8B90"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Ordenador del Gasto, Asesor Jurídico y Control Interno</w:t>
            </w:r>
          </w:p>
        </w:tc>
        <w:tc>
          <w:tcPr>
            <w:tcW w:w="800" w:type="dxa"/>
            <w:shd w:val="clear" w:color="auto" w:fill="auto"/>
            <w:tcMar>
              <w:left w:w="45" w:type="dxa"/>
              <w:right w:w="45" w:type="dxa"/>
            </w:tcMar>
            <w:vAlign w:val="center"/>
          </w:tcPr>
          <w:p w14:paraId="09A9E9EF"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Durante todo el ciclo precontractual, contractual y liquidatorio</w:t>
            </w:r>
          </w:p>
        </w:tc>
        <w:tc>
          <w:tcPr>
            <w:tcW w:w="1000" w:type="dxa"/>
            <w:shd w:val="clear" w:color="auto" w:fill="auto"/>
            <w:tcMar>
              <w:left w:w="45" w:type="dxa"/>
              <w:right w:w="45" w:type="dxa"/>
            </w:tcMar>
            <w:vAlign w:val="center"/>
          </w:tcPr>
          <w:p w14:paraId="56802866"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Trazabilidad pública digital en SECOP II y buzón de transparencia / veedurías ciudadanas.</w:t>
            </w:r>
          </w:p>
        </w:tc>
        <w:tc>
          <w:tcPr>
            <w:tcW w:w="655" w:type="dxa"/>
            <w:shd w:val="clear" w:color="auto" w:fill="auto"/>
            <w:tcMar>
              <w:left w:w="45" w:type="dxa"/>
              <w:right w:w="45" w:type="dxa"/>
            </w:tcMar>
            <w:vAlign w:val="center"/>
          </w:tcPr>
          <w:p w14:paraId="0D9AC233"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Permanente</w:t>
            </w:r>
          </w:p>
        </w:tc>
      </w:tr>
      <w:tr w:rsidR="001E546E" w:rsidRPr="00FF5BE9" w14:paraId="4BE3E48C" w14:textId="77777777" w:rsidTr="001653EA">
        <w:trPr>
          <w:cantSplit/>
          <w:trHeight w:val="466"/>
        </w:trPr>
        <w:tc>
          <w:tcPr>
            <w:tcW w:w="425" w:type="dxa"/>
            <w:shd w:val="clear" w:color="auto" w:fill="auto"/>
            <w:tcMar>
              <w:left w:w="45" w:type="dxa"/>
              <w:right w:w="45" w:type="dxa"/>
            </w:tcMar>
            <w:vAlign w:val="center"/>
          </w:tcPr>
          <w:p w14:paraId="19385C79"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8</w:t>
            </w:r>
          </w:p>
        </w:tc>
        <w:tc>
          <w:tcPr>
            <w:tcW w:w="600" w:type="dxa"/>
            <w:shd w:val="clear" w:color="auto" w:fill="auto"/>
            <w:tcMar>
              <w:left w:w="45" w:type="dxa"/>
              <w:right w:w="45" w:type="dxa"/>
            </w:tcMar>
            <w:vAlign w:val="center"/>
          </w:tcPr>
          <w:p w14:paraId="22404A5A"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Específico</w:t>
            </w:r>
          </w:p>
        </w:tc>
        <w:tc>
          <w:tcPr>
            <w:tcW w:w="560" w:type="dxa"/>
            <w:shd w:val="clear" w:color="auto" w:fill="auto"/>
            <w:tcMar>
              <w:left w:w="45" w:type="dxa"/>
              <w:right w:w="45" w:type="dxa"/>
            </w:tcMar>
            <w:vAlign w:val="center"/>
          </w:tcPr>
          <w:p w14:paraId="1771219C"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Interno</w:t>
            </w:r>
          </w:p>
        </w:tc>
        <w:tc>
          <w:tcPr>
            <w:tcW w:w="640" w:type="dxa"/>
            <w:shd w:val="clear" w:color="auto" w:fill="auto"/>
            <w:tcMar>
              <w:left w:w="45" w:type="dxa"/>
              <w:right w:w="45" w:type="dxa"/>
            </w:tcMar>
            <w:vAlign w:val="center"/>
          </w:tcPr>
          <w:p w14:paraId="6A231903"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Poscontractual</w:t>
            </w:r>
          </w:p>
        </w:tc>
        <w:tc>
          <w:tcPr>
            <w:tcW w:w="760" w:type="dxa"/>
            <w:shd w:val="clear" w:color="auto" w:fill="auto"/>
            <w:tcMar>
              <w:left w:w="45" w:type="dxa"/>
              <w:right w:w="45" w:type="dxa"/>
            </w:tcMar>
            <w:vAlign w:val="center"/>
          </w:tcPr>
          <w:p w14:paraId="5F8382E5"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Calidad / Estabilidad de la Obra</w:t>
            </w:r>
          </w:p>
        </w:tc>
        <w:tc>
          <w:tcPr>
            <w:tcW w:w="1120" w:type="dxa"/>
            <w:shd w:val="clear" w:color="auto" w:fill="auto"/>
            <w:tcMar>
              <w:left w:w="45" w:type="dxa"/>
              <w:right w:w="45" w:type="dxa"/>
            </w:tcMar>
            <w:vAlign w:val="center"/>
          </w:tcPr>
          <w:p w14:paraId="5341803B"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Asentamientos diferenciales, fisuraciones en pañetes, desplome del cerramiento o fractura del andén de concreto (e = 0,07 m) tras la entrega y liquidación de la obra.</w:t>
            </w:r>
          </w:p>
        </w:tc>
        <w:tc>
          <w:tcPr>
            <w:tcW w:w="1070" w:type="dxa"/>
            <w:shd w:val="clear" w:color="auto" w:fill="auto"/>
            <w:tcMar>
              <w:left w:w="45" w:type="dxa"/>
              <w:right w:w="45" w:type="dxa"/>
            </w:tcMar>
            <w:vAlign w:val="center"/>
          </w:tcPr>
          <w:p w14:paraId="12E126A3"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Pérdida de la inversión pública ($20.287.349,08), riesgo para la seguridad física de la sede municipal e inicio de trámites de siniestro de estabilidad.</w:t>
            </w:r>
          </w:p>
        </w:tc>
        <w:tc>
          <w:tcPr>
            <w:tcW w:w="425" w:type="dxa"/>
            <w:shd w:val="clear" w:color="auto" w:fill="auto"/>
            <w:tcMar>
              <w:left w:w="45" w:type="dxa"/>
              <w:right w:w="45" w:type="dxa"/>
            </w:tcMar>
            <w:vAlign w:val="center"/>
          </w:tcPr>
          <w:p w14:paraId="6293EE77"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2</w:t>
            </w:r>
          </w:p>
        </w:tc>
        <w:tc>
          <w:tcPr>
            <w:tcW w:w="425" w:type="dxa"/>
            <w:shd w:val="clear" w:color="auto" w:fill="auto"/>
            <w:tcMar>
              <w:left w:w="45" w:type="dxa"/>
              <w:right w:w="45" w:type="dxa"/>
            </w:tcMar>
            <w:vAlign w:val="center"/>
          </w:tcPr>
          <w:p w14:paraId="60302E5C"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4</w:t>
            </w:r>
          </w:p>
        </w:tc>
        <w:tc>
          <w:tcPr>
            <w:tcW w:w="425" w:type="dxa"/>
            <w:shd w:val="clear" w:color="auto" w:fill="auto"/>
            <w:tcMar>
              <w:left w:w="45" w:type="dxa"/>
              <w:right w:w="45" w:type="dxa"/>
            </w:tcMar>
            <w:vAlign w:val="center"/>
          </w:tcPr>
          <w:p w14:paraId="336F652D"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6</w:t>
            </w:r>
          </w:p>
        </w:tc>
        <w:tc>
          <w:tcPr>
            <w:tcW w:w="425" w:type="dxa"/>
            <w:shd w:val="clear" w:color="auto" w:fill="auto"/>
            <w:tcMar>
              <w:left w:w="45" w:type="dxa"/>
              <w:right w:w="45" w:type="dxa"/>
            </w:tcMar>
            <w:vAlign w:val="center"/>
          </w:tcPr>
          <w:p w14:paraId="53893C73"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Medio</w:t>
            </w:r>
          </w:p>
        </w:tc>
        <w:tc>
          <w:tcPr>
            <w:tcW w:w="620" w:type="dxa"/>
            <w:shd w:val="clear" w:color="auto" w:fill="auto"/>
            <w:tcMar>
              <w:left w:w="45" w:type="dxa"/>
              <w:right w:w="45" w:type="dxa"/>
            </w:tcMar>
            <w:vAlign w:val="center"/>
          </w:tcPr>
          <w:p w14:paraId="52E0DE18"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Contratista</w:t>
            </w:r>
          </w:p>
        </w:tc>
        <w:tc>
          <w:tcPr>
            <w:tcW w:w="1250" w:type="dxa"/>
            <w:shd w:val="clear" w:color="auto" w:fill="auto"/>
            <w:tcMar>
              <w:left w:w="45" w:type="dxa"/>
              <w:right w:w="45" w:type="dxa"/>
            </w:tcMar>
            <w:vAlign w:val="center"/>
          </w:tcPr>
          <w:p w14:paraId="17B52227"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Control exhaustivo de compactación de base y resistencias en supervisión; constitución obligatoria de Póliza de Estabilidad y Calidad de la Obra por cinco (5) años (Dec. 1082/2015).</w:t>
            </w:r>
          </w:p>
        </w:tc>
        <w:tc>
          <w:tcPr>
            <w:tcW w:w="425" w:type="dxa"/>
            <w:shd w:val="clear" w:color="auto" w:fill="auto"/>
            <w:tcMar>
              <w:left w:w="45" w:type="dxa"/>
              <w:right w:w="45" w:type="dxa"/>
            </w:tcMar>
            <w:vAlign w:val="center"/>
          </w:tcPr>
          <w:p w14:paraId="1AEBE712"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1</w:t>
            </w:r>
          </w:p>
        </w:tc>
        <w:tc>
          <w:tcPr>
            <w:tcW w:w="425" w:type="dxa"/>
            <w:shd w:val="clear" w:color="auto" w:fill="auto"/>
            <w:tcMar>
              <w:left w:w="45" w:type="dxa"/>
              <w:right w:w="45" w:type="dxa"/>
            </w:tcMar>
            <w:vAlign w:val="center"/>
          </w:tcPr>
          <w:p w14:paraId="670C5A27"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2</w:t>
            </w:r>
          </w:p>
        </w:tc>
        <w:tc>
          <w:tcPr>
            <w:tcW w:w="425" w:type="dxa"/>
            <w:shd w:val="clear" w:color="auto" w:fill="auto"/>
            <w:tcMar>
              <w:left w:w="45" w:type="dxa"/>
              <w:right w:w="45" w:type="dxa"/>
            </w:tcMar>
            <w:vAlign w:val="center"/>
          </w:tcPr>
          <w:p w14:paraId="5FEB8858"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3</w:t>
            </w:r>
          </w:p>
        </w:tc>
        <w:tc>
          <w:tcPr>
            <w:tcW w:w="425" w:type="dxa"/>
            <w:shd w:val="clear" w:color="auto" w:fill="auto"/>
            <w:tcMar>
              <w:left w:w="45" w:type="dxa"/>
              <w:right w:w="45" w:type="dxa"/>
            </w:tcMar>
            <w:vAlign w:val="center"/>
          </w:tcPr>
          <w:p w14:paraId="69DA93AC"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Bajo</w:t>
            </w:r>
          </w:p>
        </w:tc>
        <w:tc>
          <w:tcPr>
            <w:tcW w:w="600" w:type="dxa"/>
            <w:shd w:val="clear" w:color="auto" w:fill="auto"/>
            <w:tcMar>
              <w:left w:w="45" w:type="dxa"/>
              <w:right w:w="45" w:type="dxa"/>
            </w:tcMar>
            <w:vAlign w:val="center"/>
          </w:tcPr>
          <w:p w14:paraId="0160296B"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No</w:t>
            </w:r>
          </w:p>
        </w:tc>
        <w:tc>
          <w:tcPr>
            <w:tcW w:w="900" w:type="dxa"/>
            <w:shd w:val="clear" w:color="auto" w:fill="auto"/>
            <w:tcMar>
              <w:left w:w="45" w:type="dxa"/>
              <w:right w:w="45" w:type="dxa"/>
            </w:tcMar>
            <w:vAlign w:val="center"/>
          </w:tcPr>
          <w:p w14:paraId="6121B1FB"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Supervisor del Contrato (conforme al Art. 4 num. 4 Ley 80/93)</w:t>
            </w:r>
          </w:p>
        </w:tc>
        <w:tc>
          <w:tcPr>
            <w:tcW w:w="800" w:type="dxa"/>
            <w:shd w:val="clear" w:color="auto" w:fill="auto"/>
            <w:tcMar>
              <w:left w:w="45" w:type="dxa"/>
              <w:right w:w="45" w:type="dxa"/>
            </w:tcMar>
            <w:vAlign w:val="center"/>
          </w:tcPr>
          <w:p w14:paraId="64B5C84B"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Al recibo final a satisfacción y durante el término de vigencia de la garantía decenal/póliza</w:t>
            </w:r>
          </w:p>
        </w:tc>
        <w:tc>
          <w:tcPr>
            <w:tcW w:w="1000" w:type="dxa"/>
            <w:shd w:val="clear" w:color="auto" w:fill="auto"/>
            <w:tcMar>
              <w:left w:w="45" w:type="dxa"/>
              <w:right w:w="45" w:type="dxa"/>
            </w:tcMar>
            <w:vAlign w:val="center"/>
          </w:tcPr>
          <w:p w14:paraId="2CD1CFF2"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Inspecciones técnicas visuales periódicas semestrales al cerramiento y andén del Palacio Municipal.</w:t>
            </w:r>
          </w:p>
        </w:tc>
        <w:tc>
          <w:tcPr>
            <w:tcW w:w="655" w:type="dxa"/>
            <w:shd w:val="clear" w:color="auto" w:fill="auto"/>
            <w:tcMar>
              <w:left w:w="45" w:type="dxa"/>
              <w:right w:w="45" w:type="dxa"/>
            </w:tcMar>
            <w:vAlign w:val="center"/>
          </w:tcPr>
          <w:p w14:paraId="08234392" w14:textId="77777777" w:rsidR="00D91F90" w:rsidRPr="00FF5BE9" w:rsidRDefault="00D91F90" w:rsidP="0068195B">
            <w:pPr>
              <w:spacing w:before="20" w:after="2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 xml:space="preserve">Semestral </w:t>
            </w:r>
            <w:proofErr w:type="spellStart"/>
            <w:r>
              <w:rPr>
                <w:rFonts w:ascii="Arial" w:eastAsia="SimSun" w:hAnsi="Arial" w:cs="Arial"/>
                <w:kern w:val="3"/>
                <w:sz w:val="14"/>
                <w:szCs w:val="14"/>
                <w:lang w:eastAsia="zh-CN" w:bidi="hi-IN"/>
              </w:rPr>
              <w:t>post-liquidación</w:t>
            </w:r>
            <w:proofErr w:type="spellEnd"/>
          </w:p>
        </w:tc>
      </w:tr>
    </w:tbl>
    <w:p w14:paraId="25D56FAC" w14:textId="77777777" w:rsidR="00D91F90" w:rsidRPr="002C3E53" w:rsidRDefault="00D91F90" w:rsidP="00D91F90">
      <w:pPr>
        <w:spacing w:after="100" w:afterAutospacing="1"/>
        <w:jc w:val="center"/>
        <w:rPr>
          <w:rFonts w:ascii="Arial" w:eastAsia="SimSun" w:hAnsi="Arial" w:cs="Arial"/>
          <w:kern w:val="3"/>
          <w:sz w:val="20"/>
          <w:szCs w:val="20"/>
          <w:lang w:eastAsia="zh-CN" w:bidi="hi-IN"/>
        </w:rPr>
      </w:pPr>
    </w:p>
    <w:p w14:paraId="0829E923" w14:textId="77777777" w:rsidR="00D91F90" w:rsidRPr="00FF5BE9" w:rsidRDefault="00D91F90" w:rsidP="00D91F90">
      <w:pPr>
        <w:spacing w:after="100" w:afterAutospacing="1"/>
        <w:rPr>
          <w:rFonts w:ascii="Arial" w:eastAsia="SimSun" w:hAnsi="Arial" w:cs="Arial"/>
          <w:kern w:val="3"/>
          <w:sz w:val="20"/>
          <w:szCs w:val="20"/>
          <w:lang w:eastAsia="zh-CN" w:bidi="hi-IN"/>
        </w:rPr>
      </w:pPr>
    </w:p>
    <w:p w14:paraId="4AE19A6A"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0F4C04">
      <w:headerReference w:type="default" r:id="rId13"/>
      <w:footerReference w:type="default" r:id="rId14"/>
      <w:pgSz w:w="15840" w:h="12240" w:orient="landscape"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C38E3" w14:textId="77777777" w:rsidR="008D1878" w:rsidRDefault="008D1878" w:rsidP="00091875">
      <w:pPr>
        <w:spacing w:line="240" w:lineRule="auto"/>
      </w:pPr>
      <w:r>
        <w:separator/>
      </w:r>
    </w:p>
  </w:endnote>
  <w:endnote w:type="continuationSeparator" w:id="0">
    <w:p w14:paraId="67CDA6BB" w14:textId="77777777" w:rsidR="008D1878" w:rsidRDefault="008D1878"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6DA2A" w14:textId="77777777" w:rsidR="00A05E1E" w:rsidRDefault="00A05E1E" w:rsidP="00A05E1E">
    <w:pPr>
      <w:rPr>
        <w:rFonts w:ascii="Arial" w:eastAsia="Arial" w:hAnsi="Arial" w:cs="Arial"/>
        <w:b/>
        <w:bCs/>
        <w:sz w:val="18"/>
        <w:szCs w:val="18"/>
      </w:rPr>
    </w:pPr>
    <w:r>
      <w:rPr>
        <w:rFonts w:ascii="Arial" w:eastAsia="Arial" w:hAnsi="Arial" w:cs="Arial"/>
        <w:b/>
        <w:bCs/>
        <w:sz w:val="18"/>
        <w:szCs w:val="18"/>
      </w:rPr>
      <w:t>TEL: (605) 4140498                                                                                                      DIRECCIÓN: Carrera 5 No. 4-48</w:t>
    </w:r>
    <w:r>
      <w:rPr>
        <w:noProof/>
      </w:rPr>
      <w:drawing>
        <wp:anchor distT="0" distB="0" distL="114300" distR="114300" simplePos="0" relativeHeight="251670528" behindDoc="0" locked="0" layoutInCell="1" hidden="0" allowOverlap="1" wp14:anchorId="7836C756" wp14:editId="688A34BC">
          <wp:simplePos x="0" y="0"/>
          <wp:positionH relativeFrom="column">
            <wp:posOffset>5610</wp:posOffset>
          </wp:positionH>
          <wp:positionV relativeFrom="paragraph">
            <wp:posOffset>236852</wp:posOffset>
          </wp:positionV>
          <wp:extent cx="146050" cy="146050"/>
          <wp:effectExtent l="0" t="0" r="0" b="0"/>
          <wp:wrapNone/>
          <wp:docPr id="5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146050" cy="146050"/>
                  </a:xfrm>
                  <a:prstGeom prst="rect">
                    <a:avLst/>
                  </a:prstGeom>
                  <a:ln/>
                </pic:spPr>
              </pic:pic>
            </a:graphicData>
          </a:graphic>
        </wp:anchor>
      </w:drawing>
    </w:r>
  </w:p>
  <w:p w14:paraId="781C7EBB" w14:textId="77777777" w:rsidR="00A05E1E" w:rsidRDefault="00A05E1E" w:rsidP="00A05E1E">
    <w:pPr>
      <w:rPr>
        <w:rFonts w:ascii="Arial" w:eastAsia="Arial" w:hAnsi="Arial" w:cs="Arial"/>
        <w:b/>
        <w:bCs/>
        <w:sz w:val="18"/>
        <w:szCs w:val="18"/>
      </w:rPr>
    </w:pPr>
    <w:r>
      <w:rPr>
        <w:rFonts w:ascii="Arial" w:eastAsia="Arial" w:hAnsi="Arial" w:cs="Arial"/>
        <w:sz w:val="18"/>
        <w:szCs w:val="18"/>
      </w:rPr>
      <w:t xml:space="preserve">     </w:t>
    </w:r>
    <w:r>
      <w:rPr>
        <w:rFonts w:ascii="Arial" w:eastAsia="Arial" w:hAnsi="Arial" w:cs="Arial"/>
        <w:b/>
        <w:bCs/>
        <w:sz w:val="18"/>
        <w:szCs w:val="18"/>
      </w:rPr>
      <w:t xml:space="preserve">: </w:t>
    </w:r>
    <w:hyperlink r:id="rId2">
      <w:r>
        <w:rPr>
          <w:rFonts w:ascii="Arial" w:eastAsia="Arial" w:hAnsi="Arial" w:cs="Arial"/>
          <w:b/>
          <w:bCs/>
          <w:color w:val="0000FF"/>
          <w:sz w:val="18"/>
          <w:szCs w:val="18"/>
          <w:u w:val="single"/>
        </w:rPr>
        <w:t>https://www.fundacion-magdalena.gov.co</w:t>
      </w:r>
    </w:hyperlink>
    <w:r>
      <w:rPr>
        <w:rFonts w:ascii="Arial" w:eastAsia="Arial" w:hAnsi="Arial" w:cs="Arial"/>
        <w:b/>
        <w:bCs/>
        <w:sz w:val="18"/>
        <w:szCs w:val="18"/>
      </w:rPr>
      <w:t xml:space="preserve">                            : </w:t>
    </w:r>
    <w:hyperlink r:id="rId3">
      <w:r>
        <w:rPr>
          <w:rFonts w:ascii="Arial" w:eastAsia="Arial" w:hAnsi="Arial" w:cs="Arial"/>
          <w:b/>
          <w:bCs/>
          <w:color w:val="0000FF"/>
          <w:sz w:val="18"/>
          <w:szCs w:val="18"/>
          <w:u w:val="single"/>
        </w:rPr>
        <w:t>ventanillaunica@fundacion-magdalena.gov.co</w:t>
      </w:r>
    </w:hyperlink>
    <w:r>
      <w:rPr>
        <w:noProof/>
      </w:rPr>
      <w:drawing>
        <wp:anchor distT="0" distB="0" distL="114300" distR="114300" simplePos="0" relativeHeight="251671552" behindDoc="0" locked="0" layoutInCell="1" hidden="0" allowOverlap="1" wp14:anchorId="1916124D" wp14:editId="7EC8CD11">
          <wp:simplePos x="0" y="0"/>
          <wp:positionH relativeFrom="column">
            <wp:posOffset>3231515</wp:posOffset>
          </wp:positionH>
          <wp:positionV relativeFrom="paragraph">
            <wp:posOffset>25400</wp:posOffset>
          </wp:positionV>
          <wp:extent cx="129540" cy="94615"/>
          <wp:effectExtent l="0" t="0" r="0" b="0"/>
          <wp:wrapNone/>
          <wp:docPr id="6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t="14367" b="12712"/>
                  <a:stretch>
                    <a:fillRect/>
                  </a:stretch>
                </pic:blipFill>
                <pic:spPr>
                  <a:xfrm>
                    <a:off x="0" y="0"/>
                    <a:ext cx="129540" cy="94615"/>
                  </a:xfrm>
                  <a:prstGeom prst="rect">
                    <a:avLst/>
                  </a:prstGeom>
                  <a:ln/>
                </pic:spPr>
              </pic:pic>
            </a:graphicData>
          </a:graphic>
        </wp:anchor>
      </w:drawing>
    </w:r>
  </w:p>
  <w:p w14:paraId="3E94C0A3" w14:textId="77777777" w:rsidR="00091875" w:rsidRDefault="00091875" w:rsidP="001E33E1">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257FF" w14:textId="005FAA3D" w:rsidR="00A05E1E" w:rsidRDefault="00A05E1E" w:rsidP="00A05E1E">
    <w:pPr>
      <w:rPr>
        <w:rFonts w:ascii="Arial" w:eastAsia="Arial" w:hAnsi="Arial" w:cs="Arial"/>
        <w:b/>
        <w:bCs/>
        <w:sz w:val="18"/>
        <w:szCs w:val="18"/>
      </w:rPr>
    </w:pPr>
    <w:r>
      <w:rPr>
        <w:noProof/>
      </w:rPr>
      <w:drawing>
        <wp:anchor distT="0" distB="0" distL="114300" distR="114300" simplePos="0" relativeHeight="251673600" behindDoc="0" locked="0" layoutInCell="1" hidden="0" allowOverlap="1" wp14:anchorId="1A6A427F" wp14:editId="6BB0A164">
          <wp:simplePos x="0" y="0"/>
          <wp:positionH relativeFrom="column">
            <wp:posOffset>1510030</wp:posOffset>
          </wp:positionH>
          <wp:positionV relativeFrom="paragraph">
            <wp:posOffset>140970</wp:posOffset>
          </wp:positionV>
          <wp:extent cx="146050" cy="146050"/>
          <wp:effectExtent l="0" t="0" r="6350" b="6350"/>
          <wp:wrapNone/>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146050" cy="146050"/>
                  </a:xfrm>
                  <a:prstGeom prst="rect">
                    <a:avLst/>
                  </a:prstGeom>
                  <a:ln/>
                </pic:spPr>
              </pic:pic>
            </a:graphicData>
          </a:graphic>
        </wp:anchor>
      </w:drawing>
    </w:r>
    <w:r>
      <w:rPr>
        <w:rFonts w:ascii="Arial" w:eastAsia="Arial" w:hAnsi="Arial" w:cs="Arial"/>
        <w:b/>
        <w:bCs/>
        <w:sz w:val="18"/>
        <w:szCs w:val="18"/>
      </w:rPr>
      <w:t xml:space="preserve">                                                       </w:t>
    </w:r>
    <w:r>
      <w:rPr>
        <w:rFonts w:ascii="Arial" w:eastAsia="Arial" w:hAnsi="Arial" w:cs="Arial"/>
        <w:b/>
        <w:bCs/>
        <w:sz w:val="18"/>
        <w:szCs w:val="18"/>
      </w:rPr>
      <w:t>TEL: (605) 4140498                                                                                                      DIRECCIÓN: Carrera 5 No. 4-48</w:t>
    </w:r>
  </w:p>
  <w:p w14:paraId="283A923B" w14:textId="37F65675" w:rsidR="00091875" w:rsidRPr="00A05E1E" w:rsidRDefault="00A05E1E" w:rsidP="00A05E1E">
    <w:pPr>
      <w:rPr>
        <w:rFonts w:ascii="Arial" w:eastAsia="Arial" w:hAnsi="Arial" w:cs="Arial"/>
        <w:b/>
        <w:bCs/>
        <w:sz w:val="18"/>
        <w:szCs w:val="18"/>
      </w:rPr>
    </w:pPr>
    <w:r>
      <w:rPr>
        <w:noProof/>
      </w:rPr>
      <w:drawing>
        <wp:anchor distT="0" distB="0" distL="114300" distR="114300" simplePos="0" relativeHeight="251674624" behindDoc="0" locked="0" layoutInCell="1" hidden="0" allowOverlap="1" wp14:anchorId="18A68472" wp14:editId="6BD74F75">
          <wp:simplePos x="0" y="0"/>
          <wp:positionH relativeFrom="column">
            <wp:posOffset>5860415</wp:posOffset>
          </wp:positionH>
          <wp:positionV relativeFrom="paragraph">
            <wp:posOffset>25400</wp:posOffset>
          </wp:positionV>
          <wp:extent cx="129540" cy="94615"/>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t="14367" b="12712"/>
                  <a:stretch>
                    <a:fillRect/>
                  </a:stretch>
                </pic:blipFill>
                <pic:spPr>
                  <a:xfrm>
                    <a:off x="0" y="0"/>
                    <a:ext cx="129540" cy="94615"/>
                  </a:xfrm>
                  <a:prstGeom prst="rect">
                    <a:avLst/>
                  </a:prstGeom>
                  <a:ln/>
                </pic:spPr>
              </pic:pic>
            </a:graphicData>
          </a:graphic>
        </wp:anchor>
      </w:drawing>
    </w:r>
    <w:r>
      <w:rPr>
        <w:rFonts w:ascii="Arial" w:eastAsia="Arial" w:hAnsi="Arial" w:cs="Arial"/>
        <w:b/>
        <w:bCs/>
        <w:sz w:val="18"/>
        <w:szCs w:val="18"/>
      </w:rPr>
      <w:t xml:space="preserve">                                                     </w:t>
    </w:r>
    <w:r>
      <w:rPr>
        <w:rFonts w:ascii="Arial" w:eastAsia="Arial" w:hAnsi="Arial" w:cs="Arial"/>
        <w:b/>
        <w:bCs/>
        <w:sz w:val="18"/>
        <w:szCs w:val="18"/>
      </w:rPr>
      <w:t xml:space="preserve">: </w:t>
    </w:r>
    <w:hyperlink r:id="rId3">
      <w:r>
        <w:rPr>
          <w:rFonts w:ascii="Arial" w:eastAsia="Arial" w:hAnsi="Arial" w:cs="Arial"/>
          <w:b/>
          <w:bCs/>
          <w:color w:val="0000FF"/>
          <w:sz w:val="18"/>
          <w:szCs w:val="18"/>
          <w:u w:val="single"/>
        </w:rPr>
        <w:t>https://www.fundacion-magdalena.gov.co</w:t>
      </w:r>
    </w:hyperlink>
    <w:r>
      <w:rPr>
        <w:rFonts w:ascii="Arial" w:eastAsia="Arial" w:hAnsi="Arial" w:cs="Arial"/>
        <w:b/>
        <w:bCs/>
        <w:sz w:val="18"/>
        <w:szCs w:val="18"/>
      </w:rPr>
      <w:t xml:space="preserve">                            </w:t>
    </w:r>
    <w:r>
      <w:rPr>
        <w:rFonts w:ascii="Arial" w:eastAsia="Arial" w:hAnsi="Arial" w:cs="Arial"/>
        <w:b/>
        <w:bCs/>
        <w:sz w:val="18"/>
        <w:szCs w:val="18"/>
      </w:rPr>
      <w:t xml:space="preserve">                                   </w:t>
    </w:r>
    <w:r>
      <w:rPr>
        <w:rFonts w:ascii="Arial" w:eastAsia="Arial" w:hAnsi="Arial" w:cs="Arial"/>
        <w:b/>
        <w:bCs/>
        <w:sz w:val="18"/>
        <w:szCs w:val="18"/>
      </w:rPr>
      <w:t xml:space="preserve">: </w:t>
    </w:r>
    <w:hyperlink r:id="rId4">
      <w:r>
        <w:rPr>
          <w:rFonts w:ascii="Arial" w:eastAsia="Arial" w:hAnsi="Arial" w:cs="Arial"/>
          <w:b/>
          <w:bCs/>
          <w:color w:val="0000FF"/>
          <w:sz w:val="18"/>
          <w:szCs w:val="18"/>
          <w:u w:val="single"/>
        </w:rPr>
        <w:t>ventanillaunica@fundacion-magdalena.gov.co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2E161" w14:textId="77777777" w:rsidR="008D1878" w:rsidRDefault="008D1878" w:rsidP="00091875">
      <w:pPr>
        <w:spacing w:line="240" w:lineRule="auto"/>
      </w:pPr>
      <w:r>
        <w:separator/>
      </w:r>
    </w:p>
  </w:footnote>
  <w:footnote w:type="continuationSeparator" w:id="0">
    <w:p w14:paraId="279EFBFE" w14:textId="77777777" w:rsidR="008D1878" w:rsidRDefault="008D1878"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48992" w14:textId="0C226E15" w:rsidR="00A05E1E" w:rsidRDefault="00A05E1E" w:rsidP="00A05E1E">
    <w:pPr>
      <w:rPr>
        <w:b/>
        <w:bCs/>
      </w:rPr>
    </w:pPr>
    <w:r>
      <w:rPr>
        <w:noProof/>
      </w:rPr>
      <mc:AlternateContent>
        <mc:Choice Requires="wps">
          <w:drawing>
            <wp:anchor distT="0" distB="0" distL="114300" distR="114300" simplePos="0" relativeHeight="251663360" behindDoc="0" locked="0" layoutInCell="1" allowOverlap="1" wp14:anchorId="1FE5D3E7" wp14:editId="4D3C493E">
              <wp:simplePos x="0" y="0"/>
              <wp:positionH relativeFrom="column">
                <wp:posOffset>1638300</wp:posOffset>
              </wp:positionH>
              <wp:positionV relativeFrom="paragraph">
                <wp:posOffset>-262128</wp:posOffset>
              </wp:positionV>
              <wp:extent cx="0" cy="377952"/>
              <wp:effectExtent l="0" t="0" r="38100" b="22225"/>
              <wp:wrapNone/>
              <wp:docPr id="1" name="Conector recto 1"/>
              <wp:cNvGraphicFramePr/>
              <a:graphic xmlns:a="http://schemas.openxmlformats.org/drawingml/2006/main">
                <a:graphicData uri="http://schemas.microsoft.com/office/word/2010/wordprocessingShape">
                  <wps:wsp>
                    <wps:cNvCnPr/>
                    <wps:spPr>
                      <a:xfrm>
                        <a:off x="0" y="0"/>
                        <a:ext cx="0" cy="37795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7FF8E7" id="Conector rec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pt,-20.65pt" to="129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" strokecolor="black [3040]"/>
          </w:pict>
        </mc:Fallback>
      </mc:AlternateContent>
    </w:r>
    <w:r>
      <w:rPr>
        <w:noProof/>
      </w:rPr>
      <w:drawing>
        <wp:anchor distT="0" distB="0" distL="114300" distR="114300" simplePos="0" relativeHeight="251660288" behindDoc="0" locked="0" layoutInCell="1" hidden="0" allowOverlap="1" wp14:anchorId="65F020B3" wp14:editId="16D96CA7">
          <wp:simplePos x="0" y="0"/>
          <wp:positionH relativeFrom="column">
            <wp:posOffset>1692159</wp:posOffset>
          </wp:positionH>
          <wp:positionV relativeFrom="paragraph">
            <wp:posOffset>-245745</wp:posOffset>
          </wp:positionV>
          <wp:extent cx="609600" cy="459105"/>
          <wp:effectExtent l="0" t="0" r="0" b="0"/>
          <wp:wrapNone/>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
                  <a:srcRect l="13264" t="22619" r="9566" b="19048"/>
                  <a:stretch>
                    <a:fillRect/>
                  </a:stretch>
                </pic:blipFill>
                <pic:spPr>
                  <a:xfrm>
                    <a:off x="0" y="0"/>
                    <a:ext cx="609600" cy="459105"/>
                  </a:xfrm>
                  <a:prstGeom prst="rect">
                    <a:avLst/>
                  </a:prstGeom>
                  <a:ln/>
                </pic:spPr>
              </pic:pic>
            </a:graphicData>
          </a:graphic>
        </wp:anchor>
      </w:drawing>
    </w:r>
    <w:r>
      <w:rPr>
        <w:noProof/>
      </w:rPr>
      <mc:AlternateContent>
        <mc:Choice Requires="wps">
          <w:drawing>
            <wp:anchor distT="45720" distB="45720" distL="114300" distR="114300" simplePos="0" relativeHeight="251662336" behindDoc="0" locked="0" layoutInCell="1" hidden="0" allowOverlap="1" wp14:anchorId="2AEF7CF8" wp14:editId="5ADFFBBD">
              <wp:simplePos x="0" y="0"/>
              <wp:positionH relativeFrom="column">
                <wp:posOffset>112164</wp:posOffset>
              </wp:positionH>
              <wp:positionV relativeFrom="paragraph">
                <wp:posOffset>46702</wp:posOffset>
              </wp:positionV>
              <wp:extent cx="1261745" cy="301625"/>
              <wp:effectExtent l="0" t="0" r="0" b="0"/>
              <wp:wrapNone/>
              <wp:docPr id="58" name="Rectángulo 58"/>
              <wp:cNvGraphicFramePr/>
              <a:graphic xmlns:a="http://schemas.openxmlformats.org/drawingml/2006/main">
                <a:graphicData uri="http://schemas.microsoft.com/office/word/2010/wordprocessingShape">
                  <wps:wsp>
                    <wps:cNvSpPr/>
                    <wps:spPr>
                      <a:xfrm>
                        <a:off x="0" y="0"/>
                        <a:ext cx="1261745" cy="301625"/>
                      </a:xfrm>
                      <a:prstGeom prst="rect">
                        <a:avLst/>
                      </a:prstGeom>
                      <a:noFill/>
                      <a:ln>
                        <a:noFill/>
                      </a:ln>
                    </wps:spPr>
                    <wps:txbx>
                      <w:txbxContent>
                        <w:p w14:paraId="7A047D72" w14:textId="77777777" w:rsidR="00A05E1E" w:rsidRDefault="00A05E1E" w:rsidP="00A05E1E">
                          <w:pPr>
                            <w:spacing w:line="258" w:lineRule="auto"/>
                            <w:textDirection w:val="btLr"/>
                          </w:pPr>
                          <w:r>
                            <w:rPr>
                              <w:b/>
                              <w:color w:val="000000"/>
                            </w:rPr>
                            <w:t>NIT: 891780045-1</w:t>
                          </w:r>
                        </w:p>
                      </w:txbxContent>
                    </wps:txbx>
                    <wps:bodyPr spcFirstLastPara="1" wrap="square" lIns="91425" tIns="45700" rIns="91425" bIns="45700" anchor="t" anchorCtr="0">
                      <a:noAutofit/>
                    </wps:bodyPr>
                  </wps:wsp>
                </a:graphicData>
              </a:graphic>
            </wp:anchor>
          </w:drawing>
        </mc:Choice>
        <mc:Fallback>
          <w:pict>
            <v:rect w14:anchorId="2AEF7CF8" id="Rectángulo 58" o:spid="_x0000_s1026" style="position:absolute;left:0;text-align:left;margin-left:8.85pt;margin-top:3.7pt;width:99.35pt;height:23.75pt;z-index:2516623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" filled="f" stroked="f">
              <v:textbox inset="2.53958mm,1.2694mm,2.53958mm,1.2694mm">
                <w:txbxContent>
                  <w:p w14:paraId="7A047D72" w14:textId="77777777" w:rsidR="00A05E1E" w:rsidRDefault="00A05E1E" w:rsidP="00A05E1E">
                    <w:pPr>
                      <w:spacing w:line="258" w:lineRule="auto"/>
                      <w:textDirection w:val="btLr"/>
                    </w:pPr>
                    <w:r>
                      <w:rPr>
                        <w:b/>
                        <w:color w:val="000000"/>
                      </w:rPr>
                      <w:t>NIT: 891780045-1</w:t>
                    </w:r>
                  </w:p>
                </w:txbxContent>
              </v:textbox>
            </v:rect>
          </w:pict>
        </mc:Fallback>
      </mc:AlternateContent>
    </w:r>
    <w:r>
      <w:rPr>
        <w:noProof/>
      </w:rPr>
      <w:drawing>
        <wp:anchor distT="0" distB="0" distL="0" distR="0" simplePos="0" relativeHeight="251659264" behindDoc="1" locked="0" layoutInCell="1" hidden="0" allowOverlap="1" wp14:anchorId="56AE741D" wp14:editId="1EEDDD31">
          <wp:simplePos x="0" y="0"/>
          <wp:positionH relativeFrom="column">
            <wp:posOffset>-324716</wp:posOffset>
          </wp:positionH>
          <wp:positionV relativeFrom="paragraph">
            <wp:posOffset>-418465</wp:posOffset>
          </wp:positionV>
          <wp:extent cx="1924050" cy="715010"/>
          <wp:effectExtent l="0" t="0" r="0" b="0"/>
          <wp:wrapNone/>
          <wp:docPr id="9" name="image12.png" descr="Imagen que contiene computer, computadora, oscuro, luz"/>
          <wp:cNvGraphicFramePr/>
          <a:graphic xmlns:a="http://schemas.openxmlformats.org/drawingml/2006/main">
            <a:graphicData uri="http://schemas.openxmlformats.org/drawingml/2006/picture">
              <pic:pic xmlns:pic="http://schemas.openxmlformats.org/drawingml/2006/picture">
                <pic:nvPicPr>
                  <pic:cNvPr id="0" name="image12.png" descr="Imagen que contiene computer, computadora, oscuro, luz"/>
                  <pic:cNvPicPr preferRelativeResize="0"/>
                </pic:nvPicPr>
                <pic:blipFill>
                  <a:blip r:embed="rId2"/>
                  <a:srcRect l="33523" t="1420" r="34255" b="91478"/>
                  <a:stretch>
                    <a:fillRect/>
                  </a:stretch>
                </pic:blipFill>
                <pic:spPr>
                  <a:xfrm>
                    <a:off x="0" y="0"/>
                    <a:ext cx="1924050" cy="715010"/>
                  </a:xfrm>
                  <a:prstGeom prst="rect">
                    <a:avLst/>
                  </a:prstGeom>
                  <a:ln/>
                </pic:spPr>
              </pic:pic>
            </a:graphicData>
          </a:graphic>
        </wp:anchor>
      </w:drawing>
    </w:r>
    <w:r>
      <w:rPr>
        <w:b/>
        <w:bCs/>
      </w:rPr>
      <w:t xml:space="preserve">      </w:t>
    </w:r>
    <w:bookmarkStart w:id="0" w:name="_heading=h.9knopypy48qw" w:colFirst="0" w:colLast="0"/>
    <w:bookmarkEnd w:id="0"/>
  </w:p>
  <w:p w14:paraId="433B288A" w14:textId="77777777" w:rsidR="00F8011E" w:rsidRDefault="00F8011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49EAF" w14:textId="77777777" w:rsidR="00A05E1E" w:rsidRDefault="00A05E1E" w:rsidP="00A05E1E">
    <w:pPr>
      <w:rPr>
        <w:b/>
        <w:bCs/>
      </w:rPr>
    </w:pPr>
    <w:r>
      <w:rPr>
        <w:noProof/>
      </w:rPr>
      <mc:AlternateContent>
        <mc:Choice Requires="wps">
          <w:drawing>
            <wp:anchor distT="0" distB="0" distL="114300" distR="114300" simplePos="0" relativeHeight="251668480" behindDoc="0" locked="0" layoutInCell="1" allowOverlap="1" wp14:anchorId="52288ADF" wp14:editId="78646B0B">
              <wp:simplePos x="0" y="0"/>
              <wp:positionH relativeFrom="column">
                <wp:posOffset>1638300</wp:posOffset>
              </wp:positionH>
              <wp:positionV relativeFrom="paragraph">
                <wp:posOffset>-262128</wp:posOffset>
              </wp:positionV>
              <wp:extent cx="0" cy="377952"/>
              <wp:effectExtent l="0" t="0" r="38100" b="22225"/>
              <wp:wrapNone/>
              <wp:docPr id="2" name="Conector recto 2"/>
              <wp:cNvGraphicFramePr/>
              <a:graphic xmlns:a="http://schemas.openxmlformats.org/drawingml/2006/main">
                <a:graphicData uri="http://schemas.microsoft.com/office/word/2010/wordprocessingShape">
                  <wps:wsp>
                    <wps:cNvCnPr/>
                    <wps:spPr>
                      <a:xfrm>
                        <a:off x="0" y="0"/>
                        <a:ext cx="0" cy="37795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3E386E" id="Conector recto 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pt,-20.65pt" to="129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" strokecolor="black [3040]"/>
          </w:pict>
        </mc:Fallback>
      </mc:AlternateContent>
    </w:r>
    <w:r>
      <w:rPr>
        <w:noProof/>
      </w:rPr>
      <w:drawing>
        <wp:anchor distT="0" distB="0" distL="114300" distR="114300" simplePos="0" relativeHeight="251666432" behindDoc="0" locked="0" layoutInCell="1" hidden="0" allowOverlap="1" wp14:anchorId="3F6B83A0" wp14:editId="1AA56A11">
          <wp:simplePos x="0" y="0"/>
          <wp:positionH relativeFrom="column">
            <wp:posOffset>1692159</wp:posOffset>
          </wp:positionH>
          <wp:positionV relativeFrom="paragraph">
            <wp:posOffset>-245745</wp:posOffset>
          </wp:positionV>
          <wp:extent cx="609600" cy="459105"/>
          <wp:effectExtent l="0" t="0" r="0" b="0"/>
          <wp:wrapNone/>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
                  <a:srcRect l="13264" t="22619" r="9566" b="19048"/>
                  <a:stretch>
                    <a:fillRect/>
                  </a:stretch>
                </pic:blipFill>
                <pic:spPr>
                  <a:xfrm>
                    <a:off x="0" y="0"/>
                    <a:ext cx="609600" cy="459105"/>
                  </a:xfrm>
                  <a:prstGeom prst="rect">
                    <a:avLst/>
                  </a:prstGeom>
                  <a:ln/>
                </pic:spPr>
              </pic:pic>
            </a:graphicData>
          </a:graphic>
        </wp:anchor>
      </w:drawing>
    </w:r>
    <w:r>
      <w:rPr>
        <w:noProof/>
      </w:rPr>
      <mc:AlternateContent>
        <mc:Choice Requires="wps">
          <w:drawing>
            <wp:anchor distT="45720" distB="45720" distL="114300" distR="114300" simplePos="0" relativeHeight="251667456" behindDoc="0" locked="0" layoutInCell="1" hidden="0" allowOverlap="1" wp14:anchorId="56E2D8F4" wp14:editId="57A9ED1E">
              <wp:simplePos x="0" y="0"/>
              <wp:positionH relativeFrom="column">
                <wp:posOffset>112164</wp:posOffset>
              </wp:positionH>
              <wp:positionV relativeFrom="paragraph">
                <wp:posOffset>46702</wp:posOffset>
              </wp:positionV>
              <wp:extent cx="1261745" cy="301625"/>
              <wp:effectExtent l="0" t="0" r="0" b="0"/>
              <wp:wrapNone/>
              <wp:docPr id="3" name="Rectángulo 3"/>
              <wp:cNvGraphicFramePr/>
              <a:graphic xmlns:a="http://schemas.openxmlformats.org/drawingml/2006/main">
                <a:graphicData uri="http://schemas.microsoft.com/office/word/2010/wordprocessingShape">
                  <wps:wsp>
                    <wps:cNvSpPr/>
                    <wps:spPr>
                      <a:xfrm>
                        <a:off x="0" y="0"/>
                        <a:ext cx="1261745" cy="301625"/>
                      </a:xfrm>
                      <a:prstGeom prst="rect">
                        <a:avLst/>
                      </a:prstGeom>
                      <a:noFill/>
                      <a:ln>
                        <a:noFill/>
                      </a:ln>
                    </wps:spPr>
                    <wps:txbx>
                      <w:txbxContent>
                        <w:p w14:paraId="246BA60B" w14:textId="77777777" w:rsidR="00A05E1E" w:rsidRDefault="00A05E1E" w:rsidP="00A05E1E">
                          <w:pPr>
                            <w:spacing w:line="258" w:lineRule="auto"/>
                            <w:textDirection w:val="btLr"/>
                          </w:pPr>
                          <w:r>
                            <w:rPr>
                              <w:b/>
                              <w:color w:val="000000"/>
                            </w:rPr>
                            <w:t>NIT: 891780045-1</w:t>
                          </w:r>
                        </w:p>
                      </w:txbxContent>
                    </wps:txbx>
                    <wps:bodyPr spcFirstLastPara="1" wrap="square" lIns="91425" tIns="45700" rIns="91425" bIns="45700" anchor="t" anchorCtr="0">
                      <a:noAutofit/>
                    </wps:bodyPr>
                  </wps:wsp>
                </a:graphicData>
              </a:graphic>
            </wp:anchor>
          </w:drawing>
        </mc:Choice>
        <mc:Fallback>
          <w:pict>
            <v:rect w14:anchorId="56E2D8F4" id="Rectángulo 3" o:spid="_x0000_s1027" style="position:absolute;left:0;text-align:left;margin-left:8.85pt;margin-top:3.7pt;width:99.35pt;height:23.75pt;z-index:25166745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" filled="f" stroked="f">
              <v:textbox inset="2.53958mm,1.2694mm,2.53958mm,1.2694mm">
                <w:txbxContent>
                  <w:p w14:paraId="246BA60B" w14:textId="77777777" w:rsidR="00A05E1E" w:rsidRDefault="00A05E1E" w:rsidP="00A05E1E">
                    <w:pPr>
                      <w:spacing w:line="258" w:lineRule="auto"/>
                      <w:textDirection w:val="btLr"/>
                    </w:pPr>
                    <w:r>
                      <w:rPr>
                        <w:b/>
                        <w:color w:val="000000"/>
                      </w:rPr>
                      <w:t>NIT: 891780045-1</w:t>
                    </w:r>
                  </w:p>
                </w:txbxContent>
              </v:textbox>
            </v:rect>
          </w:pict>
        </mc:Fallback>
      </mc:AlternateContent>
    </w:r>
    <w:r>
      <w:rPr>
        <w:noProof/>
      </w:rPr>
      <w:drawing>
        <wp:anchor distT="0" distB="0" distL="0" distR="0" simplePos="0" relativeHeight="251665408" behindDoc="1" locked="0" layoutInCell="1" hidden="0" allowOverlap="1" wp14:anchorId="2CFA87FE" wp14:editId="223FEAED">
          <wp:simplePos x="0" y="0"/>
          <wp:positionH relativeFrom="column">
            <wp:posOffset>-324716</wp:posOffset>
          </wp:positionH>
          <wp:positionV relativeFrom="paragraph">
            <wp:posOffset>-418465</wp:posOffset>
          </wp:positionV>
          <wp:extent cx="1924050" cy="715010"/>
          <wp:effectExtent l="0" t="0" r="0" b="0"/>
          <wp:wrapNone/>
          <wp:docPr id="5" name="image12.png" descr="Imagen que contiene computer, computadora, oscuro, luz"/>
          <wp:cNvGraphicFramePr/>
          <a:graphic xmlns:a="http://schemas.openxmlformats.org/drawingml/2006/main">
            <a:graphicData uri="http://schemas.openxmlformats.org/drawingml/2006/picture">
              <pic:pic xmlns:pic="http://schemas.openxmlformats.org/drawingml/2006/picture">
                <pic:nvPicPr>
                  <pic:cNvPr id="0" name="image12.png" descr="Imagen que contiene computer, computadora, oscuro, luz"/>
                  <pic:cNvPicPr preferRelativeResize="0"/>
                </pic:nvPicPr>
                <pic:blipFill>
                  <a:blip r:embed="rId2"/>
                  <a:srcRect l="33523" t="1420" r="34255" b="91478"/>
                  <a:stretch>
                    <a:fillRect/>
                  </a:stretch>
                </pic:blipFill>
                <pic:spPr>
                  <a:xfrm>
                    <a:off x="0" y="0"/>
                    <a:ext cx="1924050" cy="715010"/>
                  </a:xfrm>
                  <a:prstGeom prst="rect">
                    <a:avLst/>
                  </a:prstGeom>
                  <a:ln/>
                </pic:spPr>
              </pic:pic>
            </a:graphicData>
          </a:graphic>
        </wp:anchor>
      </w:drawing>
    </w:r>
    <w:r>
      <w:rPr>
        <w:b/>
        <w:bCs/>
      </w:rPr>
      <w:t xml:space="preserve">      </w:t>
    </w:r>
  </w:p>
  <w:p w14:paraId="0FC9D467" w14:textId="77777777" w:rsidR="00F8011E" w:rsidRDefault="00F801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8682F"/>
    <w:rsid w:val="00091875"/>
    <w:rsid w:val="000A2F3B"/>
    <w:rsid w:val="000C2AAE"/>
    <w:rsid w:val="000D26C5"/>
    <w:rsid w:val="000F4C04"/>
    <w:rsid w:val="00101037"/>
    <w:rsid w:val="00103B17"/>
    <w:rsid w:val="00106362"/>
    <w:rsid w:val="0011793B"/>
    <w:rsid w:val="001477DE"/>
    <w:rsid w:val="00150E48"/>
    <w:rsid w:val="0015719E"/>
    <w:rsid w:val="001653EA"/>
    <w:rsid w:val="00181502"/>
    <w:rsid w:val="001D1F23"/>
    <w:rsid w:val="001D4E64"/>
    <w:rsid w:val="001E33E1"/>
    <w:rsid w:val="001E546E"/>
    <w:rsid w:val="001E7630"/>
    <w:rsid w:val="00267732"/>
    <w:rsid w:val="00273844"/>
    <w:rsid w:val="00275402"/>
    <w:rsid w:val="00277255"/>
    <w:rsid w:val="002C3E53"/>
    <w:rsid w:val="00316FC7"/>
    <w:rsid w:val="003322F8"/>
    <w:rsid w:val="00336101"/>
    <w:rsid w:val="00350BB3"/>
    <w:rsid w:val="00363013"/>
    <w:rsid w:val="00374B32"/>
    <w:rsid w:val="00375454"/>
    <w:rsid w:val="00382212"/>
    <w:rsid w:val="0039239D"/>
    <w:rsid w:val="003A1074"/>
    <w:rsid w:val="003B6A4A"/>
    <w:rsid w:val="003B7338"/>
    <w:rsid w:val="003E331F"/>
    <w:rsid w:val="003E4428"/>
    <w:rsid w:val="003F1C55"/>
    <w:rsid w:val="003F4C27"/>
    <w:rsid w:val="003F50E3"/>
    <w:rsid w:val="00426B4F"/>
    <w:rsid w:val="004338C5"/>
    <w:rsid w:val="0049672B"/>
    <w:rsid w:val="004D7C35"/>
    <w:rsid w:val="004F2F86"/>
    <w:rsid w:val="00511F46"/>
    <w:rsid w:val="00513343"/>
    <w:rsid w:val="00540CF2"/>
    <w:rsid w:val="00545461"/>
    <w:rsid w:val="005544D9"/>
    <w:rsid w:val="0055750F"/>
    <w:rsid w:val="00565A40"/>
    <w:rsid w:val="005752CE"/>
    <w:rsid w:val="0058222E"/>
    <w:rsid w:val="005A076F"/>
    <w:rsid w:val="005B22D1"/>
    <w:rsid w:val="005C1ED6"/>
    <w:rsid w:val="00617ED9"/>
    <w:rsid w:val="00632361"/>
    <w:rsid w:val="00637D0E"/>
    <w:rsid w:val="00686C25"/>
    <w:rsid w:val="006A3288"/>
    <w:rsid w:val="006B4FEE"/>
    <w:rsid w:val="006E6D9B"/>
    <w:rsid w:val="00721886"/>
    <w:rsid w:val="0074055B"/>
    <w:rsid w:val="00760EFA"/>
    <w:rsid w:val="00762556"/>
    <w:rsid w:val="0076567A"/>
    <w:rsid w:val="0077727E"/>
    <w:rsid w:val="00784DE2"/>
    <w:rsid w:val="007B33E6"/>
    <w:rsid w:val="007B7974"/>
    <w:rsid w:val="007C32ED"/>
    <w:rsid w:val="007C5B18"/>
    <w:rsid w:val="007C702A"/>
    <w:rsid w:val="00805ECB"/>
    <w:rsid w:val="00815604"/>
    <w:rsid w:val="00821B3A"/>
    <w:rsid w:val="00833DA9"/>
    <w:rsid w:val="00833F3B"/>
    <w:rsid w:val="008537E3"/>
    <w:rsid w:val="0085653A"/>
    <w:rsid w:val="0085672F"/>
    <w:rsid w:val="00874392"/>
    <w:rsid w:val="00885039"/>
    <w:rsid w:val="008D1878"/>
    <w:rsid w:val="008E1E1A"/>
    <w:rsid w:val="0090542B"/>
    <w:rsid w:val="009135CD"/>
    <w:rsid w:val="009179E6"/>
    <w:rsid w:val="009321E7"/>
    <w:rsid w:val="00976EB0"/>
    <w:rsid w:val="0098628A"/>
    <w:rsid w:val="009E77AD"/>
    <w:rsid w:val="00A05E1E"/>
    <w:rsid w:val="00A1437D"/>
    <w:rsid w:val="00A802EF"/>
    <w:rsid w:val="00A865C2"/>
    <w:rsid w:val="00A9107A"/>
    <w:rsid w:val="00AB5F8B"/>
    <w:rsid w:val="00AC57F3"/>
    <w:rsid w:val="00AE2ECB"/>
    <w:rsid w:val="00AE6C4B"/>
    <w:rsid w:val="00B26E25"/>
    <w:rsid w:val="00B36D4C"/>
    <w:rsid w:val="00B76DAD"/>
    <w:rsid w:val="00B773A4"/>
    <w:rsid w:val="00B81B1F"/>
    <w:rsid w:val="00B83621"/>
    <w:rsid w:val="00B92158"/>
    <w:rsid w:val="00B94790"/>
    <w:rsid w:val="00B95771"/>
    <w:rsid w:val="00BA3870"/>
    <w:rsid w:val="00BC072F"/>
    <w:rsid w:val="00C21B19"/>
    <w:rsid w:val="00C26A95"/>
    <w:rsid w:val="00C80D56"/>
    <w:rsid w:val="00CB5A91"/>
    <w:rsid w:val="00CB7D17"/>
    <w:rsid w:val="00CC27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421A"/>
    <w:rsid w:val="00E56873"/>
    <w:rsid w:val="00F05681"/>
    <w:rsid w:val="00F6022F"/>
    <w:rsid w:val="00F63350"/>
    <w:rsid w:val="00F65CC2"/>
    <w:rsid w:val="00F77C04"/>
    <w:rsid w:val="00F8011E"/>
    <w:rsid w:val="00F8405D"/>
    <w:rsid w:val="00FC1C64"/>
    <w:rsid w:val="00FE7AC3"/>
    <w:rsid w:val="00FF5BE9"/>
    <w:rsid w:val="03B316FB"/>
    <w:rsid w:val="1816089C"/>
    <w:rsid w:val="1D2C459F"/>
    <w:rsid w:val="2007F224"/>
    <w:rsid w:val="32ADA942"/>
    <w:rsid w:val="55EA4E0A"/>
    <w:rsid w:val="5ABA9F87"/>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DDA90A"/>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E1E"/>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ventanillaunica@fundacion-magdalena.gov.co" TargetMode="External"/><Relationship Id="rId2" Type="http://schemas.openxmlformats.org/officeDocument/2006/relationships/hyperlink" Target="https://www.fundacion-magdalena.gov.co" TargetMode="External"/><Relationship Id="rId1" Type="http://schemas.openxmlformats.org/officeDocument/2006/relationships/image" Target="media/image3.pn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hyperlink" Target="https://www.fundacion-magdalena.gov.co"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mailto:ventanillaunica@fundacion-magdalen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99B4598-3787-4171-9AE6-FE12094E8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50E97490-B22D-40AF-89E9-D7B9CADA1FA6}">
  <ds:schemaRefs>
    <ds:schemaRef ds:uri="http://schemas.openxmlformats.org/officeDocument/2006/bibliography"/>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1339</Words>
  <Characters>7366</Characters>
  <Application>Microsoft Office Word</Application>
  <DocSecurity>0</DocSecurity>
  <Lines>61</Lines>
  <Paragraphs>17</Paragraphs>
  <ScaleCrop>false</ScaleCrop>
  <Company>Hewlett-Packard Company</Company>
  <LinksUpToDate>false</LinksUpToDate>
  <CharactersWithSpaces>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Duban Churio Perez</cp:lastModifiedBy>
  <cp:revision>7</cp:revision>
  <cp:lastPrinted>2020-04-30T17:44:00Z</cp:lastPrinted>
  <dcterms:created xsi:type="dcterms:W3CDTF">2022-12-12T17:15:00Z</dcterms:created>
  <dcterms:modified xsi:type="dcterms:W3CDTF">2026-10-05T11:54:00Z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