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60"/>
        <w:gridCol w:w="6769"/>
      </w:tblGrid>
      <w:tr w:rsidR="00C07DBB" w:rsidRPr="00FB351A" w14:paraId="1ACB62E6" w14:textId="77777777" w:rsidTr="004402A0">
        <w:trPr>
          <w:trHeight w:val="20"/>
          <w:jc w:val="center"/>
        </w:trPr>
        <w:tc>
          <w:tcPr>
            <w:tcW w:w="1485" w:type="pct"/>
            <w:shd w:val="clear" w:color="auto" w:fill="D9D9D9"/>
            <w:vAlign w:val="center"/>
          </w:tcPr>
          <w:p w14:paraId="05B16EA7" w14:textId="6F9DA511" w:rsidR="00C07DBB" w:rsidRPr="00FB351A" w:rsidRDefault="003851F1" w:rsidP="00803115">
            <w:pPr>
              <w:pStyle w:val="TableParagraph"/>
              <w:contextualSpacing/>
              <w:jc w:val="both"/>
              <w:rPr>
                <w:rFonts w:ascii="Arial" w:hAnsi="Arial" w:cs="Arial"/>
                <w:b/>
                <w:sz w:val="20"/>
                <w:szCs w:val="20"/>
              </w:rPr>
            </w:pPr>
            <w:r w:rsidRPr="00FB351A">
              <w:rPr>
                <w:rFonts w:ascii="Arial" w:hAnsi="Arial" w:cs="Arial"/>
                <w:b/>
                <w:sz w:val="20"/>
                <w:szCs w:val="20"/>
              </w:rPr>
              <w:t>FECHA</w:t>
            </w:r>
          </w:p>
        </w:tc>
        <w:tc>
          <w:tcPr>
            <w:tcW w:w="3515" w:type="pct"/>
            <w:vAlign w:val="center"/>
          </w:tcPr>
          <w:p w14:paraId="02EEB611" w14:textId="3521F57B" w:rsidR="00C07DBB" w:rsidRPr="00FB351A" w:rsidRDefault="00B61F06" w:rsidP="00803115">
            <w:pPr>
              <w:pStyle w:val="TableParagraph"/>
              <w:contextualSpacing/>
              <w:jc w:val="both"/>
              <w:rPr>
                <w:rFonts w:ascii="Arial" w:hAnsi="Arial" w:cs="Arial"/>
                <w:sz w:val="20"/>
                <w:szCs w:val="20"/>
              </w:rPr>
            </w:pPr>
            <w:r w:rsidRPr="00FB351A">
              <w:rPr>
                <w:rFonts w:ascii="Arial" w:hAnsi="Arial" w:cs="Arial"/>
                <w:sz w:val="20"/>
                <w:szCs w:val="20"/>
              </w:rPr>
              <w:t>Septiembre</w:t>
            </w:r>
            <w:r w:rsidR="00CB499C" w:rsidRPr="00FB351A">
              <w:rPr>
                <w:rFonts w:ascii="Arial" w:hAnsi="Arial" w:cs="Arial"/>
                <w:sz w:val="20"/>
                <w:szCs w:val="20"/>
              </w:rPr>
              <w:t xml:space="preserve"> </w:t>
            </w:r>
            <w:r w:rsidR="000911FD" w:rsidRPr="00FB351A">
              <w:rPr>
                <w:rFonts w:ascii="Arial" w:hAnsi="Arial" w:cs="Arial"/>
                <w:sz w:val="20"/>
                <w:szCs w:val="20"/>
              </w:rPr>
              <w:t>de 202</w:t>
            </w:r>
            <w:r w:rsidR="00A574FA" w:rsidRPr="00FB351A">
              <w:rPr>
                <w:rFonts w:ascii="Arial" w:hAnsi="Arial" w:cs="Arial"/>
                <w:sz w:val="20"/>
                <w:szCs w:val="20"/>
              </w:rPr>
              <w:t>6</w:t>
            </w:r>
          </w:p>
        </w:tc>
      </w:tr>
      <w:tr w:rsidR="00C07DBB" w:rsidRPr="00FB351A" w14:paraId="5364C64F" w14:textId="77777777" w:rsidTr="004402A0">
        <w:trPr>
          <w:trHeight w:val="20"/>
          <w:jc w:val="center"/>
        </w:trPr>
        <w:tc>
          <w:tcPr>
            <w:tcW w:w="1485" w:type="pct"/>
            <w:tcBorders>
              <w:bottom w:val="single" w:sz="6" w:space="0" w:color="000000"/>
            </w:tcBorders>
            <w:shd w:val="clear" w:color="auto" w:fill="D9D9D9"/>
            <w:vAlign w:val="center"/>
          </w:tcPr>
          <w:p w14:paraId="2C45EE5B" w14:textId="77777777" w:rsidR="00C07DBB" w:rsidRPr="00FB351A" w:rsidRDefault="003851F1" w:rsidP="00803115">
            <w:pPr>
              <w:pStyle w:val="TableParagraph"/>
              <w:contextualSpacing/>
              <w:jc w:val="both"/>
              <w:rPr>
                <w:rFonts w:ascii="Arial" w:hAnsi="Arial" w:cs="Arial"/>
                <w:b/>
                <w:sz w:val="20"/>
                <w:szCs w:val="20"/>
              </w:rPr>
            </w:pPr>
            <w:r w:rsidRPr="00FB351A">
              <w:rPr>
                <w:rFonts w:ascii="Arial" w:hAnsi="Arial" w:cs="Arial"/>
                <w:b/>
                <w:sz w:val="20"/>
                <w:szCs w:val="20"/>
              </w:rPr>
              <w:t>OBJETO</w:t>
            </w:r>
          </w:p>
        </w:tc>
        <w:tc>
          <w:tcPr>
            <w:tcW w:w="3515" w:type="pct"/>
            <w:tcBorders>
              <w:bottom w:val="single" w:sz="6" w:space="0" w:color="000000"/>
            </w:tcBorders>
            <w:vAlign w:val="center"/>
          </w:tcPr>
          <w:p w14:paraId="11D5D54E" w14:textId="35793CFA" w:rsidR="00C07DBB" w:rsidRPr="00FB351A" w:rsidRDefault="00A0625D" w:rsidP="00803115">
            <w:pPr>
              <w:pStyle w:val="TableParagraph"/>
              <w:contextualSpacing/>
              <w:jc w:val="both"/>
              <w:rPr>
                <w:rFonts w:ascii="Arial" w:hAnsi="Arial" w:cs="Arial"/>
                <w:sz w:val="20"/>
                <w:szCs w:val="20"/>
                <w:lang w:val="es-ES_tradnl"/>
              </w:rPr>
            </w:pPr>
            <w:r w:rsidRPr="00FB351A">
              <w:rPr>
                <w:rFonts w:ascii="Arial" w:hAnsi="Arial" w:cs="Arial"/>
                <w:sz w:val="20"/>
                <w:szCs w:val="20"/>
              </w:rPr>
              <w:t>CONTRATAR EL PROGRAMADE SEGUROS DE LA AGENCIA DE DESARROLLO RURAL-ADR,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r w:rsidR="00E016D1" w:rsidRPr="00FB351A">
              <w:rPr>
                <w:rFonts w:ascii="Arial" w:hAnsi="Arial" w:cs="Arial"/>
                <w:sz w:val="20"/>
                <w:szCs w:val="20"/>
              </w:rPr>
              <w:t>.</w:t>
            </w:r>
          </w:p>
        </w:tc>
      </w:tr>
      <w:tr w:rsidR="00C07DBB" w:rsidRPr="00FB351A" w14:paraId="47597FE4" w14:textId="77777777" w:rsidTr="004402A0">
        <w:trPr>
          <w:trHeight w:val="20"/>
          <w:jc w:val="center"/>
        </w:trPr>
        <w:tc>
          <w:tcPr>
            <w:tcW w:w="1485" w:type="pct"/>
            <w:tcBorders>
              <w:top w:val="single" w:sz="6" w:space="0" w:color="000000"/>
            </w:tcBorders>
            <w:shd w:val="clear" w:color="auto" w:fill="D9D9D9"/>
            <w:vAlign w:val="center"/>
          </w:tcPr>
          <w:p w14:paraId="39F0EA00" w14:textId="7D5CA113" w:rsidR="00C07DBB" w:rsidRPr="00FB351A" w:rsidRDefault="00887AAB" w:rsidP="00803115">
            <w:pPr>
              <w:pStyle w:val="TableParagraph"/>
              <w:contextualSpacing/>
              <w:jc w:val="both"/>
              <w:rPr>
                <w:rFonts w:ascii="Arial" w:hAnsi="Arial" w:cs="Arial"/>
                <w:b/>
                <w:sz w:val="20"/>
                <w:szCs w:val="20"/>
              </w:rPr>
            </w:pPr>
            <w:r w:rsidRPr="00FB351A">
              <w:rPr>
                <w:rFonts w:ascii="Arial" w:hAnsi="Arial" w:cs="Arial"/>
                <w:b/>
                <w:sz w:val="20"/>
                <w:szCs w:val="20"/>
              </w:rPr>
              <w:t>ÁREA</w:t>
            </w:r>
            <w:r w:rsidR="003851F1" w:rsidRPr="00FB351A">
              <w:rPr>
                <w:rFonts w:ascii="Arial" w:hAnsi="Arial" w:cs="Arial"/>
                <w:b/>
                <w:sz w:val="20"/>
                <w:szCs w:val="20"/>
              </w:rPr>
              <w:t xml:space="preserve"> QUE REQUIERE EL</w:t>
            </w:r>
            <w:r w:rsidR="00FA351B" w:rsidRPr="00FB351A">
              <w:rPr>
                <w:rFonts w:ascii="Arial" w:hAnsi="Arial" w:cs="Arial"/>
                <w:b/>
                <w:sz w:val="20"/>
                <w:szCs w:val="20"/>
              </w:rPr>
              <w:t xml:space="preserve"> </w:t>
            </w:r>
            <w:r w:rsidR="003851F1" w:rsidRPr="00FB351A">
              <w:rPr>
                <w:rFonts w:ascii="Arial" w:hAnsi="Arial" w:cs="Arial"/>
                <w:b/>
                <w:sz w:val="20"/>
                <w:szCs w:val="20"/>
              </w:rPr>
              <w:t>BIEN O SERVICIO</w:t>
            </w:r>
          </w:p>
        </w:tc>
        <w:tc>
          <w:tcPr>
            <w:tcW w:w="3515" w:type="pct"/>
            <w:tcBorders>
              <w:top w:val="single" w:sz="6" w:space="0" w:color="000000"/>
            </w:tcBorders>
            <w:vAlign w:val="center"/>
          </w:tcPr>
          <w:p w14:paraId="6A4DD7B7" w14:textId="286ACCD9" w:rsidR="00C07DBB" w:rsidRPr="00FB351A" w:rsidRDefault="00EB05E1" w:rsidP="00803115">
            <w:pPr>
              <w:pStyle w:val="TableParagraph"/>
              <w:contextualSpacing/>
              <w:jc w:val="both"/>
              <w:rPr>
                <w:rFonts w:ascii="Arial" w:hAnsi="Arial" w:cs="Arial"/>
                <w:sz w:val="20"/>
                <w:szCs w:val="20"/>
              </w:rPr>
            </w:pPr>
            <w:r w:rsidRPr="00FB351A">
              <w:rPr>
                <w:rFonts w:ascii="Arial" w:hAnsi="Arial" w:cs="Arial"/>
                <w:sz w:val="20"/>
                <w:szCs w:val="20"/>
              </w:rPr>
              <w:t>Secretaria General</w:t>
            </w:r>
            <w:r w:rsidR="00725A5B" w:rsidRPr="00FB351A">
              <w:rPr>
                <w:rFonts w:ascii="Arial" w:hAnsi="Arial" w:cs="Arial"/>
                <w:sz w:val="20"/>
                <w:szCs w:val="20"/>
              </w:rPr>
              <w:t xml:space="preserve"> </w:t>
            </w:r>
            <w:r w:rsidR="001E61E5" w:rsidRPr="00FB351A">
              <w:rPr>
                <w:rFonts w:ascii="Arial" w:hAnsi="Arial" w:cs="Arial"/>
                <w:sz w:val="20"/>
                <w:szCs w:val="20"/>
              </w:rPr>
              <w:t>– Dirección Administrativa</w:t>
            </w:r>
          </w:p>
        </w:tc>
      </w:tr>
    </w:tbl>
    <w:p w14:paraId="73594C34" w14:textId="77777777" w:rsidR="00D2676F" w:rsidRPr="00FB351A" w:rsidRDefault="00D2676F" w:rsidP="00803115">
      <w:pPr>
        <w:pStyle w:val="Textoindependiente"/>
        <w:contextualSpacing/>
        <w:jc w:val="both"/>
        <w:rPr>
          <w:rFonts w:ascii="Arial" w:hAnsi="Arial" w:cs="Arial"/>
          <w:sz w:val="20"/>
          <w:szCs w:val="20"/>
        </w:rPr>
      </w:pPr>
    </w:p>
    <w:p w14:paraId="1EC36096" w14:textId="77777777" w:rsidR="008F5CD9" w:rsidRPr="00FB351A" w:rsidRDefault="008F5CD9" w:rsidP="00002011">
      <w:pPr>
        <w:tabs>
          <w:tab w:val="left" w:pos="6523"/>
          <w:tab w:val="right" w:pos="9356"/>
        </w:tabs>
        <w:jc w:val="center"/>
        <w:rPr>
          <w:rFonts w:ascii="Arial" w:hAnsi="Arial" w:cs="Arial"/>
          <w:b/>
          <w:bCs/>
          <w:sz w:val="20"/>
          <w:szCs w:val="20"/>
        </w:rPr>
      </w:pPr>
      <w:r w:rsidRPr="00FB351A">
        <w:rPr>
          <w:rFonts w:ascii="Arial" w:hAnsi="Arial" w:cs="Arial"/>
          <w:b/>
          <w:bCs/>
          <w:sz w:val="20"/>
          <w:szCs w:val="20"/>
        </w:rPr>
        <w:t>INTRODUCCIÓN</w:t>
      </w:r>
    </w:p>
    <w:p w14:paraId="34E23549" w14:textId="77777777" w:rsidR="008F5CD9" w:rsidRPr="00FB351A" w:rsidRDefault="008F5CD9" w:rsidP="00803115">
      <w:pPr>
        <w:tabs>
          <w:tab w:val="left" w:pos="6523"/>
          <w:tab w:val="right" w:pos="9356"/>
        </w:tabs>
        <w:jc w:val="both"/>
        <w:rPr>
          <w:rFonts w:ascii="Arial" w:hAnsi="Arial" w:cs="Arial"/>
          <w:sz w:val="20"/>
          <w:szCs w:val="20"/>
        </w:rPr>
      </w:pPr>
    </w:p>
    <w:p w14:paraId="22569C3F" w14:textId="21BFDB68" w:rsidR="007457C0" w:rsidRPr="00FB351A" w:rsidRDefault="007457C0" w:rsidP="00803115">
      <w:pPr>
        <w:tabs>
          <w:tab w:val="left" w:pos="6523"/>
          <w:tab w:val="right" w:pos="9356"/>
        </w:tabs>
        <w:jc w:val="both"/>
        <w:rPr>
          <w:rFonts w:ascii="Arial" w:hAnsi="Arial" w:cs="Arial"/>
          <w:sz w:val="20"/>
          <w:szCs w:val="20"/>
        </w:rPr>
      </w:pPr>
      <w:r w:rsidRPr="00FB351A">
        <w:rPr>
          <w:rFonts w:ascii="Arial" w:hAnsi="Arial" w:cs="Arial"/>
          <w:sz w:val="20"/>
          <w:szCs w:val="20"/>
        </w:rPr>
        <w:t xml:space="preserve">El presente documento se estructura conforme a las disposiciones previstas en el artículo 2.2.1.1.1.6.1. del Decreto 1082 de 2015 “Deber de análisis de las Entidades Estatales” y la Guía para la Elaboración de Estudios del Sector Versión </w:t>
      </w:r>
      <w:r w:rsidR="00002011" w:rsidRPr="00FB351A">
        <w:rPr>
          <w:rFonts w:ascii="Arial" w:hAnsi="Arial" w:cs="Arial"/>
          <w:sz w:val="20"/>
          <w:szCs w:val="20"/>
        </w:rPr>
        <w:t>3</w:t>
      </w:r>
      <w:r w:rsidRPr="00FB351A">
        <w:rPr>
          <w:rFonts w:ascii="Arial" w:hAnsi="Arial" w:cs="Arial"/>
          <w:sz w:val="20"/>
          <w:szCs w:val="20"/>
        </w:rPr>
        <w:t xml:space="preserve"> del </w:t>
      </w:r>
      <w:r w:rsidR="00002011" w:rsidRPr="00FB351A">
        <w:rPr>
          <w:rFonts w:ascii="Arial" w:hAnsi="Arial" w:cs="Arial"/>
          <w:sz w:val="20"/>
          <w:szCs w:val="20"/>
        </w:rPr>
        <w:t xml:space="preserve">25 </w:t>
      </w:r>
      <w:r w:rsidRPr="00FB351A">
        <w:rPr>
          <w:rFonts w:ascii="Arial" w:hAnsi="Arial" w:cs="Arial"/>
          <w:sz w:val="20"/>
          <w:szCs w:val="20"/>
        </w:rPr>
        <w:t xml:space="preserve">de </w:t>
      </w:r>
      <w:r w:rsidR="00002011" w:rsidRPr="00FB351A">
        <w:rPr>
          <w:rFonts w:ascii="Arial" w:hAnsi="Arial" w:cs="Arial"/>
          <w:sz w:val="20"/>
          <w:szCs w:val="20"/>
        </w:rPr>
        <w:t>septiembre</w:t>
      </w:r>
      <w:r w:rsidRPr="00FB351A">
        <w:rPr>
          <w:rFonts w:ascii="Arial" w:hAnsi="Arial" w:cs="Arial"/>
          <w:sz w:val="20"/>
          <w:szCs w:val="20"/>
        </w:rPr>
        <w:t xml:space="preserve"> de 2025</w:t>
      </w:r>
      <w:r w:rsidRPr="00FB351A">
        <w:rPr>
          <w:rStyle w:val="Refdenotaalpie"/>
          <w:rFonts w:ascii="Arial" w:hAnsi="Arial" w:cs="Arial"/>
          <w:sz w:val="20"/>
          <w:szCs w:val="20"/>
        </w:rPr>
        <w:footnoteReference w:id="1"/>
      </w:r>
      <w:r w:rsidRPr="00FB351A">
        <w:rPr>
          <w:rFonts w:ascii="Arial" w:hAnsi="Arial" w:cs="Arial"/>
          <w:sz w:val="20"/>
          <w:szCs w:val="20"/>
        </w:rPr>
        <w:t>.</w:t>
      </w:r>
    </w:p>
    <w:p w14:paraId="6FB4DD66" w14:textId="77777777" w:rsidR="007457C0" w:rsidRPr="00FB351A" w:rsidRDefault="007457C0" w:rsidP="00803115">
      <w:pPr>
        <w:jc w:val="both"/>
        <w:rPr>
          <w:rFonts w:ascii="Arial" w:hAnsi="Arial" w:cs="Arial"/>
          <w:sz w:val="20"/>
          <w:szCs w:val="20"/>
        </w:rPr>
      </w:pPr>
    </w:p>
    <w:p w14:paraId="089E7AF5"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 xml:space="preserve">Al respecto, el artículo 2.2.1.1.1.6.1 del Decreto 1082 de 2015 establece: </w:t>
      </w:r>
    </w:p>
    <w:p w14:paraId="42DFC7DE" w14:textId="77777777" w:rsidR="007457C0" w:rsidRPr="00FB351A" w:rsidRDefault="007457C0" w:rsidP="00803115">
      <w:pPr>
        <w:jc w:val="both"/>
        <w:rPr>
          <w:rFonts w:ascii="Arial" w:hAnsi="Arial" w:cs="Arial"/>
          <w:sz w:val="20"/>
          <w:szCs w:val="20"/>
        </w:rPr>
      </w:pPr>
    </w:p>
    <w:p w14:paraId="1E0378B3" w14:textId="77777777" w:rsidR="007457C0" w:rsidRPr="00FB351A" w:rsidRDefault="007457C0" w:rsidP="00803115">
      <w:pPr>
        <w:jc w:val="both"/>
        <w:rPr>
          <w:rFonts w:ascii="Arial" w:hAnsi="Arial" w:cs="Arial"/>
          <w:i/>
          <w:iCs/>
          <w:sz w:val="20"/>
          <w:szCs w:val="20"/>
        </w:rPr>
      </w:pPr>
      <w:r w:rsidRPr="00FB351A">
        <w:rPr>
          <w:rFonts w:ascii="Arial" w:hAnsi="Arial" w:cs="Arial"/>
          <w:i/>
          <w:iCs/>
          <w:sz w:val="20"/>
          <w:szCs w:val="20"/>
        </w:rPr>
        <w:t>“ARTÍCULO 2.2.1.1.1.6.1.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063A37D5" w14:textId="77777777" w:rsidR="007457C0" w:rsidRPr="00FB351A" w:rsidRDefault="007457C0" w:rsidP="00803115">
      <w:pPr>
        <w:jc w:val="both"/>
        <w:rPr>
          <w:rFonts w:ascii="Arial" w:hAnsi="Arial" w:cs="Arial"/>
          <w:i/>
          <w:iCs/>
          <w:sz w:val="20"/>
          <w:szCs w:val="20"/>
        </w:rPr>
      </w:pPr>
    </w:p>
    <w:p w14:paraId="027CA0D4"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Por su parte, dice la guía que, el propósito de la guía es otorgar herramientas útiles a los partícipes del Sistema de Compras Públicas en los procesos de contratación, de manera que con el siguiente análisis se realiza un análisis integral, con el fin de tener un marco estructurado para comprender y evaluar el entorno competitivo y las condiciones del mercado, del sector específico de la adquisición y el objeto por contratar. Además, se toman en cuenta las recomendaciones de la guía para desarrollar las mejores prácticas que sirven para entender el mercado del servicio por comprar, para diseñar un proceso de contratación con información suficiente, eficaz, eficiente y bajo el principio de económica y manejo del riesgo, con la inclusión de todos los factores del entorno que puedan ser componentes especiales que sirvan dentro d la estructura del proceso de selección.</w:t>
      </w:r>
    </w:p>
    <w:p w14:paraId="02328C35" w14:textId="77777777" w:rsidR="007457C0" w:rsidRPr="00FB351A" w:rsidRDefault="007457C0" w:rsidP="00803115">
      <w:pPr>
        <w:jc w:val="both"/>
        <w:rPr>
          <w:rFonts w:ascii="Arial" w:hAnsi="Arial" w:cs="Arial"/>
          <w:sz w:val="20"/>
          <w:szCs w:val="20"/>
        </w:rPr>
      </w:pPr>
    </w:p>
    <w:p w14:paraId="683980A8"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Además, se usarán las herramientas del Modelo de Abastecimiento Estratégico – MAE desarrollado por Colombia Compra Eficiente – CCE, como ente rector del Sistema de Compra Pública, adoptando prácticas que permitan que el proceso de compra pública se destaque por sus niveles de transparencia, eficiencia y generación de valor por dinero, identificando de la mejor manera, oportunidades de generación de valor, nuevas fuentes de abastecimiento, estrategias de adquisición de bienes y servicios y habilidades de gestión al proceso de compra de seguros.</w:t>
      </w:r>
    </w:p>
    <w:p w14:paraId="01098EBD" w14:textId="77777777" w:rsidR="007457C0" w:rsidRPr="00FB351A" w:rsidRDefault="007457C0" w:rsidP="00803115">
      <w:pPr>
        <w:jc w:val="both"/>
        <w:rPr>
          <w:rFonts w:ascii="Arial" w:hAnsi="Arial" w:cs="Arial"/>
          <w:sz w:val="20"/>
          <w:szCs w:val="20"/>
        </w:rPr>
      </w:pPr>
    </w:p>
    <w:p w14:paraId="66B58F19"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 xml:space="preserve">El abastecimiento estratégico conecta el análisis del comportamiento de compras de la entidad, la inteligencia de mercados y las estrategias de adquisición para formar una base sólida de información que permitan la </w:t>
      </w:r>
      <w:r w:rsidRPr="00FB351A">
        <w:rPr>
          <w:rFonts w:ascii="Arial" w:hAnsi="Arial" w:cs="Arial"/>
          <w:sz w:val="20"/>
          <w:szCs w:val="20"/>
        </w:rPr>
        <w:lastRenderedPageBreak/>
        <w:t>toma de decisiones adecuadas en los procesos de compra; con las herramientas que ofrece Modelo de Abastecimiento Estratégico – MAE, se consigue el propósito de la entidad con el proceso de selección</w:t>
      </w:r>
    </w:p>
    <w:p w14:paraId="5E3F92E4" w14:textId="77777777" w:rsidR="007457C0" w:rsidRPr="00FB351A" w:rsidRDefault="007457C0" w:rsidP="00803115">
      <w:pPr>
        <w:jc w:val="both"/>
        <w:rPr>
          <w:rFonts w:ascii="Arial" w:hAnsi="Arial" w:cs="Arial"/>
          <w:sz w:val="20"/>
          <w:szCs w:val="20"/>
        </w:rPr>
      </w:pPr>
    </w:p>
    <w:p w14:paraId="47F30DD8"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Este estudio evalúa el sector asegurador desde las perspectivas económica, técnica y regulatoria, además de conocer la demanda de servicios y la oferta de los mismos en el contexto nacional, de manera que, para el presente proceso de selección, se pueda obtener el mayor beneficio en la Compra pública.</w:t>
      </w:r>
    </w:p>
    <w:p w14:paraId="5266E937" w14:textId="77777777" w:rsidR="007457C0" w:rsidRPr="00FB351A" w:rsidRDefault="007457C0" w:rsidP="00803115">
      <w:pPr>
        <w:jc w:val="both"/>
        <w:rPr>
          <w:rFonts w:ascii="Arial" w:hAnsi="Arial" w:cs="Arial"/>
          <w:sz w:val="20"/>
          <w:szCs w:val="20"/>
        </w:rPr>
      </w:pPr>
    </w:p>
    <w:p w14:paraId="510DC356"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 xml:space="preserve">Por tal motivo, el marco del estudio está definido por las condiciones derivadas de la necesidad de contratación, las cuales, se aclara, son diferentes para todos los casos y conllevan a resultados más precisos que pueden generar mejores herramientas en el desarrollo del proceso contractual. </w:t>
      </w:r>
    </w:p>
    <w:p w14:paraId="180BAAB6" w14:textId="77777777" w:rsidR="007457C0" w:rsidRPr="00FB351A" w:rsidRDefault="007457C0" w:rsidP="00803115">
      <w:pPr>
        <w:jc w:val="both"/>
        <w:rPr>
          <w:rFonts w:ascii="Arial" w:hAnsi="Arial" w:cs="Arial"/>
          <w:sz w:val="20"/>
          <w:szCs w:val="20"/>
        </w:rPr>
      </w:pPr>
    </w:p>
    <w:p w14:paraId="4DD1D0B2" w14:textId="77777777" w:rsidR="002F1D36" w:rsidRPr="00FB351A" w:rsidRDefault="002F1D36" w:rsidP="00803115">
      <w:pPr>
        <w:jc w:val="both"/>
        <w:rPr>
          <w:rFonts w:ascii="Arial" w:hAnsi="Arial" w:cs="Arial"/>
          <w:sz w:val="20"/>
          <w:szCs w:val="20"/>
        </w:rPr>
      </w:pPr>
      <w:r w:rsidRPr="00FB351A">
        <w:rPr>
          <w:rFonts w:ascii="Arial" w:hAnsi="Arial" w:cs="Arial"/>
          <w:sz w:val="20"/>
          <w:szCs w:val="20"/>
        </w:rPr>
        <w:t xml:space="preserve">Así mismo, se han incluido las recomendaciones de la Guía de Contratación Pública Sostenible y Socialmente Responsable de Colombia Compra Eficiente y el Ministerio de Ambiente y Desarrollo Sostenible y el apoyo de la Agencia de Cooperación alemana Deutsche </w:t>
      </w:r>
      <w:proofErr w:type="spellStart"/>
      <w:r w:rsidRPr="00FB351A">
        <w:rPr>
          <w:rFonts w:ascii="Arial" w:hAnsi="Arial" w:cs="Arial"/>
          <w:sz w:val="20"/>
          <w:szCs w:val="20"/>
        </w:rPr>
        <w:t>Gesellschaft</w:t>
      </w:r>
      <w:proofErr w:type="spellEnd"/>
      <w:r w:rsidRPr="00FB351A">
        <w:rPr>
          <w:rFonts w:ascii="Arial" w:hAnsi="Arial" w:cs="Arial"/>
          <w:sz w:val="20"/>
          <w:szCs w:val="20"/>
        </w:rPr>
        <w:t xml:space="preserve"> Für </w:t>
      </w:r>
      <w:proofErr w:type="spellStart"/>
      <w:r w:rsidRPr="00FB351A">
        <w:rPr>
          <w:rFonts w:ascii="Arial" w:hAnsi="Arial" w:cs="Arial"/>
          <w:sz w:val="20"/>
          <w:szCs w:val="20"/>
        </w:rPr>
        <w:t>Internationale</w:t>
      </w:r>
      <w:proofErr w:type="spellEnd"/>
      <w:r w:rsidRPr="00FB351A">
        <w:rPr>
          <w:rFonts w:ascii="Arial" w:hAnsi="Arial" w:cs="Arial"/>
          <w:sz w:val="20"/>
          <w:szCs w:val="20"/>
        </w:rPr>
        <w:t xml:space="preserve"> </w:t>
      </w:r>
      <w:proofErr w:type="spellStart"/>
      <w:r w:rsidRPr="00FB351A">
        <w:rPr>
          <w:rFonts w:ascii="Arial" w:hAnsi="Arial" w:cs="Arial"/>
          <w:sz w:val="20"/>
          <w:szCs w:val="20"/>
        </w:rPr>
        <w:t>Zusammenarbeit</w:t>
      </w:r>
      <w:proofErr w:type="spellEnd"/>
      <w:r w:rsidRPr="00FB351A">
        <w:rPr>
          <w:rFonts w:ascii="Arial" w:hAnsi="Arial" w:cs="Arial"/>
          <w:sz w:val="20"/>
          <w:szCs w:val="20"/>
        </w:rPr>
        <w:t xml:space="preserve"> –</w:t>
      </w:r>
      <w:proofErr w:type="spellStart"/>
      <w:r w:rsidRPr="00FB351A">
        <w:rPr>
          <w:rFonts w:ascii="Arial" w:hAnsi="Arial" w:cs="Arial"/>
          <w:sz w:val="20"/>
          <w:szCs w:val="20"/>
        </w:rPr>
        <w:t>GIZ</w:t>
      </w:r>
      <w:proofErr w:type="spellEnd"/>
      <w:r w:rsidRPr="00FB351A">
        <w:rPr>
          <w:rFonts w:ascii="Arial" w:hAnsi="Arial" w:cs="Arial"/>
          <w:sz w:val="20"/>
          <w:szCs w:val="20"/>
        </w:rPr>
        <w:t>–, para promover la sostenibilidad y las conductas responsables en la compra pública.</w:t>
      </w:r>
    </w:p>
    <w:p w14:paraId="3EFB3D58" w14:textId="77777777" w:rsidR="007457C0" w:rsidRPr="00FB351A" w:rsidRDefault="007457C0" w:rsidP="00803115">
      <w:pPr>
        <w:jc w:val="both"/>
        <w:rPr>
          <w:rFonts w:ascii="Arial" w:hAnsi="Arial" w:cs="Arial"/>
          <w:sz w:val="20"/>
          <w:szCs w:val="20"/>
        </w:rPr>
      </w:pPr>
    </w:p>
    <w:p w14:paraId="476D253F"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 xml:space="preserve">La importancia del análisis del sector ha sido recalcada en las recomendaciones que la Organización de Cooperación y de Desarrollo Económico (OCDE) le ha formulado al Gobierno Nacional, las cuales busca promover las buenas prácticas, la transparencia y la promoción de la competencia leal en la contratación pública. </w:t>
      </w:r>
    </w:p>
    <w:p w14:paraId="413AB847" w14:textId="77777777" w:rsidR="007457C0" w:rsidRPr="00FB351A" w:rsidRDefault="007457C0" w:rsidP="00803115">
      <w:pPr>
        <w:jc w:val="both"/>
        <w:rPr>
          <w:rFonts w:ascii="Arial" w:hAnsi="Arial" w:cs="Arial"/>
          <w:sz w:val="20"/>
          <w:szCs w:val="20"/>
        </w:rPr>
      </w:pPr>
    </w:p>
    <w:p w14:paraId="04BC6632" w14:textId="4A1E11CE" w:rsidR="007457C0" w:rsidRPr="00FB351A" w:rsidRDefault="007457C0" w:rsidP="00803115">
      <w:pPr>
        <w:jc w:val="both"/>
        <w:rPr>
          <w:rFonts w:ascii="Arial" w:hAnsi="Arial" w:cs="Arial"/>
          <w:sz w:val="20"/>
          <w:szCs w:val="20"/>
        </w:rPr>
      </w:pPr>
      <w:r w:rsidRPr="00FB351A">
        <w:rPr>
          <w:rFonts w:ascii="Arial" w:hAnsi="Arial" w:cs="Arial"/>
          <w:sz w:val="20"/>
          <w:szCs w:val="20"/>
        </w:rPr>
        <w:t xml:space="preserve">Por otro lado, la </w:t>
      </w:r>
      <w:r w:rsidRPr="00FB351A">
        <w:rPr>
          <w:rFonts w:ascii="Arial" w:hAnsi="Arial" w:cs="Arial"/>
          <w:b/>
          <w:bCs/>
          <w:sz w:val="20"/>
          <w:szCs w:val="20"/>
        </w:rPr>
        <w:t>Agencia de Desarrollo Rural - ADR</w:t>
      </w:r>
      <w:r w:rsidRPr="00FB351A">
        <w:rPr>
          <w:rFonts w:ascii="Arial" w:hAnsi="Arial" w:cs="Arial"/>
          <w:sz w:val="20"/>
          <w:szCs w:val="20"/>
        </w:rPr>
        <w:t xml:space="preserve"> en busca de perfeccionar el proceso de contratación pretende por medio del presente documento, generar herramientas para entender el mercado asegurador, para de esta forma lograr los objetivos de eficacia, eficiencia, economía, promoción de la competencia y manejo del riesgo los cuales se acometen en cada uno de los procesos de contratación.</w:t>
      </w:r>
    </w:p>
    <w:p w14:paraId="4AA93CF1" w14:textId="77777777" w:rsidR="007457C0" w:rsidRPr="00FB351A" w:rsidRDefault="007457C0" w:rsidP="00803115">
      <w:pPr>
        <w:jc w:val="both"/>
        <w:rPr>
          <w:rFonts w:ascii="Arial" w:hAnsi="Arial" w:cs="Arial"/>
          <w:sz w:val="20"/>
          <w:szCs w:val="20"/>
        </w:rPr>
      </w:pPr>
    </w:p>
    <w:p w14:paraId="5993CCE8" w14:textId="77777777" w:rsidR="007457C0" w:rsidRPr="00FB351A" w:rsidRDefault="007457C0" w:rsidP="00803115">
      <w:pPr>
        <w:jc w:val="both"/>
        <w:rPr>
          <w:rFonts w:ascii="Arial" w:hAnsi="Arial" w:cs="Arial"/>
          <w:sz w:val="20"/>
          <w:szCs w:val="20"/>
        </w:rPr>
      </w:pPr>
      <w:r w:rsidRPr="00FB351A">
        <w:rPr>
          <w:rFonts w:ascii="Arial" w:hAnsi="Arial" w:cs="Arial"/>
          <w:sz w:val="20"/>
          <w:szCs w:val="20"/>
        </w:rPr>
        <w:t>El alcance de este estudio del sector es proporcional al valor y la complejidad del proceso de contratación, la naturaleza del objeto a contratar, el tipo de contrato y los riesgos identificados en el proceso de contratación.</w:t>
      </w:r>
    </w:p>
    <w:p w14:paraId="6BC7A279" w14:textId="77777777" w:rsidR="00E57E89" w:rsidRPr="00FB351A" w:rsidRDefault="00E57E89" w:rsidP="00803115">
      <w:pPr>
        <w:pStyle w:val="Textoindependiente"/>
        <w:contextualSpacing/>
        <w:jc w:val="both"/>
        <w:rPr>
          <w:rFonts w:ascii="Arial" w:hAnsi="Arial" w:cs="Arial"/>
          <w:b/>
          <w:bCs/>
          <w:sz w:val="20"/>
          <w:szCs w:val="20"/>
        </w:rPr>
      </w:pPr>
    </w:p>
    <w:p w14:paraId="62601966" w14:textId="77777777" w:rsidR="00581EF6" w:rsidRPr="00FB351A" w:rsidRDefault="00581EF6" w:rsidP="00803115">
      <w:pPr>
        <w:widowControl w:val="0"/>
        <w:autoSpaceDE w:val="0"/>
        <w:autoSpaceDN w:val="0"/>
        <w:jc w:val="both"/>
        <w:rPr>
          <w:rFonts w:ascii="Arial" w:hAnsi="Arial" w:cs="Arial"/>
          <w:b/>
          <w:color w:val="000000"/>
          <w:sz w:val="20"/>
          <w:szCs w:val="20"/>
        </w:rPr>
      </w:pPr>
      <w:r w:rsidRPr="00FB351A">
        <w:rPr>
          <w:rFonts w:ascii="Arial" w:hAnsi="Arial" w:cs="Arial"/>
          <w:b/>
          <w:color w:val="000000"/>
          <w:sz w:val="20"/>
          <w:szCs w:val="20"/>
        </w:rPr>
        <w:br w:type="page"/>
      </w:r>
    </w:p>
    <w:p w14:paraId="7D5748D9" w14:textId="7F4C1257" w:rsidR="00E57E89" w:rsidRPr="00FB351A" w:rsidRDefault="00E57E89" w:rsidP="00803115">
      <w:pPr>
        <w:pStyle w:val="Prrafodelista"/>
        <w:widowControl w:val="0"/>
        <w:numPr>
          <w:ilvl w:val="0"/>
          <w:numId w:val="1"/>
        </w:numPr>
        <w:suppressAutoHyphens/>
        <w:autoSpaceDE w:val="0"/>
        <w:jc w:val="both"/>
        <w:rPr>
          <w:rFonts w:ascii="Arial" w:hAnsi="Arial" w:cs="Arial"/>
          <w:b/>
          <w:color w:val="000000"/>
          <w:sz w:val="20"/>
          <w:szCs w:val="20"/>
        </w:rPr>
      </w:pPr>
      <w:r w:rsidRPr="00FB351A">
        <w:rPr>
          <w:rFonts w:ascii="Arial" w:hAnsi="Arial" w:cs="Arial"/>
          <w:b/>
          <w:color w:val="000000"/>
          <w:sz w:val="20"/>
          <w:szCs w:val="20"/>
        </w:rPr>
        <w:lastRenderedPageBreak/>
        <w:t>ASPECTOS GENERALES DEL MERCADO.</w:t>
      </w:r>
    </w:p>
    <w:p w14:paraId="2B25312D" w14:textId="77777777" w:rsidR="004402A0" w:rsidRPr="00FB351A" w:rsidRDefault="004402A0" w:rsidP="00803115">
      <w:pPr>
        <w:tabs>
          <w:tab w:val="left" w:pos="318"/>
        </w:tabs>
        <w:jc w:val="both"/>
        <w:rPr>
          <w:rFonts w:ascii="Arial" w:hAnsi="Arial" w:cs="Arial"/>
          <w:sz w:val="20"/>
          <w:szCs w:val="20"/>
        </w:rPr>
      </w:pPr>
      <w:bookmarkStart w:id="0" w:name="_Toc66981373"/>
    </w:p>
    <w:p w14:paraId="1D82AE64" w14:textId="2F45A895" w:rsidR="008322ED" w:rsidRPr="00FB351A" w:rsidRDefault="008322ED" w:rsidP="00803115">
      <w:pPr>
        <w:pStyle w:val="Prrafodelista"/>
        <w:numPr>
          <w:ilvl w:val="1"/>
          <w:numId w:val="1"/>
        </w:numPr>
        <w:tabs>
          <w:tab w:val="left" w:pos="318"/>
        </w:tabs>
        <w:jc w:val="both"/>
        <w:rPr>
          <w:rFonts w:ascii="Arial" w:hAnsi="Arial" w:cs="Arial"/>
          <w:b/>
          <w:bCs/>
          <w:color w:val="000000"/>
          <w:sz w:val="20"/>
          <w:szCs w:val="20"/>
        </w:rPr>
      </w:pPr>
      <w:r w:rsidRPr="00FB351A">
        <w:rPr>
          <w:rFonts w:ascii="Arial" w:hAnsi="Arial" w:cs="Arial"/>
          <w:b/>
          <w:bCs/>
          <w:color w:val="000000"/>
          <w:sz w:val="20"/>
          <w:szCs w:val="20"/>
        </w:rPr>
        <w:t>Contexto Económico:</w:t>
      </w:r>
    </w:p>
    <w:p w14:paraId="3968EFC5" w14:textId="77777777" w:rsidR="008322ED" w:rsidRPr="00FB351A" w:rsidRDefault="008322ED" w:rsidP="00803115">
      <w:pPr>
        <w:pStyle w:val="Textoindependiente"/>
        <w:tabs>
          <w:tab w:val="left" w:pos="5692"/>
        </w:tabs>
        <w:jc w:val="both"/>
        <w:rPr>
          <w:rFonts w:ascii="Arial" w:hAnsi="Arial" w:cs="Arial"/>
          <w:sz w:val="20"/>
          <w:szCs w:val="20"/>
        </w:rPr>
      </w:pPr>
      <w:r w:rsidRPr="00FB351A">
        <w:rPr>
          <w:rFonts w:ascii="Arial" w:hAnsi="Arial" w:cs="Arial"/>
          <w:sz w:val="20"/>
          <w:szCs w:val="20"/>
        </w:rPr>
        <w:tab/>
      </w:r>
    </w:p>
    <w:p w14:paraId="09C33050"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w:t>
      </w:r>
    </w:p>
    <w:p w14:paraId="20211514" w14:textId="77777777" w:rsidR="008322ED" w:rsidRPr="00FB351A" w:rsidRDefault="008322ED" w:rsidP="00803115">
      <w:pPr>
        <w:pStyle w:val="Textoindependiente"/>
        <w:jc w:val="both"/>
        <w:rPr>
          <w:rFonts w:ascii="Arial" w:hAnsi="Arial" w:cs="Arial"/>
          <w:sz w:val="20"/>
          <w:szCs w:val="20"/>
        </w:rPr>
      </w:pPr>
    </w:p>
    <w:p w14:paraId="30325398" w14:textId="77777777" w:rsidR="008322ED" w:rsidRPr="00FB351A" w:rsidRDefault="008322ED">
      <w:pPr>
        <w:pStyle w:val="Textoindependiente"/>
        <w:numPr>
          <w:ilvl w:val="0"/>
          <w:numId w:val="20"/>
        </w:numPr>
        <w:ind w:left="0" w:firstLine="0"/>
        <w:jc w:val="both"/>
        <w:rPr>
          <w:rFonts w:ascii="Arial" w:hAnsi="Arial" w:cs="Arial"/>
          <w:b/>
          <w:sz w:val="20"/>
          <w:szCs w:val="20"/>
        </w:rPr>
      </w:pPr>
      <w:r w:rsidRPr="00FB351A">
        <w:rPr>
          <w:rFonts w:ascii="Arial" w:hAnsi="Arial" w:cs="Arial"/>
          <w:b/>
          <w:sz w:val="20"/>
          <w:szCs w:val="20"/>
        </w:rPr>
        <w:t>Según la división de la economía clásica</w:t>
      </w:r>
      <w:r w:rsidRPr="00FB351A">
        <w:rPr>
          <w:rStyle w:val="Refdenotaalpie"/>
          <w:rFonts w:ascii="Arial" w:hAnsi="Arial" w:cs="Arial"/>
          <w:b/>
          <w:sz w:val="20"/>
          <w:szCs w:val="20"/>
        </w:rPr>
        <w:footnoteReference w:id="2"/>
      </w:r>
    </w:p>
    <w:p w14:paraId="15BDB1F5" w14:textId="77777777" w:rsidR="008322ED" w:rsidRPr="00FB351A" w:rsidRDefault="008322ED" w:rsidP="00803115">
      <w:pPr>
        <w:pStyle w:val="Textoindependiente"/>
        <w:jc w:val="both"/>
        <w:rPr>
          <w:rFonts w:ascii="Arial" w:hAnsi="Arial" w:cs="Arial"/>
          <w:sz w:val="20"/>
          <w:szCs w:val="20"/>
        </w:rPr>
      </w:pPr>
    </w:p>
    <w:p w14:paraId="2960BF46"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 xml:space="preserve">Según la división de la economía clásica, los sectores de la economía son los siguientes: </w:t>
      </w:r>
    </w:p>
    <w:p w14:paraId="7F96ADE7" w14:textId="77777777" w:rsidR="008322ED" w:rsidRPr="00FB351A" w:rsidRDefault="008322ED" w:rsidP="00803115">
      <w:pPr>
        <w:pStyle w:val="Textoindependiente"/>
        <w:jc w:val="both"/>
        <w:rPr>
          <w:rFonts w:ascii="Arial" w:hAnsi="Arial" w:cs="Arial"/>
          <w:sz w:val="20"/>
          <w:szCs w:val="20"/>
        </w:rPr>
      </w:pPr>
    </w:p>
    <w:tbl>
      <w:tblPr>
        <w:tblW w:w="5000" w:type="pct"/>
        <w:tblCellSpacing w:w="15" w:type="dxa"/>
        <w:tblCellMar>
          <w:left w:w="0" w:type="dxa"/>
          <w:right w:w="0" w:type="dxa"/>
        </w:tblCellMar>
        <w:tblLook w:val="04A0" w:firstRow="1" w:lastRow="0" w:firstColumn="1" w:lastColumn="0" w:noHBand="0" w:noVBand="1"/>
      </w:tblPr>
      <w:tblGrid>
        <w:gridCol w:w="1869"/>
        <w:gridCol w:w="3940"/>
        <w:gridCol w:w="3814"/>
      </w:tblGrid>
      <w:tr w:rsidR="00887AAB" w:rsidRPr="00FB351A" w14:paraId="55DA8020" w14:textId="77777777" w:rsidTr="009B3AAD">
        <w:trPr>
          <w:trHeight w:val="20"/>
          <w:tblHeader/>
          <w:tblCellSpacing w:w="15" w:type="dxa"/>
        </w:trPr>
        <w:tc>
          <w:tcPr>
            <w:tcW w:w="79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D4B8E3C"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t>Sector Económico</w:t>
            </w:r>
          </w:p>
        </w:tc>
        <w:tc>
          <w:tcPr>
            <w:tcW w:w="2110"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69C9F63"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t>Definición Técnica</w:t>
            </w:r>
          </w:p>
        </w:tc>
        <w:tc>
          <w:tcPr>
            <w:tcW w:w="2036"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19B8217"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t>Actividades Principales del Sector</w:t>
            </w:r>
          </w:p>
        </w:tc>
      </w:tr>
      <w:tr w:rsidR="00887AAB" w:rsidRPr="00FB351A" w14:paraId="574AFE4A" w14:textId="77777777" w:rsidTr="009B3AAD">
        <w:trPr>
          <w:trHeight w:val="20"/>
          <w:tblCellSpacing w:w="15" w:type="dxa"/>
        </w:trPr>
        <w:tc>
          <w:tcPr>
            <w:tcW w:w="79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A722850"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t>Sector Primario</w:t>
            </w:r>
          </w:p>
          <w:p w14:paraId="488152FD"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br/>
            </w:r>
          </w:p>
          <w:p w14:paraId="24598A28" w14:textId="77777777" w:rsidR="00887AAB" w:rsidRPr="00FB351A" w:rsidRDefault="00887AAB" w:rsidP="00887AAB">
            <w:pPr>
              <w:pStyle w:val="Descripcin"/>
              <w:jc w:val="both"/>
              <w:rPr>
                <w:rFonts w:ascii="Arial" w:hAnsi="Arial" w:cs="Arial"/>
                <w:lang w:val="es-CO"/>
              </w:rPr>
            </w:pPr>
            <w:r w:rsidRPr="00FB351A">
              <w:rPr>
                <w:rFonts w:ascii="Arial" w:hAnsi="Arial" w:cs="Arial"/>
                <w:i/>
                <w:iCs/>
                <w:lang w:val="es-CO"/>
              </w:rPr>
              <w:t>(Agropecuario)</w:t>
            </w:r>
          </w:p>
          <w:p w14:paraId="1A15D6A2" w14:textId="77777777" w:rsidR="00887AAB" w:rsidRPr="00FB351A" w:rsidRDefault="00887AAB" w:rsidP="00887AAB">
            <w:pPr>
              <w:pStyle w:val="Descripcin"/>
              <w:jc w:val="both"/>
              <w:rPr>
                <w:rFonts w:ascii="Arial" w:hAnsi="Arial" w:cs="Arial"/>
                <w:lang w:val="es-CO"/>
              </w:rPr>
            </w:pPr>
          </w:p>
        </w:tc>
        <w:tc>
          <w:tcPr>
            <w:tcW w:w="211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D7BDDF"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Comprende las actividades dedicadas a la obtención de recursos y materias primas directamente de la naturaleza, sin mediar procesos de transformación industrial.</w:t>
            </w:r>
          </w:p>
        </w:tc>
        <w:tc>
          <w:tcPr>
            <w:tcW w:w="2036"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BF69E"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Agricultura.</w:t>
            </w:r>
          </w:p>
          <w:p w14:paraId="2F50E6BD"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Ganadería.</w:t>
            </w:r>
          </w:p>
          <w:p w14:paraId="4DB0A43F"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Silvicultura.</w:t>
            </w:r>
          </w:p>
          <w:p w14:paraId="0C99D896"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Caza y pesca.</w:t>
            </w:r>
          </w:p>
          <w:p w14:paraId="0516A1DA" w14:textId="77777777" w:rsidR="00887AAB" w:rsidRPr="00FB351A" w:rsidRDefault="00887AAB" w:rsidP="00887AAB">
            <w:pPr>
              <w:pStyle w:val="Descripcin"/>
              <w:jc w:val="both"/>
              <w:rPr>
                <w:rFonts w:ascii="Arial" w:hAnsi="Arial" w:cs="Arial"/>
                <w:b w:val="0"/>
                <w:bCs w:val="0"/>
                <w:lang w:val="es-CO"/>
              </w:rPr>
            </w:pPr>
          </w:p>
          <w:p w14:paraId="504BD3E1"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i/>
                <w:iCs/>
                <w:lang w:val="es-CO"/>
              </w:rPr>
              <w:t>Nota: La extracción minera y petrolera no se clasifica aquí, sino en el sector secundario.</w:t>
            </w:r>
          </w:p>
          <w:p w14:paraId="080C349C" w14:textId="77777777" w:rsidR="00887AAB" w:rsidRPr="00FB351A" w:rsidRDefault="00887AAB" w:rsidP="00887AAB">
            <w:pPr>
              <w:pStyle w:val="Descripcin"/>
              <w:jc w:val="both"/>
              <w:rPr>
                <w:rFonts w:ascii="Arial" w:hAnsi="Arial" w:cs="Arial"/>
                <w:b w:val="0"/>
                <w:bCs w:val="0"/>
                <w:lang w:val="es-CO"/>
              </w:rPr>
            </w:pPr>
          </w:p>
        </w:tc>
      </w:tr>
      <w:tr w:rsidR="00887AAB" w:rsidRPr="00FB351A" w14:paraId="22926217" w14:textId="77777777" w:rsidTr="009B3AAD">
        <w:trPr>
          <w:trHeight w:val="20"/>
          <w:tblCellSpacing w:w="15" w:type="dxa"/>
        </w:trPr>
        <w:tc>
          <w:tcPr>
            <w:tcW w:w="79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30A50DE"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t>Sector Secundario</w:t>
            </w:r>
          </w:p>
          <w:p w14:paraId="6DCD5BBE"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br/>
            </w:r>
          </w:p>
          <w:p w14:paraId="7A45750A" w14:textId="77777777" w:rsidR="00887AAB" w:rsidRPr="00FB351A" w:rsidRDefault="00887AAB" w:rsidP="00887AAB">
            <w:pPr>
              <w:pStyle w:val="Descripcin"/>
              <w:jc w:val="both"/>
              <w:rPr>
                <w:rFonts w:ascii="Arial" w:hAnsi="Arial" w:cs="Arial"/>
                <w:lang w:val="es-CO"/>
              </w:rPr>
            </w:pPr>
            <w:r w:rsidRPr="00FB351A">
              <w:rPr>
                <w:rFonts w:ascii="Arial" w:hAnsi="Arial" w:cs="Arial"/>
                <w:i/>
                <w:iCs/>
                <w:lang w:val="es-CO"/>
              </w:rPr>
              <w:t>(Industrial)</w:t>
            </w:r>
          </w:p>
          <w:p w14:paraId="55A80BEC" w14:textId="77777777" w:rsidR="00887AAB" w:rsidRPr="00FB351A" w:rsidRDefault="00887AAB" w:rsidP="00887AAB">
            <w:pPr>
              <w:pStyle w:val="Descripcin"/>
              <w:jc w:val="both"/>
              <w:rPr>
                <w:rFonts w:ascii="Arial" w:hAnsi="Arial" w:cs="Arial"/>
                <w:lang w:val="es-CO"/>
              </w:rPr>
            </w:pPr>
          </w:p>
        </w:tc>
        <w:tc>
          <w:tcPr>
            <w:tcW w:w="211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E505A"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Abarca las actividades relacionadas con la transformación física o química de materias primas o bienes básicos en nuevos productos manufacturados.</w:t>
            </w:r>
          </w:p>
        </w:tc>
        <w:tc>
          <w:tcPr>
            <w:tcW w:w="2036"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BD4A96"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Se divide en dos subsectores:</w:t>
            </w:r>
          </w:p>
          <w:p w14:paraId="51E337AE" w14:textId="77777777" w:rsidR="00887AAB" w:rsidRPr="00FB351A" w:rsidRDefault="00887AAB" w:rsidP="00887AAB">
            <w:pPr>
              <w:pStyle w:val="Descripcin"/>
              <w:jc w:val="both"/>
              <w:rPr>
                <w:rFonts w:ascii="Arial" w:hAnsi="Arial" w:cs="Arial"/>
                <w:b w:val="0"/>
                <w:bCs w:val="0"/>
                <w:lang w:val="es-CO"/>
              </w:rPr>
            </w:pPr>
          </w:p>
          <w:p w14:paraId="14DBEA3A"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Industrial extractivo: Extracción minera y de hidrocarburos (petróleo).</w:t>
            </w:r>
          </w:p>
          <w:p w14:paraId="53B568A5" w14:textId="77777777" w:rsidR="00887AAB" w:rsidRPr="00FB351A" w:rsidRDefault="00887AAB" w:rsidP="00887AAB">
            <w:pPr>
              <w:pStyle w:val="Descripcin"/>
              <w:jc w:val="both"/>
              <w:rPr>
                <w:rFonts w:ascii="Arial" w:hAnsi="Arial" w:cs="Arial"/>
                <w:b w:val="0"/>
                <w:bCs w:val="0"/>
                <w:lang w:val="es-CO"/>
              </w:rPr>
            </w:pPr>
          </w:p>
          <w:p w14:paraId="717C56E8"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Industrial de transformación: Fabricación de vehículos, cementos, electrodomésticos, envasado de alimentos, y producción de fertilizantes o abonos.</w:t>
            </w:r>
          </w:p>
          <w:p w14:paraId="4A1F01BC" w14:textId="77777777" w:rsidR="00887AAB" w:rsidRPr="00FB351A" w:rsidRDefault="00887AAB" w:rsidP="00887AAB">
            <w:pPr>
              <w:pStyle w:val="Descripcin"/>
              <w:jc w:val="both"/>
              <w:rPr>
                <w:rFonts w:ascii="Arial" w:hAnsi="Arial" w:cs="Arial"/>
                <w:b w:val="0"/>
                <w:bCs w:val="0"/>
                <w:lang w:val="es-CO"/>
              </w:rPr>
            </w:pPr>
          </w:p>
        </w:tc>
      </w:tr>
      <w:tr w:rsidR="00887AAB" w:rsidRPr="00FB351A" w14:paraId="0E252AF8" w14:textId="77777777" w:rsidTr="009B3AAD">
        <w:trPr>
          <w:trHeight w:val="20"/>
          <w:tblCellSpacing w:w="15" w:type="dxa"/>
        </w:trPr>
        <w:tc>
          <w:tcPr>
            <w:tcW w:w="79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4C9C932"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t>Sector Terciario</w:t>
            </w:r>
          </w:p>
          <w:p w14:paraId="2C386FE3" w14:textId="77777777" w:rsidR="00887AAB" w:rsidRPr="00FB351A" w:rsidRDefault="00887AAB" w:rsidP="00887AAB">
            <w:pPr>
              <w:pStyle w:val="Descripcin"/>
              <w:jc w:val="both"/>
              <w:rPr>
                <w:rFonts w:ascii="Arial" w:hAnsi="Arial" w:cs="Arial"/>
                <w:lang w:val="es-CO"/>
              </w:rPr>
            </w:pPr>
            <w:r w:rsidRPr="00FB351A">
              <w:rPr>
                <w:rFonts w:ascii="Arial" w:hAnsi="Arial" w:cs="Arial"/>
                <w:lang w:val="es-CO"/>
              </w:rPr>
              <w:br/>
            </w:r>
          </w:p>
          <w:p w14:paraId="0C292073" w14:textId="77777777" w:rsidR="00887AAB" w:rsidRPr="00FB351A" w:rsidRDefault="00887AAB" w:rsidP="00887AAB">
            <w:pPr>
              <w:pStyle w:val="Descripcin"/>
              <w:jc w:val="both"/>
              <w:rPr>
                <w:rFonts w:ascii="Arial" w:hAnsi="Arial" w:cs="Arial"/>
                <w:lang w:val="es-CO"/>
              </w:rPr>
            </w:pPr>
            <w:r w:rsidRPr="00FB351A">
              <w:rPr>
                <w:rFonts w:ascii="Arial" w:hAnsi="Arial" w:cs="Arial"/>
                <w:i/>
                <w:iCs/>
                <w:lang w:val="es-CO"/>
              </w:rPr>
              <w:t>(Servicios)</w:t>
            </w:r>
          </w:p>
          <w:p w14:paraId="20CE8C1C" w14:textId="77777777" w:rsidR="00887AAB" w:rsidRPr="00FB351A" w:rsidRDefault="00887AAB" w:rsidP="00887AAB">
            <w:pPr>
              <w:pStyle w:val="Descripcin"/>
              <w:jc w:val="both"/>
              <w:rPr>
                <w:rFonts w:ascii="Arial" w:hAnsi="Arial" w:cs="Arial"/>
                <w:lang w:val="es-CO"/>
              </w:rPr>
            </w:pPr>
          </w:p>
        </w:tc>
        <w:tc>
          <w:tcPr>
            <w:tcW w:w="211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1C7B8"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Engloba las actividades que no producen bienes materiales o tangibles (mercancías en sí), pero que proveen servicios esenciales para el funcionamiento integral de la economía.</w:t>
            </w:r>
          </w:p>
        </w:tc>
        <w:tc>
          <w:tcPr>
            <w:tcW w:w="2036"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7A481"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Servicios financieros y de seguros.</w:t>
            </w:r>
          </w:p>
          <w:p w14:paraId="6E2EA75A" w14:textId="77777777" w:rsidR="00887AAB" w:rsidRPr="00FB351A" w:rsidRDefault="00887AAB" w:rsidP="00887AAB">
            <w:pPr>
              <w:pStyle w:val="Descripcin"/>
              <w:jc w:val="both"/>
              <w:rPr>
                <w:rFonts w:ascii="Arial" w:hAnsi="Arial" w:cs="Arial"/>
                <w:b w:val="0"/>
                <w:bCs w:val="0"/>
                <w:lang w:val="es-CO"/>
              </w:rPr>
            </w:pPr>
          </w:p>
          <w:p w14:paraId="0ED71445"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Comercio, restaurantes y hotelería.</w:t>
            </w:r>
          </w:p>
          <w:p w14:paraId="6C31562F"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Transporte y logística.</w:t>
            </w:r>
          </w:p>
          <w:p w14:paraId="3BC42EFA"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Telecomunicaciones.</w:t>
            </w:r>
          </w:p>
          <w:p w14:paraId="704B07DB"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Educación y servicios profesionales.</w:t>
            </w:r>
          </w:p>
          <w:p w14:paraId="09795100" w14:textId="77777777" w:rsidR="00887AAB" w:rsidRPr="00FB351A" w:rsidRDefault="00887AAB" w:rsidP="00887AAB">
            <w:pPr>
              <w:pStyle w:val="Descripcin"/>
              <w:jc w:val="both"/>
              <w:rPr>
                <w:rFonts w:ascii="Arial" w:hAnsi="Arial" w:cs="Arial"/>
                <w:b w:val="0"/>
                <w:bCs w:val="0"/>
                <w:lang w:val="es-CO"/>
              </w:rPr>
            </w:pPr>
            <w:r w:rsidRPr="00FB351A">
              <w:rPr>
                <w:rFonts w:ascii="Arial" w:hAnsi="Arial" w:cs="Arial"/>
                <w:b w:val="0"/>
                <w:bCs w:val="0"/>
                <w:lang w:val="es-CO"/>
              </w:rPr>
              <w:t>• Administración pública y Gobierno.</w:t>
            </w:r>
          </w:p>
        </w:tc>
      </w:tr>
    </w:tbl>
    <w:p w14:paraId="6A3436F0" w14:textId="2440A4DB" w:rsidR="008322ED" w:rsidRPr="00FB351A" w:rsidRDefault="008322ED" w:rsidP="00803115">
      <w:pPr>
        <w:pStyle w:val="Descripcin"/>
        <w:jc w:val="both"/>
        <w:rPr>
          <w:rFonts w:ascii="Arial" w:hAnsi="Arial" w:cs="Arial"/>
          <w:b w:val="0"/>
          <w:bCs w:val="0"/>
        </w:rPr>
      </w:pPr>
      <w:r w:rsidRPr="00FB351A">
        <w:rPr>
          <w:rFonts w:ascii="Arial" w:hAnsi="Arial" w:cs="Arial"/>
          <w:b w:val="0"/>
          <w:bCs w:val="0"/>
        </w:rPr>
        <w:lastRenderedPageBreak/>
        <w:t xml:space="preserve">Cuadro Sectores de la economía. Elaborado por el intermediario de seguros de la entidad </w:t>
      </w:r>
    </w:p>
    <w:p w14:paraId="702C85BA" w14:textId="77777777" w:rsidR="008322ED" w:rsidRPr="00FB351A" w:rsidRDefault="008322ED" w:rsidP="00803115">
      <w:pPr>
        <w:pStyle w:val="Textoindependiente"/>
        <w:jc w:val="both"/>
        <w:rPr>
          <w:rFonts w:ascii="Arial" w:hAnsi="Arial" w:cs="Arial"/>
          <w:sz w:val="20"/>
          <w:szCs w:val="20"/>
        </w:rPr>
      </w:pPr>
    </w:p>
    <w:p w14:paraId="77132A07"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 xml:space="preserve">Es indispensable aclarar que los dos primeros sectores producen bienes tangibles, por lo cual son considerados como sectores productivos. Es tercer sector se considera no productivo, puesto que no produce bienes tangibles, pero, sin embargo, contribuye a la formación el ingreso nacional y del producto nacional.  </w:t>
      </w:r>
    </w:p>
    <w:p w14:paraId="1C65EC8F" w14:textId="77777777" w:rsidR="00D94D9F" w:rsidRPr="00FB351A" w:rsidRDefault="00D94D9F" w:rsidP="00803115">
      <w:pPr>
        <w:pStyle w:val="Textoindependiente"/>
        <w:jc w:val="both"/>
        <w:rPr>
          <w:rFonts w:ascii="Arial" w:hAnsi="Arial" w:cs="Arial"/>
          <w:sz w:val="20"/>
          <w:szCs w:val="20"/>
        </w:rPr>
      </w:pPr>
    </w:p>
    <w:p w14:paraId="7BE3AC1E"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684EF6FA" w14:textId="77777777" w:rsidR="008322ED" w:rsidRPr="00FB351A" w:rsidRDefault="008322ED" w:rsidP="00803115">
      <w:pPr>
        <w:pStyle w:val="Textoindependiente"/>
        <w:jc w:val="both"/>
        <w:rPr>
          <w:rFonts w:ascii="Arial" w:hAnsi="Arial" w:cs="Arial"/>
          <w:sz w:val="20"/>
          <w:szCs w:val="20"/>
        </w:rPr>
      </w:pPr>
    </w:p>
    <w:p w14:paraId="3FB9F71D"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1. Sector agropecuario</w:t>
      </w:r>
      <w:r w:rsidRPr="00FB351A">
        <w:rPr>
          <w:rFonts w:ascii="Arial" w:hAnsi="Arial" w:cs="Arial"/>
          <w:sz w:val="20"/>
          <w:szCs w:val="20"/>
        </w:rPr>
        <w:t>: Corresponde al sector primario mencionado anteriormente.</w:t>
      </w:r>
    </w:p>
    <w:p w14:paraId="5C49E668"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2. Sector de servicios</w:t>
      </w:r>
      <w:r w:rsidRPr="00FB351A">
        <w:rPr>
          <w:rFonts w:ascii="Arial" w:hAnsi="Arial" w:cs="Arial"/>
          <w:sz w:val="20"/>
          <w:szCs w:val="20"/>
        </w:rPr>
        <w:t>: Corresponde al sector terciario mencionado anteriormente.</w:t>
      </w:r>
    </w:p>
    <w:p w14:paraId="1A18F994"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3. Sector industrial</w:t>
      </w:r>
      <w:r w:rsidRPr="00FB351A">
        <w:rPr>
          <w:rFonts w:ascii="Arial" w:hAnsi="Arial" w:cs="Arial"/>
          <w:sz w:val="20"/>
          <w:szCs w:val="20"/>
        </w:rPr>
        <w:t>: Corresponde al sector secundario mencionado anteriormente.</w:t>
      </w:r>
    </w:p>
    <w:p w14:paraId="4B2B556B"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4. Sector de transporte</w:t>
      </w:r>
      <w:r w:rsidRPr="00FB351A">
        <w:rPr>
          <w:rFonts w:ascii="Arial" w:hAnsi="Arial" w:cs="Arial"/>
          <w:sz w:val="20"/>
          <w:szCs w:val="20"/>
        </w:rPr>
        <w:t>: Hace parte del sector terciario, e incluye transporte de carga, servicio de transporte público, transporte terrestre, aéreo, marítimo, etc.</w:t>
      </w:r>
    </w:p>
    <w:p w14:paraId="5878BB9E"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5. Sector de comercio</w:t>
      </w:r>
      <w:r w:rsidRPr="00FB351A">
        <w:rPr>
          <w:rFonts w:ascii="Arial" w:hAnsi="Arial" w:cs="Arial"/>
          <w:sz w:val="20"/>
          <w:szCs w:val="20"/>
        </w:rPr>
        <w:t xml:space="preserve">: Hace parte del sector terciario de la economía, e incluye comercio al por mayor, minorista, centros comerciales, cámaras de comercio, San </w:t>
      </w:r>
      <w:proofErr w:type="spellStart"/>
      <w:r w:rsidRPr="00FB351A">
        <w:rPr>
          <w:rFonts w:ascii="Arial" w:hAnsi="Arial" w:cs="Arial"/>
          <w:sz w:val="20"/>
          <w:szCs w:val="20"/>
        </w:rPr>
        <w:t>Andresitos</w:t>
      </w:r>
      <w:proofErr w:type="spellEnd"/>
      <w:r w:rsidRPr="00FB351A">
        <w:rPr>
          <w:rFonts w:ascii="Arial" w:hAnsi="Arial" w:cs="Arial"/>
          <w:sz w:val="20"/>
          <w:szCs w:val="20"/>
        </w:rPr>
        <w:t>, plazas de mercado y, en general, a todos aquellos que se relacionan con la actividad de comercio de diversos productos a nivel nacional o internacional.</w:t>
      </w:r>
    </w:p>
    <w:p w14:paraId="2AC27CC2"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6. Sector financiero</w:t>
      </w:r>
      <w:r w:rsidRPr="00FB351A">
        <w:rPr>
          <w:rFonts w:ascii="Arial" w:hAnsi="Arial" w:cs="Arial"/>
          <w:sz w:val="20"/>
          <w:szCs w:val="20"/>
        </w:rPr>
        <w:t>: En este sector se incluyen todas aquellas organizaciones relacionadas con actividades bancarias y financieras, aseguradoras, fondos de pensiones y cesantías, fiduciarias, etc.</w:t>
      </w:r>
    </w:p>
    <w:p w14:paraId="0238E896"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7. Sector de la construcción</w:t>
      </w:r>
      <w:r w:rsidRPr="00FB351A">
        <w:rPr>
          <w:rFonts w:ascii="Arial" w:hAnsi="Arial" w:cs="Arial"/>
          <w:sz w:val="20"/>
          <w:szCs w:val="20"/>
        </w:rPr>
        <w:t>: En este sector se incluyen las empresas y organizaciones relacionadas con la construcción, al igual que los arquitectos e ingenieros, las empresas productoras de materiales para la construcción, etc.</w:t>
      </w:r>
    </w:p>
    <w:p w14:paraId="5C3F6841"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8. Sector minero y energético</w:t>
      </w:r>
      <w:r w:rsidRPr="00FB351A">
        <w:rPr>
          <w:rFonts w:ascii="Arial" w:hAnsi="Arial" w:cs="Arial"/>
          <w:sz w:val="20"/>
          <w:szCs w:val="20"/>
        </w:rPr>
        <w:t>: Se incluyen en él todas las empresas que se relacionan con la actividad minera y energética de cualquier tipo (extracción de carbón, esmeraldas, gas y petróleo; empresas generadoras de energía; etc.).</w:t>
      </w:r>
    </w:p>
    <w:p w14:paraId="078F7470"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9. Sector solidario</w:t>
      </w:r>
      <w:r w:rsidRPr="00FB351A">
        <w:rPr>
          <w:rFonts w:ascii="Arial" w:hAnsi="Arial" w:cs="Arial"/>
          <w:sz w:val="20"/>
          <w:szCs w:val="20"/>
        </w:rPr>
        <w:t>: En este sector se incluyen las cooperativas, las cajas de compensación familiar, las empresas solidarias de salud, entre otras.</w:t>
      </w:r>
    </w:p>
    <w:p w14:paraId="2572A99B" w14:textId="77777777" w:rsidR="00F6584E" w:rsidRPr="00FB351A" w:rsidRDefault="00F6584E" w:rsidP="00803115">
      <w:pPr>
        <w:pStyle w:val="Textoindependiente"/>
        <w:jc w:val="both"/>
        <w:rPr>
          <w:rFonts w:ascii="Arial" w:hAnsi="Arial" w:cs="Arial"/>
          <w:sz w:val="20"/>
          <w:szCs w:val="20"/>
        </w:rPr>
      </w:pPr>
      <w:r w:rsidRPr="00FB351A">
        <w:rPr>
          <w:rFonts w:ascii="Arial" w:hAnsi="Arial" w:cs="Arial"/>
          <w:b/>
          <w:bCs/>
          <w:sz w:val="20"/>
          <w:szCs w:val="20"/>
        </w:rPr>
        <w:t>10. Sector de comunicaciones</w:t>
      </w:r>
      <w:r w:rsidRPr="00FB351A">
        <w:rPr>
          <w:rFonts w:ascii="Arial" w:hAnsi="Arial" w:cs="Arial"/>
          <w:sz w:val="20"/>
          <w:szCs w:val="20"/>
        </w:rPr>
        <w:t>: En este sector se incluyen todas las empresas y organizaciones relacionadas con los medios de comunicación como (telefonía fija y celular, empresas de publicidad, periódicos, editoriales, etc.).</w:t>
      </w:r>
    </w:p>
    <w:p w14:paraId="005033AA" w14:textId="77777777" w:rsidR="008322ED" w:rsidRPr="00FB351A" w:rsidRDefault="008322ED" w:rsidP="00803115">
      <w:pPr>
        <w:pStyle w:val="Textoindependiente"/>
        <w:jc w:val="both"/>
        <w:rPr>
          <w:rFonts w:ascii="Arial" w:hAnsi="Arial" w:cs="Arial"/>
          <w:sz w:val="20"/>
          <w:szCs w:val="20"/>
        </w:rPr>
      </w:pPr>
    </w:p>
    <w:p w14:paraId="1FDAA639" w14:textId="74FDE03C" w:rsidR="008322ED" w:rsidRPr="00FB351A" w:rsidRDefault="00051EB3" w:rsidP="00803115">
      <w:pPr>
        <w:tabs>
          <w:tab w:val="left" w:pos="318"/>
        </w:tabs>
        <w:jc w:val="both"/>
        <w:rPr>
          <w:rFonts w:ascii="Arial" w:hAnsi="Arial" w:cs="Arial"/>
          <w:sz w:val="20"/>
          <w:szCs w:val="20"/>
        </w:rPr>
      </w:pPr>
      <w:r w:rsidRPr="00FB351A">
        <w:rPr>
          <w:rFonts w:ascii="Arial" w:hAnsi="Arial" w:cs="Arial"/>
          <w:sz w:val="20"/>
          <w:szCs w:val="20"/>
        </w:rPr>
        <w:t>Ahora bien, para cumplir  con lo dispuesto en el</w:t>
      </w:r>
      <w:r w:rsidR="00193040" w:rsidRPr="00FB351A">
        <w:rPr>
          <w:rFonts w:ascii="Arial" w:hAnsi="Arial" w:cs="Arial"/>
          <w:sz w:val="20"/>
          <w:szCs w:val="20"/>
        </w:rPr>
        <w:t xml:space="preserve"> primer inciso del</w:t>
      </w:r>
      <w:r w:rsidRPr="00FB351A">
        <w:rPr>
          <w:rFonts w:ascii="Arial" w:hAnsi="Arial" w:cs="Arial"/>
          <w:sz w:val="20"/>
          <w:szCs w:val="20"/>
        </w:rPr>
        <w:t xml:space="preserve"> numeral 12 del artículo 25, Del Principio de Economía, de la Ley 80 de 1993 por la cual se expide el estatuto general de contratación de la administración pública, modificado por el artículo 87, Maduración de Proyectos, de la Ley 1474 de 2011 por la cual se dictan normas orientadas a fortalecer los mecanismos de prevención, investigación y sanción de actos de corrupción y la efectividad del control de la gestión pública, y el artículo 2.2.1.1.2.1.1., Estudios y Documentos Previos, del Decreto 1082 de 2015 </w:t>
      </w:r>
      <w:r w:rsidR="008322ED" w:rsidRPr="00FB351A">
        <w:rPr>
          <w:rFonts w:ascii="Arial" w:hAnsi="Arial" w:cs="Arial"/>
          <w:sz w:val="20"/>
          <w:szCs w:val="20"/>
        </w:rPr>
        <w:t xml:space="preserve">por medio del cual se expide el decreto único reglamentario del sector Administrativo de Planeación Nacional, en relación con el estudio de mercado, </w:t>
      </w:r>
      <w:r w:rsidR="00021754" w:rsidRPr="00FB351A">
        <w:rPr>
          <w:rFonts w:ascii="Arial" w:hAnsi="Arial" w:cs="Arial"/>
          <w:sz w:val="20"/>
          <w:szCs w:val="20"/>
        </w:rPr>
        <w:t>Agencia de Desarrollo Rural - ADR</w:t>
      </w:r>
      <w:r w:rsidR="008322ED" w:rsidRPr="00FB351A">
        <w:rPr>
          <w:rFonts w:ascii="Arial" w:hAnsi="Arial" w:cs="Arial"/>
          <w:sz w:val="20"/>
          <w:szCs w:val="20"/>
        </w:rPr>
        <w:t xml:space="preserve"> identificó que en el presente estudio vamos a analizar el sector terciario de la economía, el cual está constituido por todas las actividades económicas cuyo propósito es la producción de los servicios que demanda la población, por lo cual, para el caso en concreto, de acuerdo al clasificador de bienes y servicios o Código Estándar de Productos y Servicios de Naciones Unidas – </w:t>
      </w:r>
      <w:proofErr w:type="spellStart"/>
      <w:r w:rsidR="008322ED" w:rsidRPr="00FB351A">
        <w:rPr>
          <w:rFonts w:ascii="Arial" w:hAnsi="Arial" w:cs="Arial"/>
          <w:sz w:val="20"/>
          <w:szCs w:val="20"/>
        </w:rPr>
        <w:t>UNSPSC</w:t>
      </w:r>
      <w:proofErr w:type="spellEnd"/>
      <w:r w:rsidR="008322ED" w:rsidRPr="00FB351A">
        <w:rPr>
          <w:rFonts w:ascii="Arial" w:hAnsi="Arial" w:cs="Arial"/>
          <w:sz w:val="20"/>
          <w:szCs w:val="20"/>
        </w:rPr>
        <w:t xml:space="preserve">-, analizaremos el </w:t>
      </w:r>
      <w:r w:rsidR="008322ED" w:rsidRPr="00FB351A">
        <w:rPr>
          <w:rFonts w:ascii="Arial" w:hAnsi="Arial" w:cs="Arial"/>
          <w:b/>
          <w:bCs/>
          <w:sz w:val="20"/>
          <w:szCs w:val="20"/>
        </w:rPr>
        <w:t>SECTOR SEGUROS</w:t>
      </w:r>
      <w:r w:rsidR="008322ED" w:rsidRPr="00FB351A">
        <w:rPr>
          <w:rFonts w:ascii="Arial" w:hAnsi="Arial" w:cs="Arial"/>
          <w:sz w:val="20"/>
          <w:szCs w:val="20"/>
        </w:rPr>
        <w:t xml:space="preserve">, en razón a que el propósito del proceso contractual que nos atañe es el de: </w:t>
      </w:r>
      <w:r w:rsidR="00A0625D" w:rsidRPr="00FB351A">
        <w:rPr>
          <w:rFonts w:ascii="Arial" w:hAnsi="Arial" w:cs="Arial"/>
          <w:b/>
          <w:bCs/>
          <w:sz w:val="20"/>
          <w:szCs w:val="20"/>
        </w:rPr>
        <w:t>CONTRATAR EL PROGRAMA</w:t>
      </w:r>
      <w:r w:rsidR="008D151A" w:rsidRPr="00FB351A">
        <w:rPr>
          <w:rFonts w:ascii="Arial" w:hAnsi="Arial" w:cs="Arial"/>
          <w:b/>
          <w:bCs/>
          <w:sz w:val="20"/>
          <w:szCs w:val="20"/>
        </w:rPr>
        <w:t xml:space="preserve"> </w:t>
      </w:r>
      <w:r w:rsidR="00A0625D" w:rsidRPr="00FB351A">
        <w:rPr>
          <w:rFonts w:ascii="Arial" w:hAnsi="Arial" w:cs="Arial"/>
          <w:b/>
          <w:bCs/>
          <w:sz w:val="20"/>
          <w:szCs w:val="20"/>
        </w:rPr>
        <w:t xml:space="preserve">DE SEGUROS DE LA AGENCIA DE DESARROLLO RURAL-ADR, PARA LA ADECUADA PROTECCIÓN DE LOS BIENES E INTERESES PATRIMONIALES DE SU PROPIEDAD, ASÍ COMO AQUELLOS POR LOS QUE SEA O FUERE LEGALMENTE RESPONSABLE O LE CORRESPONDA ASEGURAR EN VIRTUD DE DISPOSICIÓN LEGAL O CONTRACTUAL Y CUALQUIER OTRA PÓLIZA DE </w:t>
      </w:r>
      <w:r w:rsidR="00A0625D" w:rsidRPr="00FB351A">
        <w:rPr>
          <w:rFonts w:ascii="Arial" w:hAnsi="Arial" w:cs="Arial"/>
          <w:b/>
          <w:bCs/>
          <w:sz w:val="20"/>
          <w:szCs w:val="20"/>
        </w:rPr>
        <w:lastRenderedPageBreak/>
        <w:t>SEGUROS QUE REQUIERA LA ENTIDAD EN EL DESARROLLO DE SU ACTIVIDAD</w:t>
      </w:r>
      <w:r w:rsidR="008322ED" w:rsidRPr="00FB351A">
        <w:rPr>
          <w:rFonts w:ascii="Arial" w:hAnsi="Arial" w:cs="Arial"/>
          <w:b/>
          <w:bCs/>
          <w:i/>
          <w:iCs/>
          <w:sz w:val="20"/>
          <w:szCs w:val="20"/>
        </w:rPr>
        <w:t xml:space="preserve">, </w:t>
      </w:r>
      <w:r w:rsidR="008322ED" w:rsidRPr="00FB351A">
        <w:rPr>
          <w:rFonts w:ascii="Arial" w:hAnsi="Arial" w:cs="Arial"/>
          <w:sz w:val="20"/>
          <w:szCs w:val="20"/>
        </w:rPr>
        <w:t xml:space="preserve">por lo tanto, desde el punto de vista económico y financiero es menester realizar </w:t>
      </w:r>
      <w:r w:rsidR="00021754" w:rsidRPr="00FB351A">
        <w:rPr>
          <w:rFonts w:ascii="Arial" w:hAnsi="Arial" w:cs="Arial"/>
          <w:sz w:val="20"/>
          <w:szCs w:val="20"/>
        </w:rPr>
        <w:t>un análisis</w:t>
      </w:r>
      <w:r w:rsidR="008322ED" w:rsidRPr="00FB351A">
        <w:rPr>
          <w:rFonts w:ascii="Arial" w:hAnsi="Arial" w:cs="Arial"/>
          <w:sz w:val="20"/>
          <w:szCs w:val="20"/>
        </w:rPr>
        <w:t xml:space="preserve"> del sector asegurador en el contexto nacional, </w:t>
      </w:r>
    </w:p>
    <w:p w14:paraId="2227ABA8" w14:textId="77777777" w:rsidR="008322ED" w:rsidRPr="00FB351A" w:rsidRDefault="008322ED" w:rsidP="00803115">
      <w:pPr>
        <w:pStyle w:val="Textoindependiente"/>
        <w:jc w:val="both"/>
        <w:rPr>
          <w:rFonts w:ascii="Arial" w:hAnsi="Arial" w:cs="Arial"/>
          <w:sz w:val="20"/>
          <w:szCs w:val="20"/>
        </w:rPr>
      </w:pPr>
    </w:p>
    <w:p w14:paraId="66F110D0" w14:textId="24BA9695" w:rsidR="008322ED" w:rsidRPr="00FB351A" w:rsidRDefault="008322ED" w:rsidP="00803115">
      <w:pPr>
        <w:pStyle w:val="Ttulo4"/>
        <w:numPr>
          <w:ilvl w:val="2"/>
          <w:numId w:val="1"/>
        </w:numPr>
        <w:spacing w:before="0"/>
        <w:jc w:val="both"/>
        <w:rPr>
          <w:rFonts w:ascii="Arial" w:hAnsi="Arial" w:cs="Arial"/>
          <w:b/>
          <w:bCs/>
          <w:i w:val="0"/>
          <w:iCs w:val="0"/>
          <w:color w:val="auto"/>
          <w:sz w:val="20"/>
          <w:szCs w:val="20"/>
        </w:rPr>
      </w:pPr>
      <w:r w:rsidRPr="00FB351A">
        <w:rPr>
          <w:rFonts w:ascii="Arial" w:hAnsi="Arial" w:cs="Arial"/>
          <w:b/>
          <w:bCs/>
          <w:i w:val="0"/>
          <w:iCs w:val="0"/>
          <w:color w:val="auto"/>
          <w:sz w:val="20"/>
          <w:szCs w:val="20"/>
        </w:rPr>
        <w:t>Clasificación</w:t>
      </w:r>
      <w:r w:rsidRPr="00FB351A">
        <w:rPr>
          <w:rFonts w:ascii="Arial" w:hAnsi="Arial" w:cs="Arial"/>
          <w:b/>
          <w:bCs/>
          <w:i w:val="0"/>
          <w:iCs w:val="0"/>
          <w:color w:val="auto"/>
          <w:spacing w:val="1"/>
          <w:sz w:val="20"/>
          <w:szCs w:val="20"/>
        </w:rPr>
        <w:t xml:space="preserve"> </w:t>
      </w:r>
      <w:proofErr w:type="spellStart"/>
      <w:r w:rsidRPr="00FB351A">
        <w:rPr>
          <w:rFonts w:ascii="Arial" w:hAnsi="Arial" w:cs="Arial"/>
          <w:b/>
          <w:bCs/>
          <w:i w:val="0"/>
          <w:iCs w:val="0"/>
          <w:color w:val="auto"/>
          <w:sz w:val="20"/>
          <w:szCs w:val="20"/>
        </w:rPr>
        <w:t>UNSPSC</w:t>
      </w:r>
      <w:proofErr w:type="spellEnd"/>
      <w:r w:rsidRPr="00FB351A">
        <w:rPr>
          <w:rStyle w:val="Refdenotaalpie"/>
          <w:rFonts w:ascii="Arial" w:hAnsi="Arial" w:cs="Arial"/>
          <w:b/>
          <w:bCs/>
          <w:i w:val="0"/>
          <w:iCs w:val="0"/>
          <w:color w:val="auto"/>
          <w:sz w:val="20"/>
          <w:szCs w:val="20"/>
        </w:rPr>
        <w:footnoteReference w:id="3"/>
      </w:r>
    </w:p>
    <w:p w14:paraId="491EF206" w14:textId="77777777" w:rsidR="008322ED" w:rsidRPr="00FB351A" w:rsidRDefault="008322ED" w:rsidP="00803115">
      <w:pPr>
        <w:jc w:val="both"/>
        <w:rPr>
          <w:rFonts w:ascii="Arial" w:eastAsia="Arial MT" w:hAnsi="Arial" w:cs="Arial"/>
          <w:b/>
          <w:bCs/>
          <w:sz w:val="20"/>
          <w:szCs w:val="20"/>
        </w:rPr>
      </w:pPr>
    </w:p>
    <w:p w14:paraId="4337B0B0" w14:textId="77777777" w:rsidR="008322ED" w:rsidRPr="00FB351A" w:rsidRDefault="008322ED" w:rsidP="00803115">
      <w:pPr>
        <w:jc w:val="both"/>
        <w:rPr>
          <w:rFonts w:ascii="Arial" w:eastAsia="Arial MT" w:hAnsi="Arial" w:cs="Arial"/>
          <w:sz w:val="20"/>
          <w:szCs w:val="20"/>
        </w:rPr>
      </w:pPr>
      <w:bookmarkStart w:id="1" w:name="_Hlk182387024"/>
      <w:r w:rsidRPr="00FB351A">
        <w:rPr>
          <w:rFonts w:ascii="Arial" w:eastAsia="Arial MT" w:hAnsi="Arial" w:cs="Arial"/>
          <w:sz w:val="20"/>
          <w:szCs w:val="20"/>
        </w:rPr>
        <w:t>De acuerdo con el Modelo de Abastecimiento Estratégico – MAE, es importante, de manera previa, realizar la identificación de las categorías, grupos, familias o clases que componen la totalidad de las adquisiciones, bienes o servicios.</w:t>
      </w:r>
    </w:p>
    <w:p w14:paraId="4A8227FA" w14:textId="77777777" w:rsidR="008322ED" w:rsidRPr="00FB351A" w:rsidRDefault="008322ED" w:rsidP="00803115">
      <w:pPr>
        <w:jc w:val="both"/>
        <w:rPr>
          <w:rFonts w:ascii="Arial" w:eastAsia="Arial MT" w:hAnsi="Arial" w:cs="Arial"/>
          <w:sz w:val="20"/>
          <w:szCs w:val="20"/>
        </w:rPr>
      </w:pPr>
    </w:p>
    <w:p w14:paraId="7E448C11" w14:textId="77777777" w:rsidR="008322ED" w:rsidRPr="00FB351A" w:rsidRDefault="008322ED" w:rsidP="00803115">
      <w:pPr>
        <w:jc w:val="both"/>
        <w:rPr>
          <w:rFonts w:ascii="Arial" w:eastAsia="Arial MT" w:hAnsi="Arial" w:cs="Arial"/>
          <w:sz w:val="20"/>
          <w:szCs w:val="20"/>
        </w:rPr>
      </w:pPr>
      <w:r w:rsidRPr="00FB351A">
        <w:rPr>
          <w:rFonts w:ascii="Arial" w:eastAsia="Arial MT" w:hAnsi="Arial" w:cs="Arial"/>
          <w:sz w:val="20"/>
          <w:szCs w:val="20"/>
        </w:rPr>
        <w:t xml:space="preserve">Las categorías de compra son agrupaciones de bienes y servicios similares que tienen en común características de composición, demanda y oferta. </w:t>
      </w:r>
    </w:p>
    <w:p w14:paraId="26BE57BF" w14:textId="77777777" w:rsidR="008322ED" w:rsidRPr="00FB351A" w:rsidRDefault="008322ED" w:rsidP="00803115">
      <w:pPr>
        <w:jc w:val="both"/>
        <w:rPr>
          <w:rFonts w:ascii="Arial" w:eastAsia="Arial MT" w:hAnsi="Arial" w:cs="Arial"/>
          <w:sz w:val="20"/>
          <w:szCs w:val="20"/>
        </w:rPr>
      </w:pPr>
    </w:p>
    <w:p w14:paraId="6F38FFB1" w14:textId="77777777" w:rsidR="008322ED" w:rsidRPr="00FB351A" w:rsidRDefault="008322ED" w:rsidP="00803115">
      <w:pPr>
        <w:jc w:val="both"/>
        <w:rPr>
          <w:rFonts w:ascii="Arial" w:eastAsia="Arial MT" w:hAnsi="Arial" w:cs="Arial"/>
          <w:sz w:val="20"/>
          <w:szCs w:val="20"/>
        </w:rPr>
      </w:pPr>
      <w:r w:rsidRPr="00FB351A">
        <w:rPr>
          <w:rFonts w:ascii="Arial" w:eastAsia="Arial MT" w:hAnsi="Arial" w:cs="Arial"/>
          <w:sz w:val="20"/>
          <w:szCs w:val="20"/>
        </w:rPr>
        <w:t xml:space="preserve">Para el proceso de compra que se procura adelantar, se usará el Sistema de Codificación de </w:t>
      </w:r>
      <w:proofErr w:type="spellStart"/>
      <w:r w:rsidRPr="00FB351A">
        <w:rPr>
          <w:rFonts w:ascii="Arial" w:eastAsia="Arial MT" w:hAnsi="Arial" w:cs="Arial"/>
          <w:sz w:val="20"/>
          <w:szCs w:val="20"/>
        </w:rPr>
        <w:t>UNSPSC</w:t>
      </w:r>
      <w:proofErr w:type="spellEnd"/>
      <w:r w:rsidRPr="00FB351A">
        <w:rPr>
          <w:rFonts w:ascii="Arial" w:eastAsia="Arial MT" w:hAnsi="Arial" w:cs="Arial"/>
          <w:sz w:val="20"/>
          <w:szCs w:val="20"/>
        </w:rPr>
        <w:t xml:space="preserve"> que resulta fácil de adoptar, teniendo en cuenta que es generalizado y reconocido por proveedores y compradores, coherente y completo permitiendo la representación de todas las categorías relevantes, promueve las buenas prácticas anticorrupción e incentiva la competencia y trasparencia, facilita la labor de compradores agrupando productos y facilita los procesos de contratación contribuyendo al ahorro y la optimización del presupuesto. Además, es el categorizador utilizado por el Registro Único de Proponentes, de manera que se identifica que los servicios a adquirir se clasifican así:</w:t>
      </w:r>
    </w:p>
    <w:bookmarkEnd w:id="1"/>
    <w:p w14:paraId="78B62A2D" w14:textId="77777777" w:rsidR="008322ED" w:rsidRPr="00FB351A" w:rsidRDefault="008322ED" w:rsidP="00803115">
      <w:pPr>
        <w:jc w:val="both"/>
        <w:rPr>
          <w:rFonts w:ascii="Arial" w:eastAsia="Arial MT" w:hAnsi="Arial" w:cs="Arial"/>
          <w:b/>
          <w:bCs/>
          <w:sz w:val="20"/>
          <w:szCs w:val="20"/>
        </w:rPr>
      </w:pPr>
    </w:p>
    <w:p w14:paraId="1D9B3900" w14:textId="77777777" w:rsidR="00887AAB" w:rsidRPr="00FB351A" w:rsidRDefault="00887AAB" w:rsidP="00887AAB">
      <w:pPr>
        <w:jc w:val="both"/>
        <w:rPr>
          <w:rFonts w:ascii="Arial" w:eastAsia="Arial MT" w:hAnsi="Arial" w:cs="Arial"/>
          <w:b/>
          <w:bCs/>
          <w:sz w:val="20"/>
          <w:szCs w:val="20"/>
        </w:rPr>
      </w:pPr>
      <w:r w:rsidRPr="00FB351A">
        <w:rPr>
          <w:rFonts w:ascii="Arial" w:eastAsia="Arial MT" w:hAnsi="Arial" w:cs="Arial"/>
          <w:b/>
          <w:bCs/>
          <w:sz w:val="20"/>
          <w:szCs w:val="20"/>
        </w:rPr>
        <w:t>Clasificación Principal (Niveles Superiores)</w:t>
      </w:r>
    </w:p>
    <w:p w14:paraId="66E67151" w14:textId="77777777" w:rsidR="00887AAB" w:rsidRPr="00FB351A" w:rsidRDefault="00887AAB" w:rsidP="00887AAB">
      <w:pPr>
        <w:jc w:val="both"/>
        <w:rPr>
          <w:rFonts w:ascii="Arial" w:eastAsia="Arial MT" w:hAnsi="Arial" w:cs="Arial"/>
          <w:sz w:val="20"/>
          <w:szCs w:val="20"/>
        </w:rPr>
      </w:pPr>
    </w:p>
    <w:p w14:paraId="319612BC" w14:textId="77777777" w:rsidR="00887AAB" w:rsidRPr="00FB351A" w:rsidRDefault="00887AAB">
      <w:pPr>
        <w:numPr>
          <w:ilvl w:val="0"/>
          <w:numId w:val="41"/>
        </w:numPr>
        <w:jc w:val="both"/>
        <w:rPr>
          <w:rFonts w:ascii="Arial" w:eastAsia="Arial MT" w:hAnsi="Arial" w:cs="Arial"/>
          <w:sz w:val="20"/>
          <w:szCs w:val="20"/>
        </w:rPr>
      </w:pPr>
      <w:r w:rsidRPr="00FB351A">
        <w:rPr>
          <w:rFonts w:ascii="Arial" w:eastAsia="Arial MT" w:hAnsi="Arial" w:cs="Arial"/>
          <w:b/>
          <w:bCs/>
          <w:sz w:val="20"/>
          <w:szCs w:val="20"/>
        </w:rPr>
        <w:t>Grupo:</w:t>
      </w:r>
      <w:r w:rsidRPr="00FB351A">
        <w:rPr>
          <w:rFonts w:ascii="Arial" w:eastAsia="Arial MT" w:hAnsi="Arial" w:cs="Arial"/>
          <w:sz w:val="20"/>
          <w:szCs w:val="20"/>
        </w:rPr>
        <w:t xml:space="preserve"> F - Servicios</w:t>
      </w:r>
    </w:p>
    <w:p w14:paraId="655975C2" w14:textId="77777777" w:rsidR="00887AAB" w:rsidRPr="00FB351A" w:rsidRDefault="00887AAB">
      <w:pPr>
        <w:numPr>
          <w:ilvl w:val="0"/>
          <w:numId w:val="41"/>
        </w:numPr>
        <w:jc w:val="both"/>
        <w:rPr>
          <w:rFonts w:ascii="Arial" w:eastAsia="Arial MT" w:hAnsi="Arial" w:cs="Arial"/>
          <w:sz w:val="20"/>
          <w:szCs w:val="20"/>
        </w:rPr>
      </w:pPr>
      <w:r w:rsidRPr="00FB351A">
        <w:rPr>
          <w:rFonts w:ascii="Arial" w:eastAsia="Arial MT" w:hAnsi="Arial" w:cs="Arial"/>
          <w:b/>
          <w:bCs/>
          <w:sz w:val="20"/>
          <w:szCs w:val="20"/>
        </w:rPr>
        <w:t>Segmento:</w:t>
      </w:r>
      <w:r w:rsidRPr="00FB351A">
        <w:rPr>
          <w:rFonts w:ascii="Arial" w:eastAsia="Arial MT" w:hAnsi="Arial" w:cs="Arial"/>
          <w:sz w:val="20"/>
          <w:szCs w:val="20"/>
        </w:rPr>
        <w:t xml:space="preserve"> 84000000 - Servicios Financieros y de Seguros</w:t>
      </w:r>
    </w:p>
    <w:p w14:paraId="34078DE9" w14:textId="77777777" w:rsidR="00887AAB" w:rsidRPr="00FB351A" w:rsidRDefault="00887AAB">
      <w:pPr>
        <w:numPr>
          <w:ilvl w:val="0"/>
          <w:numId w:val="41"/>
        </w:numPr>
        <w:jc w:val="both"/>
        <w:rPr>
          <w:rFonts w:ascii="Arial" w:eastAsia="Arial MT" w:hAnsi="Arial" w:cs="Arial"/>
          <w:sz w:val="20"/>
          <w:szCs w:val="20"/>
        </w:rPr>
      </w:pPr>
      <w:r w:rsidRPr="00FB351A">
        <w:rPr>
          <w:rFonts w:ascii="Arial" w:eastAsia="Arial MT" w:hAnsi="Arial" w:cs="Arial"/>
          <w:b/>
          <w:bCs/>
          <w:sz w:val="20"/>
          <w:szCs w:val="20"/>
        </w:rPr>
        <w:t>Familia:</w:t>
      </w:r>
      <w:r w:rsidRPr="00FB351A">
        <w:rPr>
          <w:rFonts w:ascii="Arial" w:eastAsia="Arial MT" w:hAnsi="Arial" w:cs="Arial"/>
          <w:sz w:val="20"/>
          <w:szCs w:val="20"/>
        </w:rPr>
        <w:t xml:space="preserve"> 84130000 - Servicios de seguros y jubilación</w:t>
      </w:r>
    </w:p>
    <w:p w14:paraId="20DBF5D8" w14:textId="77777777" w:rsidR="00887AAB" w:rsidRPr="00FB351A" w:rsidRDefault="00887AAB" w:rsidP="00887AAB">
      <w:pPr>
        <w:ind w:left="720"/>
        <w:jc w:val="both"/>
        <w:rPr>
          <w:rFonts w:ascii="Arial" w:eastAsia="Arial MT" w:hAnsi="Arial" w:cs="Arial"/>
          <w:sz w:val="20"/>
          <w:szCs w:val="20"/>
        </w:rPr>
      </w:pPr>
    </w:p>
    <w:p w14:paraId="31731CE9" w14:textId="77777777" w:rsidR="00887AAB" w:rsidRPr="00FB351A" w:rsidRDefault="00887AAB" w:rsidP="00887AAB">
      <w:pPr>
        <w:jc w:val="both"/>
        <w:rPr>
          <w:rFonts w:ascii="Arial" w:eastAsia="Arial MT" w:hAnsi="Arial" w:cs="Arial"/>
          <w:b/>
          <w:bCs/>
          <w:sz w:val="20"/>
          <w:szCs w:val="20"/>
        </w:rPr>
      </w:pPr>
      <w:r w:rsidRPr="00FB351A">
        <w:rPr>
          <w:rFonts w:ascii="Arial" w:eastAsia="Arial MT" w:hAnsi="Arial" w:cs="Arial"/>
          <w:b/>
          <w:bCs/>
          <w:sz w:val="20"/>
          <w:szCs w:val="20"/>
        </w:rPr>
        <w:t>Clase 84131500: Servicios de seguros para estructuras, propiedades y posesiones</w:t>
      </w:r>
    </w:p>
    <w:p w14:paraId="2828EE63" w14:textId="77777777" w:rsidR="00887AAB" w:rsidRPr="00FB351A" w:rsidRDefault="00887AAB" w:rsidP="00887AAB">
      <w:pPr>
        <w:jc w:val="both"/>
        <w:rPr>
          <w:rFonts w:ascii="Arial" w:eastAsia="Arial MT" w:hAnsi="Arial" w:cs="Arial"/>
          <w:b/>
          <w:bCs/>
          <w:sz w:val="20"/>
          <w:szCs w:val="20"/>
        </w:rPr>
      </w:pPr>
    </w:p>
    <w:tbl>
      <w:tblPr>
        <w:tblW w:w="5000" w:type="pct"/>
        <w:tblCellSpacing w:w="15" w:type="dxa"/>
        <w:tblCellMar>
          <w:left w:w="0" w:type="dxa"/>
          <w:right w:w="0" w:type="dxa"/>
        </w:tblCellMar>
        <w:tblLook w:val="04A0" w:firstRow="1" w:lastRow="0" w:firstColumn="1" w:lastColumn="0" w:noHBand="0" w:noVBand="1"/>
      </w:tblPr>
      <w:tblGrid>
        <w:gridCol w:w="3372"/>
        <w:gridCol w:w="6251"/>
      </w:tblGrid>
      <w:tr w:rsidR="00887AAB" w:rsidRPr="00FB351A" w14:paraId="44B60858" w14:textId="77777777" w:rsidTr="00D83D3A">
        <w:trPr>
          <w:trHeight w:val="20"/>
          <w:tblHeader/>
          <w:tblCellSpacing w:w="15" w:type="dxa"/>
        </w:trPr>
        <w:tc>
          <w:tcPr>
            <w:tcW w:w="1729"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54E1A57"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Código de Producto</w:t>
            </w:r>
          </w:p>
        </w:tc>
        <w:tc>
          <w:tcPr>
            <w:tcW w:w="322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055554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Descripción del Servicio</w:t>
            </w:r>
          </w:p>
        </w:tc>
      </w:tr>
      <w:tr w:rsidR="00887AAB" w:rsidRPr="00FB351A" w14:paraId="255E4008"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AF99A"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84131501</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F6566C"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edificios o contenidos de edificios</w:t>
            </w:r>
          </w:p>
        </w:tc>
      </w:tr>
      <w:tr w:rsidR="00887AAB" w:rsidRPr="00FB351A" w14:paraId="7B2F03E8"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B41B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84131502</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A58012"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para propietarios o inquilinos</w:t>
            </w:r>
          </w:p>
        </w:tc>
      </w:tr>
      <w:tr w:rsidR="00887AAB" w:rsidRPr="00FB351A" w14:paraId="4B0ABA74"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B5E586"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84131503</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332477"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auto o camión</w:t>
            </w:r>
          </w:p>
        </w:tc>
      </w:tr>
      <w:tr w:rsidR="00887AAB" w:rsidRPr="00FB351A" w14:paraId="5A5713C8"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9FCA15"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84131504</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186E95"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carga</w:t>
            </w:r>
          </w:p>
        </w:tc>
      </w:tr>
      <w:tr w:rsidR="00887AAB" w:rsidRPr="00FB351A" w14:paraId="2AFF03A6"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9ECEB3"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84131505</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6C8A36"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Seguros marítimos</w:t>
            </w:r>
          </w:p>
        </w:tc>
      </w:tr>
      <w:tr w:rsidR="00887AAB" w:rsidRPr="00FB351A" w14:paraId="0CD5C47F"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725A3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84131508</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FC51A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efectivo en tránsito</w:t>
            </w:r>
          </w:p>
        </w:tc>
      </w:tr>
      <w:tr w:rsidR="00887AAB" w:rsidRPr="00FB351A" w14:paraId="2A6CD135"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FF886"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lastRenderedPageBreak/>
              <w:t>84131509</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4E3C51"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integral de proyectos</w:t>
            </w:r>
          </w:p>
        </w:tc>
      </w:tr>
      <w:tr w:rsidR="00887AAB" w:rsidRPr="00FB351A" w14:paraId="182F7F6D"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A2B9A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84131510</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B99FAD"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a todo riesgo para contratistas</w:t>
            </w:r>
          </w:p>
        </w:tc>
      </w:tr>
      <w:tr w:rsidR="00887AAB" w:rsidRPr="00FB351A" w14:paraId="6AE58042"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382853"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84131511</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FED0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deterioro de existencias</w:t>
            </w:r>
          </w:p>
        </w:tc>
      </w:tr>
      <w:tr w:rsidR="00887AAB" w:rsidRPr="00FB351A" w14:paraId="12B16505"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7645D6"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84131512</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1DEE9"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equipos electrónicos</w:t>
            </w:r>
          </w:p>
        </w:tc>
      </w:tr>
      <w:tr w:rsidR="00887AAB" w:rsidRPr="00FB351A" w14:paraId="117ECF67"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7D1DA9"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84131513</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E7BE5C"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montaje a todo riesgo</w:t>
            </w:r>
          </w:p>
        </w:tc>
      </w:tr>
      <w:tr w:rsidR="00887AAB" w:rsidRPr="00FB351A" w14:paraId="56D7591E"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75F2F"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84131514</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B73D3"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garantía de fidelidad</w:t>
            </w:r>
          </w:p>
        </w:tc>
      </w:tr>
      <w:tr w:rsidR="00887AAB" w:rsidRPr="00FB351A" w14:paraId="187B53C9" w14:textId="77777777" w:rsidTr="00D83D3A">
        <w:trPr>
          <w:trHeight w:val="20"/>
          <w:tblCellSpacing w:w="15" w:type="dxa"/>
        </w:trPr>
        <w:tc>
          <w:tcPr>
            <w:tcW w:w="172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FBF333"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84131519</w:t>
            </w:r>
          </w:p>
        </w:tc>
        <w:tc>
          <w:tcPr>
            <w:tcW w:w="322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ADED74"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contra incendios</w:t>
            </w:r>
          </w:p>
        </w:tc>
      </w:tr>
    </w:tbl>
    <w:p w14:paraId="770836B5" w14:textId="77777777" w:rsidR="00887AAB" w:rsidRPr="00FB351A" w:rsidRDefault="00887AAB" w:rsidP="00887AAB">
      <w:pPr>
        <w:jc w:val="both"/>
        <w:rPr>
          <w:rFonts w:ascii="Arial" w:eastAsia="Arial MT" w:hAnsi="Arial" w:cs="Arial"/>
          <w:b/>
          <w:bCs/>
          <w:sz w:val="20"/>
          <w:szCs w:val="20"/>
        </w:rPr>
      </w:pPr>
    </w:p>
    <w:p w14:paraId="1127C6E0" w14:textId="77777777" w:rsidR="00887AAB" w:rsidRPr="00FB351A" w:rsidRDefault="00887AAB" w:rsidP="00887AAB">
      <w:pPr>
        <w:jc w:val="both"/>
        <w:rPr>
          <w:rFonts w:ascii="Arial" w:eastAsia="Arial MT" w:hAnsi="Arial" w:cs="Arial"/>
          <w:b/>
          <w:bCs/>
          <w:sz w:val="20"/>
          <w:szCs w:val="20"/>
        </w:rPr>
      </w:pPr>
      <w:r w:rsidRPr="00FB351A">
        <w:rPr>
          <w:rFonts w:ascii="Arial" w:eastAsia="Arial MT" w:hAnsi="Arial" w:cs="Arial"/>
          <w:b/>
          <w:bCs/>
          <w:sz w:val="20"/>
          <w:szCs w:val="20"/>
        </w:rPr>
        <w:t>Clase 84131600: Seguro de vida, salud y accidentes</w:t>
      </w:r>
    </w:p>
    <w:p w14:paraId="3E054270" w14:textId="77777777" w:rsidR="00887AAB" w:rsidRPr="00FB351A" w:rsidRDefault="00887AAB" w:rsidP="00887AAB">
      <w:pPr>
        <w:jc w:val="both"/>
        <w:rPr>
          <w:rFonts w:ascii="Arial" w:eastAsia="Arial MT" w:hAnsi="Arial" w:cs="Arial"/>
          <w:b/>
          <w:bCs/>
          <w:sz w:val="20"/>
          <w:szCs w:val="20"/>
        </w:rPr>
      </w:pPr>
    </w:p>
    <w:tbl>
      <w:tblPr>
        <w:tblW w:w="5000" w:type="pct"/>
        <w:tblCellSpacing w:w="15" w:type="dxa"/>
        <w:tblCellMar>
          <w:left w:w="0" w:type="dxa"/>
          <w:right w:w="0" w:type="dxa"/>
        </w:tblCellMar>
        <w:tblLook w:val="04A0" w:firstRow="1" w:lastRow="0" w:firstColumn="1" w:lastColumn="0" w:noHBand="0" w:noVBand="1"/>
      </w:tblPr>
      <w:tblGrid>
        <w:gridCol w:w="2878"/>
        <w:gridCol w:w="6745"/>
      </w:tblGrid>
      <w:tr w:rsidR="00887AAB" w:rsidRPr="00FB351A" w14:paraId="6BB0B41B" w14:textId="77777777" w:rsidTr="00D83D3A">
        <w:trPr>
          <w:trHeight w:val="20"/>
          <w:tblHeader/>
          <w:tblCellSpacing w:w="15" w:type="dxa"/>
        </w:trPr>
        <w:tc>
          <w:tcPr>
            <w:tcW w:w="147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AD28BF7"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Código de Producto</w:t>
            </w:r>
          </w:p>
        </w:tc>
        <w:tc>
          <w:tcPr>
            <w:tcW w:w="3481"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A50754C"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Descripción del Servicio</w:t>
            </w:r>
          </w:p>
        </w:tc>
      </w:tr>
      <w:tr w:rsidR="00887AAB" w:rsidRPr="00FB351A" w14:paraId="1B108FF1" w14:textId="77777777" w:rsidTr="00D83D3A">
        <w:trPr>
          <w:trHeight w:val="20"/>
          <w:tblCellSpacing w:w="15" w:type="dxa"/>
        </w:trPr>
        <w:tc>
          <w:tcPr>
            <w:tcW w:w="14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FA654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84131601</w:t>
            </w:r>
          </w:p>
        </w:tc>
        <w:tc>
          <w:tcPr>
            <w:tcW w:w="34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0CE741"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vida</w:t>
            </w:r>
          </w:p>
        </w:tc>
      </w:tr>
      <w:tr w:rsidR="00887AAB" w:rsidRPr="00FB351A" w14:paraId="0AAECC5E" w14:textId="77777777" w:rsidTr="00D83D3A">
        <w:trPr>
          <w:trHeight w:val="20"/>
          <w:tblCellSpacing w:w="15" w:type="dxa"/>
        </w:trPr>
        <w:tc>
          <w:tcPr>
            <w:tcW w:w="14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6ED688"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84131602</w:t>
            </w:r>
          </w:p>
        </w:tc>
        <w:tc>
          <w:tcPr>
            <w:tcW w:w="34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291245"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médico o de hospitalización</w:t>
            </w:r>
          </w:p>
        </w:tc>
      </w:tr>
      <w:tr w:rsidR="00887AAB" w:rsidRPr="00FB351A" w14:paraId="7B492186" w14:textId="77777777" w:rsidTr="00D83D3A">
        <w:trPr>
          <w:trHeight w:val="20"/>
          <w:tblCellSpacing w:w="15" w:type="dxa"/>
        </w:trPr>
        <w:tc>
          <w:tcPr>
            <w:tcW w:w="14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E2E9D1"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84131603</w:t>
            </w:r>
          </w:p>
        </w:tc>
        <w:tc>
          <w:tcPr>
            <w:tcW w:w="34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30F58F"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lesiones accidentales</w:t>
            </w:r>
          </w:p>
        </w:tc>
      </w:tr>
      <w:tr w:rsidR="00887AAB" w:rsidRPr="00FB351A" w14:paraId="35C90D0A" w14:textId="77777777" w:rsidTr="00D83D3A">
        <w:trPr>
          <w:trHeight w:val="20"/>
          <w:tblCellSpacing w:w="15" w:type="dxa"/>
        </w:trPr>
        <w:tc>
          <w:tcPr>
            <w:tcW w:w="14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9802D2"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84131604</w:t>
            </w:r>
          </w:p>
        </w:tc>
        <w:tc>
          <w:tcPr>
            <w:tcW w:w="34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B116EB"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discapacidad</w:t>
            </w:r>
          </w:p>
        </w:tc>
      </w:tr>
      <w:tr w:rsidR="00887AAB" w:rsidRPr="00FB351A" w14:paraId="583EA841" w14:textId="77777777" w:rsidTr="00D83D3A">
        <w:trPr>
          <w:trHeight w:val="20"/>
          <w:tblCellSpacing w:w="15" w:type="dxa"/>
        </w:trPr>
        <w:tc>
          <w:tcPr>
            <w:tcW w:w="14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598012"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b/>
                <w:bCs/>
                <w:sz w:val="20"/>
                <w:szCs w:val="20"/>
              </w:rPr>
              <w:t>84131607</w:t>
            </w:r>
          </w:p>
        </w:tc>
        <w:tc>
          <w:tcPr>
            <w:tcW w:w="34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92DD3F" w14:textId="77777777" w:rsidR="00887AAB" w:rsidRPr="00FB351A" w:rsidRDefault="00887AAB" w:rsidP="009B3AAD">
            <w:pPr>
              <w:jc w:val="both"/>
              <w:rPr>
                <w:rFonts w:ascii="Arial" w:eastAsia="Arial MT" w:hAnsi="Arial" w:cs="Arial"/>
                <w:sz w:val="20"/>
                <w:szCs w:val="20"/>
              </w:rPr>
            </w:pPr>
            <w:r w:rsidRPr="00FB351A">
              <w:rPr>
                <w:rFonts w:ascii="Arial" w:eastAsia="Arial MT" w:hAnsi="Arial" w:cs="Arial"/>
                <w:sz w:val="20"/>
                <w:szCs w:val="20"/>
              </w:rPr>
              <w:t>Seguro de responsabilidad civil</w:t>
            </w:r>
          </w:p>
        </w:tc>
      </w:tr>
    </w:tbl>
    <w:p w14:paraId="0EE31A03" w14:textId="52A9ECD7" w:rsidR="008322ED" w:rsidRPr="00FB351A" w:rsidRDefault="008322ED" w:rsidP="00803115">
      <w:pPr>
        <w:pStyle w:val="Descripcin"/>
        <w:jc w:val="both"/>
        <w:rPr>
          <w:rFonts w:ascii="Arial" w:hAnsi="Arial" w:cs="Arial"/>
          <w:b w:val="0"/>
          <w:bCs w:val="0"/>
        </w:rPr>
      </w:pPr>
      <w:r w:rsidRPr="00FB351A">
        <w:rPr>
          <w:rFonts w:ascii="Arial" w:hAnsi="Arial" w:cs="Arial"/>
          <w:b w:val="0"/>
          <w:bCs w:val="0"/>
        </w:rPr>
        <w:t xml:space="preserve">Cuadro Clasificación </w:t>
      </w:r>
      <w:proofErr w:type="spellStart"/>
      <w:r w:rsidRPr="00FB351A">
        <w:rPr>
          <w:rFonts w:ascii="Arial" w:hAnsi="Arial" w:cs="Arial"/>
          <w:b w:val="0"/>
          <w:bCs w:val="0"/>
        </w:rPr>
        <w:t>UNSPSC</w:t>
      </w:r>
      <w:proofErr w:type="spellEnd"/>
      <w:r w:rsidRPr="00FB351A">
        <w:rPr>
          <w:rFonts w:ascii="Arial" w:hAnsi="Arial" w:cs="Arial"/>
          <w:b w:val="0"/>
          <w:bCs w:val="0"/>
        </w:rPr>
        <w:t>. Elaborado por el intermediario de seguros de la entidad</w:t>
      </w:r>
      <w:r w:rsidR="00803115" w:rsidRPr="00FB351A">
        <w:rPr>
          <w:rFonts w:ascii="Arial" w:hAnsi="Arial" w:cs="Arial"/>
          <w:b w:val="0"/>
          <w:bCs w:val="0"/>
        </w:rPr>
        <w:t xml:space="preserve">. Última actualización 16-03-2026. Disponible en: </w:t>
      </w:r>
      <w:hyperlink r:id="rId8" w:history="1">
        <w:r w:rsidR="00803115" w:rsidRPr="00FB351A">
          <w:rPr>
            <w:rStyle w:val="Hipervnculo"/>
            <w:rFonts w:ascii="Arial" w:hAnsi="Arial" w:cs="Arial"/>
            <w:b w:val="0"/>
            <w:bCs w:val="0"/>
          </w:rPr>
          <w:t>https://www.colombiacompra.gov.co/archivos/manual/guia-para-la-codificacion-de-bienes-y-servicios-de-acuerdo-con-el-codigo-estandar-de-productos-y-servicios-de-naciones-unidas</w:t>
        </w:r>
      </w:hyperlink>
    </w:p>
    <w:p w14:paraId="542E9DCB" w14:textId="77777777" w:rsidR="004402A0" w:rsidRPr="00FB351A" w:rsidRDefault="004402A0" w:rsidP="00803115">
      <w:pPr>
        <w:pStyle w:val="Textoindependiente"/>
        <w:jc w:val="both"/>
        <w:rPr>
          <w:rFonts w:ascii="Arial" w:hAnsi="Arial" w:cs="Arial"/>
          <w:sz w:val="20"/>
          <w:szCs w:val="20"/>
        </w:rPr>
      </w:pPr>
    </w:p>
    <w:p w14:paraId="166777F2" w14:textId="34C21547" w:rsidR="008322ED" w:rsidRPr="00FB351A" w:rsidRDefault="008322ED" w:rsidP="00803115">
      <w:pPr>
        <w:pStyle w:val="Textoindependiente"/>
        <w:numPr>
          <w:ilvl w:val="2"/>
          <w:numId w:val="1"/>
        </w:numPr>
        <w:jc w:val="both"/>
        <w:rPr>
          <w:rFonts w:ascii="Arial" w:hAnsi="Arial" w:cs="Arial"/>
          <w:b/>
          <w:bCs/>
          <w:sz w:val="20"/>
          <w:szCs w:val="20"/>
        </w:rPr>
      </w:pPr>
      <w:r w:rsidRPr="00FB351A">
        <w:rPr>
          <w:rFonts w:ascii="Arial" w:hAnsi="Arial" w:cs="Arial"/>
          <w:b/>
          <w:bCs/>
          <w:sz w:val="20"/>
          <w:szCs w:val="20"/>
        </w:rPr>
        <w:t xml:space="preserve">Actividad comercial </w:t>
      </w:r>
      <w:proofErr w:type="spellStart"/>
      <w:r w:rsidRPr="00FB351A">
        <w:rPr>
          <w:rFonts w:ascii="Arial" w:hAnsi="Arial" w:cs="Arial"/>
          <w:b/>
          <w:bCs/>
          <w:sz w:val="20"/>
          <w:szCs w:val="20"/>
        </w:rPr>
        <w:t>CIIU</w:t>
      </w:r>
      <w:proofErr w:type="spellEnd"/>
      <w:r w:rsidRPr="00FB351A">
        <w:rPr>
          <w:rFonts w:ascii="Arial" w:hAnsi="Arial" w:cs="Arial"/>
          <w:b/>
          <w:bCs/>
          <w:sz w:val="20"/>
          <w:szCs w:val="20"/>
        </w:rPr>
        <w:t xml:space="preserve"> REV. 4 A.C.</w:t>
      </w:r>
    </w:p>
    <w:p w14:paraId="1A714845" w14:textId="77777777" w:rsidR="008322ED" w:rsidRPr="00FB351A" w:rsidRDefault="008322ED" w:rsidP="00803115">
      <w:pPr>
        <w:pStyle w:val="Textoindependiente"/>
        <w:jc w:val="both"/>
        <w:rPr>
          <w:rFonts w:ascii="Arial" w:hAnsi="Arial" w:cs="Arial"/>
          <w:sz w:val="20"/>
          <w:szCs w:val="20"/>
        </w:rPr>
      </w:pPr>
    </w:p>
    <w:p w14:paraId="06EE523E"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 xml:space="preserve">A partir de la resolución No. 636 de 2012, se establece los códigos </w:t>
      </w:r>
      <w:proofErr w:type="spellStart"/>
      <w:r w:rsidRPr="00FB351A">
        <w:rPr>
          <w:rFonts w:ascii="Arial" w:hAnsi="Arial" w:cs="Arial"/>
          <w:sz w:val="20"/>
          <w:szCs w:val="20"/>
        </w:rPr>
        <w:t>CIIU</w:t>
      </w:r>
      <w:proofErr w:type="spellEnd"/>
      <w:r w:rsidRPr="00FB351A">
        <w:rPr>
          <w:rFonts w:ascii="Arial" w:hAnsi="Arial" w:cs="Arial"/>
          <w:sz w:val="20"/>
          <w:szCs w:val="20"/>
        </w:rPr>
        <w:t xml:space="preserve"> Rev. 4 </w:t>
      </w:r>
      <w:proofErr w:type="spellStart"/>
      <w:r w:rsidRPr="00FB351A">
        <w:rPr>
          <w:rFonts w:ascii="Arial" w:hAnsi="Arial" w:cs="Arial"/>
          <w:sz w:val="20"/>
          <w:szCs w:val="20"/>
        </w:rPr>
        <w:t>A.C</w:t>
      </w:r>
      <w:proofErr w:type="spellEnd"/>
      <w:r w:rsidRPr="00FB351A">
        <w:rPr>
          <w:rFonts w:ascii="Arial" w:hAnsi="Arial" w:cs="Arial"/>
          <w:sz w:val="20"/>
          <w:szCs w:val="20"/>
        </w:rPr>
        <w:t xml:space="preserve"> y mediante los cuales es posible definir las opciones que el sector económico ofrece para satisfacer la necesidad de contratación y a su vez el mercado objetivo el cual se va a estudiar durante el análisis.</w:t>
      </w:r>
    </w:p>
    <w:p w14:paraId="7FD5B976" w14:textId="77777777" w:rsidR="008322ED" w:rsidRPr="00FB351A" w:rsidRDefault="008322ED" w:rsidP="00803115">
      <w:pPr>
        <w:pStyle w:val="Textoindependiente"/>
        <w:jc w:val="both"/>
        <w:rPr>
          <w:rFonts w:ascii="Arial" w:hAnsi="Arial" w:cs="Arial"/>
          <w:sz w:val="20"/>
          <w:szCs w:val="20"/>
        </w:rPr>
      </w:pPr>
    </w:p>
    <w:p w14:paraId="4538D2C3"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 xml:space="preserve">De esta forma, dado el objeto de contratación y con base en la Rev. 4 </w:t>
      </w:r>
      <w:proofErr w:type="spellStart"/>
      <w:r w:rsidRPr="00FB351A">
        <w:rPr>
          <w:rFonts w:ascii="Arial" w:hAnsi="Arial" w:cs="Arial"/>
          <w:sz w:val="20"/>
          <w:szCs w:val="20"/>
        </w:rPr>
        <w:t>A.C</w:t>
      </w:r>
      <w:proofErr w:type="spellEnd"/>
      <w:r w:rsidRPr="00FB351A">
        <w:rPr>
          <w:rFonts w:ascii="Arial" w:hAnsi="Arial" w:cs="Arial"/>
          <w:sz w:val="20"/>
          <w:szCs w:val="20"/>
        </w:rPr>
        <w:t xml:space="preserve"> se establecen los siguientes códigos </w:t>
      </w:r>
      <w:proofErr w:type="spellStart"/>
      <w:r w:rsidRPr="00FB351A">
        <w:rPr>
          <w:rFonts w:ascii="Arial" w:hAnsi="Arial" w:cs="Arial"/>
          <w:sz w:val="20"/>
          <w:szCs w:val="20"/>
        </w:rPr>
        <w:t>CIIU</w:t>
      </w:r>
      <w:proofErr w:type="spellEnd"/>
      <w:r w:rsidRPr="00FB351A">
        <w:rPr>
          <w:rFonts w:ascii="Arial" w:hAnsi="Arial" w:cs="Arial"/>
          <w:sz w:val="20"/>
          <w:szCs w:val="20"/>
        </w:rPr>
        <w:t xml:space="preserve"> como parte de las opciones que ofrece el sector económico para satisfacer la necesidad del presente proyecto.</w:t>
      </w:r>
    </w:p>
    <w:p w14:paraId="2FFA5616" w14:textId="77777777" w:rsidR="008322ED" w:rsidRPr="00FB351A" w:rsidRDefault="008322ED" w:rsidP="00803115">
      <w:pPr>
        <w:pStyle w:val="Textoindependiente"/>
        <w:jc w:val="both"/>
        <w:rPr>
          <w:rFonts w:ascii="Arial" w:hAnsi="Arial" w:cs="Arial"/>
          <w:sz w:val="20"/>
          <w:szCs w:val="20"/>
        </w:rPr>
      </w:pPr>
    </w:p>
    <w:p w14:paraId="31C55C44" w14:textId="77777777" w:rsidR="008322ED" w:rsidRPr="00FB351A" w:rsidRDefault="008322ED" w:rsidP="00803115">
      <w:pPr>
        <w:pStyle w:val="Textoindependiente"/>
        <w:jc w:val="both"/>
        <w:rPr>
          <w:rFonts w:ascii="Arial" w:hAnsi="Arial" w:cs="Arial"/>
          <w:b/>
          <w:bCs/>
          <w:sz w:val="20"/>
          <w:szCs w:val="20"/>
        </w:rPr>
      </w:pPr>
      <w:r w:rsidRPr="00FB351A">
        <w:rPr>
          <w:rFonts w:ascii="Arial" w:hAnsi="Arial" w:cs="Arial"/>
          <w:b/>
          <w:bCs/>
          <w:sz w:val="20"/>
          <w:szCs w:val="20"/>
        </w:rPr>
        <w:t>K. Actividades financieras y de seguros</w:t>
      </w:r>
    </w:p>
    <w:p w14:paraId="7B71611C" w14:textId="77777777" w:rsidR="008322ED" w:rsidRPr="00FB351A" w:rsidRDefault="008322ED" w:rsidP="00803115">
      <w:pPr>
        <w:pStyle w:val="Textoindependiente"/>
        <w:jc w:val="both"/>
        <w:rPr>
          <w:rFonts w:ascii="Arial" w:hAnsi="Arial" w:cs="Arial"/>
          <w:b/>
          <w:bCs/>
          <w:sz w:val="20"/>
          <w:szCs w:val="20"/>
        </w:rPr>
      </w:pPr>
    </w:p>
    <w:p w14:paraId="47A76928"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Esta categoría incluye actividades de servicio financiero, seguros, reaseguros y actividades de fondos de pensiones y actividades de apoyo a los servicios financieros. Incluye las actividades de control de activos, tales como actividades de compañías controladoras (holding) y las actividades de fideicomisos, fondos y otros medios financieros.</w:t>
      </w:r>
    </w:p>
    <w:p w14:paraId="7C79F247" w14:textId="77777777" w:rsidR="008322ED" w:rsidRPr="00FB351A" w:rsidRDefault="008322ED" w:rsidP="00803115">
      <w:pPr>
        <w:pStyle w:val="Textoindependiente"/>
        <w:jc w:val="both"/>
        <w:rPr>
          <w:rFonts w:ascii="Arial" w:hAnsi="Arial" w:cs="Arial"/>
          <w:sz w:val="20"/>
          <w:szCs w:val="20"/>
        </w:rPr>
      </w:pPr>
    </w:p>
    <w:p w14:paraId="6D508A52" w14:textId="77777777" w:rsidR="008322ED" w:rsidRPr="00FB351A" w:rsidRDefault="008322ED" w:rsidP="00002011">
      <w:pPr>
        <w:pStyle w:val="Textoindependiente"/>
        <w:ind w:left="720"/>
        <w:jc w:val="both"/>
        <w:rPr>
          <w:rFonts w:ascii="Arial" w:hAnsi="Arial" w:cs="Arial"/>
          <w:b/>
          <w:bCs/>
          <w:sz w:val="20"/>
          <w:szCs w:val="20"/>
        </w:rPr>
      </w:pPr>
      <w:r w:rsidRPr="00FB351A">
        <w:rPr>
          <w:rFonts w:ascii="Arial" w:hAnsi="Arial" w:cs="Arial"/>
          <w:b/>
          <w:bCs/>
          <w:sz w:val="20"/>
          <w:szCs w:val="20"/>
        </w:rPr>
        <w:t>65. División: Seguros, reaseguros y fondos de pensiones, excepto los planes de seguridad social de afiliación obligatoria</w:t>
      </w:r>
    </w:p>
    <w:p w14:paraId="45D767CC" w14:textId="77777777" w:rsidR="008322ED" w:rsidRPr="00FB351A" w:rsidRDefault="008322ED" w:rsidP="00803115">
      <w:pPr>
        <w:pStyle w:val="Textoindependiente"/>
        <w:jc w:val="both"/>
        <w:rPr>
          <w:rFonts w:ascii="Arial" w:hAnsi="Arial" w:cs="Arial"/>
          <w:sz w:val="20"/>
          <w:szCs w:val="20"/>
        </w:rPr>
      </w:pPr>
    </w:p>
    <w:p w14:paraId="73B5C842"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Esta división incluye: las anualidades aseguradas y las pólizas de seguro y primas de inversión que construyen un portafolio de activos financieros para ser usados en contra de futuras reclamaciones. La provisión de seguros directos y reaseguros.</w:t>
      </w:r>
    </w:p>
    <w:p w14:paraId="1FD0934D" w14:textId="77777777" w:rsidR="008322ED" w:rsidRPr="00FB351A" w:rsidRDefault="008322ED" w:rsidP="00803115">
      <w:pPr>
        <w:pStyle w:val="Textoindependiente"/>
        <w:jc w:val="both"/>
        <w:rPr>
          <w:rFonts w:ascii="Arial" w:hAnsi="Arial" w:cs="Arial"/>
          <w:sz w:val="20"/>
          <w:szCs w:val="20"/>
        </w:rPr>
      </w:pPr>
    </w:p>
    <w:p w14:paraId="1FAFA640" w14:textId="77777777" w:rsidR="008322ED" w:rsidRPr="00FB351A" w:rsidRDefault="008322ED" w:rsidP="00002011">
      <w:pPr>
        <w:pStyle w:val="Textoindependiente"/>
        <w:ind w:firstLine="720"/>
        <w:jc w:val="both"/>
        <w:rPr>
          <w:rFonts w:ascii="Arial" w:hAnsi="Arial" w:cs="Arial"/>
          <w:b/>
          <w:bCs/>
          <w:sz w:val="20"/>
          <w:szCs w:val="20"/>
        </w:rPr>
      </w:pPr>
      <w:r w:rsidRPr="00FB351A">
        <w:rPr>
          <w:rFonts w:ascii="Arial" w:hAnsi="Arial" w:cs="Arial"/>
          <w:b/>
          <w:bCs/>
          <w:sz w:val="20"/>
          <w:szCs w:val="20"/>
        </w:rPr>
        <w:t xml:space="preserve">651. Grupo: Seguros y Capitalización </w:t>
      </w:r>
    </w:p>
    <w:p w14:paraId="30899E59" w14:textId="77777777" w:rsidR="008322ED" w:rsidRPr="00FB351A" w:rsidRDefault="008322ED" w:rsidP="00803115">
      <w:pPr>
        <w:pStyle w:val="Textoindependiente"/>
        <w:jc w:val="both"/>
        <w:rPr>
          <w:rFonts w:ascii="Arial" w:hAnsi="Arial" w:cs="Arial"/>
          <w:sz w:val="20"/>
          <w:szCs w:val="20"/>
        </w:rPr>
      </w:pPr>
    </w:p>
    <w:p w14:paraId="2A8C7F8B" w14:textId="77777777" w:rsidR="008322ED" w:rsidRPr="00FB351A" w:rsidRDefault="008322ED" w:rsidP="00002011">
      <w:pPr>
        <w:pStyle w:val="Textoindependiente"/>
        <w:ind w:firstLine="720"/>
        <w:jc w:val="both"/>
        <w:rPr>
          <w:rFonts w:ascii="Arial" w:hAnsi="Arial" w:cs="Arial"/>
          <w:b/>
          <w:bCs/>
          <w:sz w:val="20"/>
          <w:szCs w:val="20"/>
        </w:rPr>
      </w:pPr>
      <w:r w:rsidRPr="00FB351A">
        <w:rPr>
          <w:rFonts w:ascii="Arial" w:hAnsi="Arial" w:cs="Arial"/>
          <w:b/>
          <w:bCs/>
          <w:sz w:val="20"/>
          <w:szCs w:val="20"/>
        </w:rPr>
        <w:t>6511. Seguros generales</w:t>
      </w:r>
    </w:p>
    <w:p w14:paraId="6B05CEB6" w14:textId="77777777" w:rsidR="008322ED" w:rsidRPr="00FB351A" w:rsidRDefault="008322ED" w:rsidP="00803115">
      <w:pPr>
        <w:pStyle w:val="Textoindependiente"/>
        <w:jc w:val="both"/>
        <w:rPr>
          <w:rFonts w:ascii="Arial" w:hAnsi="Arial" w:cs="Arial"/>
          <w:sz w:val="20"/>
          <w:szCs w:val="20"/>
        </w:rPr>
      </w:pPr>
    </w:p>
    <w:p w14:paraId="58D80670"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Esta clase incluye: provisión de servicios de seguro aparte de seguros de vida: seguros de incendio y accidentes; seguros de salud, seguros de viaje, seguros de propiedad, seguros de motores, marino, aéreo y de transporte, seguros de responsabilidad civil y pérdida pecuniaria.</w:t>
      </w:r>
    </w:p>
    <w:p w14:paraId="727BED4C" w14:textId="77777777" w:rsidR="008322ED" w:rsidRPr="00FB351A" w:rsidRDefault="008322ED" w:rsidP="00803115">
      <w:pPr>
        <w:pStyle w:val="Textoindependiente"/>
        <w:jc w:val="both"/>
        <w:rPr>
          <w:rFonts w:ascii="Arial" w:hAnsi="Arial" w:cs="Arial"/>
          <w:sz w:val="20"/>
          <w:szCs w:val="20"/>
        </w:rPr>
      </w:pPr>
    </w:p>
    <w:p w14:paraId="174B6B0E" w14:textId="77777777" w:rsidR="008322ED" w:rsidRPr="00FB351A" w:rsidRDefault="008322ED" w:rsidP="00002011">
      <w:pPr>
        <w:pStyle w:val="Textoindependiente"/>
        <w:ind w:firstLine="720"/>
        <w:jc w:val="both"/>
        <w:rPr>
          <w:rFonts w:ascii="Arial" w:hAnsi="Arial" w:cs="Arial"/>
          <w:b/>
          <w:bCs/>
          <w:sz w:val="20"/>
          <w:szCs w:val="20"/>
        </w:rPr>
      </w:pPr>
      <w:r w:rsidRPr="00FB351A">
        <w:rPr>
          <w:rFonts w:ascii="Arial" w:hAnsi="Arial" w:cs="Arial"/>
          <w:b/>
          <w:bCs/>
          <w:sz w:val="20"/>
          <w:szCs w:val="20"/>
        </w:rPr>
        <w:t>6512. Seguros de vida</w:t>
      </w:r>
    </w:p>
    <w:p w14:paraId="4356C809" w14:textId="77777777" w:rsidR="008322ED" w:rsidRPr="00FB351A" w:rsidRDefault="008322ED" w:rsidP="00803115">
      <w:pPr>
        <w:pStyle w:val="Textoindependiente"/>
        <w:jc w:val="both"/>
        <w:rPr>
          <w:rFonts w:ascii="Arial" w:hAnsi="Arial" w:cs="Arial"/>
          <w:sz w:val="20"/>
          <w:szCs w:val="20"/>
        </w:rPr>
      </w:pPr>
    </w:p>
    <w:p w14:paraId="08478545" w14:textId="77777777" w:rsidR="00832E65" w:rsidRPr="00FB351A" w:rsidRDefault="00832E65" w:rsidP="00832E65">
      <w:pPr>
        <w:pStyle w:val="Textoindependiente"/>
        <w:rPr>
          <w:rFonts w:ascii="Arial" w:hAnsi="Arial" w:cs="Arial"/>
          <w:sz w:val="20"/>
          <w:szCs w:val="20"/>
          <w:lang w:val="es-ES"/>
        </w:rPr>
      </w:pPr>
      <w:r w:rsidRPr="00FB351A">
        <w:rPr>
          <w:rFonts w:ascii="Arial" w:hAnsi="Arial" w:cs="Arial"/>
          <w:sz w:val="20"/>
          <w:szCs w:val="20"/>
          <w:lang w:val="es-ES"/>
        </w:rPr>
        <w:t>Esta clase incluye: Los seguros cuyo interés asegurable sea la vida propia, la vida de las personas a quienes legalmente pueda reclamar alimentos, la vida de aquellos cuya muerte o incapacidad pueden acarrearle un perjuicio económico. Aseguramiento de anualidades y pólizas para planes de seguros de vida, pólizas de seguro de ingreso por incapacidad, y pólizas de seguro por muerte accidental y/o desmembramiento, contengan o no un elemento importante de ahorro, incluyendo la captación y la inversión de fondos. Pueden ser, entre otros:</w:t>
      </w:r>
    </w:p>
    <w:p w14:paraId="3AD068E1" w14:textId="77777777" w:rsidR="00832E65" w:rsidRPr="00FB351A" w:rsidRDefault="00832E65" w:rsidP="00832E65">
      <w:pPr>
        <w:pStyle w:val="Textoindependiente"/>
        <w:rPr>
          <w:rFonts w:ascii="Arial" w:hAnsi="Arial" w:cs="Arial"/>
          <w:sz w:val="20"/>
          <w:szCs w:val="20"/>
          <w:lang w:val="es-ES"/>
        </w:rPr>
      </w:pPr>
    </w:p>
    <w:p w14:paraId="68545E25" w14:textId="77777777" w:rsidR="00832E65" w:rsidRPr="00FB351A" w:rsidRDefault="00832E65" w:rsidP="00832E65">
      <w:pPr>
        <w:pStyle w:val="Textoindependiente"/>
        <w:rPr>
          <w:rFonts w:ascii="Arial" w:hAnsi="Arial" w:cs="Arial"/>
          <w:sz w:val="20"/>
          <w:szCs w:val="20"/>
          <w:lang w:val="es-ES"/>
        </w:rPr>
      </w:pPr>
      <w:r w:rsidRPr="00FB351A">
        <w:rPr>
          <w:rFonts w:ascii="Arial" w:hAnsi="Arial" w:cs="Arial"/>
          <w:sz w:val="20"/>
          <w:szCs w:val="20"/>
          <w:lang w:val="es-ES"/>
        </w:rPr>
        <w:t>• Los seguros de vida individual.</w:t>
      </w:r>
    </w:p>
    <w:p w14:paraId="07ACAC8D" w14:textId="77777777" w:rsidR="00832E65" w:rsidRPr="00FB351A" w:rsidRDefault="00832E65" w:rsidP="00832E65">
      <w:pPr>
        <w:pStyle w:val="Textoindependiente"/>
        <w:rPr>
          <w:rFonts w:ascii="Arial" w:hAnsi="Arial" w:cs="Arial"/>
          <w:sz w:val="20"/>
          <w:szCs w:val="20"/>
          <w:lang w:val="es-ES"/>
        </w:rPr>
      </w:pPr>
    </w:p>
    <w:p w14:paraId="06646169" w14:textId="77777777" w:rsidR="00832E65" w:rsidRPr="00FB351A" w:rsidRDefault="00832E65" w:rsidP="00832E65">
      <w:pPr>
        <w:pStyle w:val="Textoindependiente"/>
        <w:rPr>
          <w:rFonts w:ascii="Arial" w:hAnsi="Arial" w:cs="Arial"/>
          <w:sz w:val="20"/>
          <w:szCs w:val="20"/>
          <w:lang w:val="es-ES"/>
        </w:rPr>
      </w:pPr>
      <w:r w:rsidRPr="00FB351A">
        <w:rPr>
          <w:rFonts w:ascii="Arial" w:hAnsi="Arial" w:cs="Arial"/>
          <w:sz w:val="20"/>
          <w:szCs w:val="20"/>
          <w:lang w:val="es-ES"/>
        </w:rPr>
        <w:t>• Los seguros colectivos de vida.</w:t>
      </w:r>
    </w:p>
    <w:p w14:paraId="53F9B7DC" w14:textId="77777777" w:rsidR="00832E65" w:rsidRPr="00FB351A" w:rsidRDefault="00832E65" w:rsidP="00832E65">
      <w:pPr>
        <w:pStyle w:val="Textoindependiente"/>
        <w:rPr>
          <w:rFonts w:ascii="Arial" w:hAnsi="Arial" w:cs="Arial"/>
          <w:sz w:val="20"/>
          <w:szCs w:val="20"/>
          <w:lang w:val="es-ES"/>
        </w:rPr>
      </w:pPr>
    </w:p>
    <w:p w14:paraId="2E0F4E09" w14:textId="77777777" w:rsidR="00832E65" w:rsidRPr="00FB351A" w:rsidRDefault="00832E65" w:rsidP="00832E65">
      <w:pPr>
        <w:pStyle w:val="Textoindependiente"/>
        <w:rPr>
          <w:rFonts w:ascii="Arial" w:hAnsi="Arial" w:cs="Arial"/>
          <w:sz w:val="20"/>
          <w:szCs w:val="20"/>
          <w:lang w:val="es-ES"/>
        </w:rPr>
      </w:pPr>
      <w:r w:rsidRPr="00FB351A">
        <w:rPr>
          <w:rFonts w:ascii="Arial" w:hAnsi="Arial" w:cs="Arial"/>
          <w:sz w:val="20"/>
          <w:szCs w:val="20"/>
          <w:lang w:val="es-ES"/>
        </w:rPr>
        <w:t>• Los seguros de exequias, entre otros</w:t>
      </w:r>
    </w:p>
    <w:p w14:paraId="327FBF64" w14:textId="77777777" w:rsidR="008322ED" w:rsidRPr="00FB351A" w:rsidRDefault="008322ED" w:rsidP="00803115">
      <w:pPr>
        <w:pStyle w:val="Textoindependiente"/>
        <w:jc w:val="both"/>
        <w:rPr>
          <w:rFonts w:ascii="Arial" w:hAnsi="Arial" w:cs="Arial"/>
          <w:sz w:val="20"/>
          <w:szCs w:val="20"/>
          <w:lang w:val="es-ES"/>
        </w:rPr>
      </w:pPr>
    </w:p>
    <w:p w14:paraId="69DE2289" w14:textId="5CC01AF7" w:rsidR="008322ED" w:rsidRPr="00FB351A" w:rsidRDefault="008322ED" w:rsidP="00803115">
      <w:pPr>
        <w:pStyle w:val="Textoindependiente"/>
        <w:jc w:val="both"/>
        <w:rPr>
          <w:rFonts w:ascii="Arial" w:hAnsi="Arial" w:cs="Arial"/>
          <w:sz w:val="20"/>
          <w:szCs w:val="20"/>
        </w:rPr>
      </w:pPr>
      <w:r w:rsidRPr="00FB351A">
        <w:rPr>
          <w:rFonts w:ascii="Arial" w:hAnsi="Arial" w:cs="Arial"/>
          <w:noProof/>
          <w:sz w:val="20"/>
          <w:szCs w:val="20"/>
        </w:rPr>
        <w:lastRenderedPageBreak/>
        <w:drawing>
          <wp:inline distT="0" distB="0" distL="0" distR="0" wp14:anchorId="626430A4" wp14:editId="15F46FCA">
            <wp:extent cx="5791835" cy="2339975"/>
            <wp:effectExtent l="0" t="0" r="0" b="3175"/>
            <wp:docPr id="2131947119" name="Imagen 24" descr="Interfaz de usuario gráfica,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47119" name="Imagen 24" descr="Interfaz de usuario gráfica, Sitio web&#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835" cy="2339975"/>
                    </a:xfrm>
                    <a:prstGeom prst="rect">
                      <a:avLst/>
                    </a:prstGeom>
                    <a:noFill/>
                    <a:ln>
                      <a:noFill/>
                    </a:ln>
                  </pic:spPr>
                </pic:pic>
              </a:graphicData>
            </a:graphic>
          </wp:inline>
        </w:drawing>
      </w:r>
    </w:p>
    <w:p w14:paraId="09DFDF5A" w14:textId="29210862" w:rsidR="008322ED" w:rsidRPr="00FB351A" w:rsidRDefault="008322ED" w:rsidP="00803115">
      <w:pPr>
        <w:pStyle w:val="Descripcin"/>
        <w:jc w:val="both"/>
        <w:rPr>
          <w:rFonts w:ascii="Arial" w:hAnsi="Arial" w:cs="Arial"/>
          <w:b w:val="0"/>
          <w:bCs w:val="0"/>
          <w:lang w:val="es-CO"/>
        </w:rPr>
      </w:pPr>
      <w:r w:rsidRPr="00FB351A">
        <w:rPr>
          <w:rFonts w:ascii="Arial" w:hAnsi="Arial" w:cs="Arial"/>
          <w:b w:val="0"/>
          <w:bCs w:val="0"/>
        </w:rPr>
        <w:t xml:space="preserve">Gráfica Códigos </w:t>
      </w:r>
      <w:proofErr w:type="spellStart"/>
      <w:r w:rsidRPr="00FB351A">
        <w:rPr>
          <w:rFonts w:ascii="Arial" w:hAnsi="Arial" w:cs="Arial"/>
          <w:b w:val="0"/>
          <w:bCs w:val="0"/>
        </w:rPr>
        <w:t>CIIU</w:t>
      </w:r>
      <w:proofErr w:type="spellEnd"/>
      <w:r w:rsidRPr="00FB351A">
        <w:rPr>
          <w:rFonts w:ascii="Arial" w:hAnsi="Arial" w:cs="Arial"/>
          <w:b w:val="0"/>
          <w:bCs w:val="0"/>
        </w:rPr>
        <w:t xml:space="preserve"> para actividades financieras y de seguros. Imagen tomada de la Clasificación Industrial Internacional Uniforme de todas las actividades económicas Revisión 4 Adaptada para Colombia (2022) DANE, Información para todos.</w:t>
      </w:r>
    </w:p>
    <w:p w14:paraId="6C8843A7" w14:textId="77777777" w:rsidR="008322ED" w:rsidRPr="00FB351A" w:rsidRDefault="008322ED" w:rsidP="00803115">
      <w:pPr>
        <w:pStyle w:val="Textoindependiente"/>
        <w:jc w:val="both"/>
        <w:rPr>
          <w:rFonts w:ascii="Arial" w:hAnsi="Arial" w:cs="Arial"/>
          <w:sz w:val="20"/>
          <w:szCs w:val="20"/>
        </w:rPr>
      </w:pPr>
    </w:p>
    <w:p w14:paraId="42985434" w14:textId="44C6C459" w:rsidR="008322ED" w:rsidRPr="00FB351A" w:rsidRDefault="00262E06" w:rsidP="00803115">
      <w:pPr>
        <w:pStyle w:val="Textoindependiente"/>
        <w:numPr>
          <w:ilvl w:val="2"/>
          <w:numId w:val="1"/>
        </w:numPr>
        <w:jc w:val="both"/>
        <w:rPr>
          <w:rFonts w:ascii="Arial" w:hAnsi="Arial" w:cs="Arial"/>
          <w:b/>
          <w:bCs/>
          <w:sz w:val="20"/>
          <w:szCs w:val="20"/>
        </w:rPr>
      </w:pPr>
      <w:r w:rsidRPr="00FB351A">
        <w:rPr>
          <w:rFonts w:ascii="Arial" w:hAnsi="Arial" w:cs="Arial"/>
          <w:b/>
          <w:bCs/>
          <w:sz w:val="20"/>
          <w:szCs w:val="20"/>
        </w:rPr>
        <w:t>Sector asegurador colombiano</w:t>
      </w:r>
    </w:p>
    <w:p w14:paraId="68E33684" w14:textId="77777777" w:rsidR="008322ED" w:rsidRPr="00FB351A" w:rsidRDefault="008322ED" w:rsidP="00803115">
      <w:pPr>
        <w:pStyle w:val="Textoindependiente"/>
        <w:jc w:val="both"/>
        <w:rPr>
          <w:rFonts w:ascii="Arial" w:hAnsi="Arial" w:cs="Arial"/>
          <w:sz w:val="20"/>
          <w:szCs w:val="20"/>
        </w:rPr>
      </w:pPr>
    </w:p>
    <w:p w14:paraId="2B220B4E"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La actividad aseguradora tiene gran importancia estratégica, social y económica lo cual conlleva a que estén sometidas a estricta supervisión administrativa con reglas propias de funcionamiento, control e inspección, como también al control estatal a través de las legislaciones y superintendencia creada para tal fin. Las empresas de seguros actúan como intermediarios financieros con unas características especiales que las diferencian de las restantes empresas financieras.</w:t>
      </w:r>
    </w:p>
    <w:p w14:paraId="54186DD3" w14:textId="77777777" w:rsidR="00EB18D7" w:rsidRPr="00FB351A" w:rsidRDefault="00EB18D7" w:rsidP="00803115">
      <w:pPr>
        <w:pStyle w:val="Textoindependiente"/>
        <w:jc w:val="both"/>
        <w:rPr>
          <w:rFonts w:ascii="Arial" w:hAnsi="Arial" w:cs="Arial"/>
          <w:sz w:val="20"/>
          <w:szCs w:val="20"/>
          <w:lang w:val="es-ES_tradnl"/>
        </w:rPr>
      </w:pPr>
    </w:p>
    <w:p w14:paraId="483A2439"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Una aseguradora es la empresa especializada en el seguro cuya actividad consiste en producir el servicio de seguridad, cubriendo determinados riesgos económicos (asegurables) a las unidades económicas de producción y consumo. Para poder afrontar los riesgos derivados de su actividad, las entidades aseguradoras deben disponer de los recursos financieros suficientes y, en consecuencia, la legislación les impone determinadas restricciones, entre ellas, la prohibición de desarrollar esta actividad por personas naturales; de ejercer actividades distintas al ramo por las empresas aseguradoras; y estar sometidas al control por el Estado en todo momento.</w:t>
      </w:r>
    </w:p>
    <w:p w14:paraId="798C801C" w14:textId="77777777" w:rsidR="00EB18D7" w:rsidRPr="00FB351A" w:rsidRDefault="00EB18D7" w:rsidP="00803115">
      <w:pPr>
        <w:pStyle w:val="Textoindependiente"/>
        <w:jc w:val="both"/>
        <w:rPr>
          <w:rFonts w:ascii="Arial" w:hAnsi="Arial" w:cs="Arial"/>
          <w:sz w:val="20"/>
          <w:szCs w:val="20"/>
          <w:lang w:val="es-ES_tradnl"/>
        </w:rPr>
      </w:pPr>
    </w:p>
    <w:p w14:paraId="1E1BB779"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La actividad que desempeña la aseguradora es la de una operación con ánimo de lucro, a través de las aportaciones de muchos sujetos expuestos a eventos económicos desfavorables, para destinar lo así acumulado, a los pocos a quienes se presenta la necesidad. Sigue el principio de mutualidad, buscando la solidaridad entre un grupo sometido a riesgos. Esta mutualidad se organiza empresarialmente creando un patrimonio que haga frente a los riesgos. El efecto desfavorable de estos riesgos en su conjunto queda aminorado sustancialmente, porque los riesgos individuales se compensan: sólo unos pocos asegurados los sufren, frente a los muchos que contribuyen al pago de la cobertura. Ello permite una gestión estadística del riesgo, desde el punto de vista económico, aunque se conserve individualmente desde el punto de vista jurídico.</w:t>
      </w:r>
    </w:p>
    <w:p w14:paraId="285A55D4" w14:textId="77777777" w:rsidR="00EB18D7" w:rsidRPr="00FB351A" w:rsidRDefault="00EB18D7" w:rsidP="00803115">
      <w:pPr>
        <w:pStyle w:val="Textoindependiente"/>
        <w:jc w:val="both"/>
        <w:rPr>
          <w:rFonts w:ascii="Arial" w:hAnsi="Arial" w:cs="Arial"/>
          <w:sz w:val="20"/>
          <w:szCs w:val="20"/>
          <w:lang w:val="es-ES_tradnl"/>
        </w:rPr>
      </w:pPr>
    </w:p>
    <w:p w14:paraId="2C9B7AB0"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Por lo tanto, las entidades de seguro deben tener presente ciertos principios técnicos:</w:t>
      </w:r>
    </w:p>
    <w:p w14:paraId="63BE6F27" w14:textId="77777777" w:rsidR="00EB18D7" w:rsidRPr="00FB351A" w:rsidRDefault="00EB18D7" w:rsidP="00803115">
      <w:pPr>
        <w:pStyle w:val="Textoindependiente"/>
        <w:jc w:val="both"/>
        <w:rPr>
          <w:rFonts w:ascii="Arial" w:hAnsi="Arial" w:cs="Arial"/>
          <w:sz w:val="20"/>
          <w:szCs w:val="20"/>
          <w:lang w:val="es-ES_tradnl"/>
        </w:rPr>
      </w:pPr>
    </w:p>
    <w:p w14:paraId="1BBB145F" w14:textId="77777777" w:rsidR="00EB18D7" w:rsidRPr="00FB351A" w:rsidRDefault="00EB18D7">
      <w:pPr>
        <w:pStyle w:val="Textoindependiente"/>
        <w:numPr>
          <w:ilvl w:val="0"/>
          <w:numId w:val="37"/>
        </w:numPr>
        <w:jc w:val="both"/>
        <w:rPr>
          <w:rFonts w:ascii="Arial" w:hAnsi="Arial" w:cs="Arial"/>
          <w:sz w:val="20"/>
          <w:szCs w:val="20"/>
          <w:lang w:val="es-ES_tradnl"/>
        </w:rPr>
      </w:pPr>
      <w:r w:rsidRPr="00FB351A">
        <w:rPr>
          <w:rFonts w:ascii="Arial" w:hAnsi="Arial" w:cs="Arial"/>
          <w:sz w:val="20"/>
          <w:szCs w:val="20"/>
          <w:lang w:val="es-ES_tradnl"/>
        </w:rPr>
        <w:lastRenderedPageBreak/>
        <w:t xml:space="preserve">La Individualización: es necesaria la definición y delimitación de cada uno de los riesgos existentes para clasificarlos y poder evaluarlos y agruparlos. </w:t>
      </w:r>
    </w:p>
    <w:p w14:paraId="730934E2" w14:textId="77777777" w:rsidR="00EB18D7" w:rsidRPr="00FB351A" w:rsidRDefault="00EB18D7" w:rsidP="00803115">
      <w:pPr>
        <w:pStyle w:val="Textoindependiente"/>
        <w:jc w:val="both"/>
        <w:rPr>
          <w:rFonts w:ascii="Arial" w:hAnsi="Arial" w:cs="Arial"/>
          <w:sz w:val="20"/>
          <w:szCs w:val="20"/>
          <w:lang w:val="es-ES_tradnl"/>
        </w:rPr>
      </w:pPr>
    </w:p>
    <w:p w14:paraId="433EC108" w14:textId="77777777" w:rsidR="00EB18D7" w:rsidRPr="00FB351A" w:rsidRDefault="00EB18D7">
      <w:pPr>
        <w:pStyle w:val="Textoindependiente"/>
        <w:numPr>
          <w:ilvl w:val="0"/>
          <w:numId w:val="37"/>
        </w:numPr>
        <w:jc w:val="both"/>
        <w:rPr>
          <w:rFonts w:ascii="Arial" w:hAnsi="Arial" w:cs="Arial"/>
          <w:sz w:val="20"/>
          <w:szCs w:val="20"/>
          <w:lang w:val="es-ES_tradnl"/>
        </w:rPr>
      </w:pPr>
      <w:r w:rsidRPr="00FB351A">
        <w:rPr>
          <w:rFonts w:ascii="Arial" w:hAnsi="Arial" w:cs="Arial"/>
          <w:sz w:val="20"/>
          <w:szCs w:val="20"/>
          <w:lang w:val="es-ES_tradnl"/>
        </w:rPr>
        <w:t>La acumulación: de acuerdo con las leyes de la probabilidad, cuanto mayor es la agrupación de riesgos, menores son los fallos entre la probabilidad teórica y el número de siniestros.</w:t>
      </w:r>
    </w:p>
    <w:p w14:paraId="59801E5B" w14:textId="77777777" w:rsidR="00EB18D7" w:rsidRPr="00FB351A" w:rsidRDefault="00EB18D7" w:rsidP="00803115">
      <w:pPr>
        <w:pStyle w:val="Textoindependiente"/>
        <w:jc w:val="both"/>
        <w:rPr>
          <w:rFonts w:ascii="Arial" w:hAnsi="Arial" w:cs="Arial"/>
          <w:sz w:val="20"/>
          <w:szCs w:val="20"/>
          <w:lang w:val="es-ES_tradnl"/>
        </w:rPr>
      </w:pPr>
    </w:p>
    <w:p w14:paraId="231969B8" w14:textId="77777777" w:rsidR="00EB18D7" w:rsidRPr="00FB351A" w:rsidRDefault="00EB18D7">
      <w:pPr>
        <w:pStyle w:val="Textoindependiente"/>
        <w:numPr>
          <w:ilvl w:val="0"/>
          <w:numId w:val="37"/>
        </w:numPr>
        <w:jc w:val="both"/>
        <w:rPr>
          <w:rFonts w:ascii="Arial" w:hAnsi="Arial" w:cs="Arial"/>
          <w:sz w:val="20"/>
          <w:szCs w:val="20"/>
          <w:lang w:val="es-ES_tradnl"/>
        </w:rPr>
      </w:pPr>
      <w:r w:rsidRPr="00FB351A">
        <w:rPr>
          <w:rFonts w:ascii="Arial" w:hAnsi="Arial" w:cs="Arial"/>
          <w:sz w:val="20"/>
          <w:szCs w:val="20"/>
          <w:lang w:val="es-ES_tradnl"/>
        </w:rPr>
        <w:t xml:space="preserve">La selección de riesgos: los aseguradores solo deben aceptar los riesgos que, por su naturaleza, se presuma no originarán necesariamente resultados desequilibrados. </w:t>
      </w:r>
    </w:p>
    <w:p w14:paraId="20F97776" w14:textId="77777777" w:rsidR="00EB18D7" w:rsidRPr="00FB351A" w:rsidRDefault="00EB18D7" w:rsidP="00803115">
      <w:pPr>
        <w:pStyle w:val="Textoindependiente"/>
        <w:jc w:val="both"/>
        <w:rPr>
          <w:rFonts w:ascii="Arial" w:hAnsi="Arial" w:cs="Arial"/>
          <w:sz w:val="20"/>
          <w:szCs w:val="20"/>
          <w:lang w:val="es-ES_tradnl"/>
        </w:rPr>
      </w:pPr>
    </w:p>
    <w:p w14:paraId="1D68A583" w14:textId="77777777" w:rsidR="00EB18D7" w:rsidRPr="00FB351A" w:rsidRDefault="00EB18D7">
      <w:pPr>
        <w:pStyle w:val="Textoindependiente"/>
        <w:numPr>
          <w:ilvl w:val="0"/>
          <w:numId w:val="37"/>
        </w:numPr>
        <w:jc w:val="both"/>
        <w:rPr>
          <w:rFonts w:ascii="Arial" w:hAnsi="Arial" w:cs="Arial"/>
          <w:sz w:val="20"/>
          <w:szCs w:val="20"/>
          <w:lang w:val="es-ES_tradnl"/>
        </w:rPr>
      </w:pPr>
      <w:r w:rsidRPr="00FB351A">
        <w:rPr>
          <w:rFonts w:ascii="Arial" w:hAnsi="Arial" w:cs="Arial"/>
          <w:sz w:val="20"/>
          <w:szCs w:val="20"/>
          <w:lang w:val="es-ES_tradnl"/>
        </w:rPr>
        <w:t>La distribución o división de riesgos: la aseguradora requiere la necesidad de conseguir que los riesgos que asume, en virtud de los contratos de seguro, sean homogéneos cualitativa y cuantitativamente, de forma que se cumpla el principio mutual o de compensación.</w:t>
      </w:r>
    </w:p>
    <w:p w14:paraId="52A25C8B" w14:textId="77777777" w:rsidR="00EB18D7" w:rsidRPr="00FB351A" w:rsidRDefault="00EB18D7" w:rsidP="00803115">
      <w:pPr>
        <w:pStyle w:val="Textoindependiente"/>
        <w:jc w:val="both"/>
        <w:rPr>
          <w:rFonts w:ascii="Arial" w:hAnsi="Arial" w:cs="Arial"/>
          <w:sz w:val="20"/>
          <w:szCs w:val="20"/>
          <w:lang w:val="es-ES_tradnl"/>
        </w:rPr>
      </w:pPr>
    </w:p>
    <w:p w14:paraId="39C5250D"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Desde el punto de vista económico financiero, las empresas aseguradoras son intermediarios financieros que emiten, como activo financiero específico, las pólizas o contratos de seguros, obteniendo financiación mediante el cobro del precio o prima del seguro, y constituyen las oportunas reservas o provisiones técnicas (operaciones pasivas) a la espera de que se realice el pago de la indemnización o prestación garantizada (suma asegurada), por alguna contingencia ocurrida o por estimación de su posible ocurrencia por métodos y procedimientos actuariales.</w:t>
      </w:r>
    </w:p>
    <w:p w14:paraId="5B2B346B" w14:textId="77777777" w:rsidR="00EB18D7" w:rsidRPr="00FB351A" w:rsidRDefault="00EB18D7" w:rsidP="00803115">
      <w:pPr>
        <w:pStyle w:val="Textoindependiente"/>
        <w:jc w:val="both"/>
        <w:rPr>
          <w:rFonts w:ascii="Arial" w:hAnsi="Arial" w:cs="Arial"/>
          <w:sz w:val="20"/>
          <w:szCs w:val="20"/>
          <w:lang w:val="es-ES_tradnl"/>
        </w:rPr>
      </w:pPr>
    </w:p>
    <w:p w14:paraId="2386DEC4"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La técnica del seguro se basa en el pago anticipado de los recursos que se invierten a largo plazo, fijándose las reservas especiales, las denominadas provisiones técnicas, que garantizan, cuando ocurran eventos dañosos, el pago de las indemnizaciones por siniestro. Las citadas reservas son invertidas por las empresas de seguros normalmente en activos reales (inmuebles) o en activos financieros (títulos o valores mobiliarios, operaciones activas).</w:t>
      </w:r>
    </w:p>
    <w:p w14:paraId="081CBC47" w14:textId="77777777" w:rsidR="00EB18D7" w:rsidRPr="00FB351A" w:rsidRDefault="00EB18D7" w:rsidP="00803115">
      <w:pPr>
        <w:pStyle w:val="Textoindependiente"/>
        <w:jc w:val="both"/>
        <w:rPr>
          <w:rFonts w:ascii="Arial" w:hAnsi="Arial" w:cs="Arial"/>
          <w:sz w:val="20"/>
          <w:szCs w:val="20"/>
          <w:lang w:val="es-ES_tradnl"/>
        </w:rPr>
      </w:pPr>
    </w:p>
    <w:p w14:paraId="516FB6AD"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Las provisiones técnicas se derivan inmediatamente de los contratos de seguro, formándose con una parte de las aportaciones de los asegurados y corresponden a la obligación futura que para con ellos tiene el asegurador. En tanto que el margen de solvencia lo constituye el patrimonio de la entidad aseguradora libre de todo compromiso previsible y con deducción de los elementos inmateriales.</w:t>
      </w:r>
    </w:p>
    <w:p w14:paraId="45BFDE3E" w14:textId="77777777" w:rsidR="00EB18D7" w:rsidRPr="00FB351A" w:rsidRDefault="00EB18D7" w:rsidP="00803115">
      <w:pPr>
        <w:pStyle w:val="Textoindependiente"/>
        <w:jc w:val="both"/>
        <w:rPr>
          <w:rFonts w:ascii="Arial" w:hAnsi="Arial" w:cs="Arial"/>
          <w:sz w:val="20"/>
          <w:szCs w:val="20"/>
          <w:lang w:val="es-ES_tradnl"/>
        </w:rPr>
      </w:pPr>
    </w:p>
    <w:p w14:paraId="6CBDD0BB"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Al constituirse un contrato, la compañía de seguros al recibir una prima en concepto de pago se obliga frente al asegurado a indemnizarle según lo pactado, si deviene el evento no deseado. El espíritu es restituir al asegurado al "estado" previo al siniestro, para que la calamidad no se convierta en lucro.</w:t>
      </w:r>
    </w:p>
    <w:p w14:paraId="48FD7877" w14:textId="77777777" w:rsidR="00EB18D7" w:rsidRPr="00FB351A" w:rsidRDefault="00EB18D7" w:rsidP="00803115">
      <w:pPr>
        <w:pStyle w:val="Textoindependiente"/>
        <w:jc w:val="both"/>
        <w:rPr>
          <w:rFonts w:ascii="Arial" w:hAnsi="Arial" w:cs="Arial"/>
          <w:sz w:val="20"/>
          <w:szCs w:val="20"/>
          <w:lang w:val="es-ES_tradnl"/>
        </w:rPr>
      </w:pPr>
    </w:p>
    <w:p w14:paraId="3F0341AD"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Las sociedades de corretaje y los agentes independientes median entre los asegurados y las aseguradoras. Es de importancia capital que estos tengan la formación y niveles adecuados patrimoniales para brindar la mejor orientación y el soporte al asegurado, pues ellos representan el eslabón más prominente y muchas veces más frágil de la industria aseguradora. Para distribuir el riesgo, las empresas aseguradoras pueden ceder una parte o la totalidad de riesgos suscribiendo contrato con empresas reaseguradoras, acordándose cómo será el reparto de las primas devengadas de la asunción del riesgo y el reparto de los pagos por las responsabilidades derivadas del riesgo. No se cede la responsabilidad del asegurador con el asegurado, sin embargo, se hace la prevención y se dispersan los riesgos.</w:t>
      </w:r>
    </w:p>
    <w:p w14:paraId="7AFB5885" w14:textId="77777777" w:rsidR="00EB18D7" w:rsidRPr="00FB351A" w:rsidRDefault="00EB18D7" w:rsidP="00803115">
      <w:pPr>
        <w:pStyle w:val="Textoindependiente"/>
        <w:jc w:val="both"/>
        <w:rPr>
          <w:rFonts w:ascii="Arial" w:hAnsi="Arial" w:cs="Arial"/>
          <w:sz w:val="20"/>
          <w:szCs w:val="20"/>
          <w:lang w:val="es-ES_tradnl"/>
        </w:rPr>
      </w:pPr>
    </w:p>
    <w:p w14:paraId="177FDBE2"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El seguro realiza una importante labor de prevención mediante la selección de riesgos y la adecuada cotización de primas; juega un papel importante en materia crediticia; constituye una importante fuente de ingreso al fisco, y; en el aspecto individual, el seguro se destaca el espíritu de prevención que representa el tratar de prevenirse de las consecuencias desfavorables de un evento, con la consiguiente mejora de la conciencia social de los individuos.</w:t>
      </w:r>
    </w:p>
    <w:p w14:paraId="1F23206E" w14:textId="77777777" w:rsidR="00EB18D7" w:rsidRPr="00FB351A" w:rsidRDefault="00EB18D7" w:rsidP="00803115">
      <w:pPr>
        <w:pStyle w:val="Textoindependiente"/>
        <w:jc w:val="both"/>
        <w:rPr>
          <w:rFonts w:ascii="Arial" w:hAnsi="Arial" w:cs="Arial"/>
          <w:sz w:val="20"/>
          <w:szCs w:val="20"/>
          <w:lang w:val="es-ES_tradnl"/>
        </w:rPr>
      </w:pPr>
    </w:p>
    <w:p w14:paraId="219FDFB3"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La industria aseguradora es de gran importancia en todos los países, y dada la naturaleza y la dinámica del negocio, el sector es un inversionista institucional en las naciones. Asimismo, los seguros son fundamentales en la promoción del ahorro personal protectores del patrimonio del asegurado contra cualquier eventualidad; gracias a esto, se pueden mantener los niveles de producción de las empresas, previendo el desempleo y contribuyendo al crecimiento económico de cada nación.</w:t>
      </w:r>
    </w:p>
    <w:p w14:paraId="0D55914D" w14:textId="77777777" w:rsidR="00EB18D7" w:rsidRPr="00FB351A" w:rsidRDefault="00EB18D7" w:rsidP="00803115">
      <w:pPr>
        <w:pStyle w:val="Textoindependiente"/>
        <w:jc w:val="both"/>
        <w:rPr>
          <w:rFonts w:ascii="Arial" w:hAnsi="Arial" w:cs="Arial"/>
          <w:sz w:val="20"/>
          <w:szCs w:val="20"/>
          <w:lang w:val="es-ES_tradnl"/>
        </w:rPr>
      </w:pPr>
    </w:p>
    <w:p w14:paraId="26B3DE16"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De aquí nace la importancia de la Federación Aseguradoras Colombianas (</w:t>
      </w:r>
      <w:proofErr w:type="spellStart"/>
      <w:r w:rsidRPr="00FB351A">
        <w:rPr>
          <w:rFonts w:ascii="Arial" w:hAnsi="Arial" w:cs="Arial"/>
          <w:sz w:val="20"/>
          <w:szCs w:val="20"/>
          <w:lang w:val="es-ES_tradnl"/>
        </w:rPr>
        <w:t>FASECOLDA</w:t>
      </w:r>
      <w:proofErr w:type="spellEnd"/>
      <w:r w:rsidRPr="00FB351A">
        <w:rPr>
          <w:rFonts w:ascii="Arial" w:hAnsi="Arial" w:cs="Arial"/>
          <w:sz w:val="20"/>
          <w:szCs w:val="20"/>
          <w:lang w:val="es-ES_tradnl"/>
        </w:rPr>
        <w:t>), el gremio que agrupa a las compañías de seguros, de reaseguros y a las sociedades de capitalización en todo el territorio nacional.</w:t>
      </w:r>
    </w:p>
    <w:p w14:paraId="5D5BC4C9" w14:textId="77777777" w:rsidR="00EB18D7" w:rsidRPr="00FB351A" w:rsidRDefault="00EB18D7" w:rsidP="00803115">
      <w:pPr>
        <w:pStyle w:val="Textoindependiente"/>
        <w:jc w:val="both"/>
        <w:rPr>
          <w:rFonts w:ascii="Arial" w:hAnsi="Arial" w:cs="Arial"/>
          <w:sz w:val="20"/>
          <w:szCs w:val="20"/>
          <w:lang w:val="es-ES_tradnl"/>
        </w:rPr>
      </w:pPr>
    </w:p>
    <w:p w14:paraId="24994836" w14:textId="77777777" w:rsidR="00EB18D7" w:rsidRPr="00FB351A" w:rsidRDefault="00EB18D7" w:rsidP="00803115">
      <w:pPr>
        <w:pStyle w:val="Textoindependiente"/>
        <w:jc w:val="both"/>
        <w:rPr>
          <w:rFonts w:ascii="Arial" w:hAnsi="Arial" w:cs="Arial"/>
          <w:sz w:val="20"/>
          <w:szCs w:val="20"/>
          <w:lang w:val="es-ES_tradnl"/>
        </w:rPr>
      </w:pPr>
      <w:proofErr w:type="spellStart"/>
      <w:r w:rsidRPr="00FB351A">
        <w:rPr>
          <w:rFonts w:ascii="Arial" w:hAnsi="Arial" w:cs="Arial"/>
          <w:sz w:val="20"/>
          <w:szCs w:val="20"/>
          <w:lang w:val="es-ES_tradnl"/>
        </w:rPr>
        <w:t>FASECOLDA</w:t>
      </w:r>
      <w:proofErr w:type="spellEnd"/>
      <w:r w:rsidRPr="00FB351A">
        <w:rPr>
          <w:rFonts w:ascii="Arial" w:hAnsi="Arial" w:cs="Arial"/>
          <w:sz w:val="20"/>
          <w:szCs w:val="20"/>
          <w:lang w:val="es-ES_tradnl"/>
        </w:rPr>
        <w:t xml:space="preserve"> es una Entidad gremial sin ánimo de lucro que representa la actividad del sector asegurador frente a las entidades de vigilancia y control, así como a la sociedad en general.</w:t>
      </w:r>
    </w:p>
    <w:p w14:paraId="2773F664" w14:textId="77777777" w:rsidR="00EB18D7" w:rsidRPr="00FB351A" w:rsidRDefault="00EB18D7" w:rsidP="00803115">
      <w:pPr>
        <w:pStyle w:val="Textoindependiente"/>
        <w:jc w:val="both"/>
        <w:rPr>
          <w:rFonts w:ascii="Arial" w:hAnsi="Arial" w:cs="Arial"/>
          <w:sz w:val="20"/>
          <w:szCs w:val="20"/>
          <w:lang w:val="es-ES_tradnl"/>
        </w:rPr>
      </w:pPr>
    </w:p>
    <w:p w14:paraId="26C02BB4"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En especial, está dedicada a impulsar la cultura de los seguros y la modernización de la industria. En vista a lograr esto, analiza y recolecta estadísticas generales y específicas de los resultados del sector.</w:t>
      </w:r>
    </w:p>
    <w:p w14:paraId="355955E8" w14:textId="77777777" w:rsidR="00EB18D7" w:rsidRPr="00FB351A" w:rsidRDefault="00EB18D7" w:rsidP="00803115">
      <w:pPr>
        <w:pStyle w:val="Textoindependiente"/>
        <w:jc w:val="both"/>
        <w:rPr>
          <w:rFonts w:ascii="Arial" w:hAnsi="Arial" w:cs="Arial"/>
          <w:sz w:val="20"/>
          <w:szCs w:val="20"/>
          <w:lang w:val="es-ES_tradnl"/>
        </w:rPr>
      </w:pPr>
    </w:p>
    <w:p w14:paraId="3F4183FE" w14:textId="77777777" w:rsidR="00EB18D7" w:rsidRPr="00FB351A" w:rsidRDefault="00EB18D7" w:rsidP="00803115">
      <w:pPr>
        <w:pStyle w:val="Textoindependiente"/>
        <w:jc w:val="both"/>
        <w:rPr>
          <w:rFonts w:ascii="Arial" w:hAnsi="Arial" w:cs="Arial"/>
          <w:sz w:val="20"/>
          <w:szCs w:val="20"/>
          <w:lang w:val="es-ES_tradnl"/>
        </w:rPr>
      </w:pPr>
      <w:r w:rsidRPr="00FB351A">
        <w:rPr>
          <w:rFonts w:ascii="Arial" w:hAnsi="Arial" w:cs="Arial"/>
          <w:sz w:val="20"/>
          <w:szCs w:val="20"/>
          <w:lang w:val="es-ES_tradnl"/>
        </w:rPr>
        <w:t xml:space="preserve">Ahora bien, la misión de </w:t>
      </w:r>
      <w:proofErr w:type="spellStart"/>
      <w:r w:rsidRPr="00FB351A">
        <w:rPr>
          <w:rFonts w:ascii="Arial" w:hAnsi="Arial" w:cs="Arial"/>
          <w:sz w:val="20"/>
          <w:szCs w:val="20"/>
          <w:lang w:val="es-ES_tradnl"/>
        </w:rPr>
        <w:t>FASECOLDA</w:t>
      </w:r>
      <w:proofErr w:type="spellEnd"/>
      <w:r w:rsidRPr="00FB351A">
        <w:rPr>
          <w:rFonts w:ascii="Arial" w:hAnsi="Arial" w:cs="Arial"/>
          <w:sz w:val="20"/>
          <w:szCs w:val="20"/>
          <w:lang w:val="es-ES_tradnl"/>
        </w:rPr>
        <w:t>:</w:t>
      </w:r>
    </w:p>
    <w:p w14:paraId="4F717187" w14:textId="77777777" w:rsidR="00EB18D7" w:rsidRPr="00FB351A" w:rsidRDefault="00EB18D7" w:rsidP="00803115">
      <w:pPr>
        <w:pStyle w:val="Textoindependiente"/>
        <w:jc w:val="both"/>
        <w:rPr>
          <w:rFonts w:ascii="Arial" w:hAnsi="Arial" w:cs="Arial"/>
          <w:sz w:val="20"/>
          <w:szCs w:val="20"/>
          <w:lang w:val="es-ES_tradnl"/>
        </w:rPr>
      </w:pPr>
    </w:p>
    <w:p w14:paraId="4E1D221B" w14:textId="77777777" w:rsidR="00EB18D7" w:rsidRPr="00FB351A" w:rsidRDefault="00EB18D7">
      <w:pPr>
        <w:pStyle w:val="Textoindependiente"/>
        <w:numPr>
          <w:ilvl w:val="0"/>
          <w:numId w:val="36"/>
        </w:numPr>
        <w:jc w:val="both"/>
        <w:rPr>
          <w:rFonts w:ascii="Arial" w:hAnsi="Arial" w:cs="Arial"/>
          <w:sz w:val="20"/>
          <w:szCs w:val="20"/>
          <w:lang w:val="es-ES_tradnl"/>
        </w:rPr>
      </w:pPr>
      <w:r w:rsidRPr="00FB351A">
        <w:rPr>
          <w:rFonts w:ascii="Arial" w:hAnsi="Arial" w:cs="Arial"/>
          <w:sz w:val="20"/>
          <w:szCs w:val="20"/>
          <w:lang w:val="es-ES_tradnl"/>
        </w:rPr>
        <w:t>Búsqueda del beneficio y el desarrollo de la industria aseguradora en términos de penetración, estabilidad, modernización y rentabilidad</w:t>
      </w:r>
    </w:p>
    <w:p w14:paraId="4EB24C63" w14:textId="77777777" w:rsidR="00EB18D7" w:rsidRPr="00FB351A" w:rsidRDefault="00EB18D7">
      <w:pPr>
        <w:pStyle w:val="Textoindependiente"/>
        <w:numPr>
          <w:ilvl w:val="0"/>
          <w:numId w:val="36"/>
        </w:numPr>
        <w:jc w:val="both"/>
        <w:rPr>
          <w:rFonts w:ascii="Arial" w:hAnsi="Arial" w:cs="Arial"/>
          <w:sz w:val="20"/>
          <w:szCs w:val="20"/>
          <w:lang w:val="es-ES_tradnl"/>
        </w:rPr>
      </w:pPr>
      <w:r w:rsidRPr="00FB351A">
        <w:rPr>
          <w:rFonts w:ascii="Arial" w:hAnsi="Arial" w:cs="Arial"/>
          <w:sz w:val="20"/>
          <w:szCs w:val="20"/>
          <w:lang w:val="es-ES_tradnl"/>
        </w:rPr>
        <w:t>Representación y defensa del sector asegurador ante el país, los poderes ejecutivo, legislativo y judicial, y los organismos internacionales</w:t>
      </w:r>
    </w:p>
    <w:p w14:paraId="29293EFE" w14:textId="77777777" w:rsidR="00EB18D7" w:rsidRPr="00FB351A" w:rsidRDefault="00EB18D7">
      <w:pPr>
        <w:pStyle w:val="Textoindependiente"/>
        <w:numPr>
          <w:ilvl w:val="0"/>
          <w:numId w:val="36"/>
        </w:numPr>
        <w:jc w:val="both"/>
        <w:rPr>
          <w:rFonts w:ascii="Arial" w:hAnsi="Arial" w:cs="Arial"/>
          <w:sz w:val="20"/>
          <w:szCs w:val="20"/>
          <w:lang w:val="es-ES_tradnl"/>
        </w:rPr>
      </w:pPr>
      <w:r w:rsidRPr="00FB351A">
        <w:rPr>
          <w:rFonts w:ascii="Arial" w:hAnsi="Arial" w:cs="Arial"/>
          <w:sz w:val="20"/>
          <w:szCs w:val="20"/>
          <w:lang w:val="es-ES_tradnl"/>
        </w:rPr>
        <w:t>Generación de un mayor conocimiento técnico y objetivo sobre la industria aseguradora en Colombia y en el mundo</w:t>
      </w:r>
    </w:p>
    <w:p w14:paraId="2E6265A0" w14:textId="77777777" w:rsidR="00EB18D7" w:rsidRPr="00FB351A" w:rsidRDefault="00EB18D7">
      <w:pPr>
        <w:pStyle w:val="Textoindependiente"/>
        <w:numPr>
          <w:ilvl w:val="0"/>
          <w:numId w:val="36"/>
        </w:numPr>
        <w:jc w:val="both"/>
        <w:rPr>
          <w:rFonts w:ascii="Arial" w:hAnsi="Arial" w:cs="Arial"/>
          <w:sz w:val="20"/>
          <w:szCs w:val="20"/>
          <w:lang w:val="es-ES_tradnl"/>
        </w:rPr>
      </w:pPr>
      <w:r w:rsidRPr="00FB351A">
        <w:rPr>
          <w:rFonts w:ascii="Arial" w:hAnsi="Arial" w:cs="Arial"/>
          <w:sz w:val="20"/>
          <w:szCs w:val="20"/>
          <w:lang w:val="es-ES_tradnl"/>
        </w:rPr>
        <w:t>Desarrollo y administración de servicios y productos institucionales que agreguen valor al sector asegurador</w:t>
      </w:r>
    </w:p>
    <w:p w14:paraId="0FE16C51" w14:textId="77777777" w:rsidR="00EB18D7" w:rsidRPr="00FB351A" w:rsidRDefault="00EB18D7">
      <w:pPr>
        <w:pStyle w:val="Textoindependiente"/>
        <w:numPr>
          <w:ilvl w:val="0"/>
          <w:numId w:val="36"/>
        </w:numPr>
        <w:jc w:val="both"/>
        <w:rPr>
          <w:rFonts w:ascii="Arial" w:hAnsi="Arial" w:cs="Arial"/>
          <w:sz w:val="20"/>
          <w:szCs w:val="20"/>
          <w:lang w:val="es-ES_tradnl"/>
        </w:rPr>
      </w:pPr>
      <w:r w:rsidRPr="00FB351A">
        <w:rPr>
          <w:rFonts w:ascii="Arial" w:hAnsi="Arial" w:cs="Arial"/>
          <w:sz w:val="20"/>
          <w:szCs w:val="20"/>
          <w:lang w:val="es-ES_tradnl"/>
        </w:rPr>
        <w:t>Promoción de una mejor imagen de la industria aseguradora en Colombia</w:t>
      </w:r>
    </w:p>
    <w:p w14:paraId="4D21F1FC" w14:textId="77777777" w:rsidR="008322ED" w:rsidRPr="00FB351A" w:rsidRDefault="008322ED" w:rsidP="00803115">
      <w:pPr>
        <w:pStyle w:val="Textoindependiente"/>
        <w:jc w:val="both"/>
        <w:rPr>
          <w:rFonts w:ascii="Arial" w:hAnsi="Arial" w:cs="Arial"/>
          <w:sz w:val="20"/>
          <w:szCs w:val="20"/>
          <w:lang w:val="es-ES_tradnl"/>
        </w:rPr>
      </w:pPr>
    </w:p>
    <w:p w14:paraId="2A4D237F" w14:textId="25FACEC9" w:rsidR="008322ED" w:rsidRPr="00FB351A" w:rsidRDefault="008322ED" w:rsidP="00803115">
      <w:pPr>
        <w:pStyle w:val="Textoindependiente"/>
        <w:numPr>
          <w:ilvl w:val="2"/>
          <w:numId w:val="1"/>
        </w:numPr>
        <w:jc w:val="both"/>
        <w:rPr>
          <w:rFonts w:ascii="Arial" w:hAnsi="Arial" w:cs="Arial"/>
          <w:b/>
          <w:sz w:val="20"/>
          <w:szCs w:val="20"/>
        </w:rPr>
      </w:pPr>
      <w:r w:rsidRPr="00FB351A">
        <w:rPr>
          <w:rFonts w:ascii="Arial" w:hAnsi="Arial" w:cs="Arial"/>
          <w:b/>
          <w:sz w:val="20"/>
          <w:szCs w:val="20"/>
        </w:rPr>
        <w:t>Categorías en que se agrupan los productos incluidos dentro del sector</w:t>
      </w:r>
    </w:p>
    <w:p w14:paraId="6C577588" w14:textId="77777777" w:rsidR="008322ED" w:rsidRPr="00FB351A" w:rsidRDefault="008322ED" w:rsidP="00803115">
      <w:pPr>
        <w:pStyle w:val="Textoindependiente"/>
        <w:jc w:val="both"/>
        <w:rPr>
          <w:rFonts w:ascii="Arial" w:hAnsi="Arial" w:cs="Arial"/>
          <w:b/>
          <w:sz w:val="20"/>
          <w:szCs w:val="20"/>
        </w:rPr>
      </w:pPr>
    </w:p>
    <w:p w14:paraId="7244DDA9" w14:textId="77777777" w:rsidR="008322ED" w:rsidRPr="00FB351A" w:rsidRDefault="008322ED" w:rsidP="00803115">
      <w:pPr>
        <w:pStyle w:val="Textoindependiente"/>
        <w:jc w:val="both"/>
        <w:rPr>
          <w:rFonts w:ascii="Arial" w:eastAsia="Arial MT" w:hAnsi="Arial" w:cs="Arial"/>
          <w:sz w:val="20"/>
          <w:szCs w:val="20"/>
        </w:rPr>
      </w:pPr>
      <w:r w:rsidRPr="00FB351A">
        <w:rPr>
          <w:rFonts w:ascii="Arial" w:eastAsia="Arial MT" w:hAnsi="Arial" w:cs="Arial"/>
          <w:sz w:val="20"/>
          <w:szCs w:val="20"/>
        </w:rPr>
        <w:t>Un ramo de seguros es una categoría que agrupa las pólizas con riesgos de naturaleza o características similares, facilitando la organización de las coberturas y la elección de productos para los clientes. Estos ramos permiten segmentar el mercado, ya sea por el tipo de bien asegurado (automóvil, hogar), la persona (vida, salud) o el riesgo cubierto (incendio, responsabilidad civil).</w:t>
      </w:r>
    </w:p>
    <w:p w14:paraId="56F894F4" w14:textId="77777777" w:rsidR="008322ED" w:rsidRPr="00FB351A" w:rsidRDefault="008322ED" w:rsidP="00803115">
      <w:pPr>
        <w:pStyle w:val="Textoindependiente"/>
        <w:jc w:val="both"/>
        <w:rPr>
          <w:rFonts w:ascii="Arial" w:eastAsia="Arial MT" w:hAnsi="Arial" w:cs="Arial"/>
          <w:sz w:val="20"/>
          <w:szCs w:val="20"/>
        </w:rPr>
      </w:pPr>
    </w:p>
    <w:p w14:paraId="19773886" w14:textId="77777777" w:rsidR="008322ED" w:rsidRPr="00FB351A" w:rsidRDefault="008322ED" w:rsidP="00803115">
      <w:pPr>
        <w:pStyle w:val="Textoindependiente"/>
        <w:jc w:val="both"/>
        <w:rPr>
          <w:rFonts w:ascii="Arial" w:eastAsia="Arial MT" w:hAnsi="Arial" w:cs="Arial"/>
          <w:sz w:val="20"/>
          <w:szCs w:val="20"/>
        </w:rPr>
      </w:pPr>
      <w:r w:rsidRPr="00FB351A">
        <w:rPr>
          <w:rFonts w:ascii="Arial" w:eastAsia="Arial MT" w:hAnsi="Arial" w:cs="Arial"/>
          <w:sz w:val="20"/>
          <w:szCs w:val="20"/>
        </w:rPr>
        <w:t>Corresponde a la Superintendencia Financiera de Colombia (</w:t>
      </w:r>
      <w:proofErr w:type="spellStart"/>
      <w:r w:rsidRPr="00FB351A">
        <w:rPr>
          <w:rFonts w:ascii="Arial" w:eastAsia="Arial MT" w:hAnsi="Arial" w:cs="Arial"/>
          <w:sz w:val="20"/>
          <w:szCs w:val="20"/>
        </w:rPr>
        <w:t>SFC</w:t>
      </w:r>
      <w:proofErr w:type="spellEnd"/>
      <w:r w:rsidRPr="00FB351A">
        <w:rPr>
          <w:rFonts w:ascii="Arial" w:eastAsia="Arial MT" w:hAnsi="Arial" w:cs="Arial"/>
          <w:sz w:val="20"/>
          <w:szCs w:val="20"/>
        </w:rPr>
        <w:t xml:space="preserve">) autorizar los ramos de seguros que ofrezcan las entidades aseguradoras. Este proceso de autorización se sujetará al régimen de autorización general o individual, de acuerdo con las disposiciones contenidas en el Estatuto Orgánico del Sistema Financiero - </w:t>
      </w:r>
      <w:proofErr w:type="spellStart"/>
      <w:r w:rsidRPr="00FB351A">
        <w:rPr>
          <w:rFonts w:ascii="Arial" w:eastAsia="Arial MT" w:hAnsi="Arial" w:cs="Arial"/>
          <w:sz w:val="20"/>
          <w:szCs w:val="20"/>
        </w:rPr>
        <w:t>EOSF</w:t>
      </w:r>
      <w:proofErr w:type="spellEnd"/>
      <w:r w:rsidRPr="00FB351A">
        <w:rPr>
          <w:rFonts w:ascii="Arial" w:eastAsia="Arial MT" w:hAnsi="Arial" w:cs="Arial"/>
          <w:sz w:val="20"/>
          <w:szCs w:val="20"/>
        </w:rPr>
        <w:t xml:space="preserve">. </w:t>
      </w:r>
    </w:p>
    <w:p w14:paraId="0DC02507" w14:textId="77777777" w:rsidR="008322ED" w:rsidRPr="00FB351A" w:rsidRDefault="008322ED" w:rsidP="00803115">
      <w:pPr>
        <w:pStyle w:val="Textoindependiente"/>
        <w:jc w:val="both"/>
        <w:rPr>
          <w:rFonts w:ascii="Arial" w:eastAsia="Arial MT" w:hAnsi="Arial" w:cs="Arial"/>
          <w:sz w:val="20"/>
          <w:szCs w:val="20"/>
        </w:rPr>
      </w:pPr>
    </w:p>
    <w:p w14:paraId="1F5947CD" w14:textId="77777777" w:rsidR="008322ED" w:rsidRPr="00FB351A" w:rsidRDefault="008322ED" w:rsidP="00803115">
      <w:pPr>
        <w:pStyle w:val="Textoindependiente"/>
        <w:jc w:val="both"/>
        <w:rPr>
          <w:rFonts w:ascii="Arial" w:eastAsia="Arial MT" w:hAnsi="Arial" w:cs="Arial"/>
          <w:sz w:val="20"/>
          <w:szCs w:val="20"/>
        </w:rPr>
      </w:pPr>
      <w:r w:rsidRPr="00FB351A">
        <w:rPr>
          <w:rFonts w:ascii="Arial" w:eastAsia="Arial MT" w:hAnsi="Arial" w:cs="Arial"/>
          <w:sz w:val="20"/>
          <w:szCs w:val="20"/>
        </w:rPr>
        <w:t xml:space="preserve">No resulta necesaria la aprobación de un nuevo ramo para el ofrecimiento de productos respecto de los cuales se cumplan los requisitos establecidos en esta circular, que comprendan diversidad de amparos susceptibles de ser explotados bajo los ramos ya autorizados a la entidad. </w:t>
      </w:r>
    </w:p>
    <w:p w14:paraId="3F24372C" w14:textId="77777777" w:rsidR="008322ED" w:rsidRPr="00FB351A" w:rsidRDefault="008322ED" w:rsidP="00803115">
      <w:pPr>
        <w:pStyle w:val="Textoindependiente"/>
        <w:jc w:val="both"/>
        <w:rPr>
          <w:rFonts w:ascii="Arial" w:eastAsia="Arial MT" w:hAnsi="Arial" w:cs="Arial"/>
          <w:sz w:val="20"/>
          <w:szCs w:val="20"/>
        </w:rPr>
      </w:pPr>
    </w:p>
    <w:p w14:paraId="6B65798F" w14:textId="77777777" w:rsidR="008322ED" w:rsidRPr="00FB351A" w:rsidRDefault="008322ED" w:rsidP="00803115">
      <w:pPr>
        <w:pStyle w:val="Textoindependiente"/>
        <w:jc w:val="both"/>
        <w:rPr>
          <w:rFonts w:ascii="Arial" w:eastAsia="Arial MT" w:hAnsi="Arial" w:cs="Arial"/>
          <w:sz w:val="20"/>
          <w:szCs w:val="20"/>
        </w:rPr>
      </w:pPr>
      <w:r w:rsidRPr="00FB351A">
        <w:rPr>
          <w:rFonts w:ascii="Arial" w:eastAsia="Arial MT" w:hAnsi="Arial" w:cs="Arial"/>
          <w:sz w:val="20"/>
          <w:szCs w:val="20"/>
        </w:rPr>
        <w:t xml:space="preserve">En los reportes de información dirigidos a la </w:t>
      </w:r>
      <w:proofErr w:type="spellStart"/>
      <w:r w:rsidRPr="00FB351A">
        <w:rPr>
          <w:rFonts w:ascii="Arial" w:eastAsia="Arial MT" w:hAnsi="Arial" w:cs="Arial"/>
          <w:sz w:val="20"/>
          <w:szCs w:val="20"/>
        </w:rPr>
        <w:t>SFC</w:t>
      </w:r>
      <w:proofErr w:type="spellEnd"/>
      <w:r w:rsidRPr="00FB351A">
        <w:rPr>
          <w:rFonts w:ascii="Arial" w:eastAsia="Arial MT" w:hAnsi="Arial" w:cs="Arial"/>
          <w:sz w:val="20"/>
          <w:szCs w:val="20"/>
        </w:rPr>
        <w:t xml:space="preserve">, las entidades aseguradoras deben clasificar las primas, siniestros y demás gastos e ingresos que se deriven de dichos amparos bajo el ramo o ramos autorizados a los cuales correspondan. No obstante, cuando la expedición de amparos de un ramo no autorizado sea </w:t>
      </w:r>
      <w:r w:rsidRPr="00FB351A">
        <w:rPr>
          <w:rFonts w:ascii="Arial" w:eastAsia="Arial MT" w:hAnsi="Arial" w:cs="Arial"/>
          <w:sz w:val="20"/>
          <w:szCs w:val="20"/>
        </w:rPr>
        <w:lastRenderedPageBreak/>
        <w:t xml:space="preserve">significativa, la entidad debe solicitar la correspondiente autorización, sin la cual no puede continuar expidiendo tales amparos. </w:t>
      </w:r>
    </w:p>
    <w:p w14:paraId="2EF55657" w14:textId="77777777" w:rsidR="008322ED" w:rsidRPr="00FB351A" w:rsidRDefault="008322ED" w:rsidP="00803115">
      <w:pPr>
        <w:pStyle w:val="Textoindependiente"/>
        <w:jc w:val="both"/>
        <w:rPr>
          <w:rFonts w:ascii="Arial" w:eastAsia="Arial MT" w:hAnsi="Arial" w:cs="Arial"/>
          <w:sz w:val="20"/>
          <w:szCs w:val="20"/>
        </w:rPr>
      </w:pPr>
    </w:p>
    <w:p w14:paraId="14FE16F5" w14:textId="77777777" w:rsidR="008322ED" w:rsidRPr="00FB351A" w:rsidRDefault="008322ED" w:rsidP="00803115">
      <w:pPr>
        <w:pStyle w:val="Textoindependiente"/>
        <w:jc w:val="both"/>
        <w:rPr>
          <w:rFonts w:ascii="Arial" w:eastAsia="Arial MT" w:hAnsi="Arial" w:cs="Arial"/>
          <w:sz w:val="20"/>
          <w:szCs w:val="20"/>
        </w:rPr>
      </w:pPr>
      <w:r w:rsidRPr="00FB351A">
        <w:rPr>
          <w:rFonts w:ascii="Arial" w:eastAsia="Arial MT" w:hAnsi="Arial" w:cs="Arial"/>
          <w:sz w:val="20"/>
          <w:szCs w:val="20"/>
        </w:rPr>
        <w:t>Los ramos bajo los cuales se pueden operar los diversos productos son los siguientes</w:t>
      </w:r>
      <w:r w:rsidRPr="00FB351A">
        <w:rPr>
          <w:rStyle w:val="Refdenotaalpie"/>
          <w:rFonts w:ascii="Arial" w:eastAsia="Arial MT" w:hAnsi="Arial" w:cs="Arial"/>
          <w:sz w:val="20"/>
          <w:szCs w:val="20"/>
        </w:rPr>
        <w:footnoteReference w:id="4"/>
      </w:r>
      <w:r w:rsidRPr="00FB351A">
        <w:rPr>
          <w:rFonts w:ascii="Arial" w:eastAsia="Arial MT" w:hAnsi="Arial" w:cs="Arial"/>
          <w:sz w:val="20"/>
          <w:szCs w:val="20"/>
        </w:rPr>
        <w:t>:</w:t>
      </w:r>
    </w:p>
    <w:p w14:paraId="72C37630" w14:textId="77777777" w:rsidR="008322ED" w:rsidRPr="00FB351A" w:rsidRDefault="008322ED" w:rsidP="00803115">
      <w:pPr>
        <w:pStyle w:val="Textoindependiente"/>
        <w:jc w:val="both"/>
        <w:rPr>
          <w:rFonts w:ascii="Arial" w:eastAsia="Arial MT" w:hAnsi="Arial" w:cs="Arial"/>
          <w:sz w:val="20"/>
          <w:szCs w:val="20"/>
        </w:rPr>
      </w:pPr>
    </w:p>
    <w:p w14:paraId="6DEC48DE" w14:textId="77777777" w:rsidR="001771EA" w:rsidRPr="00FB351A" w:rsidRDefault="001771EA" w:rsidP="001771EA">
      <w:pPr>
        <w:pStyle w:val="Textoindependiente"/>
        <w:jc w:val="center"/>
        <w:rPr>
          <w:rFonts w:ascii="Arial" w:eastAsia="Arial MT" w:hAnsi="Arial" w:cs="Arial"/>
          <w:b/>
          <w:bCs/>
          <w:sz w:val="20"/>
          <w:szCs w:val="20"/>
        </w:rPr>
      </w:pPr>
      <w:r w:rsidRPr="00FB351A">
        <w:rPr>
          <w:rFonts w:ascii="Arial" w:eastAsia="Arial MT" w:hAnsi="Arial" w:cs="Arial"/>
          <w:b/>
          <w:bCs/>
          <w:sz w:val="20"/>
          <w:szCs w:val="20"/>
        </w:rPr>
        <w:t>Clasificación de Ramos de Seguros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10"/>
        <w:gridCol w:w="5113"/>
      </w:tblGrid>
      <w:tr w:rsidR="001771EA" w:rsidRPr="00FB351A" w14:paraId="7166E896" w14:textId="77777777" w:rsidTr="001771EA">
        <w:trPr>
          <w:trHeight w:val="20"/>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DBE5F1" w:themeFill="accent1" w:themeFillTint="33"/>
            <w:tcMar>
              <w:top w:w="120" w:type="dxa"/>
              <w:left w:w="180" w:type="dxa"/>
              <w:bottom w:w="120" w:type="dxa"/>
              <w:right w:w="180" w:type="dxa"/>
            </w:tcMar>
            <w:vAlign w:val="center"/>
            <w:hideMark/>
          </w:tcPr>
          <w:p w14:paraId="1CB45A92"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b/>
                <w:bCs/>
                <w:sz w:val="20"/>
                <w:szCs w:val="20"/>
              </w:rPr>
              <w:t>Categoría Principal</w:t>
            </w:r>
          </w:p>
        </w:tc>
        <w:tc>
          <w:tcPr>
            <w:tcW w:w="0" w:type="auto"/>
            <w:tcBorders>
              <w:top w:val="single" w:sz="6" w:space="0" w:color="C4C7C5"/>
              <w:left w:val="single" w:sz="6" w:space="0" w:color="C4C7C5"/>
              <w:bottom w:val="single" w:sz="6" w:space="0" w:color="C4C7C5"/>
              <w:right w:val="single" w:sz="6" w:space="0" w:color="C4C7C5"/>
            </w:tcBorders>
            <w:shd w:val="clear" w:color="auto" w:fill="DBE5F1" w:themeFill="accent1" w:themeFillTint="33"/>
            <w:tcMar>
              <w:top w:w="120" w:type="dxa"/>
              <w:left w:w="180" w:type="dxa"/>
              <w:bottom w:w="120" w:type="dxa"/>
              <w:right w:w="180" w:type="dxa"/>
            </w:tcMar>
            <w:vAlign w:val="center"/>
            <w:hideMark/>
          </w:tcPr>
          <w:p w14:paraId="4E03587F"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b/>
                <w:bCs/>
                <w:sz w:val="20"/>
                <w:szCs w:val="20"/>
              </w:rPr>
              <w:t>Ramos de Seguro</w:t>
            </w:r>
          </w:p>
        </w:tc>
      </w:tr>
      <w:tr w:rsidR="001771EA" w:rsidRPr="00FB351A" w14:paraId="65795FD6" w14:textId="77777777" w:rsidTr="001771EA">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F5A447"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b/>
                <w:bCs/>
                <w:sz w:val="20"/>
                <w:szCs w:val="20"/>
              </w:rPr>
              <w:t>Seguros Generales (Daños y Patrimoniales)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ACC4E5" w14:textId="11E64188"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Automóviles</w:t>
            </w:r>
          </w:p>
          <w:p w14:paraId="2CC4A069" w14:textId="6B2A4EAD"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SOAT (Seguro Obligatorio de Accidentes de Tránsito)</w:t>
            </w:r>
          </w:p>
          <w:p w14:paraId="60FB2FD3" w14:textId="4D096B44"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Incendio</w:t>
            </w:r>
          </w:p>
          <w:p w14:paraId="3D7DA160" w14:textId="2351EBD1"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Terremoto</w:t>
            </w:r>
          </w:p>
          <w:p w14:paraId="245BBFD4" w14:textId="10B0B22D"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Sustracción</w:t>
            </w:r>
          </w:p>
          <w:p w14:paraId="601A204D" w14:textId="3011405C"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Vidrios</w:t>
            </w:r>
          </w:p>
          <w:p w14:paraId="33806A55" w14:textId="20E11D1A"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Hogar</w:t>
            </w:r>
          </w:p>
          <w:p w14:paraId="14DB505D" w14:textId="0F0C9419"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Transporte</w:t>
            </w:r>
          </w:p>
          <w:p w14:paraId="6196EA41" w14:textId="6600EB12"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Navegación y casco</w:t>
            </w:r>
          </w:p>
          <w:p w14:paraId="6D02888D" w14:textId="58B22F0C"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Aviación</w:t>
            </w:r>
          </w:p>
          <w:p w14:paraId="73807B58" w14:textId="5D70ED8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Todo Riesgo Contratista</w:t>
            </w:r>
          </w:p>
          <w:p w14:paraId="24472540" w14:textId="6E5B0DF2"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Montaje y Rotura de Maquinaria</w:t>
            </w:r>
          </w:p>
          <w:p w14:paraId="622D94EB" w14:textId="590928FA"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Corriente Débil (Equipo Electrónico)</w:t>
            </w:r>
          </w:p>
          <w:p w14:paraId="46212A29" w14:textId="79D15CDC"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Decenal</w:t>
            </w:r>
          </w:p>
          <w:p w14:paraId="241FE5DC" w14:textId="2943818B"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Cumplimiento</w:t>
            </w:r>
          </w:p>
          <w:p w14:paraId="094D4E69" w14:textId="6C766CD1"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Manejo</w:t>
            </w:r>
          </w:p>
          <w:p w14:paraId="3D07CFC8" w14:textId="34C44B23"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Responsabilidad Civil</w:t>
            </w:r>
          </w:p>
          <w:p w14:paraId="6FBB074A"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Lucro Cesante</w:t>
            </w:r>
          </w:p>
          <w:p w14:paraId="6BF9D3C3" w14:textId="2517DE3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Crédito Comercial</w:t>
            </w:r>
          </w:p>
          <w:p w14:paraId="5F509FC7" w14:textId="70B5778F"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Crédito a la Explotación / Exportación</w:t>
            </w:r>
          </w:p>
          <w:p w14:paraId="4EEC38F1" w14:textId="4FBA5778"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Minas y Petróleo</w:t>
            </w:r>
          </w:p>
          <w:p w14:paraId="57515010"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Agropecuario</w:t>
            </w:r>
          </w:p>
        </w:tc>
      </w:tr>
      <w:tr w:rsidR="001771EA" w:rsidRPr="00FB351A" w14:paraId="41465ED2" w14:textId="77777777" w:rsidTr="001771EA">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E6F67"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b/>
                <w:bCs/>
                <w:sz w:val="20"/>
                <w:szCs w:val="20"/>
              </w:rPr>
              <w:t>Seguros de Personas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CEEDBC" w14:textId="1D55A58D"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Vida Individual</w:t>
            </w:r>
          </w:p>
          <w:p w14:paraId="743A344A" w14:textId="5B916355"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Vida Grupo</w:t>
            </w:r>
          </w:p>
          <w:p w14:paraId="0AD2FE05" w14:textId="5C2E6CE3"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Colectivo Vida</w:t>
            </w:r>
          </w:p>
          <w:p w14:paraId="332B5BB7" w14:textId="2DB74C2D"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Accidentes Personales</w:t>
            </w:r>
          </w:p>
          <w:p w14:paraId="05EDCCC3" w14:textId="453EED51"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Salud</w:t>
            </w:r>
          </w:p>
          <w:p w14:paraId="1AEF7CA8" w14:textId="4FF4768C"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Enfermedad de Alto Costo</w:t>
            </w:r>
          </w:p>
          <w:p w14:paraId="10DC3BB6" w14:textId="46F59A5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Exequias</w:t>
            </w:r>
          </w:p>
          <w:p w14:paraId="6BEB69CA"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Educativo</w:t>
            </w:r>
          </w:p>
        </w:tc>
      </w:tr>
      <w:tr w:rsidR="001771EA" w:rsidRPr="00FB351A" w14:paraId="575F880A" w14:textId="77777777" w:rsidTr="001771EA">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0829E"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b/>
                <w:bCs/>
                <w:sz w:val="20"/>
                <w:szCs w:val="20"/>
              </w:rPr>
              <w:t>Seguridad Social, Pensiones y Relacionados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34247A" w14:textId="38C55ED9"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Riesgos Laborales</w:t>
            </w:r>
          </w:p>
          <w:p w14:paraId="3051704D" w14:textId="21575324"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Previsional de Invalidez y Sobrevivencia</w:t>
            </w:r>
          </w:p>
          <w:p w14:paraId="2E27A918" w14:textId="37A54803"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Desempleo</w:t>
            </w:r>
          </w:p>
          <w:p w14:paraId="7AA8D4DF" w14:textId="54DEFB4A"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lastRenderedPageBreak/>
              <w:t>• Pensiones Ley 100</w:t>
            </w:r>
          </w:p>
          <w:p w14:paraId="7CB89061" w14:textId="0B01A9AC"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Pensiones Voluntarias</w:t>
            </w:r>
          </w:p>
          <w:p w14:paraId="278E4E51" w14:textId="22B01AFD"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Pensiones con Conmutación Pensional</w:t>
            </w:r>
          </w:p>
          <w:p w14:paraId="770D6043" w14:textId="2A9B5D14"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Rentas Voluntarias</w:t>
            </w:r>
          </w:p>
          <w:p w14:paraId="5732EA9E" w14:textId="77777777" w:rsidR="001771EA" w:rsidRPr="00FB351A" w:rsidRDefault="001771EA" w:rsidP="001771EA">
            <w:pPr>
              <w:pStyle w:val="Textoindependiente"/>
              <w:jc w:val="both"/>
              <w:rPr>
                <w:rFonts w:ascii="Arial" w:eastAsia="Arial MT" w:hAnsi="Arial" w:cs="Arial"/>
                <w:sz w:val="20"/>
                <w:szCs w:val="20"/>
              </w:rPr>
            </w:pPr>
            <w:r w:rsidRPr="00FB351A">
              <w:rPr>
                <w:rFonts w:ascii="Arial" w:eastAsia="Arial MT" w:hAnsi="Arial" w:cs="Arial"/>
                <w:sz w:val="20"/>
                <w:szCs w:val="20"/>
              </w:rPr>
              <w:t>• BEPS (Beneficios Económicos Periódicos)</w:t>
            </w:r>
          </w:p>
        </w:tc>
      </w:tr>
    </w:tbl>
    <w:p w14:paraId="5733D1C9" w14:textId="1FEA6E70" w:rsidR="008322ED" w:rsidRPr="00FB351A" w:rsidRDefault="008322ED" w:rsidP="00803115">
      <w:pPr>
        <w:pStyle w:val="Descripcin"/>
        <w:jc w:val="both"/>
        <w:rPr>
          <w:rFonts w:ascii="Arial" w:hAnsi="Arial" w:cs="Arial"/>
          <w:b w:val="0"/>
          <w:bCs w:val="0"/>
          <w:lang w:val="es-CO" w:eastAsia="es-CO"/>
        </w:rPr>
      </w:pPr>
      <w:r w:rsidRPr="00FB351A">
        <w:rPr>
          <w:rFonts w:ascii="Arial" w:hAnsi="Arial" w:cs="Arial"/>
          <w:b w:val="0"/>
          <w:bCs w:val="0"/>
        </w:rPr>
        <w:lastRenderedPageBreak/>
        <w:t>Cuadro Ramos bajo los cuales operan los productos de seguros. Elaborado por el intermediario de seguros de la entidad.</w:t>
      </w:r>
    </w:p>
    <w:p w14:paraId="7A03FDFB" w14:textId="77777777" w:rsidR="008322ED" w:rsidRPr="00FB351A" w:rsidRDefault="008322ED" w:rsidP="00803115">
      <w:pPr>
        <w:pStyle w:val="Textoindependiente"/>
        <w:jc w:val="both"/>
        <w:rPr>
          <w:rFonts w:ascii="Arial" w:hAnsi="Arial" w:cs="Arial"/>
          <w:b/>
          <w:sz w:val="20"/>
          <w:szCs w:val="20"/>
        </w:rPr>
      </w:pPr>
    </w:p>
    <w:p w14:paraId="063390F4" w14:textId="77777777" w:rsidR="008322ED" w:rsidRPr="00FB351A" w:rsidRDefault="008322ED" w:rsidP="00803115">
      <w:pPr>
        <w:jc w:val="both"/>
        <w:rPr>
          <w:rFonts w:ascii="Arial" w:hAnsi="Arial" w:cs="Arial"/>
          <w:sz w:val="20"/>
          <w:szCs w:val="20"/>
          <w:lang w:val="es-ES_tradnl"/>
        </w:rPr>
      </w:pPr>
      <w:r w:rsidRPr="00FB351A">
        <w:rPr>
          <w:rFonts w:ascii="Arial" w:hAnsi="Arial" w:cs="Arial"/>
          <w:b/>
          <w:bCs/>
          <w:sz w:val="20"/>
          <w:szCs w:val="20"/>
          <w:u w:val="single"/>
          <w:lang w:val="es-ES_tradnl"/>
        </w:rPr>
        <w:t>Nota 1</w:t>
      </w:r>
      <w:r w:rsidRPr="00FB351A">
        <w:rPr>
          <w:rFonts w:ascii="Arial" w:hAnsi="Arial" w:cs="Arial"/>
          <w:sz w:val="20"/>
          <w:szCs w:val="20"/>
          <w:lang w:val="es-ES_tradnl"/>
        </w:rPr>
        <w:t>: De conformidad con lo estipulado por la Superintendencia Financiera de Colombia, (</w:t>
      </w:r>
      <w:proofErr w:type="spellStart"/>
      <w:r w:rsidRPr="00FB351A">
        <w:rPr>
          <w:rFonts w:ascii="Arial" w:hAnsi="Arial" w:cs="Arial"/>
          <w:sz w:val="20"/>
          <w:szCs w:val="20"/>
          <w:lang w:val="es-ES_tradnl"/>
        </w:rPr>
        <w:t>SuperBancaria</w:t>
      </w:r>
      <w:proofErr w:type="spellEnd"/>
      <w:r w:rsidRPr="00FB351A">
        <w:rPr>
          <w:rFonts w:ascii="Arial" w:hAnsi="Arial" w:cs="Arial"/>
          <w:sz w:val="20"/>
          <w:szCs w:val="20"/>
          <w:lang w:val="es-ES_tradnl"/>
        </w:rPr>
        <w:t>), en la Circular Externa 052 de 2002, sobre las Disposiciones Especiales Aplicables a las Entidades Aseguradoras y Reaseguradoras que indica: “No resulta necesaria la aprobación de un nuevo ramo para el ofrecimiento de productos que comprendan diversidad de amparos susceptibles de ser explotados bajo los ramos ya autorizados a la entidad. En tales eventos, las primas, siniestros y demás gastos e ingresos que se deriven de dichos amparos se deben clasificar bajo el ramo o ramos a los cuales correspondan los amparos respectivos. No obstante, lo anterior, cuando quiera que mediante la expedición de tales amparos la entidad alcance una producción de un ramo no autorizado que se pueda considerar como significativa, debe solicitar la correspondiente autorización, sin la cual la entidad no podrá continuar expidiendo tales amparos”.</w:t>
      </w:r>
    </w:p>
    <w:p w14:paraId="034CA368" w14:textId="77777777" w:rsidR="008322ED" w:rsidRPr="00FB351A" w:rsidRDefault="008322ED" w:rsidP="00803115">
      <w:pPr>
        <w:jc w:val="both"/>
        <w:rPr>
          <w:rFonts w:ascii="Arial" w:hAnsi="Arial" w:cs="Arial"/>
          <w:sz w:val="20"/>
          <w:szCs w:val="20"/>
          <w:lang w:val="es-ES_tradnl"/>
        </w:rPr>
      </w:pPr>
    </w:p>
    <w:p w14:paraId="2E257A30" w14:textId="28BD6DA5" w:rsidR="008322ED" w:rsidRPr="00FB351A" w:rsidRDefault="008322ED" w:rsidP="00803115">
      <w:pPr>
        <w:jc w:val="both"/>
        <w:rPr>
          <w:rFonts w:ascii="Arial" w:hAnsi="Arial" w:cs="Arial"/>
          <w:sz w:val="20"/>
          <w:szCs w:val="20"/>
          <w:lang w:val="es-ES_tradnl"/>
        </w:rPr>
      </w:pPr>
      <w:r w:rsidRPr="00FB351A">
        <w:rPr>
          <w:rFonts w:ascii="Arial" w:hAnsi="Arial" w:cs="Arial"/>
          <w:sz w:val="20"/>
          <w:szCs w:val="20"/>
          <w:lang w:val="es-ES_tradnl"/>
        </w:rPr>
        <w:t xml:space="preserve">En tal razón, la </w:t>
      </w:r>
      <w:r w:rsidR="00A35DAD" w:rsidRPr="00FB351A">
        <w:rPr>
          <w:rFonts w:ascii="Arial" w:hAnsi="Arial" w:cs="Arial"/>
          <w:sz w:val="20"/>
          <w:szCs w:val="20"/>
        </w:rPr>
        <w:t>Agencia de Desarrollo Rural - ADR</w:t>
      </w:r>
      <w:r w:rsidRPr="00FB351A">
        <w:rPr>
          <w:rFonts w:ascii="Arial" w:hAnsi="Arial" w:cs="Arial"/>
          <w:sz w:val="20"/>
          <w:szCs w:val="20"/>
        </w:rPr>
        <w:t xml:space="preserve"> </w:t>
      </w:r>
      <w:r w:rsidRPr="00FB351A">
        <w:rPr>
          <w:rFonts w:ascii="Arial" w:hAnsi="Arial" w:cs="Arial"/>
          <w:sz w:val="20"/>
          <w:szCs w:val="20"/>
          <w:lang w:val="es-ES_tradnl"/>
        </w:rPr>
        <w:t>considera, que mientras las condiciones de cobertura, requeridas por la Entidad en cada una de las pólizas de seguros, se oferten conforme las requiere el pliego de condiciones, no presentara reparo alguno, a la denominación que tenga el seguro previsto, en aplicación de la previsión emanada del Gobierno Nacional. Quiere decir que, no importa la denominación del producto de seguro, siempre y cuando corresponda a las condiciones y coberturas contenidas en el Anexo de condiciones técnicas básicas obligatorias, y cuente con autorización, por parte de la Superintendencia Financiera de Colombia, para comercializar el ramo.</w:t>
      </w:r>
      <w:bookmarkStart w:id="2" w:name="_Hlk192237368"/>
    </w:p>
    <w:p w14:paraId="4ECD7B45" w14:textId="77777777" w:rsidR="00A35DAD" w:rsidRPr="00FB351A" w:rsidRDefault="00A35DAD" w:rsidP="00803115">
      <w:pPr>
        <w:jc w:val="both"/>
        <w:rPr>
          <w:rFonts w:ascii="Arial" w:hAnsi="Arial" w:cs="Arial"/>
          <w:sz w:val="20"/>
          <w:szCs w:val="20"/>
          <w:lang w:val="es-ES_tradnl"/>
        </w:rPr>
      </w:pPr>
    </w:p>
    <w:bookmarkEnd w:id="2"/>
    <w:p w14:paraId="57ED908D" w14:textId="1A712104" w:rsidR="008322ED" w:rsidRPr="00FB351A" w:rsidRDefault="008322ED" w:rsidP="00803115">
      <w:pPr>
        <w:pStyle w:val="Textoindependiente"/>
        <w:numPr>
          <w:ilvl w:val="2"/>
          <w:numId w:val="1"/>
        </w:numPr>
        <w:jc w:val="both"/>
        <w:rPr>
          <w:rFonts w:ascii="Arial" w:hAnsi="Arial" w:cs="Arial"/>
          <w:b/>
          <w:sz w:val="20"/>
          <w:szCs w:val="20"/>
        </w:rPr>
      </w:pPr>
      <w:r w:rsidRPr="00FB351A">
        <w:rPr>
          <w:rFonts w:ascii="Arial" w:hAnsi="Arial" w:cs="Arial"/>
          <w:b/>
          <w:sz w:val="20"/>
          <w:szCs w:val="20"/>
        </w:rPr>
        <w:t>Definición de los Indicadores del sector</w:t>
      </w:r>
      <w:r w:rsidRPr="00FB351A">
        <w:rPr>
          <w:rFonts w:ascii="Arial" w:hAnsi="Arial" w:cs="Arial"/>
          <w:b/>
          <w:sz w:val="20"/>
          <w:szCs w:val="20"/>
          <w:vertAlign w:val="superscript"/>
        </w:rPr>
        <w:footnoteReference w:id="5"/>
      </w:r>
    </w:p>
    <w:p w14:paraId="4FCF64D6" w14:textId="77777777" w:rsidR="008322ED" w:rsidRPr="00FB351A" w:rsidRDefault="008322ED" w:rsidP="00803115">
      <w:pPr>
        <w:pStyle w:val="Textoindependiente"/>
        <w:jc w:val="both"/>
        <w:rPr>
          <w:rFonts w:ascii="Arial" w:hAnsi="Arial" w:cs="Arial"/>
          <w:b/>
          <w:sz w:val="20"/>
          <w:szCs w:val="20"/>
        </w:rPr>
      </w:pPr>
    </w:p>
    <w:p w14:paraId="625C49FF" w14:textId="77777777" w:rsidR="008322ED" w:rsidRPr="00FB351A" w:rsidRDefault="008322ED" w:rsidP="00803115">
      <w:pPr>
        <w:pStyle w:val="Textoindependiente"/>
        <w:jc w:val="both"/>
        <w:rPr>
          <w:rFonts w:ascii="Arial" w:hAnsi="Arial" w:cs="Arial"/>
          <w:sz w:val="20"/>
          <w:szCs w:val="20"/>
        </w:rPr>
      </w:pPr>
      <w:r w:rsidRPr="00FB351A">
        <w:rPr>
          <w:rFonts w:ascii="Arial" w:hAnsi="Arial" w:cs="Arial"/>
          <w:sz w:val="20"/>
          <w:szCs w:val="20"/>
        </w:rPr>
        <w:t>Para poder entender el desarrollo del sector asegurador colombiano, es necesario que comprenda en qué consisten cada uno de sus indicadores sectoriales:</w:t>
      </w:r>
    </w:p>
    <w:p w14:paraId="098F96D4" w14:textId="77777777" w:rsidR="008322ED" w:rsidRPr="00FB351A" w:rsidRDefault="008322ED" w:rsidP="00803115">
      <w:pPr>
        <w:pStyle w:val="Textoindependiente"/>
        <w:jc w:val="both"/>
        <w:rPr>
          <w:rFonts w:ascii="Arial" w:hAnsi="Arial" w:cs="Arial"/>
          <w:sz w:val="20"/>
          <w:szCs w:val="20"/>
        </w:rPr>
      </w:pPr>
    </w:p>
    <w:p w14:paraId="6499F8AA"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Primas emitidas</w:t>
      </w:r>
      <w:r w:rsidRPr="00FB351A">
        <w:rPr>
          <w:rFonts w:ascii="Arial" w:hAnsi="Arial" w:cs="Arial"/>
          <w:sz w:val="20"/>
          <w:szCs w:val="20"/>
        </w:rPr>
        <w:t>: Costo del amparo otorgado por la aseguradora por cada póliza expedida.</w:t>
      </w:r>
    </w:p>
    <w:p w14:paraId="01E56DB3"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Primas aceptadas</w:t>
      </w:r>
      <w:r w:rsidRPr="00FB351A">
        <w:rPr>
          <w:rFonts w:ascii="Arial" w:hAnsi="Arial" w:cs="Arial"/>
          <w:sz w:val="20"/>
          <w:szCs w:val="20"/>
        </w:rPr>
        <w:t>: Valor de las primas aceptadas en reaseguro del interior y el exterior, en los contratos proporcionales</w:t>
      </w:r>
    </w:p>
    <w:p w14:paraId="59AE1AA2"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Primas cedidas</w:t>
      </w:r>
      <w:r w:rsidRPr="00FB351A">
        <w:rPr>
          <w:rFonts w:ascii="Arial" w:hAnsi="Arial" w:cs="Arial"/>
          <w:sz w:val="20"/>
          <w:szCs w:val="20"/>
        </w:rPr>
        <w:t>: Valor de las primas cedidas en reaseguro del interior y el exterior en los contratos proporcionales.</w:t>
      </w:r>
    </w:p>
    <w:p w14:paraId="074091F3"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Primas retenidas</w:t>
      </w:r>
      <w:r w:rsidRPr="00FB351A">
        <w:rPr>
          <w:rFonts w:ascii="Arial" w:hAnsi="Arial" w:cs="Arial"/>
          <w:sz w:val="20"/>
          <w:szCs w:val="20"/>
        </w:rPr>
        <w:t>: Valor neto de las primas, retenido por la aseguradora y se obtiene de la siguiente forma: primas emitidas (+) primas aceptadas (-) primas cedidas</w:t>
      </w:r>
    </w:p>
    <w:p w14:paraId="532BBA45"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Constitución reservas técnicas</w:t>
      </w:r>
      <w:r w:rsidRPr="00FB351A">
        <w:rPr>
          <w:rFonts w:ascii="Arial" w:hAnsi="Arial" w:cs="Arial"/>
          <w:sz w:val="20"/>
          <w:szCs w:val="20"/>
        </w:rPr>
        <w:t>: Valor constituido por concepto de primas no devengadas y de obligaciones futuras en los seguros de largo plazo.</w:t>
      </w:r>
    </w:p>
    <w:p w14:paraId="4F95BC3C"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Liberación Reservas Técnicas</w:t>
      </w:r>
      <w:r w:rsidRPr="00FB351A">
        <w:rPr>
          <w:rFonts w:ascii="Arial" w:hAnsi="Arial" w:cs="Arial"/>
          <w:sz w:val="20"/>
          <w:szCs w:val="20"/>
        </w:rPr>
        <w:t>: Valor de reserva constituido en el año anterior.</w:t>
      </w:r>
    </w:p>
    <w:p w14:paraId="3E633B77"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lastRenderedPageBreak/>
        <w:t>Primas devengadas</w:t>
      </w:r>
      <w:r w:rsidRPr="00FB351A">
        <w:rPr>
          <w:rFonts w:ascii="Arial" w:hAnsi="Arial" w:cs="Arial"/>
          <w:sz w:val="20"/>
          <w:szCs w:val="20"/>
        </w:rPr>
        <w:t>: Valor neto devengado por la aseguradora una vez deducidos los reaseguros y las reservas técnicas y se obtiene de la siguiente forma: Primas Retenidas - Constitución Reservas Técnicas + Liberación Reservas Técnicas</w:t>
      </w:r>
    </w:p>
    <w:p w14:paraId="7FED0CC2"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Siniestros pagados</w:t>
      </w:r>
      <w:r w:rsidRPr="00FB351A">
        <w:rPr>
          <w:rFonts w:ascii="Arial" w:hAnsi="Arial" w:cs="Arial"/>
          <w:sz w:val="20"/>
          <w:szCs w:val="20"/>
        </w:rPr>
        <w:t>: Valor neto de los siniestros pagados por las aseguradoras.</w:t>
      </w:r>
    </w:p>
    <w:p w14:paraId="440F6816"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Siniestros de aceptaciones</w:t>
      </w:r>
      <w:r w:rsidRPr="00FB351A">
        <w:rPr>
          <w:rFonts w:ascii="Arial" w:hAnsi="Arial" w:cs="Arial"/>
          <w:sz w:val="20"/>
          <w:szCs w:val="20"/>
        </w:rPr>
        <w:t>: Valor pagado a las compañías cedentes por concepto de siniestros de riesgos aceptados en contratos proporcionales.</w:t>
      </w:r>
    </w:p>
    <w:p w14:paraId="1E18E657"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Reembolso de siniestros sobre cesiones</w:t>
      </w:r>
      <w:r w:rsidRPr="00FB351A">
        <w:rPr>
          <w:rFonts w:ascii="Arial" w:hAnsi="Arial" w:cs="Arial"/>
          <w:sz w:val="20"/>
          <w:szCs w:val="20"/>
        </w:rPr>
        <w:t>: Corresponde al monto reembolsado por los reaseguradores por concepto de siniestros de riesgos cedidos en contratos proporcionales.</w:t>
      </w:r>
    </w:p>
    <w:p w14:paraId="3C4962FC"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Siniestros retenidos</w:t>
      </w:r>
      <w:r w:rsidRPr="00FB351A">
        <w:rPr>
          <w:rFonts w:ascii="Arial" w:hAnsi="Arial" w:cs="Arial"/>
          <w:sz w:val="20"/>
          <w:szCs w:val="20"/>
        </w:rPr>
        <w:t>: Monto neto de los siniestros a cargo de la compañía una vez deducida la parte correspondiente a la operación de reaseguro y se calcula de la siguiente forma: Siniestros Pagados + Siniestros de Aceptaciones - Reembolso de Siniestros sobre Cesiones</w:t>
      </w:r>
    </w:p>
    <w:p w14:paraId="66672D0B" w14:textId="77777777" w:rsidR="008322ED" w:rsidRPr="00FB351A" w:rsidRDefault="008322ED">
      <w:pPr>
        <w:pStyle w:val="Textoindependiente"/>
        <w:numPr>
          <w:ilvl w:val="0"/>
          <w:numId w:val="14"/>
        </w:numPr>
        <w:ind w:left="567" w:hanging="567"/>
        <w:jc w:val="both"/>
        <w:rPr>
          <w:rFonts w:ascii="Arial" w:hAnsi="Arial" w:cs="Arial"/>
          <w:sz w:val="20"/>
          <w:szCs w:val="20"/>
        </w:rPr>
      </w:pPr>
      <w:r w:rsidRPr="00FB351A">
        <w:rPr>
          <w:rFonts w:ascii="Arial" w:hAnsi="Arial" w:cs="Arial"/>
          <w:b/>
          <w:sz w:val="20"/>
          <w:szCs w:val="20"/>
        </w:rPr>
        <w:t>Incremento reservas de siniestros</w:t>
      </w:r>
      <w:r w:rsidRPr="00FB351A">
        <w:rPr>
          <w:rFonts w:ascii="Arial" w:hAnsi="Arial" w:cs="Arial"/>
          <w:sz w:val="20"/>
          <w:szCs w:val="20"/>
        </w:rPr>
        <w:t>: Valor de la constitución menos la liberación de las reservas de siniestros que incluye las siguientes reservas:</w:t>
      </w:r>
    </w:p>
    <w:p w14:paraId="1F37F47C"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Reserva de Siniestros Avisados.</w:t>
      </w:r>
    </w:p>
    <w:p w14:paraId="40AB0BB1"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Reserva de Siniestros No Avisados.</w:t>
      </w:r>
    </w:p>
    <w:p w14:paraId="7CEC6C8C"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Reserva para desviación de la siniestralidad.</w:t>
      </w:r>
    </w:p>
    <w:p w14:paraId="150D429B"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Reserva Matemática del ramo de Riesgos Profesionales.</w:t>
      </w:r>
    </w:p>
    <w:p w14:paraId="38C0DEA5"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Reservas especiales.</w:t>
      </w:r>
    </w:p>
    <w:p w14:paraId="5A2A2B78" w14:textId="77777777" w:rsidR="008322ED" w:rsidRPr="00FB351A" w:rsidRDefault="008322ED">
      <w:pPr>
        <w:pStyle w:val="Textoindependiente"/>
        <w:numPr>
          <w:ilvl w:val="0"/>
          <w:numId w:val="16"/>
        </w:numPr>
        <w:ind w:left="567" w:hanging="567"/>
        <w:jc w:val="both"/>
        <w:rPr>
          <w:rFonts w:ascii="Arial" w:hAnsi="Arial" w:cs="Arial"/>
          <w:sz w:val="20"/>
          <w:szCs w:val="20"/>
        </w:rPr>
      </w:pPr>
      <w:r w:rsidRPr="00FB351A">
        <w:rPr>
          <w:rFonts w:ascii="Arial" w:hAnsi="Arial" w:cs="Arial"/>
          <w:b/>
          <w:sz w:val="20"/>
          <w:szCs w:val="20"/>
        </w:rPr>
        <w:t>Siniestros incurridos</w:t>
      </w:r>
      <w:r w:rsidRPr="00FB351A">
        <w:rPr>
          <w:rFonts w:ascii="Arial" w:hAnsi="Arial" w:cs="Arial"/>
          <w:sz w:val="20"/>
          <w:szCs w:val="20"/>
        </w:rPr>
        <w:t>: Monto total de los siniestros una vez deducida la parte del reaseguro e incluidas las reservas de siniestros. Se calcula de la siguiente forma: Siniestros retenidos + incremento reservas de siniestros</w:t>
      </w:r>
    </w:p>
    <w:p w14:paraId="1ED27808" w14:textId="77777777" w:rsidR="008322ED" w:rsidRPr="00FB351A" w:rsidRDefault="008322ED">
      <w:pPr>
        <w:pStyle w:val="Textoindependiente"/>
        <w:numPr>
          <w:ilvl w:val="0"/>
          <w:numId w:val="16"/>
        </w:numPr>
        <w:ind w:left="567" w:hanging="567"/>
        <w:jc w:val="both"/>
        <w:rPr>
          <w:rFonts w:ascii="Arial" w:hAnsi="Arial" w:cs="Arial"/>
          <w:sz w:val="20"/>
          <w:szCs w:val="20"/>
        </w:rPr>
      </w:pPr>
      <w:r w:rsidRPr="00FB351A">
        <w:rPr>
          <w:rFonts w:ascii="Arial" w:hAnsi="Arial" w:cs="Arial"/>
          <w:b/>
          <w:sz w:val="20"/>
          <w:szCs w:val="20"/>
        </w:rPr>
        <w:t>Otros ingresos de seguros</w:t>
      </w:r>
      <w:r w:rsidRPr="00FB351A">
        <w:rPr>
          <w:rFonts w:ascii="Arial" w:hAnsi="Arial" w:cs="Arial"/>
          <w:sz w:val="20"/>
          <w:szCs w:val="20"/>
        </w:rPr>
        <w:t>: Incluye los conceptos de:</w:t>
      </w:r>
    </w:p>
    <w:p w14:paraId="0B5391CB"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Remuneración de intermediación</w:t>
      </w:r>
    </w:p>
    <w:p w14:paraId="200CC5C8"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Recuperaciones operacionales.</w:t>
      </w:r>
    </w:p>
    <w:p w14:paraId="250C4381"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Reembolso por enfermedad profesional.</w:t>
      </w:r>
    </w:p>
    <w:p w14:paraId="62866807"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Riesgos profesionales.</w:t>
      </w:r>
    </w:p>
    <w:p w14:paraId="5951CF46"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Honorarios.</w:t>
      </w:r>
    </w:p>
    <w:p w14:paraId="32899E80" w14:textId="77777777" w:rsidR="008322ED" w:rsidRPr="00FB351A" w:rsidRDefault="008322ED">
      <w:pPr>
        <w:pStyle w:val="Textoindependiente"/>
        <w:numPr>
          <w:ilvl w:val="0"/>
          <w:numId w:val="17"/>
        </w:numPr>
        <w:ind w:left="567" w:hanging="567"/>
        <w:jc w:val="both"/>
        <w:rPr>
          <w:rFonts w:ascii="Arial" w:hAnsi="Arial" w:cs="Arial"/>
          <w:sz w:val="20"/>
          <w:szCs w:val="20"/>
        </w:rPr>
      </w:pPr>
      <w:r w:rsidRPr="00FB351A">
        <w:rPr>
          <w:rFonts w:ascii="Arial" w:hAnsi="Arial" w:cs="Arial"/>
          <w:b/>
          <w:sz w:val="20"/>
          <w:szCs w:val="20"/>
        </w:rPr>
        <w:t>Comisiones sobre cesiones</w:t>
      </w:r>
      <w:r w:rsidRPr="00FB351A">
        <w:rPr>
          <w:rFonts w:ascii="Arial" w:hAnsi="Arial" w:cs="Arial"/>
          <w:sz w:val="20"/>
          <w:szCs w:val="20"/>
        </w:rPr>
        <w:t>: Valor cobrado a los reaseguradores por concepto de las cesiones en los contratos proporcionales.</w:t>
      </w:r>
    </w:p>
    <w:p w14:paraId="649267D1" w14:textId="77777777" w:rsidR="008322ED" w:rsidRPr="00FB351A" w:rsidRDefault="008322ED">
      <w:pPr>
        <w:pStyle w:val="Textoindependiente"/>
        <w:numPr>
          <w:ilvl w:val="0"/>
          <w:numId w:val="17"/>
        </w:numPr>
        <w:ind w:left="567" w:hanging="567"/>
        <w:jc w:val="both"/>
        <w:rPr>
          <w:rFonts w:ascii="Arial" w:hAnsi="Arial" w:cs="Arial"/>
          <w:sz w:val="20"/>
          <w:szCs w:val="20"/>
        </w:rPr>
      </w:pPr>
      <w:r w:rsidRPr="00FB351A">
        <w:rPr>
          <w:rFonts w:ascii="Arial" w:hAnsi="Arial" w:cs="Arial"/>
          <w:b/>
          <w:sz w:val="20"/>
          <w:szCs w:val="20"/>
        </w:rPr>
        <w:t>Otros ingresos de reaseguro</w:t>
      </w:r>
      <w:r w:rsidRPr="00FB351A">
        <w:rPr>
          <w:rFonts w:ascii="Arial" w:hAnsi="Arial" w:cs="Arial"/>
          <w:sz w:val="20"/>
          <w:szCs w:val="20"/>
        </w:rPr>
        <w:t>: Otros ingresos de la operación de reaseguros no contemplados anteriormente incluye los siguientes conceptos:</w:t>
      </w:r>
    </w:p>
    <w:p w14:paraId="5FA5BC87"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Reembolso de siniestros de contratos no proporcionales.</w:t>
      </w:r>
    </w:p>
    <w:p w14:paraId="743E6DB1"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Intereses reconocidos por cedentes.</w:t>
      </w:r>
    </w:p>
    <w:p w14:paraId="1A0319A9"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Participación de utilidades de reaseguradores.</w:t>
      </w:r>
    </w:p>
    <w:p w14:paraId="03FC33B4"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Ingresos contratos no proporcionales.</w:t>
      </w:r>
    </w:p>
    <w:p w14:paraId="7D58228E" w14:textId="77777777" w:rsidR="008322ED" w:rsidRPr="00FB351A" w:rsidRDefault="008322ED">
      <w:pPr>
        <w:pStyle w:val="Textoindependiente"/>
        <w:numPr>
          <w:ilvl w:val="0"/>
          <w:numId w:val="15"/>
        </w:numPr>
        <w:ind w:left="567" w:hanging="567"/>
        <w:jc w:val="both"/>
        <w:rPr>
          <w:rFonts w:ascii="Arial" w:hAnsi="Arial" w:cs="Arial"/>
          <w:sz w:val="20"/>
          <w:szCs w:val="20"/>
        </w:rPr>
      </w:pPr>
      <w:r w:rsidRPr="00FB351A">
        <w:rPr>
          <w:rFonts w:ascii="Arial" w:hAnsi="Arial" w:cs="Arial"/>
          <w:sz w:val="20"/>
          <w:szCs w:val="20"/>
        </w:rPr>
        <w:t>Gastos reconocidos por reaseguradores.</w:t>
      </w:r>
    </w:p>
    <w:p w14:paraId="39329B32" w14:textId="77777777" w:rsidR="008322ED" w:rsidRPr="00FB351A" w:rsidRDefault="008322ED">
      <w:pPr>
        <w:pStyle w:val="Textoindependiente"/>
        <w:numPr>
          <w:ilvl w:val="0"/>
          <w:numId w:val="19"/>
        </w:numPr>
        <w:ind w:left="567" w:hanging="567"/>
        <w:jc w:val="both"/>
        <w:rPr>
          <w:rFonts w:ascii="Arial" w:hAnsi="Arial" w:cs="Arial"/>
          <w:sz w:val="20"/>
          <w:szCs w:val="20"/>
        </w:rPr>
      </w:pPr>
      <w:r w:rsidRPr="00FB351A">
        <w:rPr>
          <w:rFonts w:ascii="Arial" w:hAnsi="Arial" w:cs="Arial"/>
          <w:b/>
          <w:sz w:val="20"/>
          <w:szCs w:val="20"/>
        </w:rPr>
        <w:t>Comisiones</w:t>
      </w:r>
      <w:r w:rsidRPr="00FB351A">
        <w:rPr>
          <w:rFonts w:ascii="Arial" w:hAnsi="Arial" w:cs="Arial"/>
          <w:sz w:val="20"/>
          <w:szCs w:val="20"/>
        </w:rPr>
        <w:t>: Valor pagado por las entidades aseguradoras por concepto de comisiones de intermediación incluye los siguientes conceptos:</w:t>
      </w:r>
    </w:p>
    <w:p w14:paraId="65789F82"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Comisiones</w:t>
      </w:r>
    </w:p>
    <w:p w14:paraId="5F8C2FF7"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Otras comisiones.</w:t>
      </w:r>
    </w:p>
    <w:p w14:paraId="20190C98"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Otros egresos de reaseguro</w:t>
      </w:r>
    </w:p>
    <w:p w14:paraId="7C04F257" w14:textId="77777777" w:rsidR="008322ED" w:rsidRPr="00FB351A" w:rsidRDefault="008322ED">
      <w:pPr>
        <w:pStyle w:val="Textoindependiente"/>
        <w:numPr>
          <w:ilvl w:val="0"/>
          <w:numId w:val="19"/>
        </w:numPr>
        <w:ind w:left="567" w:hanging="567"/>
        <w:jc w:val="both"/>
        <w:rPr>
          <w:rFonts w:ascii="Arial" w:hAnsi="Arial" w:cs="Arial"/>
          <w:sz w:val="20"/>
          <w:szCs w:val="20"/>
        </w:rPr>
      </w:pPr>
      <w:r w:rsidRPr="00FB351A">
        <w:rPr>
          <w:rFonts w:ascii="Arial" w:hAnsi="Arial" w:cs="Arial"/>
          <w:b/>
          <w:sz w:val="20"/>
          <w:szCs w:val="20"/>
        </w:rPr>
        <w:t>Otros egresos de la operación de reaseguros no contemplados anteriormente incluyen los siguientes conceptos</w:t>
      </w:r>
      <w:r w:rsidRPr="00FB351A">
        <w:rPr>
          <w:rFonts w:ascii="Arial" w:hAnsi="Arial" w:cs="Arial"/>
          <w:sz w:val="20"/>
          <w:szCs w:val="20"/>
        </w:rPr>
        <w:t>:</w:t>
      </w:r>
    </w:p>
    <w:p w14:paraId="64D1EC9D"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Costos contratos no proporcionales.</w:t>
      </w:r>
    </w:p>
    <w:p w14:paraId="646F2A5C"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Gastos sobre aceptaciones.</w:t>
      </w:r>
    </w:p>
    <w:p w14:paraId="17B8F7C5"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Siniestros de aceptaciones contratos no proporcionales.</w:t>
      </w:r>
    </w:p>
    <w:p w14:paraId="2E060D12" w14:textId="77777777" w:rsidR="008322ED" w:rsidRPr="00FB351A" w:rsidRDefault="008322ED">
      <w:pPr>
        <w:pStyle w:val="Textoindependiente"/>
        <w:numPr>
          <w:ilvl w:val="0"/>
          <w:numId w:val="19"/>
        </w:numPr>
        <w:ind w:left="567" w:hanging="567"/>
        <w:jc w:val="both"/>
        <w:rPr>
          <w:rFonts w:ascii="Arial" w:hAnsi="Arial" w:cs="Arial"/>
          <w:sz w:val="20"/>
          <w:szCs w:val="20"/>
        </w:rPr>
      </w:pPr>
      <w:r w:rsidRPr="00FB351A">
        <w:rPr>
          <w:rFonts w:ascii="Arial" w:hAnsi="Arial" w:cs="Arial"/>
          <w:b/>
          <w:sz w:val="20"/>
          <w:szCs w:val="20"/>
        </w:rPr>
        <w:t>Otros egresos de seguros</w:t>
      </w:r>
      <w:r w:rsidRPr="00FB351A">
        <w:rPr>
          <w:rFonts w:ascii="Arial" w:hAnsi="Arial" w:cs="Arial"/>
          <w:sz w:val="20"/>
          <w:szCs w:val="20"/>
        </w:rPr>
        <w:t>: Incluye los conceptos de:</w:t>
      </w:r>
    </w:p>
    <w:p w14:paraId="39303079"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Contribuciones FOSYGA</w:t>
      </w:r>
    </w:p>
    <w:p w14:paraId="08C06FFF"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lastRenderedPageBreak/>
        <w:t>Contribuciones Fondo de Prevención Vial.</w:t>
      </w:r>
    </w:p>
    <w:p w14:paraId="59953B8A"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Contribuciones Fondo de Riesgos profesionales.</w:t>
      </w:r>
    </w:p>
    <w:p w14:paraId="4D19F5EC" w14:textId="77777777" w:rsidR="008322ED" w:rsidRPr="00FB351A" w:rsidRDefault="008322ED">
      <w:pPr>
        <w:pStyle w:val="Textoindependiente"/>
        <w:numPr>
          <w:ilvl w:val="0"/>
          <w:numId w:val="19"/>
        </w:numPr>
        <w:ind w:left="567" w:hanging="567"/>
        <w:jc w:val="both"/>
        <w:rPr>
          <w:rFonts w:ascii="Arial" w:hAnsi="Arial" w:cs="Arial"/>
          <w:sz w:val="20"/>
          <w:szCs w:val="20"/>
        </w:rPr>
      </w:pPr>
      <w:r w:rsidRPr="00FB351A">
        <w:rPr>
          <w:rFonts w:ascii="Arial" w:hAnsi="Arial" w:cs="Arial"/>
          <w:b/>
          <w:sz w:val="20"/>
          <w:szCs w:val="20"/>
        </w:rPr>
        <w:t>Gastos generales</w:t>
      </w:r>
      <w:r w:rsidRPr="00FB351A">
        <w:rPr>
          <w:rFonts w:ascii="Arial" w:hAnsi="Arial" w:cs="Arial"/>
          <w:sz w:val="20"/>
          <w:szCs w:val="20"/>
        </w:rPr>
        <w:t>: Corresponde a los diferentes conceptos de gastos administrativos, incluye los siguientes conceptos:</w:t>
      </w:r>
    </w:p>
    <w:p w14:paraId="77FC41F0"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Otros costos riesgos profesionales.</w:t>
      </w:r>
    </w:p>
    <w:p w14:paraId="237A80E9"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Gastos de personal.</w:t>
      </w:r>
    </w:p>
    <w:p w14:paraId="2DB033B3"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Contribuciones sobre transacciones.</w:t>
      </w:r>
    </w:p>
    <w:p w14:paraId="5BBC37B0"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Honorarios.</w:t>
      </w:r>
    </w:p>
    <w:p w14:paraId="5EB136B9"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Impuestos.</w:t>
      </w:r>
    </w:p>
    <w:p w14:paraId="4F8D449A"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Arrendamientos.</w:t>
      </w:r>
    </w:p>
    <w:p w14:paraId="798DA946"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Contribuciones, afiliaciones y transfer.</w:t>
      </w:r>
    </w:p>
    <w:p w14:paraId="4AA3E0C2"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 xml:space="preserve">Programas prevención e investigación - </w:t>
      </w:r>
      <w:proofErr w:type="spellStart"/>
      <w:r w:rsidRPr="00FB351A">
        <w:rPr>
          <w:rFonts w:ascii="Arial" w:hAnsi="Arial" w:cs="Arial"/>
          <w:sz w:val="20"/>
          <w:szCs w:val="20"/>
        </w:rPr>
        <w:t>atep</w:t>
      </w:r>
      <w:proofErr w:type="spellEnd"/>
      <w:r w:rsidRPr="00FB351A">
        <w:rPr>
          <w:rFonts w:ascii="Arial" w:hAnsi="Arial" w:cs="Arial"/>
          <w:sz w:val="20"/>
          <w:szCs w:val="20"/>
        </w:rPr>
        <w:t>.</w:t>
      </w:r>
    </w:p>
    <w:p w14:paraId="0BF255E9"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Seguros.</w:t>
      </w:r>
    </w:p>
    <w:p w14:paraId="6AD6808B"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Mantenimiento y reparaciones.</w:t>
      </w:r>
    </w:p>
    <w:p w14:paraId="420E377A"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Adecuación e instalación de oficina.</w:t>
      </w:r>
    </w:p>
    <w:p w14:paraId="36731B36"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 xml:space="preserve">Provisión </w:t>
      </w:r>
      <w:proofErr w:type="spellStart"/>
      <w:r w:rsidRPr="00FB351A">
        <w:rPr>
          <w:rFonts w:ascii="Arial" w:hAnsi="Arial" w:cs="Arial"/>
          <w:sz w:val="20"/>
          <w:szCs w:val="20"/>
        </w:rPr>
        <w:t>ctas</w:t>
      </w:r>
      <w:proofErr w:type="spellEnd"/>
      <w:r w:rsidRPr="00FB351A">
        <w:rPr>
          <w:rFonts w:ascii="Arial" w:hAnsi="Arial" w:cs="Arial"/>
          <w:sz w:val="20"/>
          <w:szCs w:val="20"/>
        </w:rPr>
        <w:t xml:space="preserve"> por cobrar </w:t>
      </w:r>
      <w:proofErr w:type="spellStart"/>
      <w:r w:rsidRPr="00FB351A">
        <w:rPr>
          <w:rFonts w:ascii="Arial" w:hAnsi="Arial" w:cs="Arial"/>
          <w:sz w:val="20"/>
          <w:szCs w:val="20"/>
        </w:rPr>
        <w:t>act</w:t>
      </w:r>
      <w:proofErr w:type="spellEnd"/>
      <w:r w:rsidRPr="00FB351A">
        <w:rPr>
          <w:rFonts w:ascii="Arial" w:hAnsi="Arial" w:cs="Arial"/>
          <w:sz w:val="20"/>
          <w:szCs w:val="20"/>
        </w:rPr>
        <w:t xml:space="preserve">. </w:t>
      </w:r>
      <w:proofErr w:type="spellStart"/>
      <w:r w:rsidRPr="00FB351A">
        <w:rPr>
          <w:rFonts w:ascii="Arial" w:hAnsi="Arial" w:cs="Arial"/>
          <w:sz w:val="20"/>
          <w:szCs w:val="20"/>
        </w:rPr>
        <w:t>Asegur</w:t>
      </w:r>
      <w:proofErr w:type="spellEnd"/>
      <w:r w:rsidRPr="00FB351A">
        <w:rPr>
          <w:rFonts w:ascii="Arial" w:hAnsi="Arial" w:cs="Arial"/>
          <w:sz w:val="20"/>
          <w:szCs w:val="20"/>
        </w:rPr>
        <w:t>.</w:t>
      </w:r>
    </w:p>
    <w:p w14:paraId="78E7C2ED"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Depreciaciones.</w:t>
      </w:r>
    </w:p>
    <w:p w14:paraId="6E2DF5E8"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Amortizaciones.</w:t>
      </w:r>
    </w:p>
    <w:p w14:paraId="743FB033" w14:textId="77777777" w:rsidR="008322ED" w:rsidRPr="00FB351A" w:rsidRDefault="008322ED">
      <w:pPr>
        <w:pStyle w:val="Textoindependiente"/>
        <w:numPr>
          <w:ilvl w:val="0"/>
          <w:numId w:val="18"/>
        </w:numPr>
        <w:ind w:left="567" w:hanging="567"/>
        <w:jc w:val="both"/>
        <w:rPr>
          <w:rFonts w:ascii="Arial" w:hAnsi="Arial" w:cs="Arial"/>
          <w:sz w:val="20"/>
          <w:szCs w:val="20"/>
        </w:rPr>
      </w:pPr>
      <w:r w:rsidRPr="00FB351A">
        <w:rPr>
          <w:rFonts w:ascii="Arial" w:hAnsi="Arial" w:cs="Arial"/>
          <w:sz w:val="20"/>
          <w:szCs w:val="20"/>
        </w:rPr>
        <w:t>Diversos.</w:t>
      </w:r>
    </w:p>
    <w:p w14:paraId="4A579C86" w14:textId="77777777" w:rsidR="008322ED" w:rsidRPr="00FB351A" w:rsidRDefault="008322ED">
      <w:pPr>
        <w:pStyle w:val="Textoindependiente"/>
        <w:numPr>
          <w:ilvl w:val="0"/>
          <w:numId w:val="19"/>
        </w:numPr>
        <w:ind w:left="567" w:hanging="567"/>
        <w:jc w:val="both"/>
        <w:rPr>
          <w:rFonts w:ascii="Arial" w:hAnsi="Arial" w:cs="Arial"/>
          <w:sz w:val="20"/>
          <w:szCs w:val="20"/>
        </w:rPr>
      </w:pPr>
      <w:r w:rsidRPr="00FB351A">
        <w:rPr>
          <w:rFonts w:ascii="Arial" w:hAnsi="Arial" w:cs="Arial"/>
          <w:b/>
          <w:sz w:val="20"/>
          <w:szCs w:val="20"/>
        </w:rPr>
        <w:t>Resultado Técnico</w:t>
      </w:r>
      <w:r w:rsidRPr="00FB351A">
        <w:rPr>
          <w:rFonts w:ascii="Arial" w:hAnsi="Arial" w:cs="Arial"/>
          <w:sz w:val="20"/>
          <w:szCs w:val="20"/>
        </w:rPr>
        <w:t>: Se define como la utilidad operacional o de la actividad aseguradora, incluye todos los ingresos de seguros y reaseguros menos los egresos de seguros y reaseguros menos los comisiones y gastos generales.</w:t>
      </w:r>
    </w:p>
    <w:p w14:paraId="1E1C8E3C" w14:textId="77777777" w:rsidR="008322ED" w:rsidRPr="00FB351A" w:rsidRDefault="008322ED">
      <w:pPr>
        <w:pStyle w:val="Textoindependiente"/>
        <w:numPr>
          <w:ilvl w:val="0"/>
          <w:numId w:val="19"/>
        </w:numPr>
        <w:ind w:left="567" w:hanging="567"/>
        <w:jc w:val="both"/>
        <w:rPr>
          <w:rFonts w:ascii="Arial" w:hAnsi="Arial" w:cs="Arial"/>
          <w:sz w:val="20"/>
          <w:szCs w:val="20"/>
        </w:rPr>
      </w:pPr>
      <w:r w:rsidRPr="00FB351A">
        <w:rPr>
          <w:rFonts w:ascii="Arial" w:hAnsi="Arial" w:cs="Arial"/>
          <w:b/>
          <w:sz w:val="20"/>
          <w:szCs w:val="20"/>
        </w:rPr>
        <w:t>Producto de inversiones</w:t>
      </w:r>
      <w:r w:rsidRPr="00FB351A">
        <w:rPr>
          <w:rFonts w:ascii="Arial" w:hAnsi="Arial" w:cs="Arial"/>
          <w:sz w:val="20"/>
          <w:szCs w:val="20"/>
        </w:rPr>
        <w:t>: Establece el resultado neto (ingresos menos gastos) obtenido del portafolio de inversiones de las aseguradoras</w:t>
      </w:r>
    </w:p>
    <w:p w14:paraId="48894733" w14:textId="77777777" w:rsidR="008322ED" w:rsidRPr="00FB351A" w:rsidRDefault="008322ED" w:rsidP="00803115">
      <w:pPr>
        <w:pStyle w:val="Textoindependiente"/>
        <w:jc w:val="both"/>
        <w:rPr>
          <w:rFonts w:ascii="Arial" w:hAnsi="Arial" w:cs="Arial"/>
          <w:sz w:val="20"/>
          <w:szCs w:val="20"/>
        </w:rPr>
      </w:pPr>
    </w:p>
    <w:p w14:paraId="557D3A3B" w14:textId="4F06207B" w:rsidR="008322ED" w:rsidRPr="00FB351A" w:rsidRDefault="008322ED" w:rsidP="00803115">
      <w:pPr>
        <w:pStyle w:val="Ttulo4"/>
        <w:numPr>
          <w:ilvl w:val="2"/>
          <w:numId w:val="1"/>
        </w:numPr>
        <w:spacing w:before="0"/>
        <w:jc w:val="both"/>
        <w:rPr>
          <w:rFonts w:ascii="Arial" w:eastAsia="Arial MT" w:hAnsi="Arial" w:cs="Arial"/>
          <w:b/>
          <w:bCs/>
          <w:i w:val="0"/>
          <w:iCs w:val="0"/>
          <w:color w:val="auto"/>
          <w:sz w:val="20"/>
          <w:szCs w:val="20"/>
        </w:rPr>
      </w:pPr>
      <w:r w:rsidRPr="00FB351A">
        <w:rPr>
          <w:rFonts w:ascii="Arial" w:eastAsia="Arial MT" w:hAnsi="Arial" w:cs="Arial"/>
          <w:b/>
          <w:bCs/>
          <w:i w:val="0"/>
          <w:iCs w:val="0"/>
          <w:color w:val="auto"/>
          <w:sz w:val="20"/>
          <w:szCs w:val="20"/>
        </w:rPr>
        <w:t>Gremios y organismos reguladores del sector</w:t>
      </w:r>
    </w:p>
    <w:p w14:paraId="402FC6F2" w14:textId="77777777" w:rsidR="008322ED" w:rsidRPr="00FB351A" w:rsidRDefault="008322ED" w:rsidP="00803115">
      <w:pPr>
        <w:jc w:val="both"/>
        <w:rPr>
          <w:rFonts w:ascii="Arial" w:eastAsia="Arial MT" w:hAnsi="Arial" w:cs="Arial"/>
          <w:b/>
          <w:bCs/>
          <w:sz w:val="20"/>
          <w:szCs w:val="20"/>
        </w:rPr>
      </w:pPr>
    </w:p>
    <w:p w14:paraId="03EFFFC5" w14:textId="77777777" w:rsidR="008322ED" w:rsidRPr="00FB351A" w:rsidRDefault="008322ED" w:rsidP="00803115">
      <w:pPr>
        <w:pStyle w:val="Ttulo5"/>
        <w:spacing w:before="0"/>
        <w:jc w:val="both"/>
        <w:rPr>
          <w:rFonts w:ascii="Arial" w:eastAsia="Arial MT" w:hAnsi="Arial" w:cs="Arial"/>
          <w:b/>
          <w:bCs/>
          <w:color w:val="auto"/>
          <w:sz w:val="20"/>
          <w:szCs w:val="20"/>
          <w:lang w:val="es-ES"/>
        </w:rPr>
      </w:pPr>
      <w:r w:rsidRPr="00FB351A">
        <w:rPr>
          <w:rFonts w:ascii="Arial" w:eastAsia="Arial MT" w:hAnsi="Arial" w:cs="Arial"/>
          <w:b/>
          <w:bCs/>
          <w:color w:val="auto"/>
          <w:sz w:val="20"/>
          <w:szCs w:val="20"/>
          <w:lang w:val="es-ES"/>
        </w:rPr>
        <w:t>a.</w:t>
      </w:r>
      <w:r w:rsidRPr="00FB351A">
        <w:rPr>
          <w:rFonts w:ascii="Arial" w:eastAsia="Arial MT" w:hAnsi="Arial" w:cs="Arial"/>
          <w:b/>
          <w:bCs/>
          <w:color w:val="auto"/>
          <w:sz w:val="20"/>
          <w:szCs w:val="20"/>
          <w:lang w:val="es-ES"/>
        </w:rPr>
        <w:tab/>
        <w:t>Superintendencia Financiera de Colombia:</w:t>
      </w:r>
    </w:p>
    <w:p w14:paraId="2933D17B" w14:textId="77777777" w:rsidR="008322ED" w:rsidRPr="00FB351A" w:rsidRDefault="008322ED" w:rsidP="00803115">
      <w:pPr>
        <w:jc w:val="both"/>
        <w:rPr>
          <w:rFonts w:ascii="Arial" w:eastAsia="Arial MT" w:hAnsi="Arial" w:cs="Arial"/>
          <w:sz w:val="20"/>
          <w:szCs w:val="20"/>
        </w:rPr>
      </w:pPr>
    </w:p>
    <w:p w14:paraId="43F815E7" w14:textId="77777777" w:rsidR="008322ED" w:rsidRPr="00FB351A" w:rsidRDefault="008322ED" w:rsidP="00803115">
      <w:pPr>
        <w:jc w:val="both"/>
        <w:rPr>
          <w:rFonts w:ascii="Arial" w:eastAsia="Arial MT" w:hAnsi="Arial" w:cs="Arial"/>
          <w:sz w:val="20"/>
          <w:szCs w:val="20"/>
        </w:rPr>
      </w:pPr>
      <w:r w:rsidRPr="00FB351A">
        <w:rPr>
          <w:rFonts w:ascii="Arial" w:eastAsia="Arial MT" w:hAnsi="Arial" w:cs="Arial"/>
          <w:sz w:val="20"/>
          <w:szCs w:val="20"/>
        </w:rPr>
        <w:t xml:space="preserve">La Superintendencia Financiera de Colombia, es un organismo técnico adscrito al Ministerio de Hacienda y Crédito Público, con personería jurídica, autonomía administrativa y financiera y patrimonio propio. </w:t>
      </w:r>
    </w:p>
    <w:p w14:paraId="1F6D1DEE" w14:textId="77777777" w:rsidR="008322ED" w:rsidRPr="00FB351A" w:rsidRDefault="008322ED" w:rsidP="00803115">
      <w:pPr>
        <w:jc w:val="both"/>
        <w:rPr>
          <w:rFonts w:ascii="Arial" w:eastAsia="Arial MT" w:hAnsi="Arial" w:cs="Arial"/>
          <w:sz w:val="20"/>
          <w:szCs w:val="20"/>
        </w:rPr>
      </w:pPr>
    </w:p>
    <w:p w14:paraId="3821F33A" w14:textId="77777777" w:rsidR="008322ED" w:rsidRPr="00FB351A" w:rsidRDefault="008322ED" w:rsidP="00803115">
      <w:pPr>
        <w:jc w:val="both"/>
        <w:rPr>
          <w:rFonts w:ascii="Arial" w:eastAsia="Arial MT" w:hAnsi="Arial" w:cs="Arial"/>
          <w:sz w:val="20"/>
          <w:szCs w:val="20"/>
        </w:rPr>
      </w:pPr>
      <w:r w:rsidRPr="00FB351A">
        <w:rPr>
          <w:rFonts w:ascii="Arial" w:eastAsia="Arial MT" w:hAnsi="Arial" w:cs="Arial"/>
          <w:sz w:val="20"/>
          <w:szCs w:val="20"/>
        </w:rPr>
        <w:t>La Superintendencia Financiera de Colombia tiene por objetivo ser el único supervisor de los sistemas financiero, asegurador y bursátil colombiano con el fin de preservar su estabilidad, seguridad y confianza, así́ como, promover, organizar y desarrollar el mercado de valores colombiano y la protección de los inversionistas, ahorradores y asegurados.</w:t>
      </w:r>
    </w:p>
    <w:p w14:paraId="097CC1A7" w14:textId="77777777" w:rsidR="008322ED" w:rsidRPr="00FB351A" w:rsidRDefault="008322ED" w:rsidP="00803115">
      <w:pPr>
        <w:jc w:val="both"/>
        <w:rPr>
          <w:rFonts w:ascii="Arial" w:eastAsia="Arial MT" w:hAnsi="Arial" w:cs="Arial"/>
          <w:sz w:val="20"/>
          <w:szCs w:val="20"/>
        </w:rPr>
      </w:pPr>
    </w:p>
    <w:p w14:paraId="121DE562" w14:textId="77777777" w:rsidR="008322ED" w:rsidRPr="00FB351A" w:rsidRDefault="008322ED" w:rsidP="00803115">
      <w:pPr>
        <w:jc w:val="both"/>
        <w:rPr>
          <w:rFonts w:ascii="Arial" w:eastAsia="Arial MT" w:hAnsi="Arial" w:cs="Arial"/>
          <w:i/>
          <w:iCs/>
          <w:sz w:val="20"/>
          <w:szCs w:val="20"/>
        </w:rPr>
      </w:pPr>
      <w:r w:rsidRPr="00FB351A">
        <w:rPr>
          <w:rFonts w:ascii="Arial" w:eastAsia="Arial MT" w:hAnsi="Arial" w:cs="Arial"/>
          <w:sz w:val="20"/>
          <w:szCs w:val="20"/>
        </w:rPr>
        <w:t>Respecto al sector asegurador vela por el cumplimento de las disposiciones previstas en el Estatuto Orgánico del Sistema Financiero -</w:t>
      </w:r>
      <w:proofErr w:type="spellStart"/>
      <w:r w:rsidRPr="00FB351A">
        <w:rPr>
          <w:rFonts w:ascii="Arial" w:eastAsia="Arial MT" w:hAnsi="Arial" w:cs="Arial"/>
          <w:sz w:val="20"/>
          <w:szCs w:val="20"/>
        </w:rPr>
        <w:t>EOSF</w:t>
      </w:r>
      <w:proofErr w:type="spellEnd"/>
      <w:r w:rsidRPr="00FB351A">
        <w:rPr>
          <w:rFonts w:ascii="Arial" w:eastAsia="Arial MT" w:hAnsi="Arial" w:cs="Arial"/>
          <w:sz w:val="20"/>
          <w:szCs w:val="20"/>
        </w:rPr>
        <w:t>- y en el Decreto 2555 de 2010, que establecen entre otros, los requisitos financieros y de solvencia de las entidades del sector.</w:t>
      </w:r>
    </w:p>
    <w:p w14:paraId="1FF59F8B" w14:textId="77777777" w:rsidR="008322ED" w:rsidRPr="00FB351A" w:rsidRDefault="008322ED" w:rsidP="00803115">
      <w:pPr>
        <w:jc w:val="both"/>
        <w:rPr>
          <w:rFonts w:ascii="Arial" w:eastAsia="Arial MT" w:hAnsi="Arial" w:cs="Arial"/>
          <w:sz w:val="20"/>
          <w:szCs w:val="20"/>
        </w:rPr>
      </w:pPr>
    </w:p>
    <w:p w14:paraId="2CF66127" w14:textId="77777777" w:rsidR="008322ED" w:rsidRPr="00FB351A" w:rsidRDefault="008322ED" w:rsidP="00803115">
      <w:pPr>
        <w:pStyle w:val="Ttulo5"/>
        <w:spacing w:before="0"/>
        <w:jc w:val="both"/>
        <w:rPr>
          <w:rFonts w:ascii="Arial" w:eastAsia="Arial MT" w:hAnsi="Arial" w:cs="Arial"/>
          <w:b/>
          <w:bCs/>
          <w:color w:val="auto"/>
          <w:sz w:val="20"/>
          <w:szCs w:val="20"/>
          <w:lang w:val="es-ES"/>
        </w:rPr>
      </w:pPr>
      <w:r w:rsidRPr="00FB351A">
        <w:rPr>
          <w:rFonts w:ascii="Arial" w:eastAsia="Arial MT" w:hAnsi="Arial" w:cs="Arial"/>
          <w:b/>
          <w:bCs/>
          <w:color w:val="auto"/>
          <w:sz w:val="20"/>
          <w:szCs w:val="20"/>
          <w:lang w:val="es-ES"/>
        </w:rPr>
        <w:t>b.</w:t>
      </w:r>
      <w:r w:rsidRPr="00FB351A">
        <w:rPr>
          <w:rFonts w:ascii="Arial" w:eastAsia="Arial MT" w:hAnsi="Arial" w:cs="Arial"/>
          <w:b/>
          <w:bCs/>
          <w:color w:val="auto"/>
          <w:sz w:val="20"/>
          <w:szCs w:val="20"/>
          <w:lang w:val="es-ES"/>
        </w:rPr>
        <w:tab/>
        <w:t xml:space="preserve">Federación de Aseguradores Colombianos - </w:t>
      </w:r>
      <w:proofErr w:type="spellStart"/>
      <w:r w:rsidRPr="00FB351A">
        <w:rPr>
          <w:rFonts w:ascii="Arial" w:eastAsia="Arial MT" w:hAnsi="Arial" w:cs="Arial"/>
          <w:b/>
          <w:bCs/>
          <w:color w:val="auto"/>
          <w:sz w:val="20"/>
          <w:szCs w:val="20"/>
          <w:lang w:val="es-ES"/>
        </w:rPr>
        <w:t>FASECOLDA</w:t>
      </w:r>
      <w:proofErr w:type="spellEnd"/>
      <w:r w:rsidRPr="00FB351A">
        <w:rPr>
          <w:rFonts w:ascii="Arial" w:eastAsia="Arial MT" w:hAnsi="Arial" w:cs="Arial"/>
          <w:b/>
          <w:bCs/>
          <w:color w:val="auto"/>
          <w:sz w:val="20"/>
          <w:szCs w:val="20"/>
          <w:lang w:val="es-ES"/>
        </w:rPr>
        <w:t>:</w:t>
      </w:r>
    </w:p>
    <w:p w14:paraId="02F9DDDA" w14:textId="77777777" w:rsidR="008322ED" w:rsidRPr="00FB351A" w:rsidRDefault="008322ED" w:rsidP="00803115">
      <w:pPr>
        <w:jc w:val="both"/>
        <w:rPr>
          <w:rFonts w:ascii="Arial" w:eastAsia="Arial MT" w:hAnsi="Arial" w:cs="Arial"/>
          <w:sz w:val="20"/>
          <w:szCs w:val="20"/>
        </w:rPr>
      </w:pPr>
    </w:p>
    <w:p w14:paraId="46C0AF04" w14:textId="77777777" w:rsidR="008322ED" w:rsidRPr="00FB351A" w:rsidRDefault="008322ED" w:rsidP="00803115">
      <w:pPr>
        <w:jc w:val="both"/>
        <w:rPr>
          <w:rFonts w:ascii="Arial" w:eastAsia="Arial MT" w:hAnsi="Arial" w:cs="Arial"/>
          <w:sz w:val="20"/>
          <w:szCs w:val="20"/>
        </w:rPr>
      </w:pPr>
      <w:r w:rsidRPr="00FB351A">
        <w:rPr>
          <w:rFonts w:ascii="Arial" w:eastAsia="Arial MT" w:hAnsi="Arial" w:cs="Arial"/>
          <w:sz w:val="20"/>
          <w:szCs w:val="20"/>
        </w:rPr>
        <w:t xml:space="preserve">Como entidad gremial sin ánimo de lucro, </w:t>
      </w:r>
      <w:proofErr w:type="spellStart"/>
      <w:r w:rsidRPr="00FB351A">
        <w:rPr>
          <w:rFonts w:ascii="Arial" w:eastAsia="Arial MT" w:hAnsi="Arial" w:cs="Arial"/>
          <w:sz w:val="20"/>
          <w:szCs w:val="20"/>
        </w:rPr>
        <w:t>FASECOLDA</w:t>
      </w:r>
      <w:proofErr w:type="spellEnd"/>
      <w:r w:rsidRPr="00FB351A">
        <w:rPr>
          <w:rFonts w:ascii="Arial" w:eastAsia="Arial MT" w:hAnsi="Arial" w:cs="Arial"/>
          <w:sz w:val="20"/>
          <w:szCs w:val="20"/>
        </w:rPr>
        <w:t xml:space="preserve"> representa la actividad del sector asegurador frente a las entidades de vigilancia y control. La Federación ha liderado el desarrollo del renglón de seguros mediante la realización de actividades permanentes, en el ámbito nacional e internacional. En especial, está dedicada a impulsar la cultura de los seguros y la modernización de la industria. Para alcanzar este propósito, analiza y recolecta estadísticas generales, así como específicas de los resultados del sector.</w:t>
      </w:r>
    </w:p>
    <w:p w14:paraId="6906F67C" w14:textId="77777777" w:rsidR="008322ED" w:rsidRPr="00FB351A" w:rsidRDefault="008322ED" w:rsidP="00803115">
      <w:pPr>
        <w:jc w:val="both"/>
        <w:rPr>
          <w:rFonts w:ascii="Arial" w:eastAsia="Arial MT" w:hAnsi="Arial" w:cs="Arial"/>
          <w:sz w:val="20"/>
          <w:szCs w:val="20"/>
        </w:rPr>
      </w:pPr>
    </w:p>
    <w:p w14:paraId="4B2ACF35" w14:textId="77777777" w:rsidR="008322ED" w:rsidRPr="00FB351A" w:rsidRDefault="008322ED" w:rsidP="00803115">
      <w:pPr>
        <w:jc w:val="both"/>
        <w:rPr>
          <w:rFonts w:ascii="Arial" w:eastAsia="Arial MT" w:hAnsi="Arial" w:cs="Arial"/>
          <w:sz w:val="20"/>
          <w:szCs w:val="20"/>
        </w:rPr>
      </w:pPr>
      <w:r w:rsidRPr="00FB351A">
        <w:rPr>
          <w:rFonts w:ascii="Arial" w:eastAsia="Arial MT" w:hAnsi="Arial" w:cs="Arial"/>
          <w:sz w:val="20"/>
          <w:szCs w:val="20"/>
        </w:rPr>
        <w:t>Igualmente, adelanta un seguimiento de aquellos proyectos de ley que se tramitan en el Congreso de la República y que puedan tener incidencia en el renglón de seguros, al mismo tiempo que brinda asesoría técnica, jurídica y económica a sus asociados.</w:t>
      </w:r>
    </w:p>
    <w:p w14:paraId="445C0E21" w14:textId="77777777" w:rsidR="008322ED" w:rsidRPr="00FB351A" w:rsidRDefault="008322ED" w:rsidP="00803115">
      <w:pPr>
        <w:jc w:val="both"/>
        <w:rPr>
          <w:rFonts w:ascii="Arial" w:eastAsia="Arial MT" w:hAnsi="Arial" w:cs="Arial"/>
          <w:sz w:val="20"/>
          <w:szCs w:val="20"/>
        </w:rPr>
      </w:pPr>
    </w:p>
    <w:p w14:paraId="1A96D4B8" w14:textId="77777777" w:rsidR="008322ED" w:rsidRPr="00FB351A" w:rsidRDefault="008322ED" w:rsidP="00803115">
      <w:pPr>
        <w:jc w:val="both"/>
        <w:rPr>
          <w:rFonts w:ascii="Arial" w:eastAsia="Arial MT" w:hAnsi="Arial" w:cs="Arial"/>
          <w:sz w:val="20"/>
          <w:szCs w:val="20"/>
        </w:rPr>
      </w:pPr>
      <w:r w:rsidRPr="00FB351A">
        <w:rPr>
          <w:rFonts w:ascii="Arial" w:eastAsia="Arial MT" w:hAnsi="Arial" w:cs="Arial"/>
          <w:sz w:val="20"/>
          <w:szCs w:val="20"/>
        </w:rPr>
        <w:t xml:space="preserve">La misión de </w:t>
      </w:r>
      <w:proofErr w:type="spellStart"/>
      <w:r w:rsidRPr="00FB351A">
        <w:rPr>
          <w:rFonts w:ascii="Arial" w:eastAsia="Arial MT" w:hAnsi="Arial" w:cs="Arial"/>
          <w:sz w:val="20"/>
          <w:szCs w:val="20"/>
        </w:rPr>
        <w:t>FASECOLDA</w:t>
      </w:r>
      <w:proofErr w:type="spellEnd"/>
      <w:r w:rsidRPr="00FB351A">
        <w:rPr>
          <w:rFonts w:ascii="Arial" w:eastAsia="Arial MT" w:hAnsi="Arial" w:cs="Arial"/>
          <w:sz w:val="20"/>
          <w:szCs w:val="20"/>
        </w:rPr>
        <w:t xml:space="preserve"> esté enfocada entre otros en:</w:t>
      </w:r>
    </w:p>
    <w:p w14:paraId="276B4A52" w14:textId="77777777" w:rsidR="008322ED" w:rsidRPr="00FB351A" w:rsidRDefault="008322ED" w:rsidP="00803115">
      <w:pPr>
        <w:jc w:val="both"/>
        <w:rPr>
          <w:rFonts w:ascii="Arial" w:eastAsia="Arial MT" w:hAnsi="Arial" w:cs="Arial"/>
          <w:sz w:val="20"/>
          <w:szCs w:val="20"/>
        </w:rPr>
      </w:pPr>
    </w:p>
    <w:p w14:paraId="5A0EFD76" w14:textId="77777777" w:rsidR="008322ED" w:rsidRPr="00FB351A" w:rsidRDefault="008322ED">
      <w:pPr>
        <w:pStyle w:val="Prrafodelista"/>
        <w:numPr>
          <w:ilvl w:val="0"/>
          <w:numId w:val="12"/>
        </w:numPr>
        <w:ind w:left="567" w:hanging="567"/>
        <w:contextualSpacing/>
        <w:jc w:val="both"/>
        <w:rPr>
          <w:rFonts w:ascii="Arial" w:eastAsia="Arial MT" w:hAnsi="Arial" w:cs="Arial"/>
          <w:sz w:val="20"/>
          <w:szCs w:val="20"/>
        </w:rPr>
      </w:pPr>
      <w:r w:rsidRPr="00FB351A">
        <w:rPr>
          <w:rFonts w:ascii="Arial" w:eastAsia="Arial MT" w:hAnsi="Arial" w:cs="Arial"/>
          <w:sz w:val="20"/>
          <w:szCs w:val="20"/>
        </w:rPr>
        <w:t>Representar y defender los intereses legítimos de la industria aseguradora en el ámbito nacional e internacional, así como ante organismos públicos y privados.</w:t>
      </w:r>
    </w:p>
    <w:p w14:paraId="0C1E7143" w14:textId="77777777" w:rsidR="008322ED" w:rsidRPr="00FB351A" w:rsidRDefault="008322ED">
      <w:pPr>
        <w:pStyle w:val="Prrafodelista"/>
        <w:numPr>
          <w:ilvl w:val="0"/>
          <w:numId w:val="12"/>
        </w:numPr>
        <w:ind w:left="567" w:hanging="567"/>
        <w:contextualSpacing/>
        <w:jc w:val="both"/>
        <w:rPr>
          <w:rFonts w:ascii="Arial" w:eastAsia="Arial MT" w:hAnsi="Arial" w:cs="Arial"/>
          <w:sz w:val="20"/>
          <w:szCs w:val="20"/>
        </w:rPr>
      </w:pPr>
      <w:r w:rsidRPr="00FB351A">
        <w:rPr>
          <w:rFonts w:ascii="Arial" w:eastAsia="Arial MT" w:hAnsi="Arial" w:cs="Arial"/>
          <w:sz w:val="20"/>
          <w:szCs w:val="20"/>
        </w:rPr>
        <w:t>Propiciar el desarrollo y la modernización continua del mercado de seguros, reaseguros, capitalización y de la seguridad social.</w:t>
      </w:r>
    </w:p>
    <w:p w14:paraId="06EBBF35" w14:textId="77777777" w:rsidR="008322ED" w:rsidRPr="00FB351A" w:rsidRDefault="008322ED">
      <w:pPr>
        <w:pStyle w:val="Prrafodelista"/>
        <w:numPr>
          <w:ilvl w:val="0"/>
          <w:numId w:val="12"/>
        </w:numPr>
        <w:ind w:left="567" w:hanging="567"/>
        <w:contextualSpacing/>
        <w:jc w:val="both"/>
        <w:rPr>
          <w:rFonts w:ascii="Arial" w:eastAsia="Arial MT" w:hAnsi="Arial" w:cs="Arial"/>
          <w:sz w:val="20"/>
          <w:szCs w:val="20"/>
        </w:rPr>
      </w:pPr>
      <w:r w:rsidRPr="00FB351A">
        <w:rPr>
          <w:rFonts w:ascii="Arial" w:eastAsia="Arial MT" w:hAnsi="Arial" w:cs="Arial"/>
          <w:sz w:val="20"/>
          <w:szCs w:val="20"/>
        </w:rPr>
        <w:t>Facilitar y apoyar la innovación del sector en productos y servicios, orientándolos a satisfacer las necesidades del mercado.</w:t>
      </w:r>
    </w:p>
    <w:p w14:paraId="1D12F9A5" w14:textId="77777777" w:rsidR="008322ED" w:rsidRPr="00FB351A" w:rsidRDefault="008322ED">
      <w:pPr>
        <w:pStyle w:val="Prrafodelista"/>
        <w:numPr>
          <w:ilvl w:val="0"/>
          <w:numId w:val="12"/>
        </w:numPr>
        <w:ind w:left="567" w:hanging="567"/>
        <w:contextualSpacing/>
        <w:jc w:val="both"/>
        <w:rPr>
          <w:rFonts w:ascii="Arial" w:eastAsia="Arial MT" w:hAnsi="Arial" w:cs="Arial"/>
          <w:sz w:val="20"/>
          <w:szCs w:val="20"/>
        </w:rPr>
      </w:pPr>
      <w:r w:rsidRPr="00FB351A">
        <w:rPr>
          <w:rFonts w:ascii="Arial" w:eastAsia="Arial MT" w:hAnsi="Arial" w:cs="Arial"/>
          <w:sz w:val="20"/>
          <w:szCs w:val="20"/>
        </w:rPr>
        <w:t>Actuar como ente agrupador de los intereses y esfuerzos conjuntos de los afiliados y prestarles servicios de interés común que contribuyan a la gestión eficiente.</w:t>
      </w:r>
    </w:p>
    <w:p w14:paraId="7BFFFAEA" w14:textId="77777777" w:rsidR="008322ED" w:rsidRPr="00FB351A" w:rsidRDefault="008322ED">
      <w:pPr>
        <w:pStyle w:val="Prrafodelista"/>
        <w:numPr>
          <w:ilvl w:val="0"/>
          <w:numId w:val="12"/>
        </w:numPr>
        <w:ind w:left="567" w:hanging="567"/>
        <w:contextualSpacing/>
        <w:jc w:val="both"/>
        <w:rPr>
          <w:rFonts w:ascii="Arial" w:eastAsia="Arial MT" w:hAnsi="Arial" w:cs="Arial"/>
          <w:sz w:val="20"/>
          <w:szCs w:val="20"/>
        </w:rPr>
      </w:pPr>
      <w:r w:rsidRPr="00FB351A">
        <w:rPr>
          <w:rFonts w:ascii="Arial" w:eastAsia="Arial MT" w:hAnsi="Arial" w:cs="Arial"/>
          <w:sz w:val="20"/>
          <w:szCs w:val="20"/>
        </w:rPr>
        <w:t>Promover y mantener el conocimiento del público frente al sector, así como la confianza hacia el mismo.</w:t>
      </w:r>
    </w:p>
    <w:p w14:paraId="2649EA41" w14:textId="77777777" w:rsidR="008322ED" w:rsidRPr="00FB351A" w:rsidRDefault="008322ED">
      <w:pPr>
        <w:pStyle w:val="Prrafodelista"/>
        <w:numPr>
          <w:ilvl w:val="0"/>
          <w:numId w:val="12"/>
        </w:numPr>
        <w:ind w:left="567" w:hanging="567"/>
        <w:contextualSpacing/>
        <w:jc w:val="both"/>
        <w:rPr>
          <w:rFonts w:ascii="Arial" w:eastAsia="Arial MT" w:hAnsi="Arial" w:cs="Arial"/>
          <w:sz w:val="20"/>
          <w:szCs w:val="20"/>
        </w:rPr>
      </w:pPr>
      <w:r w:rsidRPr="00FB351A">
        <w:rPr>
          <w:rFonts w:ascii="Arial" w:eastAsia="Arial MT" w:hAnsi="Arial" w:cs="Arial"/>
          <w:sz w:val="20"/>
          <w:szCs w:val="20"/>
        </w:rPr>
        <w:t>Servir a las empresas afiliadas como punto de encuentro en los diferentes aspectos relacionados con sus actividades.</w:t>
      </w:r>
    </w:p>
    <w:p w14:paraId="7CAC9434" w14:textId="77777777" w:rsidR="008322ED" w:rsidRPr="00FB351A" w:rsidRDefault="008322ED" w:rsidP="00803115">
      <w:pPr>
        <w:pStyle w:val="Textoindependiente"/>
        <w:jc w:val="both"/>
        <w:rPr>
          <w:rFonts w:ascii="Arial" w:hAnsi="Arial" w:cs="Arial"/>
          <w:sz w:val="20"/>
          <w:szCs w:val="20"/>
        </w:rPr>
      </w:pPr>
    </w:p>
    <w:p w14:paraId="03BE91DF" w14:textId="45C096C5" w:rsidR="008322ED" w:rsidRPr="00FB351A" w:rsidRDefault="008322ED" w:rsidP="00803115">
      <w:pPr>
        <w:pStyle w:val="Prrafodelista"/>
        <w:numPr>
          <w:ilvl w:val="2"/>
          <w:numId w:val="1"/>
        </w:numPr>
        <w:contextualSpacing/>
        <w:jc w:val="both"/>
        <w:rPr>
          <w:rFonts w:ascii="Arial" w:hAnsi="Arial" w:cs="Arial"/>
          <w:b/>
          <w:sz w:val="20"/>
          <w:szCs w:val="20"/>
        </w:rPr>
      </w:pPr>
      <w:r w:rsidRPr="00FB351A">
        <w:rPr>
          <w:rFonts w:ascii="Arial" w:hAnsi="Arial" w:cs="Arial"/>
          <w:b/>
          <w:sz w:val="20"/>
          <w:szCs w:val="20"/>
        </w:rPr>
        <w:t>Comportamiento del sector asegurador</w:t>
      </w:r>
    </w:p>
    <w:p w14:paraId="40EEB89B" w14:textId="77777777" w:rsidR="008322ED" w:rsidRPr="00FB351A" w:rsidRDefault="008322ED" w:rsidP="00803115">
      <w:pPr>
        <w:jc w:val="both"/>
        <w:rPr>
          <w:rFonts w:ascii="Arial" w:eastAsia="Batang" w:hAnsi="Arial" w:cs="Arial"/>
          <w:sz w:val="20"/>
          <w:szCs w:val="20"/>
        </w:rPr>
      </w:pPr>
    </w:p>
    <w:p w14:paraId="22B8A588"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Dentro de la actividad que desarrolla el sector asegurador se involucran varios aspectos sobre los cuales vale la pena analizar su comportamiento en la medida que transcurre el tiempo en un período determinado. Por lo tanto, a continuación, se presentan datos estadísticos y gráficos que reflejan cómo se ha desarrollado la actividad derivada del contrato de seguros en Colombia durante el periodo comprendido entre julio de 2025 a julio de 2026</w:t>
      </w:r>
    </w:p>
    <w:p w14:paraId="20B30EE0" w14:textId="77777777" w:rsidR="00832E65" w:rsidRPr="00FB351A" w:rsidRDefault="00832E65" w:rsidP="00832E65">
      <w:pPr>
        <w:jc w:val="both"/>
        <w:rPr>
          <w:rFonts w:ascii="Arial" w:eastAsia="Batang" w:hAnsi="Arial" w:cs="Arial"/>
          <w:sz w:val="20"/>
          <w:szCs w:val="20"/>
        </w:rPr>
      </w:pPr>
    </w:p>
    <w:p w14:paraId="104E7142"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Estas cifras ofrecen un panorama general en cuanto a la siniestralidad, primas emitidas y otros aspectos, con lo cual podemos hacernos una idea de las condiciones bajo las cuales se puede adelantar un proceso de contratación de un programa de seguros.</w:t>
      </w:r>
    </w:p>
    <w:p w14:paraId="2C5BA833" w14:textId="77777777" w:rsidR="00832E65" w:rsidRPr="00FB351A" w:rsidRDefault="00832E65" w:rsidP="00832E65">
      <w:pPr>
        <w:jc w:val="both"/>
        <w:rPr>
          <w:rFonts w:ascii="Arial" w:eastAsia="Batang" w:hAnsi="Arial" w:cs="Arial"/>
          <w:sz w:val="20"/>
          <w:szCs w:val="20"/>
        </w:rPr>
      </w:pPr>
    </w:p>
    <w:p w14:paraId="53508158"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A continuación, se presentan gráficos que reflejan cómo se está comportando el mercado de seguros en Colombia, de acuerdo con el informe ejecutivo que presenta el director de estadística de </w:t>
      </w:r>
      <w:proofErr w:type="spellStart"/>
      <w:r w:rsidRPr="00FB351A">
        <w:rPr>
          <w:rFonts w:ascii="Arial" w:eastAsia="Batang" w:hAnsi="Arial" w:cs="Arial"/>
          <w:sz w:val="20"/>
          <w:szCs w:val="20"/>
        </w:rPr>
        <w:t>Fasecolda</w:t>
      </w:r>
      <w:proofErr w:type="spellEnd"/>
      <w:r w:rsidRPr="00FB351A">
        <w:rPr>
          <w:rFonts w:ascii="Arial" w:eastAsia="Batang" w:hAnsi="Arial" w:cs="Arial"/>
          <w:sz w:val="20"/>
          <w:szCs w:val="20"/>
        </w:rPr>
        <w:t xml:space="preserve"> Arturo A. Nájera</w:t>
      </w:r>
      <w:r w:rsidRPr="00FB351A">
        <w:rPr>
          <w:rFonts w:ascii="Arial" w:eastAsia="Batang" w:hAnsi="Arial" w:cs="Arial"/>
          <w:sz w:val="20"/>
          <w:szCs w:val="20"/>
          <w:vertAlign w:val="superscript"/>
        </w:rPr>
        <w:footnoteReference w:id="6"/>
      </w:r>
      <w:r w:rsidRPr="00FB351A">
        <w:rPr>
          <w:rFonts w:ascii="Arial" w:eastAsia="Batang" w:hAnsi="Arial" w:cs="Arial"/>
          <w:sz w:val="20"/>
          <w:szCs w:val="20"/>
        </w:rPr>
        <w:t>:</w:t>
      </w:r>
    </w:p>
    <w:p w14:paraId="527EFE7C" w14:textId="77777777" w:rsidR="00832E65" w:rsidRPr="00FB351A" w:rsidRDefault="00832E65" w:rsidP="00832E65">
      <w:pPr>
        <w:jc w:val="both"/>
        <w:rPr>
          <w:rFonts w:ascii="Arial" w:eastAsia="Batang" w:hAnsi="Arial" w:cs="Arial"/>
          <w:sz w:val="20"/>
          <w:szCs w:val="20"/>
        </w:rPr>
      </w:pPr>
    </w:p>
    <w:p w14:paraId="6CF5BC00" w14:textId="77777777" w:rsidR="00832E65" w:rsidRPr="00FB351A" w:rsidRDefault="00832E65">
      <w:pPr>
        <w:numPr>
          <w:ilvl w:val="0"/>
          <w:numId w:val="25"/>
        </w:numPr>
        <w:jc w:val="both"/>
        <w:rPr>
          <w:rFonts w:ascii="Arial" w:eastAsia="Batang" w:hAnsi="Arial" w:cs="Arial"/>
          <w:b/>
          <w:bCs/>
          <w:sz w:val="20"/>
          <w:szCs w:val="20"/>
        </w:rPr>
      </w:pPr>
      <w:r w:rsidRPr="00FB351A">
        <w:rPr>
          <w:rFonts w:ascii="Arial" w:eastAsia="Batang" w:hAnsi="Arial" w:cs="Arial"/>
          <w:b/>
          <w:bCs/>
          <w:sz w:val="20"/>
          <w:szCs w:val="20"/>
        </w:rPr>
        <w:t>Estructura del Mercado asegurador</w:t>
      </w:r>
    </w:p>
    <w:p w14:paraId="2A3A4DDA" w14:textId="77777777" w:rsidR="00832E65" w:rsidRPr="00FB351A" w:rsidRDefault="00832E65" w:rsidP="00832E65">
      <w:pPr>
        <w:jc w:val="both"/>
        <w:rPr>
          <w:rFonts w:ascii="Arial" w:eastAsia="Batang" w:hAnsi="Arial" w:cs="Arial"/>
          <w:b/>
          <w:bCs/>
          <w:sz w:val="20"/>
          <w:szCs w:val="20"/>
        </w:rPr>
      </w:pPr>
    </w:p>
    <w:p w14:paraId="19C975CB"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De acuerdo con el informe ejecutivo de </w:t>
      </w:r>
      <w:proofErr w:type="spellStart"/>
      <w:r w:rsidRPr="00FB351A">
        <w:rPr>
          <w:rFonts w:ascii="Arial" w:eastAsia="Batang" w:hAnsi="Arial" w:cs="Arial"/>
          <w:sz w:val="20"/>
          <w:szCs w:val="20"/>
        </w:rPr>
        <w:t>Fasecolda</w:t>
      </w:r>
      <w:proofErr w:type="spellEnd"/>
      <w:r w:rsidRPr="00FB351A">
        <w:rPr>
          <w:rFonts w:ascii="Arial" w:eastAsia="Batang" w:hAnsi="Arial" w:cs="Arial"/>
          <w:sz w:val="20"/>
          <w:szCs w:val="20"/>
        </w:rPr>
        <w:t xml:space="preserve">, con corte a julio de 2026 la estructura del mercado asegurador tomando como referencia las primas emitidas es: </w:t>
      </w:r>
    </w:p>
    <w:p w14:paraId="60B8BF2A" w14:textId="77777777" w:rsidR="00832E65" w:rsidRPr="00FB351A" w:rsidRDefault="00832E65" w:rsidP="00832E65">
      <w:pPr>
        <w:jc w:val="both"/>
        <w:rPr>
          <w:rFonts w:ascii="Arial" w:eastAsia="Batang" w:hAnsi="Arial" w:cs="Arial"/>
          <w:sz w:val="20"/>
          <w:szCs w:val="20"/>
        </w:rPr>
      </w:pPr>
    </w:p>
    <w:p w14:paraId="2A8AA6F8" w14:textId="398A256B" w:rsidR="00832E65" w:rsidRPr="00FB351A" w:rsidRDefault="00832E65" w:rsidP="00832E65">
      <w:pPr>
        <w:jc w:val="both"/>
        <w:rPr>
          <w:rFonts w:ascii="Arial" w:eastAsia="Batang" w:hAnsi="Arial" w:cs="Arial"/>
          <w:sz w:val="20"/>
          <w:szCs w:val="20"/>
        </w:rPr>
      </w:pPr>
      <w:r w:rsidRPr="00FB351A">
        <w:rPr>
          <w:rFonts w:ascii="Arial" w:eastAsia="Batang" w:hAnsi="Arial" w:cs="Arial"/>
          <w:noProof/>
          <w:sz w:val="20"/>
          <w:szCs w:val="20"/>
        </w:rPr>
        <w:lastRenderedPageBreak/>
        <w:drawing>
          <wp:inline distT="0" distB="0" distL="0" distR="0" wp14:anchorId="0E5C055C" wp14:editId="3E6EBE5F">
            <wp:extent cx="5932805" cy="3594100"/>
            <wp:effectExtent l="0" t="0" r="0" b="6350"/>
            <wp:docPr id="93934838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2805" cy="3594100"/>
                    </a:xfrm>
                    <a:prstGeom prst="rect">
                      <a:avLst/>
                    </a:prstGeom>
                    <a:noFill/>
                    <a:ln>
                      <a:noFill/>
                    </a:ln>
                  </pic:spPr>
                </pic:pic>
              </a:graphicData>
            </a:graphic>
          </wp:inline>
        </w:drawing>
      </w:r>
    </w:p>
    <w:p w14:paraId="24344379"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Gráfica Primas emitidas acumuladas. Imagen tomada de Visualizador inteligente de cifras de </w:t>
      </w:r>
      <w:proofErr w:type="spellStart"/>
      <w:r w:rsidRPr="00FB351A">
        <w:rPr>
          <w:rFonts w:ascii="Arial" w:eastAsia="Batang" w:hAnsi="Arial" w:cs="Arial"/>
          <w:sz w:val="20"/>
          <w:szCs w:val="20"/>
        </w:rPr>
        <w:t>Fasecolda</w:t>
      </w:r>
      <w:proofErr w:type="spellEnd"/>
    </w:p>
    <w:p w14:paraId="040D4876" w14:textId="77777777" w:rsidR="00832E65" w:rsidRPr="00FB351A" w:rsidRDefault="00832E65" w:rsidP="00832E65">
      <w:pPr>
        <w:jc w:val="both"/>
        <w:rPr>
          <w:rFonts w:ascii="Arial" w:eastAsia="Batang" w:hAnsi="Arial" w:cs="Arial"/>
          <w:sz w:val="20"/>
          <w:szCs w:val="20"/>
        </w:rPr>
      </w:pPr>
    </w:p>
    <w:p w14:paraId="0CA17FA2"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La mayor concentración de primas emitidas se encuentra en los seguros de daños con el 39.59%, seguido de los seguros de Personas con el 29.53%, luego los seguros de seguridad social con el 30.88%.</w:t>
      </w:r>
    </w:p>
    <w:p w14:paraId="2AAA1623" w14:textId="77777777" w:rsidR="00832E65" w:rsidRPr="00FB351A" w:rsidRDefault="00832E65" w:rsidP="00832E65">
      <w:pPr>
        <w:jc w:val="both"/>
        <w:rPr>
          <w:rFonts w:ascii="Arial" w:eastAsia="Batang" w:hAnsi="Arial" w:cs="Arial"/>
          <w:b/>
          <w:bCs/>
          <w:sz w:val="20"/>
          <w:szCs w:val="20"/>
        </w:rPr>
      </w:pPr>
    </w:p>
    <w:p w14:paraId="5A1FFD9A" w14:textId="77777777" w:rsidR="00832E65" w:rsidRPr="00FB351A" w:rsidRDefault="00832E65">
      <w:pPr>
        <w:numPr>
          <w:ilvl w:val="0"/>
          <w:numId w:val="26"/>
        </w:numPr>
        <w:jc w:val="both"/>
        <w:rPr>
          <w:rFonts w:ascii="Arial" w:eastAsia="Batang" w:hAnsi="Arial" w:cs="Arial"/>
          <w:b/>
          <w:bCs/>
          <w:sz w:val="20"/>
          <w:szCs w:val="20"/>
        </w:rPr>
      </w:pPr>
      <w:r w:rsidRPr="00FB351A">
        <w:rPr>
          <w:rFonts w:ascii="Arial" w:eastAsia="Batang" w:hAnsi="Arial" w:cs="Arial"/>
          <w:b/>
          <w:bCs/>
          <w:sz w:val="20"/>
          <w:szCs w:val="20"/>
        </w:rPr>
        <w:t>Primas emitidas</w:t>
      </w:r>
    </w:p>
    <w:p w14:paraId="1850E253" w14:textId="77777777" w:rsidR="00832E65" w:rsidRPr="00FB351A" w:rsidRDefault="00832E65" w:rsidP="00832E65">
      <w:pPr>
        <w:jc w:val="both"/>
        <w:rPr>
          <w:rFonts w:ascii="Arial" w:eastAsia="Batang" w:hAnsi="Arial" w:cs="Arial"/>
          <w:sz w:val="20"/>
          <w:szCs w:val="20"/>
        </w:rPr>
      </w:pPr>
    </w:p>
    <w:p w14:paraId="72075AC6"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Con corte a julio de 2026, la industria aseguradora alcanzó una producción total de 24.56 billones, evidenciando una variación del 7.42% respecto a aquel reportado en julio de 2025.</w:t>
      </w:r>
    </w:p>
    <w:p w14:paraId="1F3248DB" w14:textId="77777777" w:rsidR="00832E65" w:rsidRPr="00FB351A" w:rsidRDefault="00832E65" w:rsidP="00832E65">
      <w:pPr>
        <w:jc w:val="both"/>
        <w:rPr>
          <w:rFonts w:ascii="Arial" w:eastAsia="Batang" w:hAnsi="Arial" w:cs="Arial"/>
          <w:sz w:val="20"/>
          <w:szCs w:val="20"/>
        </w:rPr>
      </w:pPr>
    </w:p>
    <w:p w14:paraId="6721B4D3"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La estructura del mercado asegurador indica que la mayor participación por ramos en la distribución de primas para el periodo a julio de 2026 está en vida grupo con el 18.61%, seguido del ramo de automóviles con una participación del 15.33%; el ramo de salud tuvo una participación del 12.34% y el ramo de SOAT tuvo una participación del 9.92%</w:t>
      </w:r>
    </w:p>
    <w:p w14:paraId="1322F67F" w14:textId="77777777" w:rsidR="00832E65" w:rsidRPr="00FB351A" w:rsidRDefault="00832E65" w:rsidP="00832E65">
      <w:pPr>
        <w:jc w:val="both"/>
        <w:rPr>
          <w:rFonts w:ascii="Arial" w:eastAsia="Batang" w:hAnsi="Arial" w:cs="Arial"/>
          <w:sz w:val="20"/>
          <w:szCs w:val="20"/>
        </w:rPr>
      </w:pPr>
    </w:p>
    <w:p w14:paraId="3F571292" w14:textId="4D03C772" w:rsidR="00832E65" w:rsidRPr="00FB351A" w:rsidRDefault="00832E65" w:rsidP="00832E65">
      <w:pPr>
        <w:jc w:val="both"/>
        <w:rPr>
          <w:rFonts w:ascii="Arial" w:eastAsia="Batang" w:hAnsi="Arial" w:cs="Arial"/>
          <w:b/>
          <w:bCs/>
          <w:sz w:val="20"/>
          <w:szCs w:val="20"/>
        </w:rPr>
      </w:pPr>
      <w:r w:rsidRPr="00FB351A">
        <w:rPr>
          <w:rFonts w:ascii="Arial" w:eastAsia="Batang" w:hAnsi="Arial" w:cs="Arial"/>
          <w:b/>
          <w:noProof/>
          <w:sz w:val="20"/>
          <w:szCs w:val="20"/>
        </w:rPr>
        <w:lastRenderedPageBreak/>
        <w:drawing>
          <wp:inline distT="0" distB="0" distL="0" distR="0" wp14:anchorId="7B4647FA" wp14:editId="20969CA2">
            <wp:extent cx="5943600" cy="3572510"/>
            <wp:effectExtent l="0" t="0" r="0" b="8890"/>
            <wp:docPr id="193647351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572510"/>
                    </a:xfrm>
                    <a:prstGeom prst="rect">
                      <a:avLst/>
                    </a:prstGeom>
                    <a:noFill/>
                    <a:ln>
                      <a:noFill/>
                    </a:ln>
                  </pic:spPr>
                </pic:pic>
              </a:graphicData>
            </a:graphic>
          </wp:inline>
        </w:drawing>
      </w:r>
    </w:p>
    <w:p w14:paraId="0A7039DE"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Gráfica Primas emitidas acumuladas por ramo. Imagen tomada de Visualizador inteligente de cifras de </w:t>
      </w:r>
      <w:proofErr w:type="spellStart"/>
      <w:r w:rsidRPr="00FB351A">
        <w:rPr>
          <w:rFonts w:ascii="Arial" w:eastAsia="Batang" w:hAnsi="Arial" w:cs="Arial"/>
          <w:sz w:val="20"/>
          <w:szCs w:val="20"/>
        </w:rPr>
        <w:t>Fasecolda</w:t>
      </w:r>
      <w:proofErr w:type="spellEnd"/>
      <w:r w:rsidRPr="00FB351A">
        <w:rPr>
          <w:rFonts w:ascii="Arial" w:eastAsia="Batang" w:hAnsi="Arial" w:cs="Arial"/>
          <w:sz w:val="20"/>
          <w:szCs w:val="20"/>
        </w:rPr>
        <w:t>.</w:t>
      </w:r>
    </w:p>
    <w:p w14:paraId="0E68B06D" w14:textId="77777777" w:rsidR="00832E65" w:rsidRPr="00FB351A" w:rsidRDefault="00832E65" w:rsidP="00832E65">
      <w:pPr>
        <w:jc w:val="both"/>
        <w:rPr>
          <w:rFonts w:ascii="Arial" w:eastAsia="Batang" w:hAnsi="Arial" w:cs="Arial"/>
          <w:sz w:val="20"/>
          <w:szCs w:val="20"/>
        </w:rPr>
      </w:pPr>
    </w:p>
    <w:p w14:paraId="6144F09B"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Las aseguradoras de ramos de daños de daños que mayor participación en el mercado tuvieron durante el periodo comprendido entre julio de 2025 y julio de 2026 son SURA con el 13.83% y MUNDIAL con 11.78%</w:t>
      </w:r>
    </w:p>
    <w:p w14:paraId="2CCF4E31" w14:textId="77777777" w:rsidR="00832E65" w:rsidRPr="00FB351A" w:rsidRDefault="00832E65" w:rsidP="00832E65">
      <w:pPr>
        <w:jc w:val="both"/>
        <w:rPr>
          <w:rFonts w:ascii="Arial" w:eastAsia="Batang" w:hAnsi="Arial" w:cs="Arial"/>
          <w:sz w:val="20"/>
          <w:szCs w:val="20"/>
        </w:rPr>
      </w:pPr>
    </w:p>
    <w:p w14:paraId="27F76626" w14:textId="316046D3" w:rsidR="00832E65" w:rsidRPr="00FB351A" w:rsidRDefault="00832E65" w:rsidP="00832E65">
      <w:pPr>
        <w:jc w:val="both"/>
        <w:rPr>
          <w:rFonts w:ascii="Arial" w:eastAsia="Batang" w:hAnsi="Arial" w:cs="Arial"/>
          <w:sz w:val="20"/>
          <w:szCs w:val="20"/>
        </w:rPr>
      </w:pPr>
      <w:r w:rsidRPr="00FB351A">
        <w:rPr>
          <w:rFonts w:ascii="Arial" w:eastAsia="Batang" w:hAnsi="Arial" w:cs="Arial"/>
          <w:noProof/>
          <w:sz w:val="20"/>
          <w:szCs w:val="20"/>
        </w:rPr>
        <w:lastRenderedPageBreak/>
        <w:drawing>
          <wp:inline distT="0" distB="0" distL="0" distR="0" wp14:anchorId="52442C71" wp14:editId="0EDF8E3C">
            <wp:extent cx="5943600" cy="3604260"/>
            <wp:effectExtent l="0" t="0" r="0" b="0"/>
            <wp:docPr id="139481539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04260"/>
                    </a:xfrm>
                    <a:prstGeom prst="rect">
                      <a:avLst/>
                    </a:prstGeom>
                    <a:noFill/>
                    <a:ln>
                      <a:noFill/>
                    </a:ln>
                  </pic:spPr>
                </pic:pic>
              </a:graphicData>
            </a:graphic>
          </wp:inline>
        </w:drawing>
      </w:r>
    </w:p>
    <w:p w14:paraId="59168A0F"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Gráfica Primas emitidas acumuladas por compañía (Generales). Imagen tomada de Visualizador inteligente de cifras de </w:t>
      </w:r>
      <w:proofErr w:type="spellStart"/>
      <w:r w:rsidRPr="00FB351A">
        <w:rPr>
          <w:rFonts w:ascii="Arial" w:eastAsia="Batang" w:hAnsi="Arial" w:cs="Arial"/>
          <w:sz w:val="20"/>
          <w:szCs w:val="20"/>
        </w:rPr>
        <w:t>Fasecolda</w:t>
      </w:r>
      <w:proofErr w:type="spellEnd"/>
    </w:p>
    <w:p w14:paraId="50BB3B83" w14:textId="77777777" w:rsidR="00832E65" w:rsidRPr="00FB351A" w:rsidRDefault="00832E65" w:rsidP="00832E65">
      <w:pPr>
        <w:jc w:val="both"/>
        <w:rPr>
          <w:rFonts w:ascii="Arial" w:eastAsia="Batang" w:hAnsi="Arial" w:cs="Arial"/>
          <w:sz w:val="20"/>
          <w:szCs w:val="20"/>
        </w:rPr>
      </w:pPr>
    </w:p>
    <w:p w14:paraId="39E6F72B"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En ramos de personas, las aseguradoras que mayor participación tuvieron durante el periodo analizado son SURA VIDA con el 36.12% seguido de </w:t>
      </w:r>
      <w:proofErr w:type="spellStart"/>
      <w:r w:rsidRPr="00FB351A">
        <w:rPr>
          <w:rFonts w:ascii="Arial" w:eastAsia="Batang" w:hAnsi="Arial" w:cs="Arial"/>
          <w:sz w:val="20"/>
          <w:szCs w:val="20"/>
        </w:rPr>
        <w:t>BOLIVAR</w:t>
      </w:r>
      <w:proofErr w:type="spellEnd"/>
      <w:r w:rsidRPr="00FB351A">
        <w:rPr>
          <w:rFonts w:ascii="Arial" w:eastAsia="Batang" w:hAnsi="Arial" w:cs="Arial"/>
          <w:sz w:val="20"/>
          <w:szCs w:val="20"/>
        </w:rPr>
        <w:t xml:space="preserve"> VIDA con el 10.54 %</w:t>
      </w:r>
    </w:p>
    <w:p w14:paraId="6CA4F9A5" w14:textId="77777777" w:rsidR="00832E65" w:rsidRPr="00FB351A" w:rsidRDefault="00832E65" w:rsidP="00832E65">
      <w:pPr>
        <w:jc w:val="both"/>
        <w:rPr>
          <w:rFonts w:ascii="Arial" w:eastAsia="Batang" w:hAnsi="Arial" w:cs="Arial"/>
          <w:sz w:val="20"/>
          <w:szCs w:val="20"/>
        </w:rPr>
      </w:pPr>
    </w:p>
    <w:p w14:paraId="100A24A8" w14:textId="5C33D9EA" w:rsidR="00832E65" w:rsidRPr="00FB351A" w:rsidRDefault="00832E65" w:rsidP="00832E65">
      <w:pPr>
        <w:jc w:val="both"/>
        <w:rPr>
          <w:rFonts w:ascii="Arial" w:eastAsia="Batang" w:hAnsi="Arial" w:cs="Arial"/>
          <w:sz w:val="20"/>
          <w:szCs w:val="20"/>
        </w:rPr>
      </w:pPr>
      <w:r w:rsidRPr="00FB351A">
        <w:rPr>
          <w:rFonts w:ascii="Arial" w:eastAsia="Batang" w:hAnsi="Arial" w:cs="Arial"/>
          <w:noProof/>
          <w:sz w:val="20"/>
          <w:szCs w:val="20"/>
        </w:rPr>
        <w:lastRenderedPageBreak/>
        <w:drawing>
          <wp:inline distT="0" distB="0" distL="0" distR="0" wp14:anchorId="1C69D72D" wp14:editId="1D0176B6">
            <wp:extent cx="5943600" cy="3572510"/>
            <wp:effectExtent l="0" t="0" r="0" b="8890"/>
            <wp:docPr id="41952766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72510"/>
                    </a:xfrm>
                    <a:prstGeom prst="rect">
                      <a:avLst/>
                    </a:prstGeom>
                    <a:noFill/>
                    <a:ln>
                      <a:noFill/>
                    </a:ln>
                  </pic:spPr>
                </pic:pic>
              </a:graphicData>
            </a:graphic>
          </wp:inline>
        </w:drawing>
      </w:r>
    </w:p>
    <w:p w14:paraId="702D024B"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Gráfica Primas emitidas acumuladas por compañía (Personas). Imagen tomada de Visualizador inteligente de cifras de </w:t>
      </w:r>
      <w:proofErr w:type="spellStart"/>
      <w:r w:rsidRPr="00FB351A">
        <w:rPr>
          <w:rFonts w:ascii="Arial" w:eastAsia="Batang" w:hAnsi="Arial" w:cs="Arial"/>
          <w:sz w:val="20"/>
          <w:szCs w:val="20"/>
        </w:rPr>
        <w:t>Fasecolda</w:t>
      </w:r>
      <w:proofErr w:type="spellEnd"/>
    </w:p>
    <w:p w14:paraId="09BDD91B" w14:textId="77777777" w:rsidR="00832E65" w:rsidRPr="00FB351A" w:rsidRDefault="00832E65" w:rsidP="00832E65">
      <w:pPr>
        <w:jc w:val="both"/>
        <w:rPr>
          <w:rFonts w:ascii="Arial" w:eastAsia="Batang" w:hAnsi="Arial" w:cs="Arial"/>
          <w:b/>
          <w:bCs/>
          <w:sz w:val="20"/>
          <w:szCs w:val="20"/>
        </w:rPr>
      </w:pPr>
    </w:p>
    <w:p w14:paraId="533E9CFA" w14:textId="77777777" w:rsidR="00832E65" w:rsidRPr="00FB351A" w:rsidRDefault="00832E65">
      <w:pPr>
        <w:numPr>
          <w:ilvl w:val="0"/>
          <w:numId w:val="26"/>
        </w:numPr>
        <w:jc w:val="both"/>
        <w:rPr>
          <w:rFonts w:ascii="Arial" w:eastAsia="Batang" w:hAnsi="Arial" w:cs="Arial"/>
          <w:b/>
          <w:bCs/>
          <w:sz w:val="20"/>
          <w:szCs w:val="20"/>
        </w:rPr>
      </w:pPr>
      <w:r w:rsidRPr="00FB351A">
        <w:rPr>
          <w:rFonts w:ascii="Arial" w:eastAsia="Batang" w:hAnsi="Arial" w:cs="Arial"/>
          <w:b/>
          <w:bCs/>
          <w:sz w:val="20"/>
          <w:szCs w:val="20"/>
        </w:rPr>
        <w:t xml:space="preserve">Siniestros pagados </w:t>
      </w:r>
    </w:p>
    <w:p w14:paraId="2418F731" w14:textId="77777777" w:rsidR="00832E65" w:rsidRPr="00FB351A" w:rsidRDefault="00832E65" w:rsidP="00832E65">
      <w:pPr>
        <w:jc w:val="both"/>
        <w:rPr>
          <w:rFonts w:ascii="Arial" w:eastAsia="Batang" w:hAnsi="Arial" w:cs="Arial"/>
          <w:sz w:val="20"/>
          <w:szCs w:val="20"/>
        </w:rPr>
      </w:pPr>
    </w:p>
    <w:p w14:paraId="6CCFDA81"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Con corte julio de 2026 se registró un total de 10.500 mil millones en pagos por reclamaciones, representando una variación del 10.11% respecto del mismo periodo del año anterior. </w:t>
      </w:r>
    </w:p>
    <w:p w14:paraId="7CFE808B" w14:textId="77777777" w:rsidR="00832E65" w:rsidRPr="00FB351A" w:rsidRDefault="00832E65" w:rsidP="00832E65">
      <w:pPr>
        <w:jc w:val="both"/>
        <w:rPr>
          <w:rFonts w:ascii="Arial" w:eastAsia="Batang" w:hAnsi="Arial" w:cs="Arial"/>
          <w:sz w:val="20"/>
          <w:szCs w:val="20"/>
        </w:rPr>
      </w:pPr>
    </w:p>
    <w:p w14:paraId="4A965419"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El ramo de Salud tuvo la mayor participación en los siniestros pagados en ramos de personas durante el periodo analizado con el 40.76% de participación, representado una variación del 20.46% respecto del mismo periodo en el año anterior.</w:t>
      </w:r>
    </w:p>
    <w:p w14:paraId="042529D0" w14:textId="77777777" w:rsidR="00832E65" w:rsidRPr="00FB351A" w:rsidRDefault="00832E65" w:rsidP="00832E65">
      <w:pPr>
        <w:jc w:val="both"/>
        <w:rPr>
          <w:rFonts w:ascii="Arial" w:eastAsia="Batang" w:hAnsi="Arial" w:cs="Arial"/>
          <w:sz w:val="20"/>
          <w:szCs w:val="20"/>
        </w:rPr>
      </w:pPr>
    </w:p>
    <w:p w14:paraId="20C1C52A"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El ramo de Automóviles tuvo la mayor participación en los siniestros pagados en ramos generales durante el periodo analizado con el 36.96% de participación, representado una variación del 3.73% respecto del mismo periodo en el año anterior.</w:t>
      </w:r>
    </w:p>
    <w:p w14:paraId="44B5A35D" w14:textId="77777777" w:rsidR="00832E65" w:rsidRPr="00FB351A" w:rsidRDefault="00832E65" w:rsidP="00832E65">
      <w:pPr>
        <w:jc w:val="both"/>
        <w:rPr>
          <w:rFonts w:ascii="Arial" w:eastAsia="Batang" w:hAnsi="Arial" w:cs="Arial"/>
          <w:sz w:val="20"/>
          <w:szCs w:val="20"/>
        </w:rPr>
      </w:pPr>
    </w:p>
    <w:p w14:paraId="07490F17"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El </w:t>
      </w:r>
      <w:proofErr w:type="spellStart"/>
      <w:r w:rsidRPr="00FB351A">
        <w:rPr>
          <w:rFonts w:ascii="Arial" w:eastAsia="Batang" w:hAnsi="Arial" w:cs="Arial"/>
          <w:sz w:val="20"/>
          <w:szCs w:val="20"/>
        </w:rPr>
        <w:t>Soat</w:t>
      </w:r>
      <w:proofErr w:type="spellEnd"/>
      <w:r w:rsidRPr="00FB351A">
        <w:rPr>
          <w:rFonts w:ascii="Arial" w:eastAsia="Batang" w:hAnsi="Arial" w:cs="Arial"/>
          <w:sz w:val="20"/>
          <w:szCs w:val="20"/>
        </w:rPr>
        <w:t xml:space="preserve"> tuvo una participación del 30.74% de participación, con una variación del 17.97% respecto del mismo periodo del año anterior.</w:t>
      </w:r>
    </w:p>
    <w:p w14:paraId="18D492D7" w14:textId="77777777" w:rsidR="00832E65" w:rsidRPr="00FB351A" w:rsidRDefault="00832E65" w:rsidP="00832E65">
      <w:pPr>
        <w:jc w:val="both"/>
        <w:rPr>
          <w:rFonts w:ascii="Arial" w:eastAsia="Batang" w:hAnsi="Arial" w:cs="Arial"/>
          <w:sz w:val="20"/>
          <w:szCs w:val="20"/>
        </w:rPr>
      </w:pPr>
    </w:p>
    <w:p w14:paraId="2E11FF66"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El ramo de responsabilidad civil tuvo una participación del 6.03% de participación, con una variación del 6.28% respecto del mismo periodo del año anterior.</w:t>
      </w:r>
    </w:p>
    <w:p w14:paraId="037FB5DD" w14:textId="77777777" w:rsidR="00832E65" w:rsidRPr="00FB351A" w:rsidRDefault="00832E65" w:rsidP="00832E65">
      <w:pPr>
        <w:jc w:val="both"/>
        <w:rPr>
          <w:rFonts w:ascii="Arial" w:eastAsia="Batang" w:hAnsi="Arial" w:cs="Arial"/>
          <w:sz w:val="20"/>
          <w:szCs w:val="20"/>
        </w:rPr>
      </w:pPr>
    </w:p>
    <w:p w14:paraId="55708F8A" w14:textId="2D40B0A3" w:rsidR="00832E65" w:rsidRPr="00FB351A" w:rsidRDefault="00832E65" w:rsidP="00832E65">
      <w:pPr>
        <w:jc w:val="both"/>
        <w:rPr>
          <w:rFonts w:ascii="Arial" w:eastAsia="Batang" w:hAnsi="Arial" w:cs="Arial"/>
          <w:sz w:val="20"/>
          <w:szCs w:val="20"/>
        </w:rPr>
      </w:pPr>
      <w:r w:rsidRPr="00FB351A">
        <w:rPr>
          <w:rFonts w:ascii="Arial" w:eastAsia="Batang" w:hAnsi="Arial" w:cs="Arial"/>
          <w:noProof/>
          <w:sz w:val="20"/>
          <w:szCs w:val="20"/>
        </w:rPr>
        <w:lastRenderedPageBreak/>
        <w:drawing>
          <wp:inline distT="0" distB="0" distL="0" distR="0" wp14:anchorId="237090F2" wp14:editId="05D09069">
            <wp:extent cx="5943600" cy="3519170"/>
            <wp:effectExtent l="0" t="0" r="0" b="5080"/>
            <wp:docPr id="32988890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19170"/>
                    </a:xfrm>
                    <a:prstGeom prst="rect">
                      <a:avLst/>
                    </a:prstGeom>
                    <a:noFill/>
                    <a:ln>
                      <a:noFill/>
                    </a:ln>
                  </pic:spPr>
                </pic:pic>
              </a:graphicData>
            </a:graphic>
          </wp:inline>
        </w:drawing>
      </w:r>
    </w:p>
    <w:p w14:paraId="5A3F7A12"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Gráfica Siniestros pagados por ramo (Generales y Personas). Imagen tomada de Visualizador inteligente de cifras de </w:t>
      </w:r>
      <w:proofErr w:type="spellStart"/>
      <w:r w:rsidRPr="00FB351A">
        <w:rPr>
          <w:rFonts w:ascii="Arial" w:eastAsia="Batang" w:hAnsi="Arial" w:cs="Arial"/>
          <w:sz w:val="20"/>
          <w:szCs w:val="20"/>
        </w:rPr>
        <w:t>Fasecolda</w:t>
      </w:r>
      <w:proofErr w:type="spellEnd"/>
    </w:p>
    <w:p w14:paraId="503AF5AE" w14:textId="77777777" w:rsidR="00832E65" w:rsidRPr="00FB351A" w:rsidRDefault="00832E65" w:rsidP="00832E65">
      <w:pPr>
        <w:jc w:val="both"/>
        <w:rPr>
          <w:rFonts w:ascii="Arial" w:eastAsia="Batang" w:hAnsi="Arial" w:cs="Arial"/>
          <w:b/>
          <w:bCs/>
          <w:sz w:val="20"/>
          <w:szCs w:val="20"/>
        </w:rPr>
      </w:pPr>
    </w:p>
    <w:p w14:paraId="00EFF8B2" w14:textId="77777777" w:rsidR="00832E65" w:rsidRPr="00FB351A" w:rsidRDefault="00832E65">
      <w:pPr>
        <w:numPr>
          <w:ilvl w:val="0"/>
          <w:numId w:val="26"/>
        </w:numPr>
        <w:jc w:val="both"/>
        <w:rPr>
          <w:rFonts w:ascii="Arial" w:eastAsia="Batang" w:hAnsi="Arial" w:cs="Arial"/>
          <w:b/>
          <w:bCs/>
          <w:sz w:val="20"/>
          <w:szCs w:val="20"/>
        </w:rPr>
      </w:pPr>
      <w:r w:rsidRPr="00FB351A">
        <w:rPr>
          <w:rFonts w:ascii="Arial" w:eastAsia="Batang" w:hAnsi="Arial" w:cs="Arial"/>
          <w:b/>
          <w:bCs/>
          <w:sz w:val="20"/>
          <w:szCs w:val="20"/>
        </w:rPr>
        <w:t>Resultado técnico</w:t>
      </w:r>
    </w:p>
    <w:p w14:paraId="11246809" w14:textId="77777777" w:rsidR="00832E65" w:rsidRPr="00FB351A" w:rsidRDefault="00832E65" w:rsidP="00832E65">
      <w:pPr>
        <w:jc w:val="both"/>
        <w:rPr>
          <w:rFonts w:ascii="Arial" w:eastAsia="Batang" w:hAnsi="Arial" w:cs="Arial"/>
          <w:sz w:val="20"/>
          <w:szCs w:val="20"/>
        </w:rPr>
      </w:pPr>
    </w:p>
    <w:p w14:paraId="3CB7CA8F"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Hasta julio de 2026, el resultado propio de la operación de seguros en ramos de daños y de personas, arrojo un resultado técnico de -76.75 mil millones, representando una variación negativa del -118.16% respecto del mismo periodo del año anterior. </w:t>
      </w:r>
    </w:p>
    <w:p w14:paraId="71E29225" w14:textId="77777777" w:rsidR="00832E65" w:rsidRPr="00FB351A" w:rsidRDefault="00832E65" w:rsidP="00832E65">
      <w:pPr>
        <w:jc w:val="both"/>
        <w:rPr>
          <w:rFonts w:ascii="Arial" w:eastAsia="Batang" w:hAnsi="Arial" w:cs="Arial"/>
          <w:sz w:val="20"/>
          <w:szCs w:val="20"/>
        </w:rPr>
      </w:pPr>
    </w:p>
    <w:p w14:paraId="1C0D94D2"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En seguros de daños, el resultado técnico tuvo una variación del -88.70% y en seguros de personas, la variación del -240.89% respecto del mismo periodo del año anterior</w:t>
      </w:r>
    </w:p>
    <w:p w14:paraId="50130E09" w14:textId="77777777" w:rsidR="00832E65" w:rsidRPr="00FB351A" w:rsidRDefault="00832E65" w:rsidP="00832E65">
      <w:pPr>
        <w:jc w:val="both"/>
        <w:rPr>
          <w:rFonts w:ascii="Arial" w:eastAsia="Batang" w:hAnsi="Arial" w:cs="Arial"/>
          <w:sz w:val="20"/>
          <w:szCs w:val="20"/>
        </w:rPr>
      </w:pPr>
    </w:p>
    <w:p w14:paraId="060E4FA2" w14:textId="5C2A3FC3" w:rsidR="00832E65" w:rsidRPr="00FB351A" w:rsidRDefault="00832E65" w:rsidP="00832E65">
      <w:pPr>
        <w:jc w:val="both"/>
        <w:rPr>
          <w:rFonts w:ascii="Arial" w:eastAsia="Batang" w:hAnsi="Arial" w:cs="Arial"/>
          <w:sz w:val="20"/>
          <w:szCs w:val="20"/>
        </w:rPr>
      </w:pPr>
      <w:r w:rsidRPr="00FB351A">
        <w:rPr>
          <w:rFonts w:ascii="Arial" w:eastAsia="Batang" w:hAnsi="Arial" w:cs="Arial"/>
          <w:noProof/>
          <w:sz w:val="20"/>
          <w:szCs w:val="20"/>
        </w:rPr>
        <w:lastRenderedPageBreak/>
        <w:drawing>
          <wp:inline distT="0" distB="0" distL="0" distR="0" wp14:anchorId="30756536" wp14:editId="26D533A0">
            <wp:extent cx="5932805" cy="3519170"/>
            <wp:effectExtent l="0" t="0" r="0" b="5080"/>
            <wp:docPr id="200543156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2805" cy="3519170"/>
                    </a:xfrm>
                    <a:prstGeom prst="rect">
                      <a:avLst/>
                    </a:prstGeom>
                    <a:noFill/>
                    <a:ln>
                      <a:noFill/>
                    </a:ln>
                  </pic:spPr>
                </pic:pic>
              </a:graphicData>
            </a:graphic>
          </wp:inline>
        </w:drawing>
      </w:r>
    </w:p>
    <w:p w14:paraId="6E119D97" w14:textId="77777777" w:rsidR="00832E65" w:rsidRPr="00FB351A" w:rsidRDefault="00832E65" w:rsidP="00832E65">
      <w:pPr>
        <w:jc w:val="both"/>
        <w:rPr>
          <w:rFonts w:ascii="Arial" w:eastAsia="Batang" w:hAnsi="Arial" w:cs="Arial"/>
          <w:sz w:val="20"/>
          <w:szCs w:val="20"/>
        </w:rPr>
      </w:pPr>
      <w:r w:rsidRPr="00FB351A">
        <w:rPr>
          <w:rFonts w:ascii="Arial" w:eastAsia="Batang" w:hAnsi="Arial" w:cs="Arial"/>
          <w:sz w:val="20"/>
          <w:szCs w:val="20"/>
        </w:rPr>
        <w:t xml:space="preserve">Gráfica Comparador estado de resultados (Generales y Personas). Imagen tomada de Visualizador inteligente de cifras de </w:t>
      </w:r>
      <w:proofErr w:type="spellStart"/>
      <w:r w:rsidRPr="00FB351A">
        <w:rPr>
          <w:rFonts w:ascii="Arial" w:eastAsia="Batang" w:hAnsi="Arial" w:cs="Arial"/>
          <w:sz w:val="20"/>
          <w:szCs w:val="20"/>
        </w:rPr>
        <w:t>Fasecolda</w:t>
      </w:r>
      <w:proofErr w:type="spellEnd"/>
    </w:p>
    <w:p w14:paraId="011E179E" w14:textId="77777777" w:rsidR="00F823AC" w:rsidRPr="00FB351A" w:rsidRDefault="00F823AC" w:rsidP="00803115">
      <w:pPr>
        <w:jc w:val="both"/>
        <w:rPr>
          <w:rFonts w:ascii="Arial" w:hAnsi="Arial" w:cs="Arial"/>
          <w:sz w:val="20"/>
          <w:szCs w:val="20"/>
          <w:lang w:eastAsia="es-ES"/>
        </w:rPr>
      </w:pPr>
    </w:p>
    <w:p w14:paraId="211ED18F" w14:textId="53CF8625" w:rsidR="004A49CD" w:rsidRPr="00FB351A" w:rsidRDefault="004A49CD">
      <w:pPr>
        <w:pStyle w:val="Prrafodelista"/>
        <w:numPr>
          <w:ilvl w:val="0"/>
          <w:numId w:val="26"/>
        </w:numPr>
        <w:jc w:val="both"/>
        <w:rPr>
          <w:rFonts w:ascii="Arial" w:hAnsi="Arial" w:cs="Arial"/>
          <w:b/>
          <w:sz w:val="20"/>
          <w:szCs w:val="20"/>
          <w:lang w:eastAsia="es-ES"/>
        </w:rPr>
      </w:pPr>
      <w:bookmarkStart w:id="3" w:name="_Toc214959517"/>
      <w:r w:rsidRPr="00FB351A">
        <w:rPr>
          <w:rFonts w:ascii="Arial" w:hAnsi="Arial" w:cs="Arial"/>
          <w:b/>
          <w:sz w:val="20"/>
          <w:szCs w:val="20"/>
          <w:lang w:eastAsia="es-ES"/>
        </w:rPr>
        <w:t xml:space="preserve">Indicadores </w:t>
      </w:r>
      <w:proofErr w:type="spellStart"/>
      <w:r w:rsidRPr="00FB351A">
        <w:rPr>
          <w:rFonts w:ascii="Arial" w:hAnsi="Arial" w:cs="Arial"/>
          <w:b/>
          <w:sz w:val="20"/>
          <w:szCs w:val="20"/>
          <w:lang w:eastAsia="es-ES"/>
        </w:rPr>
        <w:t>Soat</w:t>
      </w:r>
      <w:bookmarkEnd w:id="3"/>
      <w:proofErr w:type="spellEnd"/>
    </w:p>
    <w:p w14:paraId="365A1DDC" w14:textId="77777777" w:rsidR="004A49CD" w:rsidRPr="00FB351A" w:rsidRDefault="004A49CD" w:rsidP="004A49CD">
      <w:pPr>
        <w:jc w:val="both"/>
        <w:rPr>
          <w:rFonts w:ascii="Arial" w:hAnsi="Arial" w:cs="Arial"/>
          <w:sz w:val="20"/>
          <w:szCs w:val="20"/>
          <w:lang w:eastAsia="es-ES"/>
        </w:rPr>
      </w:pPr>
    </w:p>
    <w:p w14:paraId="3A3862A1" w14:textId="77777777" w:rsidR="004A49CD" w:rsidRPr="00FB351A" w:rsidRDefault="004A49CD" w:rsidP="004A49CD">
      <w:pPr>
        <w:jc w:val="both"/>
        <w:rPr>
          <w:rFonts w:ascii="Arial" w:hAnsi="Arial" w:cs="Arial"/>
          <w:sz w:val="20"/>
          <w:szCs w:val="20"/>
          <w:lang w:eastAsia="es-ES"/>
        </w:rPr>
      </w:pPr>
      <w:r w:rsidRPr="00FB351A">
        <w:rPr>
          <w:rFonts w:ascii="Arial" w:hAnsi="Arial" w:cs="Arial"/>
          <w:sz w:val="20"/>
          <w:szCs w:val="20"/>
          <w:lang w:eastAsia="es-ES"/>
        </w:rPr>
        <w:t>En el primer trimestre del 2026, se tienen 2.803.397 pólizas de seguros SOAT vigentes. Durante el último año, se han expedido 2.844.948 pólizas.</w:t>
      </w:r>
    </w:p>
    <w:p w14:paraId="202C8EEF" w14:textId="77777777" w:rsidR="004A49CD" w:rsidRPr="00FB351A" w:rsidRDefault="004A49CD" w:rsidP="004A49CD">
      <w:pPr>
        <w:jc w:val="both"/>
        <w:rPr>
          <w:rFonts w:ascii="Arial" w:hAnsi="Arial" w:cs="Arial"/>
          <w:sz w:val="20"/>
          <w:szCs w:val="20"/>
          <w:lang w:eastAsia="es-ES"/>
        </w:rPr>
      </w:pPr>
    </w:p>
    <w:p w14:paraId="6874357F" w14:textId="77777777" w:rsidR="004A49CD" w:rsidRPr="00FB351A" w:rsidRDefault="004A49CD" w:rsidP="004A49CD">
      <w:pPr>
        <w:jc w:val="both"/>
        <w:rPr>
          <w:rFonts w:ascii="Arial" w:hAnsi="Arial" w:cs="Arial"/>
          <w:sz w:val="20"/>
          <w:szCs w:val="20"/>
          <w:lang w:eastAsia="es-ES"/>
        </w:rPr>
      </w:pPr>
      <w:r w:rsidRPr="00FB351A">
        <w:rPr>
          <w:rFonts w:ascii="Arial" w:hAnsi="Arial" w:cs="Arial"/>
          <w:sz w:val="20"/>
          <w:szCs w:val="20"/>
          <w:lang w:eastAsia="es-ES"/>
        </w:rPr>
        <w:t>Se ha registrado en primer trimestre del año 2026, una frecuencia en la siniestralidad del ramo, del 3.54% y una severidad de $ 1.686.760</w:t>
      </w:r>
    </w:p>
    <w:p w14:paraId="4D353EB3" w14:textId="77777777" w:rsidR="004A49CD" w:rsidRPr="00FB351A" w:rsidRDefault="004A49CD" w:rsidP="004A49CD">
      <w:pPr>
        <w:jc w:val="both"/>
        <w:rPr>
          <w:rFonts w:ascii="Arial" w:hAnsi="Arial" w:cs="Arial"/>
          <w:sz w:val="20"/>
          <w:szCs w:val="20"/>
          <w:lang w:eastAsia="es-ES"/>
        </w:rPr>
      </w:pPr>
    </w:p>
    <w:p w14:paraId="0EB332A5" w14:textId="77777777" w:rsidR="004A49CD" w:rsidRPr="00FB351A" w:rsidRDefault="004A49CD" w:rsidP="004A49CD">
      <w:pPr>
        <w:jc w:val="both"/>
        <w:rPr>
          <w:rFonts w:ascii="Arial" w:hAnsi="Arial" w:cs="Arial"/>
          <w:sz w:val="20"/>
          <w:szCs w:val="20"/>
          <w:lang w:eastAsia="es-ES"/>
        </w:rPr>
      </w:pPr>
      <w:r w:rsidRPr="00FB351A">
        <w:rPr>
          <w:rFonts w:ascii="Arial" w:hAnsi="Arial" w:cs="Arial"/>
          <w:sz w:val="20"/>
          <w:szCs w:val="20"/>
          <w:lang w:eastAsia="es-ES"/>
        </w:rPr>
        <w:t>Se evidencia la no renovación del seguro, en un 28.1%.</w:t>
      </w:r>
    </w:p>
    <w:p w14:paraId="0BAAA0B6" w14:textId="77777777" w:rsidR="004A49CD" w:rsidRPr="00FB351A" w:rsidRDefault="004A49CD" w:rsidP="004A49CD">
      <w:pPr>
        <w:jc w:val="both"/>
        <w:rPr>
          <w:rFonts w:ascii="Arial" w:hAnsi="Arial" w:cs="Arial"/>
          <w:sz w:val="20"/>
          <w:szCs w:val="20"/>
          <w:lang w:eastAsia="es-ES"/>
        </w:rPr>
      </w:pPr>
    </w:p>
    <w:p w14:paraId="2BE42582" w14:textId="77777777" w:rsidR="004A49CD" w:rsidRPr="00FB351A" w:rsidRDefault="004A49CD" w:rsidP="004A49CD">
      <w:pPr>
        <w:jc w:val="both"/>
        <w:rPr>
          <w:rFonts w:ascii="Arial" w:hAnsi="Arial" w:cs="Arial"/>
          <w:sz w:val="20"/>
          <w:szCs w:val="20"/>
          <w:lang w:eastAsia="es-ES"/>
        </w:rPr>
      </w:pPr>
      <w:r w:rsidRPr="00FB351A">
        <w:rPr>
          <w:rFonts w:ascii="Arial" w:hAnsi="Arial" w:cs="Arial"/>
          <w:sz w:val="20"/>
          <w:szCs w:val="20"/>
          <w:lang w:eastAsia="es-ES"/>
        </w:rPr>
        <w:t>Se advierte un total de 99.347 víctimas totales asociadas a siniestros liquidados.</w:t>
      </w:r>
    </w:p>
    <w:p w14:paraId="6A7FB953" w14:textId="77777777" w:rsidR="004A49CD" w:rsidRPr="00FB351A" w:rsidRDefault="004A49CD" w:rsidP="004A49CD">
      <w:pPr>
        <w:jc w:val="both"/>
        <w:rPr>
          <w:rFonts w:ascii="Arial" w:hAnsi="Arial" w:cs="Arial"/>
          <w:sz w:val="20"/>
          <w:szCs w:val="20"/>
          <w:lang w:eastAsia="es-ES"/>
        </w:rPr>
      </w:pPr>
    </w:p>
    <w:p w14:paraId="40F5A1D5" w14:textId="5A65DA22" w:rsidR="004A49CD" w:rsidRPr="00FB351A" w:rsidRDefault="004A49CD" w:rsidP="004A49CD">
      <w:pPr>
        <w:jc w:val="both"/>
        <w:rPr>
          <w:rFonts w:ascii="Arial" w:hAnsi="Arial" w:cs="Arial"/>
          <w:i/>
          <w:sz w:val="20"/>
          <w:szCs w:val="20"/>
          <w:lang w:eastAsia="es-ES"/>
        </w:rPr>
      </w:pPr>
      <w:r w:rsidRPr="00FB351A">
        <w:rPr>
          <w:rFonts w:ascii="Arial" w:hAnsi="Arial" w:cs="Arial"/>
          <w:noProof/>
          <w:sz w:val="20"/>
          <w:szCs w:val="20"/>
          <w:lang w:eastAsia="es-ES"/>
        </w:rPr>
        <w:lastRenderedPageBreak/>
        <w:drawing>
          <wp:inline distT="0" distB="0" distL="0" distR="0" wp14:anchorId="019640DA" wp14:editId="3D6803C8">
            <wp:extent cx="5582285" cy="4029710"/>
            <wp:effectExtent l="0" t="0" r="0" b="8890"/>
            <wp:docPr id="76496513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2285" cy="4029710"/>
                    </a:xfrm>
                    <a:prstGeom prst="rect">
                      <a:avLst/>
                    </a:prstGeom>
                    <a:noFill/>
                    <a:ln>
                      <a:noFill/>
                    </a:ln>
                  </pic:spPr>
                </pic:pic>
              </a:graphicData>
            </a:graphic>
          </wp:inline>
        </w:drawing>
      </w:r>
    </w:p>
    <w:p w14:paraId="2A4E4BCF" w14:textId="77777777" w:rsidR="004A49CD" w:rsidRPr="00FB351A" w:rsidRDefault="004A49CD" w:rsidP="004A49CD">
      <w:pPr>
        <w:jc w:val="both"/>
        <w:rPr>
          <w:rFonts w:ascii="Arial" w:hAnsi="Arial" w:cs="Arial"/>
          <w:i/>
          <w:iCs/>
          <w:sz w:val="20"/>
          <w:szCs w:val="20"/>
          <w:lang w:eastAsia="es-ES"/>
        </w:rPr>
      </w:pPr>
      <w:r w:rsidRPr="00FB351A">
        <w:rPr>
          <w:rFonts w:ascii="Arial" w:hAnsi="Arial" w:cs="Arial"/>
          <w:sz w:val="20"/>
          <w:szCs w:val="20"/>
          <w:lang w:eastAsia="es-ES"/>
        </w:rPr>
        <w:t>Gráfica Indicadores Ley 2161 – Superintendencia Financiera de Colombia</w:t>
      </w:r>
    </w:p>
    <w:p w14:paraId="7726D4D8" w14:textId="77777777" w:rsidR="004A49CD" w:rsidRPr="00FB351A" w:rsidRDefault="004A49CD" w:rsidP="004A49CD">
      <w:pPr>
        <w:jc w:val="both"/>
        <w:rPr>
          <w:rFonts w:ascii="Arial" w:hAnsi="Arial" w:cs="Arial"/>
          <w:sz w:val="20"/>
          <w:szCs w:val="20"/>
          <w:lang w:eastAsia="es-ES"/>
        </w:rPr>
      </w:pPr>
    </w:p>
    <w:p w14:paraId="27C060A6" w14:textId="1C075465" w:rsidR="004A49CD" w:rsidRPr="00FB351A" w:rsidRDefault="004A49CD" w:rsidP="004A49CD">
      <w:pPr>
        <w:jc w:val="both"/>
        <w:rPr>
          <w:rFonts w:ascii="Arial" w:hAnsi="Arial" w:cs="Arial"/>
          <w:sz w:val="20"/>
          <w:szCs w:val="20"/>
          <w:lang w:eastAsia="es-ES"/>
        </w:rPr>
      </w:pPr>
      <w:r w:rsidRPr="00FB351A">
        <w:rPr>
          <w:rFonts w:ascii="Arial" w:hAnsi="Arial" w:cs="Arial"/>
          <w:sz w:val="20"/>
          <w:szCs w:val="20"/>
          <w:lang w:eastAsia="es-ES"/>
        </w:rPr>
        <w:t xml:space="preserve">Con corte </w:t>
      </w:r>
      <w:r w:rsidR="006F1EE0" w:rsidRPr="00FB351A">
        <w:rPr>
          <w:rFonts w:ascii="Arial" w:hAnsi="Arial" w:cs="Arial"/>
          <w:sz w:val="20"/>
          <w:szCs w:val="20"/>
          <w:lang w:eastAsia="es-ES"/>
        </w:rPr>
        <w:t>julio</w:t>
      </w:r>
      <w:r w:rsidRPr="00FB351A">
        <w:rPr>
          <w:rFonts w:ascii="Arial" w:hAnsi="Arial" w:cs="Arial"/>
          <w:sz w:val="20"/>
          <w:szCs w:val="20"/>
          <w:lang w:eastAsia="es-ES"/>
        </w:rPr>
        <w:t xml:space="preserve"> de 2026, se han acumulado </w:t>
      </w:r>
      <w:r w:rsidR="00E477F9" w:rsidRPr="00FB351A">
        <w:rPr>
          <w:rFonts w:ascii="Arial" w:hAnsi="Arial" w:cs="Arial"/>
          <w:sz w:val="20"/>
          <w:szCs w:val="20"/>
          <w:lang w:eastAsia="es-ES"/>
        </w:rPr>
        <w:t>2</w:t>
      </w:r>
      <w:r w:rsidRPr="00FB351A">
        <w:rPr>
          <w:rFonts w:ascii="Arial" w:hAnsi="Arial" w:cs="Arial"/>
          <w:sz w:val="20"/>
          <w:szCs w:val="20"/>
          <w:lang w:eastAsia="es-ES"/>
        </w:rPr>
        <w:t>.</w:t>
      </w:r>
      <w:r w:rsidR="00E477F9" w:rsidRPr="00FB351A">
        <w:rPr>
          <w:rFonts w:ascii="Arial" w:hAnsi="Arial" w:cs="Arial"/>
          <w:sz w:val="20"/>
          <w:szCs w:val="20"/>
          <w:lang w:eastAsia="es-ES"/>
        </w:rPr>
        <w:t>13</w:t>
      </w:r>
      <w:r w:rsidRPr="00FB351A">
        <w:rPr>
          <w:rFonts w:ascii="Arial" w:hAnsi="Arial" w:cs="Arial"/>
          <w:sz w:val="20"/>
          <w:szCs w:val="20"/>
          <w:lang w:eastAsia="es-ES"/>
        </w:rPr>
        <w:t xml:space="preserve"> billones en primas netas de transferencia, lo que representa </w:t>
      </w:r>
      <w:r w:rsidR="006F1EE0" w:rsidRPr="00FB351A">
        <w:rPr>
          <w:rFonts w:ascii="Arial" w:hAnsi="Arial" w:cs="Arial"/>
          <w:sz w:val="20"/>
          <w:szCs w:val="20"/>
          <w:lang w:eastAsia="es-ES"/>
        </w:rPr>
        <w:t>una variación</w:t>
      </w:r>
      <w:r w:rsidRPr="00FB351A">
        <w:rPr>
          <w:rFonts w:ascii="Arial" w:hAnsi="Arial" w:cs="Arial"/>
          <w:sz w:val="20"/>
          <w:szCs w:val="20"/>
          <w:lang w:eastAsia="es-ES"/>
        </w:rPr>
        <w:t xml:space="preserve"> del </w:t>
      </w:r>
      <w:r w:rsidR="00E477F9" w:rsidRPr="00FB351A">
        <w:rPr>
          <w:rFonts w:ascii="Arial" w:hAnsi="Arial" w:cs="Arial"/>
          <w:sz w:val="20"/>
          <w:szCs w:val="20"/>
          <w:lang w:eastAsia="es-ES"/>
        </w:rPr>
        <w:t>10.01</w:t>
      </w:r>
      <w:r w:rsidRPr="00FB351A">
        <w:rPr>
          <w:rFonts w:ascii="Arial" w:hAnsi="Arial" w:cs="Arial"/>
          <w:sz w:val="20"/>
          <w:szCs w:val="20"/>
          <w:lang w:eastAsia="es-ES"/>
        </w:rPr>
        <w:t>% respecto del mismo periodo del año anterior.</w:t>
      </w:r>
    </w:p>
    <w:p w14:paraId="1A4895A7" w14:textId="77777777" w:rsidR="004A49CD" w:rsidRPr="00FB351A" w:rsidRDefault="004A49CD" w:rsidP="004A49CD">
      <w:pPr>
        <w:jc w:val="both"/>
        <w:rPr>
          <w:rFonts w:ascii="Arial" w:hAnsi="Arial" w:cs="Arial"/>
          <w:sz w:val="20"/>
          <w:szCs w:val="20"/>
          <w:lang w:eastAsia="es-ES"/>
        </w:rPr>
      </w:pPr>
    </w:p>
    <w:p w14:paraId="6DA1D6DF" w14:textId="5DF632B6" w:rsidR="004A49CD" w:rsidRPr="00FB351A" w:rsidRDefault="004A49CD" w:rsidP="004A49CD">
      <w:pPr>
        <w:jc w:val="both"/>
        <w:rPr>
          <w:rFonts w:ascii="Arial" w:hAnsi="Arial" w:cs="Arial"/>
          <w:sz w:val="20"/>
          <w:szCs w:val="20"/>
          <w:lang w:eastAsia="es-ES"/>
        </w:rPr>
      </w:pPr>
      <w:r w:rsidRPr="00FB351A">
        <w:rPr>
          <w:rFonts w:ascii="Arial" w:hAnsi="Arial" w:cs="Arial"/>
          <w:sz w:val="20"/>
          <w:szCs w:val="20"/>
          <w:lang w:eastAsia="es-ES"/>
        </w:rPr>
        <w:t>La Compañía Mundial de Seguros y La Previsora SA Compañía de seguros lideran el mercado con el 41.</w:t>
      </w:r>
      <w:r w:rsidR="00FA1798" w:rsidRPr="00FB351A">
        <w:rPr>
          <w:rFonts w:ascii="Arial" w:hAnsi="Arial" w:cs="Arial"/>
          <w:sz w:val="20"/>
          <w:szCs w:val="20"/>
          <w:lang w:eastAsia="es-ES"/>
        </w:rPr>
        <w:t>71</w:t>
      </w:r>
      <w:r w:rsidRPr="00FB351A">
        <w:rPr>
          <w:rFonts w:ascii="Arial" w:hAnsi="Arial" w:cs="Arial"/>
          <w:sz w:val="20"/>
          <w:szCs w:val="20"/>
          <w:lang w:eastAsia="es-ES"/>
        </w:rPr>
        <w:t>% y el 26.</w:t>
      </w:r>
      <w:r w:rsidR="00FA1798" w:rsidRPr="00FB351A">
        <w:rPr>
          <w:rFonts w:ascii="Arial" w:hAnsi="Arial" w:cs="Arial"/>
          <w:sz w:val="20"/>
          <w:szCs w:val="20"/>
          <w:lang w:eastAsia="es-ES"/>
        </w:rPr>
        <w:t>80</w:t>
      </w:r>
      <w:r w:rsidRPr="00FB351A">
        <w:rPr>
          <w:rFonts w:ascii="Arial" w:hAnsi="Arial" w:cs="Arial"/>
          <w:sz w:val="20"/>
          <w:szCs w:val="20"/>
          <w:lang w:eastAsia="es-ES"/>
        </w:rPr>
        <w:t>% de participación del mercado, respectivamente.</w:t>
      </w:r>
    </w:p>
    <w:p w14:paraId="74BD137B" w14:textId="77777777" w:rsidR="004A49CD" w:rsidRPr="00FB351A" w:rsidRDefault="004A49CD" w:rsidP="004A49CD">
      <w:pPr>
        <w:jc w:val="both"/>
        <w:rPr>
          <w:rFonts w:ascii="Arial" w:hAnsi="Arial" w:cs="Arial"/>
          <w:sz w:val="20"/>
          <w:szCs w:val="20"/>
          <w:lang w:eastAsia="es-ES"/>
        </w:rPr>
      </w:pPr>
    </w:p>
    <w:p w14:paraId="14A15A3C" w14:textId="77777777" w:rsidR="004A49CD" w:rsidRPr="00FB351A" w:rsidRDefault="004A49CD" w:rsidP="004A49CD">
      <w:pPr>
        <w:jc w:val="both"/>
        <w:rPr>
          <w:rFonts w:ascii="Arial" w:hAnsi="Arial" w:cs="Arial"/>
          <w:sz w:val="20"/>
          <w:szCs w:val="20"/>
          <w:lang w:eastAsia="es-ES"/>
        </w:rPr>
      </w:pPr>
    </w:p>
    <w:p w14:paraId="0D0F6FB7" w14:textId="77777777" w:rsidR="004A49CD" w:rsidRPr="00FB351A" w:rsidRDefault="004A49CD" w:rsidP="004A49CD">
      <w:pPr>
        <w:jc w:val="both"/>
        <w:rPr>
          <w:rFonts w:ascii="Arial" w:hAnsi="Arial" w:cs="Arial"/>
          <w:sz w:val="20"/>
          <w:szCs w:val="20"/>
          <w:lang w:eastAsia="es-ES"/>
        </w:rPr>
      </w:pPr>
    </w:p>
    <w:p w14:paraId="243D70A3" w14:textId="39895C72" w:rsidR="004A49CD" w:rsidRPr="00FB351A" w:rsidRDefault="00E477F9" w:rsidP="004A49CD">
      <w:pPr>
        <w:jc w:val="both"/>
        <w:rPr>
          <w:rFonts w:ascii="Arial" w:hAnsi="Arial" w:cs="Arial"/>
          <w:sz w:val="20"/>
          <w:szCs w:val="20"/>
          <w:lang w:eastAsia="es-ES"/>
        </w:rPr>
      </w:pPr>
      <w:r w:rsidRPr="00FB351A">
        <w:rPr>
          <w:rFonts w:ascii="Arial" w:hAnsi="Arial" w:cs="Arial"/>
          <w:noProof/>
          <w:sz w:val="20"/>
          <w:szCs w:val="20"/>
          <w:lang w:eastAsia="es-ES"/>
        </w:rPr>
        <w:lastRenderedPageBreak/>
        <w:drawing>
          <wp:inline distT="0" distB="0" distL="0" distR="0" wp14:anchorId="65AC57F4" wp14:editId="268AAC4D">
            <wp:extent cx="6120765" cy="3725545"/>
            <wp:effectExtent l="0" t="0" r="0" b="8255"/>
            <wp:docPr id="415003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03046" name=""/>
                    <pic:cNvPicPr/>
                  </pic:nvPicPr>
                  <pic:blipFill>
                    <a:blip r:embed="rId17"/>
                    <a:stretch>
                      <a:fillRect/>
                    </a:stretch>
                  </pic:blipFill>
                  <pic:spPr>
                    <a:xfrm>
                      <a:off x="0" y="0"/>
                      <a:ext cx="6120765" cy="3725545"/>
                    </a:xfrm>
                    <a:prstGeom prst="rect">
                      <a:avLst/>
                    </a:prstGeom>
                  </pic:spPr>
                </pic:pic>
              </a:graphicData>
            </a:graphic>
          </wp:inline>
        </w:drawing>
      </w:r>
    </w:p>
    <w:p w14:paraId="6416D6AF" w14:textId="77777777" w:rsidR="004A49CD" w:rsidRPr="00FB351A" w:rsidRDefault="004A49CD" w:rsidP="004A49CD">
      <w:pPr>
        <w:jc w:val="both"/>
        <w:rPr>
          <w:rFonts w:ascii="Arial" w:hAnsi="Arial" w:cs="Arial"/>
          <w:sz w:val="20"/>
          <w:szCs w:val="20"/>
          <w:lang w:eastAsia="es-ES"/>
        </w:rPr>
      </w:pPr>
      <w:r w:rsidRPr="00FB351A">
        <w:rPr>
          <w:rFonts w:ascii="Arial" w:hAnsi="Arial" w:cs="Arial"/>
          <w:sz w:val="20"/>
          <w:szCs w:val="20"/>
          <w:lang w:eastAsia="es-ES"/>
        </w:rPr>
        <w:t xml:space="preserve">Gráfica Primas netas de transferencia por compañía. Imagen tomada de Visualizador inteligente de cifras de </w:t>
      </w:r>
      <w:proofErr w:type="spellStart"/>
      <w:r w:rsidRPr="00FB351A">
        <w:rPr>
          <w:rFonts w:ascii="Arial" w:hAnsi="Arial" w:cs="Arial"/>
          <w:sz w:val="20"/>
          <w:szCs w:val="20"/>
          <w:lang w:eastAsia="es-ES"/>
        </w:rPr>
        <w:t>Fasecolda</w:t>
      </w:r>
      <w:proofErr w:type="spellEnd"/>
    </w:p>
    <w:p w14:paraId="1A8C27F2" w14:textId="77777777" w:rsidR="004402A0" w:rsidRPr="00FB351A" w:rsidRDefault="004402A0" w:rsidP="00803115">
      <w:pPr>
        <w:overflowPunct w:val="0"/>
        <w:autoSpaceDE w:val="0"/>
        <w:autoSpaceDN w:val="0"/>
        <w:adjustRightInd w:val="0"/>
        <w:jc w:val="both"/>
        <w:textAlignment w:val="baseline"/>
        <w:rPr>
          <w:rFonts w:ascii="Arial" w:eastAsia="Batang" w:hAnsi="Arial" w:cs="Arial"/>
          <w:sz w:val="20"/>
          <w:szCs w:val="20"/>
        </w:rPr>
      </w:pPr>
    </w:p>
    <w:p w14:paraId="1C5CFCCA" w14:textId="77777777" w:rsidR="00FA1798" w:rsidRPr="00FB351A" w:rsidRDefault="00FA1798" w:rsidP="00FA1798">
      <w:pPr>
        <w:numPr>
          <w:ilvl w:val="2"/>
          <w:numId w:val="1"/>
        </w:numPr>
        <w:overflowPunct w:val="0"/>
        <w:autoSpaceDE w:val="0"/>
        <w:autoSpaceDN w:val="0"/>
        <w:adjustRightInd w:val="0"/>
        <w:jc w:val="both"/>
        <w:textAlignment w:val="baseline"/>
        <w:rPr>
          <w:rFonts w:ascii="Arial" w:eastAsia="Batang" w:hAnsi="Arial" w:cs="Arial"/>
          <w:b/>
          <w:sz w:val="20"/>
          <w:szCs w:val="20"/>
          <w:lang w:val="es-MX"/>
        </w:rPr>
      </w:pPr>
      <w:r w:rsidRPr="00FB351A">
        <w:rPr>
          <w:rFonts w:ascii="Arial" w:eastAsia="Batang" w:hAnsi="Arial" w:cs="Arial"/>
          <w:b/>
          <w:sz w:val="20"/>
          <w:szCs w:val="20"/>
          <w:lang w:val="es-MX"/>
        </w:rPr>
        <w:t>Análisis del Ciclo de Vida de los seguros (Articulo 2.2.1.1.1 .3.1 del Decreto 1082 de 2015 adicionado por el artículo 4 del Decreto 997 del 4 de agosto de 2026)</w:t>
      </w:r>
    </w:p>
    <w:p w14:paraId="365A9A37" w14:textId="77777777" w:rsidR="00FA1798" w:rsidRPr="00FB351A" w:rsidRDefault="00FA1798" w:rsidP="00FA1798">
      <w:pPr>
        <w:overflowPunct w:val="0"/>
        <w:autoSpaceDE w:val="0"/>
        <w:autoSpaceDN w:val="0"/>
        <w:adjustRightInd w:val="0"/>
        <w:jc w:val="both"/>
        <w:textAlignment w:val="baseline"/>
        <w:rPr>
          <w:rFonts w:ascii="Arial" w:eastAsia="Batang" w:hAnsi="Arial" w:cs="Arial"/>
          <w:b/>
          <w:sz w:val="20"/>
          <w:szCs w:val="20"/>
          <w:lang w:val="es-MX"/>
        </w:rPr>
      </w:pPr>
    </w:p>
    <w:p w14:paraId="4CDAF8BC"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El mercado asegurador colombiano está compuesto por compañías de seguros legalmente constituidas en el país y debidamente autorizadas por la Superintendencia Financiera de Colombia (</w:t>
      </w:r>
      <w:proofErr w:type="spellStart"/>
      <w:r w:rsidRPr="00FB351A">
        <w:rPr>
          <w:rFonts w:ascii="Arial" w:eastAsia="Batang" w:hAnsi="Arial" w:cs="Arial"/>
          <w:bCs/>
          <w:sz w:val="20"/>
          <w:szCs w:val="20"/>
        </w:rPr>
        <w:t>SFC</w:t>
      </w:r>
      <w:proofErr w:type="spellEnd"/>
      <w:r w:rsidRPr="00FB351A">
        <w:rPr>
          <w:rFonts w:ascii="Arial" w:eastAsia="Batang" w:hAnsi="Arial" w:cs="Arial"/>
          <w:bCs/>
          <w:sz w:val="20"/>
          <w:szCs w:val="20"/>
        </w:rPr>
        <w:t>) para la comercialización y explotación de los diferentes ramos de seguros. Este sector fundamenta su operación en la asunción y dispersión de riesgos, brindando respaldo patrimonial tanto a personas naturales como a entidades de derecho público y privado.</w:t>
      </w:r>
    </w:p>
    <w:p w14:paraId="07852C73"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p>
    <w:p w14:paraId="1B06FDB0"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MX"/>
        </w:rPr>
      </w:pPr>
      <w:r w:rsidRPr="00FB351A">
        <w:rPr>
          <w:rFonts w:ascii="Arial" w:eastAsia="Batang" w:hAnsi="Arial" w:cs="Arial"/>
          <w:bCs/>
          <w:sz w:val="20"/>
          <w:szCs w:val="20"/>
          <w:lang w:val="es-MX"/>
        </w:rPr>
        <w:t xml:space="preserve">El análisis del “Ciclo de Vida” del contrato de seguros comprende todas las fases consecutivas o interrelacionadas que se sucedan durante su existencia y, en todo caso, la investigación y el desarrollo que deba llevarse a cabo; todo ello hasta que se produzca su finalización o inexistencia. </w:t>
      </w:r>
    </w:p>
    <w:p w14:paraId="763F0E7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
          <w:sz w:val="20"/>
          <w:szCs w:val="20"/>
          <w:lang w:val="es-MX"/>
        </w:rPr>
      </w:pPr>
    </w:p>
    <w:p w14:paraId="6C1B0102"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MX"/>
        </w:rPr>
      </w:pPr>
      <w:r w:rsidRPr="00FB351A">
        <w:rPr>
          <w:rFonts w:ascii="Arial" w:eastAsia="Batang" w:hAnsi="Arial" w:cs="Arial"/>
          <w:bCs/>
          <w:sz w:val="20"/>
          <w:szCs w:val="20"/>
          <w:lang w:val="es-MX"/>
        </w:rPr>
        <w:t>Las personas naturales y las empresas acuden a intermediarios y compañías de seguros para buscar asesoría en la manera de mitigar el impacto negativo que pudiera ocurrir con la materialización de un riesgo. El mercado ha evolucionado y ha diseñado diferentes productos de seguros para proteger eventuales perdidas a los bienes patrimoniales, así como la vida y la salud.</w:t>
      </w:r>
    </w:p>
    <w:p w14:paraId="6302ADD3"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MX"/>
        </w:rPr>
      </w:pPr>
    </w:p>
    <w:p w14:paraId="78D35A7B"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MX"/>
        </w:rPr>
      </w:pPr>
      <w:r w:rsidRPr="00FB351A">
        <w:rPr>
          <w:rFonts w:ascii="Arial" w:eastAsia="Batang" w:hAnsi="Arial" w:cs="Arial"/>
          <w:sz w:val="20"/>
          <w:szCs w:val="20"/>
          <w:lang w:val="es-ES"/>
        </w:rPr>
        <w:t xml:space="preserve">Las compañías de seguros basan su negocio en el cobro de unas primas para garantizar unas coberturas a sus asegurados en caso de que se dé la ocurrencia del siniestro. Estas primas son invertidas en diversos </w:t>
      </w:r>
      <w:r w:rsidRPr="00FB351A">
        <w:rPr>
          <w:rFonts w:ascii="Arial" w:eastAsia="Batang" w:hAnsi="Arial" w:cs="Arial"/>
          <w:sz w:val="20"/>
          <w:szCs w:val="20"/>
          <w:lang w:val="es-ES"/>
        </w:rPr>
        <w:lastRenderedPageBreak/>
        <w:t>activos (financieros y materiales) que ofrecen un rendimiento. La disponibilidad de una amplia cartera de pólizas hace que las compañías puedan hacer frente a los siniestros que acontecen gracias a que la prima ha sido obtenida mediante cálculos actuariales. El ciclo económico de las compañías aseguradoras se caracteriza por el cobro de las primas al inicio de cobertura de los contratos, realizándose los pagos en un momento posterior y disponiendo por lo tanto de unos recursos que se invertirán en distintos activos financieros y materiales</w:t>
      </w:r>
    </w:p>
    <w:p w14:paraId="5F4310ED"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MX"/>
        </w:rPr>
      </w:pPr>
    </w:p>
    <w:p w14:paraId="2AED31D6"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r w:rsidRPr="00FB351A">
        <w:rPr>
          <w:rFonts w:ascii="Arial" w:eastAsia="Batang" w:hAnsi="Arial" w:cs="Arial"/>
          <w:sz w:val="20"/>
          <w:szCs w:val="20"/>
          <w:lang w:val="es-ES"/>
        </w:rPr>
        <w:t>Es así entonces como la técnica del seguro se basa en el pago anticipado de los recursos que se invierten a largo plazo, fijándose las reservas especiales, denominadas provisiones técnicas, que garantizan que cuando ocurran eventos dañosos, se efectuará el pago de las indemnizaciones por el siniestro. Las citadas reservas son invertidas por las empresas de seguros normalmente en activos financieros (títulos o valores mobiliarios, operaciones activas), y excepcionalmente en activos reales (inmuebles).</w:t>
      </w:r>
    </w:p>
    <w:p w14:paraId="689D9B22"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p>
    <w:p w14:paraId="015550A1"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r w:rsidRPr="00FB351A">
        <w:rPr>
          <w:rFonts w:ascii="Arial" w:eastAsia="Batang" w:hAnsi="Arial" w:cs="Arial"/>
          <w:sz w:val="20"/>
          <w:szCs w:val="20"/>
          <w:lang w:val="es-ES"/>
        </w:rPr>
        <w:t>Al constituirse el contrato de seguros, la compañía aseguradora, al recibir una prima en concepto de pago, se obliga frente al asegurado a indemnizarle según lo pactado si llegare ocurrir el evento no deseado, y cuyo espíritu es el de restituir al asegurado al "estado" previo al siniestro, para que la calamidad no se convierta en lucro.</w:t>
      </w:r>
    </w:p>
    <w:p w14:paraId="4102EBD5"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p>
    <w:p w14:paraId="281E1ED3" w14:textId="77777777" w:rsidR="00FA1798" w:rsidRPr="00FB351A" w:rsidRDefault="00FA1798" w:rsidP="00FA1798">
      <w:pPr>
        <w:numPr>
          <w:ilvl w:val="3"/>
          <w:numId w:val="1"/>
        </w:numPr>
        <w:overflowPunct w:val="0"/>
        <w:autoSpaceDE w:val="0"/>
        <w:autoSpaceDN w:val="0"/>
        <w:adjustRightInd w:val="0"/>
        <w:jc w:val="both"/>
        <w:textAlignment w:val="baseline"/>
        <w:rPr>
          <w:rFonts w:ascii="Arial" w:eastAsia="Batang" w:hAnsi="Arial" w:cs="Arial"/>
          <w:b/>
          <w:sz w:val="20"/>
          <w:szCs w:val="20"/>
          <w:lang w:val="es-MX"/>
        </w:rPr>
      </w:pPr>
      <w:r w:rsidRPr="00FB351A">
        <w:rPr>
          <w:rFonts w:ascii="Arial" w:eastAsia="Batang" w:hAnsi="Arial" w:cs="Arial"/>
          <w:b/>
          <w:sz w:val="20"/>
          <w:szCs w:val="20"/>
          <w:lang w:val="es-MX"/>
        </w:rPr>
        <w:t>Los participantes en este mercado se detallan a continuación:</w:t>
      </w:r>
    </w:p>
    <w:p w14:paraId="26915ECB"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MX"/>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7"/>
        <w:gridCol w:w="6656"/>
      </w:tblGrid>
      <w:tr w:rsidR="00FA1798" w:rsidRPr="00FB351A" w14:paraId="7FE1C4DE" w14:textId="77777777" w:rsidTr="009B3AAD">
        <w:trPr>
          <w:trHeight w:val="20"/>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1EE58EE"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Actor</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1FD66B5E"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Rol dentro del Ciclo de Vida</w:t>
            </w:r>
          </w:p>
        </w:tc>
      </w:tr>
      <w:tr w:rsidR="00FA1798" w:rsidRPr="00FB351A" w14:paraId="78978309" w14:textId="77777777" w:rsidTr="009B3AAD">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A830B"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Contratantes / Asegurados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92035B"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Entidades estatales o particulares que transfieren sus riesgos, contratan las pólizas y asumen el pago de las primas.</w:t>
            </w:r>
          </w:p>
        </w:tc>
      </w:tr>
      <w:tr w:rsidR="00FA1798" w:rsidRPr="00FB351A" w14:paraId="65313157" w14:textId="77777777" w:rsidTr="009B3AAD">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8AED53"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Compañías de Seguros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BF6922"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 xml:space="preserve">Entidades financieras autorizadas por la </w:t>
            </w:r>
            <w:proofErr w:type="spellStart"/>
            <w:r w:rsidRPr="00FB351A">
              <w:rPr>
                <w:rFonts w:ascii="Arial" w:eastAsia="Batang" w:hAnsi="Arial" w:cs="Arial"/>
                <w:bCs/>
                <w:sz w:val="20"/>
                <w:szCs w:val="20"/>
              </w:rPr>
              <w:t>SFC</w:t>
            </w:r>
            <w:proofErr w:type="spellEnd"/>
            <w:r w:rsidRPr="00FB351A">
              <w:rPr>
                <w:rFonts w:ascii="Arial" w:eastAsia="Batang" w:hAnsi="Arial" w:cs="Arial"/>
                <w:bCs/>
                <w:sz w:val="20"/>
                <w:szCs w:val="20"/>
              </w:rPr>
              <w:t xml:space="preserve"> que asumen legalmente los riesgos, constituyen reservas y pagan los siniestros.</w:t>
            </w:r>
          </w:p>
        </w:tc>
      </w:tr>
      <w:tr w:rsidR="00FA1798" w:rsidRPr="00FB351A" w14:paraId="12AD4E53" w14:textId="77777777" w:rsidTr="009B3AAD">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3EB757"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Intermediarios de Seguros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0C4B31"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Corredores, agencias o agentes que fungen como canal de distribución, conectando a los asegurados con las aseguradoras y brindando asesoría técnica (Ej. estructuración y atención de siniestros).</w:t>
            </w:r>
          </w:p>
        </w:tc>
      </w:tr>
      <w:tr w:rsidR="00FA1798" w:rsidRPr="00FB351A" w14:paraId="543511EF" w14:textId="77777777" w:rsidTr="009B3AAD">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A2907C"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Reaseguradores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8D9FB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Entidades (nacionales o extranjeras) que asumen una porción de los riesgos de las aseguradoras directas para diversificar la exposición catastrófica y garantizar la solvencia del mercado.</w:t>
            </w:r>
          </w:p>
        </w:tc>
      </w:tr>
      <w:tr w:rsidR="00FA1798" w:rsidRPr="00FB351A" w14:paraId="6E144DBB" w14:textId="77777777" w:rsidTr="009B3AAD">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FDF19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Beneficiarios / Terceros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2A0526"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Personas naturales o jurídicas que ostentan el derecho a recibir el pago de las indemnizaciones ante la ocurrencia del siniestro.</w:t>
            </w:r>
          </w:p>
        </w:tc>
      </w:tr>
      <w:tr w:rsidR="00FA1798" w:rsidRPr="00FB351A" w14:paraId="6CA37A57" w14:textId="77777777" w:rsidTr="009B3AAD">
        <w:trPr>
          <w:trHeight w:val="2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F6F15A"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Superintendencia Financiera de Colombia (</w:t>
            </w:r>
            <w:proofErr w:type="spellStart"/>
            <w:r w:rsidRPr="00FB351A">
              <w:rPr>
                <w:rFonts w:ascii="Arial" w:eastAsia="Batang" w:hAnsi="Arial" w:cs="Arial"/>
                <w:b/>
                <w:bCs/>
                <w:sz w:val="20"/>
                <w:szCs w:val="20"/>
              </w:rPr>
              <w:t>SFC</w:t>
            </w:r>
            <w:proofErr w:type="spellEnd"/>
            <w:r w:rsidRPr="00FB351A">
              <w:rPr>
                <w:rFonts w:ascii="Arial" w:eastAsia="Batang" w:hAnsi="Arial" w:cs="Arial"/>
                <w:b/>
                <w:bCs/>
                <w:sz w:val="20"/>
                <w:szCs w:val="20"/>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5CB41"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Órgano del Estado encargado de regular, inspeccionar y vigilar la solvencia, las notas técnicas y las buenas prácticas del mercado asegurador.</w:t>
            </w:r>
          </w:p>
        </w:tc>
      </w:tr>
    </w:tbl>
    <w:p w14:paraId="56995404" w14:textId="209623E9"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r w:rsidRPr="00FB351A">
        <w:rPr>
          <w:rFonts w:ascii="Arial" w:eastAsia="Batang" w:hAnsi="Arial" w:cs="Arial"/>
          <w:sz w:val="20"/>
          <w:szCs w:val="20"/>
          <w:lang w:val="es-ES"/>
        </w:rPr>
        <w:t>Cuadro Participantes del sector. Elaborado por el intermediario de seguros de la entidad JARGU S.A. Corredores de seguros.</w:t>
      </w:r>
    </w:p>
    <w:p w14:paraId="5338F365"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p>
    <w:p w14:paraId="4ADE50A4" w14:textId="77777777" w:rsidR="00FA1798" w:rsidRPr="00FB351A" w:rsidRDefault="00FA1798" w:rsidP="00FA1798">
      <w:pPr>
        <w:numPr>
          <w:ilvl w:val="3"/>
          <w:numId w:val="1"/>
        </w:numPr>
        <w:overflowPunct w:val="0"/>
        <w:autoSpaceDE w:val="0"/>
        <w:autoSpaceDN w:val="0"/>
        <w:adjustRightInd w:val="0"/>
        <w:jc w:val="both"/>
        <w:textAlignment w:val="baseline"/>
        <w:rPr>
          <w:rFonts w:ascii="Arial" w:eastAsia="Batang" w:hAnsi="Arial" w:cs="Arial"/>
          <w:b/>
          <w:sz w:val="20"/>
          <w:szCs w:val="20"/>
          <w:lang w:val="es-ES"/>
        </w:rPr>
      </w:pPr>
      <w:r w:rsidRPr="00FB351A">
        <w:rPr>
          <w:rFonts w:ascii="Arial" w:eastAsia="Batang" w:hAnsi="Arial" w:cs="Arial"/>
          <w:b/>
          <w:sz w:val="20"/>
          <w:szCs w:val="20"/>
          <w:lang w:val="es-ES"/>
        </w:rPr>
        <w:t>Dinámica De Producción, Distribución y Entrega del Servicios</w:t>
      </w:r>
    </w:p>
    <w:p w14:paraId="4DC89372"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p>
    <w:p w14:paraId="22CD5D86"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Las compañías de seguros basan su modelo operativo en el principio de mutualidad. El ciclo económico del negocio se caracteriza por el recaudo anticipado de las primas al inicio de la cobertura. Esta suficiencia tarifaria se calcula mediante estrictos modelos actuariales que evalúan la frecuencia y severidad histórica de los riesgos.</w:t>
      </w:r>
    </w:p>
    <w:p w14:paraId="3B89A0BE"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p w14:paraId="29E8624E"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 xml:space="preserve">La técnica del seguro exige que los recursos recaudados se inviertan a largo plazo para constituir reservas especiales de ley, denominadas </w:t>
      </w:r>
      <w:r w:rsidRPr="00FB351A">
        <w:rPr>
          <w:rFonts w:ascii="Arial" w:eastAsia="Batang" w:hAnsi="Arial" w:cs="Arial"/>
          <w:b/>
          <w:bCs/>
          <w:sz w:val="20"/>
          <w:szCs w:val="20"/>
        </w:rPr>
        <w:t>provisiones técnicas</w:t>
      </w:r>
      <w:r w:rsidRPr="00FB351A">
        <w:rPr>
          <w:rFonts w:ascii="Arial" w:eastAsia="Batang" w:hAnsi="Arial" w:cs="Arial"/>
          <w:sz w:val="20"/>
          <w:szCs w:val="20"/>
        </w:rPr>
        <w:t>. Estas reservas (respaldadas en inversiones y activos financieros líquidos) son la garantía jurídica y patrimonial de que, al momento de ocurrir eventos dañosos, la compañía contará con el músculo financiero necesario para efectuar el pago de las indemnizaciones.</w:t>
      </w:r>
    </w:p>
    <w:p w14:paraId="5310168A"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p w14:paraId="2B3D7B8F" w14:textId="77777777" w:rsidR="00FA1798" w:rsidRPr="00FB351A" w:rsidRDefault="00FA1798">
      <w:pPr>
        <w:numPr>
          <w:ilvl w:val="0"/>
          <w:numId w:val="42"/>
        </w:numPr>
        <w:overflowPunct w:val="0"/>
        <w:autoSpaceDE w:val="0"/>
        <w:autoSpaceDN w:val="0"/>
        <w:adjustRightInd w:val="0"/>
        <w:jc w:val="both"/>
        <w:textAlignment w:val="baseline"/>
        <w:rPr>
          <w:rFonts w:ascii="Arial" w:eastAsia="Batang" w:hAnsi="Arial" w:cs="Arial"/>
          <w:b/>
          <w:bCs/>
          <w:sz w:val="20"/>
          <w:szCs w:val="20"/>
        </w:rPr>
      </w:pPr>
      <w:r w:rsidRPr="00FB351A">
        <w:rPr>
          <w:rFonts w:ascii="Arial" w:eastAsia="Batang" w:hAnsi="Arial" w:cs="Arial"/>
          <w:b/>
          <w:bCs/>
          <w:sz w:val="20"/>
          <w:szCs w:val="20"/>
        </w:rPr>
        <w:t>Fases del ciclo del negocio:</w:t>
      </w:r>
    </w:p>
    <w:p w14:paraId="70B9E51A"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p w14:paraId="26971394"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r w:rsidRPr="00FB351A">
        <w:rPr>
          <w:rFonts w:ascii="Arial" w:eastAsia="Batang" w:hAnsi="Arial" w:cs="Arial"/>
          <w:sz w:val="20"/>
          <w:szCs w:val="20"/>
          <w:lang w:val="es-ES"/>
        </w:rPr>
        <w:t>La operatividad del mercado de seguros se fundamenta en un ciclo técnico y financiero continuo que garantiza la correcta transferencia, administración y atención de los riesgos. En el contexto de la contratación estatal, comprender la integralidad de estas etapas resulta esencial para estructurar adecuadamente el Proceso de Contratación y delimitar las obligaciones del contratista a lo largo de la ejecución. A continuación, se detallan las tres fases operativas que componen el ciclo de vida del negocio asegurador, abarcando desde la evaluación y colocación inicial del riesgo, hasta su eventual materialización y resarcimiento:</w:t>
      </w:r>
    </w:p>
    <w:p w14:paraId="17CF54D5"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5"/>
        <w:gridCol w:w="2369"/>
        <w:gridCol w:w="4199"/>
      </w:tblGrid>
      <w:tr w:rsidR="00FA1798" w:rsidRPr="00FB351A" w14:paraId="1A60B880" w14:textId="77777777" w:rsidTr="009B3AAD">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CD6D56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Fase del Ciclo</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8C6AD70"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Etapa / Acción</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8F8584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Descripción Operativa</w:t>
            </w:r>
          </w:p>
        </w:tc>
      </w:tr>
      <w:tr w:rsidR="00FA1798" w:rsidRPr="00FB351A" w14:paraId="57209EF5" w14:textId="77777777" w:rsidTr="009B3AAD">
        <w:trPr>
          <w:tblCellSpacing w:w="15" w:type="dxa"/>
        </w:trPr>
        <w:tc>
          <w:tcPr>
            <w:tcW w:w="0" w:type="auto"/>
            <w:vMerge w:val="restart"/>
            <w:tcBorders>
              <w:top w:val="single" w:sz="6" w:space="0" w:color="C4C7C5"/>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0B92CC43"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Fase 1: Estructuración y Suscripción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B2DDF0"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Identificación del Riesgo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9117B"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La Entidad Estatal determina su necesidad de cobertura.</w:t>
            </w:r>
          </w:p>
        </w:tc>
      </w:tr>
      <w:tr w:rsidR="00FA1798" w:rsidRPr="00FB351A" w14:paraId="264E6627" w14:textId="77777777" w:rsidTr="009B3AAD">
        <w:trPr>
          <w:tblCellSpacing w:w="15" w:type="dxa"/>
        </w:trPr>
        <w:tc>
          <w:tcPr>
            <w:tcW w:w="0" w:type="auto"/>
            <w:vMerge/>
            <w:tcBorders>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197EFFD6"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297E9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Cotización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EB7759"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Análisis actuarial y cálculo de la prima pura de riesgo.</w:t>
            </w:r>
          </w:p>
        </w:tc>
      </w:tr>
      <w:tr w:rsidR="00FA1798" w:rsidRPr="00FB351A" w14:paraId="52E023E5" w14:textId="77777777" w:rsidTr="009B3AAD">
        <w:trPr>
          <w:tblCellSpacing w:w="15" w:type="dxa"/>
        </w:trPr>
        <w:tc>
          <w:tcPr>
            <w:tcW w:w="0" w:type="auto"/>
            <w:vMerge/>
            <w:tcBorders>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8B1B153"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EC77B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Suscripción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BAB5D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Expedición de la póliza y pago de la prima anticipada.</w:t>
            </w:r>
          </w:p>
        </w:tc>
      </w:tr>
      <w:tr w:rsidR="00FA1798" w:rsidRPr="00FB351A" w14:paraId="65CAE662" w14:textId="77777777" w:rsidTr="009B3AAD">
        <w:trPr>
          <w:tblCellSpacing w:w="15" w:type="dxa"/>
        </w:trPr>
        <w:tc>
          <w:tcPr>
            <w:tcW w:w="0" w:type="auto"/>
            <w:vMerge w:val="restart"/>
            <w:tcBorders>
              <w:top w:val="single" w:sz="6" w:space="0" w:color="C4C7C5"/>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7BCDFA01"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Fase 2: Administración e Inversión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FCF532"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Constitución de Reservas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574A52"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La aseguradora invierte la prima para respaldar provisiones técnicas.</w:t>
            </w:r>
          </w:p>
        </w:tc>
      </w:tr>
      <w:tr w:rsidR="00FA1798" w:rsidRPr="00FB351A" w14:paraId="3AF8DD45" w14:textId="77777777" w:rsidTr="009B3AAD">
        <w:trPr>
          <w:tblCellSpacing w:w="15" w:type="dxa"/>
        </w:trPr>
        <w:tc>
          <w:tcPr>
            <w:tcW w:w="0" w:type="auto"/>
            <w:vMerge/>
            <w:tcBorders>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3F51917"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D058E0"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Vigencia del Amparo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EE7B31"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Inicio de la cobertura y ejecución de valores agregados (prevención).</w:t>
            </w:r>
          </w:p>
        </w:tc>
      </w:tr>
      <w:tr w:rsidR="00FA1798" w:rsidRPr="00FB351A" w14:paraId="041FD4FD" w14:textId="77777777" w:rsidTr="009B3AAD">
        <w:trPr>
          <w:tblCellSpacing w:w="15" w:type="dxa"/>
        </w:trPr>
        <w:tc>
          <w:tcPr>
            <w:tcW w:w="0" w:type="auto"/>
            <w:vMerge w:val="restart"/>
            <w:tcBorders>
              <w:top w:val="single" w:sz="6" w:space="0" w:color="C4C7C5"/>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784D6B11"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Fase 3: Materialización (Siniestralidad)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11648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Ocurrencia del Siniestro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4BA5AE"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El riesgo amparado se materializa.</w:t>
            </w:r>
          </w:p>
        </w:tc>
      </w:tr>
      <w:tr w:rsidR="00FA1798" w:rsidRPr="00FB351A" w14:paraId="2ECA06AA" w14:textId="77777777" w:rsidTr="009B3AAD">
        <w:trPr>
          <w:tblCellSpacing w:w="15" w:type="dxa"/>
        </w:trPr>
        <w:tc>
          <w:tcPr>
            <w:tcW w:w="0" w:type="auto"/>
            <w:vMerge/>
            <w:tcBorders>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543A9A0B"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34714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Aviso y Ajuste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EBD151"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Reporte, liquidación y evaluación de la pérdida.</w:t>
            </w:r>
          </w:p>
        </w:tc>
      </w:tr>
      <w:tr w:rsidR="00FA1798" w:rsidRPr="00FB351A" w14:paraId="2B0CC511" w14:textId="77777777" w:rsidTr="009B3AAD">
        <w:trPr>
          <w:tblCellSpacing w:w="15" w:type="dxa"/>
        </w:trPr>
        <w:tc>
          <w:tcPr>
            <w:tcW w:w="0" w:type="auto"/>
            <w:vMerge/>
            <w:tcBorders>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176E735D"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4C74D4"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b/>
                <w:bCs/>
                <w:sz w:val="20"/>
                <w:szCs w:val="20"/>
              </w:rPr>
              <w:t>Indemnización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2AABC7"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Pago para restituir el patrimonio de la Entidad Estatal.</w:t>
            </w:r>
          </w:p>
        </w:tc>
      </w:tr>
    </w:tbl>
    <w:p w14:paraId="23F0EA81" w14:textId="0BF976DE"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r w:rsidRPr="00FB351A">
        <w:rPr>
          <w:rFonts w:ascii="Arial" w:eastAsia="Batang" w:hAnsi="Arial" w:cs="Arial"/>
          <w:sz w:val="20"/>
          <w:szCs w:val="20"/>
          <w:lang w:val="es-ES"/>
        </w:rPr>
        <w:t>Cuadro Fases del ciclo de vida del negocio. Elaborado por el intermediario de seguros de la entidad JARGU S.A. Corredores de seguros.</w:t>
      </w:r>
    </w:p>
    <w:p w14:paraId="6C611BB8"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p>
    <w:p w14:paraId="64715F46" w14:textId="77777777" w:rsidR="00FA1798" w:rsidRPr="00FB351A" w:rsidRDefault="00FA1798">
      <w:pPr>
        <w:numPr>
          <w:ilvl w:val="0"/>
          <w:numId w:val="42"/>
        </w:numPr>
        <w:overflowPunct w:val="0"/>
        <w:autoSpaceDE w:val="0"/>
        <w:autoSpaceDN w:val="0"/>
        <w:adjustRightInd w:val="0"/>
        <w:jc w:val="both"/>
        <w:textAlignment w:val="baseline"/>
        <w:rPr>
          <w:rFonts w:ascii="Arial" w:eastAsia="Batang" w:hAnsi="Arial" w:cs="Arial"/>
          <w:b/>
          <w:bCs/>
          <w:sz w:val="20"/>
          <w:szCs w:val="20"/>
        </w:rPr>
      </w:pPr>
      <w:r w:rsidRPr="00FB351A">
        <w:rPr>
          <w:rFonts w:ascii="Arial" w:eastAsia="Batang" w:hAnsi="Arial" w:cs="Arial"/>
          <w:b/>
          <w:bCs/>
          <w:sz w:val="20"/>
          <w:szCs w:val="20"/>
        </w:rPr>
        <w:t>Proceso de Atención y liquidación de siniestros</w:t>
      </w:r>
    </w:p>
    <w:p w14:paraId="6C60DCF7" w14:textId="77777777" w:rsidR="00FA1798" w:rsidRPr="00FB351A" w:rsidRDefault="00FA1798" w:rsidP="00FA1798">
      <w:pPr>
        <w:overflowPunct w:val="0"/>
        <w:autoSpaceDE w:val="0"/>
        <w:autoSpaceDN w:val="0"/>
        <w:adjustRightInd w:val="0"/>
        <w:jc w:val="both"/>
        <w:textAlignment w:val="baseline"/>
        <w:rPr>
          <w:rFonts w:ascii="Arial" w:eastAsia="Batang" w:hAnsi="Arial" w:cs="Arial"/>
          <w:b/>
          <w:bCs/>
          <w:sz w:val="20"/>
          <w:szCs w:val="20"/>
        </w:rPr>
      </w:pPr>
    </w:p>
    <w:p w14:paraId="5B09D615"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Una vez las pólizas se encuentran expedidas y en vigencia, el ciclo del servicio asegurador alcanza su etapa crítica cuando ocurre un evento imprevisto que afecta los bienes, el patrimonio o los intereses asegurados de la Entidad Estatal. En ese momento, se activa el amparo mediante el proceso de reclamación, el cual exige una interacción técnica, administrativa y jurídica coordinada entre la Entidad y la compañía aseguradora para garantizar el oportuno resarcimiento de los perjuicios.</w:t>
      </w:r>
    </w:p>
    <w:p w14:paraId="2366C244" w14:textId="77777777" w:rsidR="00FA1798" w:rsidRPr="00FB351A" w:rsidRDefault="00FA1798" w:rsidP="00FA1798">
      <w:pPr>
        <w:overflowPunct w:val="0"/>
        <w:autoSpaceDE w:val="0"/>
        <w:autoSpaceDN w:val="0"/>
        <w:adjustRightInd w:val="0"/>
        <w:jc w:val="both"/>
        <w:textAlignment w:val="baseline"/>
        <w:rPr>
          <w:rFonts w:ascii="Arial" w:eastAsia="Batang" w:hAnsi="Arial" w:cs="Arial"/>
          <w:b/>
          <w:bCs/>
          <w:sz w:val="20"/>
          <w:szCs w:val="20"/>
        </w:rPr>
      </w:pPr>
    </w:p>
    <w:p w14:paraId="38376DFD"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A continuación, se detalla el flujo operativo y documental que rige el proceso estándar de atención, ajuste y liquidación de los siniestros:</w:t>
      </w:r>
    </w:p>
    <w:p w14:paraId="41836118"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6"/>
        <w:gridCol w:w="2865"/>
        <w:gridCol w:w="5102"/>
      </w:tblGrid>
      <w:tr w:rsidR="00FA1798" w:rsidRPr="00FB351A" w14:paraId="6F5512D9" w14:textId="77777777" w:rsidTr="009B3AAD">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830BBEB"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Fase del Proceso</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0A61D49"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Acción Principal</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FBE371C"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Descripción Operativa</w:t>
            </w:r>
          </w:p>
        </w:tc>
      </w:tr>
      <w:tr w:rsidR="00FA1798" w:rsidRPr="00FB351A" w14:paraId="6D48E38A" w14:textId="77777777" w:rsidTr="009B3AAD">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DC0FB6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1. ENTRADA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797FE6"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Aviso de ocurrencia de un siniestro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2C8075"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Reporte formal por parte de la Entidad Estatal sobre la materialización del riesgo amparado.</w:t>
            </w:r>
          </w:p>
        </w:tc>
      </w:tr>
      <w:tr w:rsidR="00FA1798" w:rsidRPr="00FB351A" w14:paraId="2980CA61" w14:textId="77777777" w:rsidTr="009B3AAD">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04E1993"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2. PROCESO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7DA5E"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Verificación de documentos acorde al siniestro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12A4E"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Revisión, análisis técnico (ajuste) y validación de los soportes formales que demuestran la ocurrencia y cuantía de la pérdida.</w:t>
            </w:r>
          </w:p>
        </w:tc>
      </w:tr>
      <w:tr w:rsidR="00FA1798" w:rsidRPr="00FB351A" w14:paraId="09ACE995" w14:textId="77777777" w:rsidTr="009B3AAD">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CE0AF1F"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3. SALIDA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AB27D4"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Indemnización del siniestro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23DB9C"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Pago, reposición o reparación por parte de la aseguradora para resarcir el patrimonio afectado.</w:t>
            </w:r>
          </w:p>
        </w:tc>
      </w:tr>
    </w:tbl>
    <w:p w14:paraId="4989C0E9" w14:textId="2D8FF02E"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r w:rsidRPr="00FB351A">
        <w:rPr>
          <w:rFonts w:ascii="Arial" w:eastAsia="Batang" w:hAnsi="Arial" w:cs="Arial"/>
          <w:sz w:val="20"/>
          <w:szCs w:val="20"/>
          <w:lang w:val="es-ES"/>
        </w:rPr>
        <w:t>Cuadro Proceso de atención y liquidación de siniestros. Elaborado por el intermediario de seguros de la entidad JARGU S.A. Corredores de seguros.</w:t>
      </w:r>
    </w:p>
    <w:p w14:paraId="44BA84EF" w14:textId="7777777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p>
    <w:p w14:paraId="428A99F1" w14:textId="77777777" w:rsidR="00FA1798" w:rsidRPr="00FB351A" w:rsidRDefault="00FA1798" w:rsidP="00FA1798">
      <w:pPr>
        <w:numPr>
          <w:ilvl w:val="3"/>
          <w:numId w:val="1"/>
        </w:numPr>
        <w:overflowPunct w:val="0"/>
        <w:autoSpaceDE w:val="0"/>
        <w:autoSpaceDN w:val="0"/>
        <w:adjustRightInd w:val="0"/>
        <w:jc w:val="both"/>
        <w:textAlignment w:val="baseline"/>
        <w:rPr>
          <w:rFonts w:ascii="Arial" w:eastAsia="Batang" w:hAnsi="Arial" w:cs="Arial"/>
          <w:b/>
          <w:bCs/>
          <w:sz w:val="20"/>
          <w:szCs w:val="20"/>
          <w:lang w:val="es-ES"/>
        </w:rPr>
      </w:pPr>
      <w:bookmarkStart w:id="4" w:name="_Hlk209460797"/>
      <w:r w:rsidRPr="00FB351A">
        <w:rPr>
          <w:rFonts w:ascii="Arial" w:eastAsia="Batang" w:hAnsi="Arial" w:cs="Arial"/>
          <w:b/>
          <w:bCs/>
          <w:sz w:val="20"/>
          <w:szCs w:val="20"/>
          <w:lang w:val="es-ES"/>
        </w:rPr>
        <w:t>Cadena de suministro</w:t>
      </w:r>
    </w:p>
    <w:p w14:paraId="5A409993" w14:textId="77777777" w:rsidR="00FA1798" w:rsidRPr="00FB351A" w:rsidRDefault="00FA1798" w:rsidP="00FA1798">
      <w:pPr>
        <w:overflowPunct w:val="0"/>
        <w:autoSpaceDE w:val="0"/>
        <w:autoSpaceDN w:val="0"/>
        <w:adjustRightInd w:val="0"/>
        <w:jc w:val="both"/>
        <w:textAlignment w:val="baseline"/>
        <w:rPr>
          <w:rFonts w:ascii="Arial" w:eastAsia="Batang" w:hAnsi="Arial" w:cs="Arial"/>
          <w:b/>
          <w:sz w:val="20"/>
          <w:szCs w:val="20"/>
          <w:lang w:val="es-ES"/>
        </w:rPr>
      </w:pPr>
    </w:p>
    <w:p w14:paraId="7B50933C"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En el sector asegurador colombiano, la cadena de suministro permite a la Entidad Estatal acceder al mercado a través de dos vías de comercialización legalmente válidas:</w:t>
      </w:r>
    </w:p>
    <w:p w14:paraId="5D2D6825"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6"/>
        <w:gridCol w:w="1834"/>
        <w:gridCol w:w="2156"/>
        <w:gridCol w:w="1696"/>
        <w:gridCol w:w="2081"/>
      </w:tblGrid>
      <w:tr w:rsidR="00FA1798" w:rsidRPr="00FB351A" w14:paraId="08661889" w14:textId="77777777" w:rsidTr="009B3AAD">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2013D51"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lastRenderedPageBreak/>
              <w:t>Opción de Contratación</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49A1926"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Eslabón 1 (Consumidor)</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6C3C702"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Eslabón 2 (Canal / Intermediario)</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FB6697A"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Eslabón 3 (Proveedor del Riesgo)</w:t>
            </w:r>
          </w:p>
        </w:tc>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3F92752"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Eslabón 4 (Respaldo Financiero)</w:t>
            </w:r>
          </w:p>
        </w:tc>
      </w:tr>
      <w:tr w:rsidR="00FA1798" w:rsidRPr="00FB351A" w14:paraId="22D57653" w14:textId="77777777" w:rsidTr="009B3AAD">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FC7E58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Opción A: Canal Directo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D813A"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Entidad Estatal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135A5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i/>
                <w:iCs/>
                <w:sz w:val="20"/>
                <w:szCs w:val="20"/>
              </w:rPr>
              <w:t>(No aplica)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7DDEBA"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Compañía de Seguros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D649AE"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Reaseguradores</w:t>
            </w:r>
          </w:p>
        </w:tc>
      </w:tr>
      <w:tr w:rsidR="00FA1798" w:rsidRPr="00FB351A" w14:paraId="0A4E24CE" w14:textId="77777777" w:rsidTr="009B3AAD">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2290705"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Opción B: Canal Intermediado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FF45DA"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Entidad Estatal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277990"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Corredor de Seguros</w:t>
            </w:r>
            <w:r w:rsidRPr="00FB351A">
              <w:rPr>
                <w:rFonts w:ascii="Arial" w:eastAsia="Batang" w:hAnsi="Arial" w:cs="Arial"/>
                <w:bCs/>
                <w:sz w:val="20"/>
                <w:szCs w:val="20"/>
              </w:rPr>
              <w:t xml:space="preserve"> (Asesoría técnica y jurídica integral)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6F5A15"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Compañía de Seguros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DFD07D"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Reaseguradores</w:t>
            </w:r>
          </w:p>
        </w:tc>
      </w:tr>
    </w:tbl>
    <w:p w14:paraId="72E69AB2" w14:textId="3FE349E7" w:rsidR="00FA1798" w:rsidRPr="00FB351A" w:rsidRDefault="00FA1798" w:rsidP="00FA1798">
      <w:pPr>
        <w:overflowPunct w:val="0"/>
        <w:autoSpaceDE w:val="0"/>
        <w:autoSpaceDN w:val="0"/>
        <w:adjustRightInd w:val="0"/>
        <w:jc w:val="both"/>
        <w:textAlignment w:val="baseline"/>
        <w:rPr>
          <w:rFonts w:ascii="Arial" w:eastAsia="Batang" w:hAnsi="Arial" w:cs="Arial"/>
          <w:sz w:val="20"/>
          <w:szCs w:val="20"/>
          <w:lang w:val="es-ES"/>
        </w:rPr>
      </w:pPr>
      <w:r w:rsidRPr="00FB351A">
        <w:rPr>
          <w:rFonts w:ascii="Arial" w:eastAsia="Batang" w:hAnsi="Arial" w:cs="Arial"/>
          <w:sz w:val="20"/>
          <w:szCs w:val="20"/>
          <w:lang w:val="es-ES"/>
        </w:rPr>
        <w:t>Cuadro Cadena de suministro. Elaborado por el intermediario de seguros de la entidad JARGU S.A. Corredores de seguros.</w:t>
      </w:r>
    </w:p>
    <w:p w14:paraId="13C990C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ES"/>
        </w:rPr>
      </w:pPr>
    </w:p>
    <w:p w14:paraId="36C414B6"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El rol del intermediario dentro de la cadena de suministro estatal no actúa como un sobrecosto para la Entidad, toda vez que sus comisiones son asumidas directamente por la aseguradora adjudicataria con cargo a sus gastos de administración. Por el contrario, la elección de este canal de distribución agrega valor en la cadena al proporcionar asesoría técnica gratuita en todas las fases del ciclo de vida del contrato de seguros (representación administrativa, técnica, financiera y jurídica de la Entidad, en la estructuración del programa de seguros y la operatividad de las pólizas y la gestión de reclamaciones y siniestros).</w:t>
      </w:r>
    </w:p>
    <w:p w14:paraId="1B5B4B9B"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p>
    <w:p w14:paraId="187049B6"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ES"/>
        </w:rPr>
      </w:pPr>
      <w:r w:rsidRPr="00FB351A">
        <w:rPr>
          <w:rFonts w:ascii="Arial" w:eastAsia="Batang" w:hAnsi="Arial" w:cs="Arial"/>
          <w:bCs/>
          <w:sz w:val="20"/>
          <w:szCs w:val="20"/>
          <w:lang w:val="es-ES"/>
        </w:rPr>
        <w:t>La Opción B optimiza la cadena de suministro para la Entidad Estatal, ya que delega la carga operativa y técnica de la estructuración y reclamación de siniestros en un corredor experto, cuyos costos de intermediación son asumidos exclusivamente por la Compañía de Seguros.</w:t>
      </w:r>
    </w:p>
    <w:p w14:paraId="26C87AC6"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lang w:val="es-ES"/>
        </w:rPr>
      </w:pPr>
    </w:p>
    <w:p w14:paraId="741AC57C" w14:textId="77777777" w:rsidR="00FA1798" w:rsidRPr="00FB351A" w:rsidRDefault="00FA1798" w:rsidP="00FA1798">
      <w:pPr>
        <w:numPr>
          <w:ilvl w:val="3"/>
          <w:numId w:val="1"/>
        </w:numPr>
        <w:overflowPunct w:val="0"/>
        <w:autoSpaceDE w:val="0"/>
        <w:autoSpaceDN w:val="0"/>
        <w:adjustRightInd w:val="0"/>
        <w:jc w:val="both"/>
        <w:textAlignment w:val="baseline"/>
        <w:rPr>
          <w:rFonts w:ascii="Arial" w:eastAsia="Batang" w:hAnsi="Arial" w:cs="Arial"/>
          <w:b/>
          <w:sz w:val="20"/>
          <w:szCs w:val="20"/>
        </w:rPr>
      </w:pPr>
      <w:r w:rsidRPr="00FB351A">
        <w:rPr>
          <w:rFonts w:ascii="Arial" w:eastAsia="Batang" w:hAnsi="Arial" w:cs="Arial"/>
          <w:b/>
          <w:sz w:val="20"/>
          <w:szCs w:val="20"/>
        </w:rPr>
        <w:t>Evaluación de Impactos en el Ciclo de Vida (Sostenibilidad)</w:t>
      </w:r>
    </w:p>
    <w:p w14:paraId="421711CB"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p>
    <w:p w14:paraId="0A127A62"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rPr>
        <w:t>En estricto cumplimiento de la Política de Compra Pública Sostenible (Decreto 0997 de 2026), se identifican los siguientes impactos económicos, sociales y ambientales directos e indirectos durante las fases de estructuración, operación, siniestralidad y terminación del servicio asegurador que compone el Programa de Seguros de la Entidad:</w:t>
      </w:r>
    </w:p>
    <w:p w14:paraId="01EDA8B8"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p>
    <w:p w14:paraId="156E4747" w14:textId="77777777" w:rsidR="00FA1798" w:rsidRPr="00FB351A" w:rsidRDefault="00FA1798">
      <w:pPr>
        <w:numPr>
          <w:ilvl w:val="0"/>
          <w:numId w:val="43"/>
        </w:num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Impacto Económico:</w:t>
      </w:r>
      <w:r w:rsidRPr="00FB351A">
        <w:rPr>
          <w:rFonts w:ascii="Arial" w:eastAsia="Batang" w:hAnsi="Arial" w:cs="Arial"/>
          <w:bCs/>
          <w:sz w:val="20"/>
          <w:szCs w:val="20"/>
        </w:rPr>
        <w:t xml:space="preserve"> La transferencia del riesgo a una compañía aseguradora salvaguarda de manera directa el patrimonio y el presupuesto público de la Entidad. Protege el erario frente a la materialización de eventos catastróficos o accidentales sobre la infraestructura (Todo Riesgo Daños Materiales), detrimentos patrimoniales derivados de actos de infidelidad de servidores o manejo de recursos (Manejo Global e </w:t>
      </w:r>
      <w:proofErr w:type="spellStart"/>
      <w:r w:rsidRPr="00FB351A">
        <w:rPr>
          <w:rFonts w:ascii="Arial" w:eastAsia="Batang" w:hAnsi="Arial" w:cs="Arial"/>
          <w:bCs/>
          <w:sz w:val="20"/>
          <w:szCs w:val="20"/>
        </w:rPr>
        <w:t>IRF</w:t>
      </w:r>
      <w:proofErr w:type="spellEnd"/>
      <w:r w:rsidRPr="00FB351A">
        <w:rPr>
          <w:rFonts w:ascii="Arial" w:eastAsia="Batang" w:hAnsi="Arial" w:cs="Arial"/>
          <w:bCs/>
          <w:sz w:val="20"/>
          <w:szCs w:val="20"/>
        </w:rPr>
        <w:t>), y el eventual pago de millonarias condenas por daños a terceros (Responsabilidad Civil Extracontractual). Esto evita desvíos presupuestales no planeados frente a emergencias y garantiza la estabilidad financiera de la administración estatal.</w:t>
      </w:r>
    </w:p>
    <w:p w14:paraId="42B13D9F"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p>
    <w:p w14:paraId="2495CA8A" w14:textId="77777777" w:rsidR="00FA1798" w:rsidRPr="00FB351A" w:rsidRDefault="00FA1798">
      <w:pPr>
        <w:numPr>
          <w:ilvl w:val="0"/>
          <w:numId w:val="43"/>
        </w:num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Impacto Social:</w:t>
      </w:r>
      <w:r w:rsidRPr="00FB351A">
        <w:rPr>
          <w:rFonts w:ascii="Arial" w:eastAsia="Batang" w:hAnsi="Arial" w:cs="Arial"/>
          <w:bCs/>
          <w:sz w:val="20"/>
          <w:szCs w:val="20"/>
        </w:rPr>
        <w:t xml:space="preserve"> El programa de seguros opera como un garante de la continuidad en la prestación de los fines esenciales del Estado. Ante la ocurrencia de un siniestro, la oportuna indemnización permite la rápida restitución de la infraestructura pública afectada, protegiendo el bienestar de la comunidad. Adicionalmente, las coberturas de Responsabilidad Civil aseguran el derecho a la reparación integral y equitativa de los ciudadanos o terceros afectados por la operación de la Entidad. Por su parte, amparos como el de Responsabilidad Civil de Servidores Públicos (</w:t>
      </w:r>
      <w:proofErr w:type="spellStart"/>
      <w:r w:rsidRPr="00FB351A">
        <w:rPr>
          <w:rFonts w:ascii="Arial" w:eastAsia="Batang" w:hAnsi="Arial" w:cs="Arial"/>
          <w:bCs/>
          <w:sz w:val="20"/>
          <w:szCs w:val="20"/>
        </w:rPr>
        <w:t>RCSP</w:t>
      </w:r>
      <w:proofErr w:type="spellEnd"/>
      <w:r w:rsidRPr="00FB351A">
        <w:rPr>
          <w:rFonts w:ascii="Arial" w:eastAsia="Batang" w:hAnsi="Arial" w:cs="Arial"/>
          <w:bCs/>
          <w:sz w:val="20"/>
          <w:szCs w:val="20"/>
        </w:rPr>
        <w:t xml:space="preserve">) resguardan </w:t>
      </w:r>
      <w:r w:rsidRPr="00FB351A">
        <w:rPr>
          <w:rFonts w:ascii="Arial" w:eastAsia="Batang" w:hAnsi="Arial" w:cs="Arial"/>
          <w:bCs/>
          <w:sz w:val="20"/>
          <w:szCs w:val="20"/>
        </w:rPr>
        <w:lastRenderedPageBreak/>
        <w:t>el patrimonio de los funcionarios que actúan en el marco de la ley, promoviendo una gestión pública diligente.</w:t>
      </w:r>
    </w:p>
    <w:p w14:paraId="2187D871" w14:textId="77777777" w:rsidR="00FA1798" w:rsidRPr="00FB351A" w:rsidRDefault="00FA1798" w:rsidP="00FA1798">
      <w:pPr>
        <w:overflowPunct w:val="0"/>
        <w:autoSpaceDE w:val="0"/>
        <w:autoSpaceDN w:val="0"/>
        <w:adjustRightInd w:val="0"/>
        <w:jc w:val="both"/>
        <w:textAlignment w:val="baseline"/>
        <w:rPr>
          <w:rFonts w:ascii="Arial" w:eastAsia="Batang" w:hAnsi="Arial" w:cs="Arial"/>
          <w:bCs/>
          <w:sz w:val="20"/>
          <w:szCs w:val="20"/>
        </w:rPr>
      </w:pPr>
    </w:p>
    <w:p w14:paraId="73872563" w14:textId="77777777" w:rsidR="00FA1798" w:rsidRPr="00FB351A" w:rsidRDefault="00FA1798">
      <w:pPr>
        <w:numPr>
          <w:ilvl w:val="0"/>
          <w:numId w:val="43"/>
        </w:numPr>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
          <w:bCs/>
          <w:sz w:val="20"/>
          <w:szCs w:val="20"/>
        </w:rPr>
        <w:t>Impacto Ambiental:</w:t>
      </w:r>
      <w:r w:rsidRPr="00FB351A">
        <w:rPr>
          <w:rFonts w:ascii="Arial" w:eastAsia="Batang" w:hAnsi="Arial" w:cs="Arial"/>
          <w:bCs/>
          <w:sz w:val="20"/>
          <w:szCs w:val="20"/>
        </w:rPr>
        <w:t xml:space="preserve"> Durante las etapas de expedición y administración del programa, el impacto se mitiga positivamente mediante la exigencia contractual de la política de "Cero Papel", requiriendo la desmaterialización total de las pólizas, anexos y facturación. En la fase de siniestralidad, la sostenibilidad se materializa exigiendo a la aseguradora que su red de proveedores, ajustadores y talleres (particularmente en ramos como Daños Materiales y Automóviles) garantice la aplicación de protocolos normativos y prácticas de economía circular para la correcta chatarrización, disposición final de escombros, salvamentos y manejo de residuos peligrosos.</w:t>
      </w:r>
    </w:p>
    <w:bookmarkEnd w:id="4"/>
    <w:p w14:paraId="5C1257B1" w14:textId="77777777" w:rsidR="00FA1798" w:rsidRPr="00FB351A" w:rsidRDefault="00FA1798" w:rsidP="00803115">
      <w:pPr>
        <w:overflowPunct w:val="0"/>
        <w:autoSpaceDE w:val="0"/>
        <w:autoSpaceDN w:val="0"/>
        <w:adjustRightInd w:val="0"/>
        <w:jc w:val="both"/>
        <w:textAlignment w:val="baseline"/>
        <w:rPr>
          <w:rFonts w:ascii="Arial" w:eastAsia="Batang" w:hAnsi="Arial" w:cs="Arial"/>
          <w:sz w:val="20"/>
          <w:szCs w:val="20"/>
        </w:rPr>
      </w:pPr>
    </w:p>
    <w:p w14:paraId="7E16336E" w14:textId="64E6DAE5" w:rsidR="008322ED" w:rsidRPr="00FB351A" w:rsidRDefault="008322ED" w:rsidP="00803115">
      <w:pPr>
        <w:pStyle w:val="Prrafodelista"/>
        <w:numPr>
          <w:ilvl w:val="2"/>
          <w:numId w:val="1"/>
        </w:numPr>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El mercado reasegurador</w:t>
      </w:r>
    </w:p>
    <w:p w14:paraId="34C01047" w14:textId="77777777" w:rsidR="008322ED" w:rsidRPr="00FB351A" w:rsidRDefault="008322ED" w:rsidP="00803115">
      <w:pPr>
        <w:contextualSpacing/>
        <w:jc w:val="both"/>
        <w:rPr>
          <w:rFonts w:ascii="Arial" w:eastAsia="Batang" w:hAnsi="Arial" w:cs="Arial"/>
          <w:sz w:val="20"/>
          <w:szCs w:val="20"/>
          <w:lang w:val="es-ES_tradnl"/>
        </w:rPr>
      </w:pPr>
    </w:p>
    <w:p w14:paraId="473D3D73" w14:textId="77777777" w:rsidR="008322ED" w:rsidRPr="00FB351A" w:rsidRDefault="008322ED" w:rsidP="00803115">
      <w:pPr>
        <w:contextualSpacing/>
        <w:jc w:val="both"/>
        <w:rPr>
          <w:rFonts w:ascii="Arial" w:hAnsi="Arial" w:cs="Arial"/>
          <w:sz w:val="20"/>
          <w:szCs w:val="20"/>
          <w:lang w:val="es-ES_tradnl"/>
        </w:rPr>
      </w:pPr>
      <w:bookmarkStart w:id="5" w:name="_Hlk209454071"/>
      <w:r w:rsidRPr="00FB351A">
        <w:rPr>
          <w:rFonts w:ascii="Arial" w:hAnsi="Arial" w:cs="Arial"/>
          <w:sz w:val="20"/>
          <w:szCs w:val="20"/>
          <w:lang w:val="es-ES_tradnl"/>
        </w:rPr>
        <w:t xml:space="preserve">El mercado reasegurador marca de alguna manera el derrotero del sector asegurador nacional e internacional, especialmente cuando se trata de productos o pólizas especializadas, puesto que son los reaseguradores quienes finalmente asumen el riesgo y por tanto son los que establecen las condiciones técnicas de cobertura y precio. </w:t>
      </w:r>
    </w:p>
    <w:p w14:paraId="136B2D76" w14:textId="77777777" w:rsidR="008322ED" w:rsidRPr="00FB351A" w:rsidRDefault="008322ED" w:rsidP="00803115">
      <w:pPr>
        <w:contextualSpacing/>
        <w:jc w:val="both"/>
        <w:rPr>
          <w:rFonts w:ascii="Arial" w:hAnsi="Arial" w:cs="Arial"/>
          <w:sz w:val="20"/>
          <w:szCs w:val="20"/>
          <w:lang w:val="es-ES_tradnl"/>
        </w:rPr>
      </w:pPr>
    </w:p>
    <w:p w14:paraId="11BBC2B0" w14:textId="77777777" w:rsidR="008322ED" w:rsidRPr="00FB351A" w:rsidRDefault="008322ED" w:rsidP="00803115">
      <w:pPr>
        <w:contextualSpacing/>
        <w:jc w:val="both"/>
        <w:rPr>
          <w:rFonts w:ascii="Arial" w:hAnsi="Arial" w:cs="Arial"/>
          <w:sz w:val="20"/>
          <w:szCs w:val="20"/>
          <w:lang w:val="es-ES_tradnl"/>
        </w:rPr>
      </w:pPr>
      <w:r w:rsidRPr="00FB351A">
        <w:rPr>
          <w:rFonts w:ascii="Arial" w:hAnsi="Arial" w:cs="Arial"/>
          <w:sz w:val="20"/>
          <w:szCs w:val="20"/>
          <w:lang w:val="es-ES_tradnl"/>
        </w:rPr>
        <w:t>Bien se trate de riesgos catastróficos o de exposiciones provenientes de riesgos individuales, la primera función del reaseguro es la de otorgar una protección a los estados financieros de los aseguradores, pues en virtud de la transferencia de riesgos, las cedentes conservan sobre su patrimonio solo los que guarden relación con su solidez patrimonial.</w:t>
      </w:r>
    </w:p>
    <w:p w14:paraId="6B28A3F7" w14:textId="77777777" w:rsidR="008322ED" w:rsidRPr="00FB351A" w:rsidRDefault="008322ED" w:rsidP="00803115">
      <w:pPr>
        <w:contextualSpacing/>
        <w:jc w:val="both"/>
        <w:rPr>
          <w:rFonts w:ascii="Arial" w:hAnsi="Arial" w:cs="Arial"/>
          <w:sz w:val="20"/>
          <w:szCs w:val="20"/>
          <w:lang w:val="es-ES_tradnl"/>
        </w:rPr>
      </w:pPr>
    </w:p>
    <w:p w14:paraId="11272641" w14:textId="77777777" w:rsidR="008322ED" w:rsidRPr="00FB351A" w:rsidRDefault="008322ED" w:rsidP="00803115">
      <w:pPr>
        <w:contextualSpacing/>
        <w:jc w:val="both"/>
        <w:rPr>
          <w:rFonts w:ascii="Arial" w:hAnsi="Arial" w:cs="Arial"/>
          <w:sz w:val="20"/>
          <w:szCs w:val="20"/>
          <w:lang w:val="es-ES_tradnl"/>
        </w:rPr>
      </w:pPr>
      <w:r w:rsidRPr="00FB351A">
        <w:rPr>
          <w:rFonts w:ascii="Arial" w:hAnsi="Arial" w:cs="Arial"/>
          <w:sz w:val="20"/>
          <w:szCs w:val="20"/>
          <w:lang w:val="es-ES_tradnl"/>
        </w:rPr>
        <w:t>El reaseguro es también un sistema idóneo para que los aseguradores puedan lograr la uniformidad cuantitativa de sus carteras, cediendo los picos de estas y reteniendo los riesgos de magnitud similar. En esta forma se controla la volatilidad en los resultados permitiendo que los principios técnicos y cálculos estadísticos operen adecuadamente sin exponer los portafolios a desviaciones indeseables.</w:t>
      </w:r>
    </w:p>
    <w:p w14:paraId="25F35844" w14:textId="77777777" w:rsidR="008322ED" w:rsidRPr="00FB351A" w:rsidRDefault="008322ED" w:rsidP="00803115">
      <w:pPr>
        <w:contextualSpacing/>
        <w:jc w:val="both"/>
        <w:rPr>
          <w:rFonts w:ascii="Arial" w:hAnsi="Arial" w:cs="Arial"/>
          <w:sz w:val="20"/>
          <w:szCs w:val="20"/>
          <w:lang w:val="es-ES_tradnl"/>
        </w:rPr>
      </w:pPr>
    </w:p>
    <w:p w14:paraId="038DFB94" w14:textId="77777777" w:rsidR="008322ED" w:rsidRPr="00FB351A" w:rsidRDefault="008322ED" w:rsidP="00803115">
      <w:pPr>
        <w:contextualSpacing/>
        <w:jc w:val="both"/>
        <w:rPr>
          <w:rFonts w:ascii="Arial" w:hAnsi="Arial" w:cs="Arial"/>
          <w:sz w:val="20"/>
          <w:szCs w:val="20"/>
          <w:lang w:val="es-ES_tradnl"/>
        </w:rPr>
      </w:pPr>
      <w:r w:rsidRPr="00FB351A">
        <w:rPr>
          <w:rFonts w:ascii="Arial" w:hAnsi="Arial" w:cs="Arial"/>
          <w:sz w:val="20"/>
          <w:szCs w:val="20"/>
          <w:lang w:val="es-ES_tradnl"/>
        </w:rPr>
        <w:t>En este sentido, el reaseguro opera como un sistema vertical de trasferencia de riesgos nivelando los valores asegurados expuestos, haciendo posible la uniformidad cuantitativa de la cartera y, al mismo tiempo, facilitando al asegurador emitir pólizas con valores asegurados cuantiosos que bien podrían superar su propio patrimonio.</w:t>
      </w:r>
    </w:p>
    <w:p w14:paraId="78F90C31" w14:textId="77777777" w:rsidR="008322ED" w:rsidRPr="00FB351A" w:rsidRDefault="008322ED" w:rsidP="00803115">
      <w:pPr>
        <w:contextualSpacing/>
        <w:jc w:val="both"/>
        <w:rPr>
          <w:rFonts w:ascii="Arial" w:hAnsi="Arial" w:cs="Arial"/>
          <w:sz w:val="20"/>
          <w:szCs w:val="20"/>
          <w:lang w:val="es-ES_tradnl"/>
        </w:rPr>
      </w:pPr>
    </w:p>
    <w:p w14:paraId="0555B32F" w14:textId="77777777" w:rsidR="008322ED" w:rsidRPr="00FB351A" w:rsidRDefault="008322ED" w:rsidP="00803115">
      <w:pPr>
        <w:contextualSpacing/>
        <w:jc w:val="both"/>
        <w:rPr>
          <w:rFonts w:ascii="Arial" w:hAnsi="Arial" w:cs="Arial"/>
          <w:sz w:val="20"/>
          <w:szCs w:val="20"/>
          <w:lang w:val="es-ES_tradnl"/>
        </w:rPr>
      </w:pPr>
      <w:r w:rsidRPr="00FB351A">
        <w:rPr>
          <w:rFonts w:ascii="Arial" w:hAnsi="Arial" w:cs="Arial"/>
          <w:sz w:val="20"/>
          <w:szCs w:val="20"/>
          <w:lang w:val="es-ES_tradnl"/>
        </w:rPr>
        <w:t>El reaseguro es también el instrumento más idóneo que posee el asegurador para lograr la uniformidad cualitativa. Si por ejemplo un asegurador tuviera una cartera concertada en uno o algunos ramos y de repente estuviera abocado a expedir una póliza de una línea distinta a las propias de su experiencia, podría hacerlo sin arriesgar su patrimonio, cediendo este riesgo al reasegurador.</w:t>
      </w:r>
    </w:p>
    <w:p w14:paraId="43C7BD75" w14:textId="77777777" w:rsidR="008322ED" w:rsidRPr="00FB351A" w:rsidRDefault="008322ED" w:rsidP="00803115">
      <w:pPr>
        <w:contextualSpacing/>
        <w:jc w:val="both"/>
        <w:rPr>
          <w:rFonts w:ascii="Arial" w:hAnsi="Arial" w:cs="Arial"/>
          <w:sz w:val="20"/>
          <w:szCs w:val="20"/>
          <w:lang w:val="es-ES_tradnl"/>
        </w:rPr>
      </w:pPr>
    </w:p>
    <w:p w14:paraId="60BC11DC" w14:textId="77777777" w:rsidR="008322ED" w:rsidRPr="00FB351A" w:rsidRDefault="008322ED" w:rsidP="00803115">
      <w:pPr>
        <w:contextualSpacing/>
        <w:jc w:val="both"/>
        <w:rPr>
          <w:rFonts w:ascii="Arial" w:hAnsi="Arial" w:cs="Arial"/>
          <w:sz w:val="20"/>
          <w:szCs w:val="20"/>
          <w:lang w:val="es-ES_tradnl"/>
        </w:rPr>
      </w:pPr>
      <w:r w:rsidRPr="00FB351A">
        <w:rPr>
          <w:rFonts w:ascii="Arial" w:hAnsi="Arial" w:cs="Arial"/>
          <w:sz w:val="20"/>
          <w:szCs w:val="20"/>
          <w:lang w:val="es-ES_tradnl"/>
        </w:rPr>
        <w:t>En las pólizas que individualmente no tienen grandes valores, ni resultan complejas por su naturaleza, el reaseguro tiene menos influencia frente a las políticas y manejo que implementan las aseguradoras en su estructuración, mercadeo y manejo operativo, puesto que gran parte del riesgo es asumido por ellas mismas y solo una pequeña parte lo colocan en reaseguro. Entre este tipo de pólizas, se pueden citar, las pólizas de automóviles, incendio hogar, vida grupo, transporte de mercancías, entre otros.</w:t>
      </w:r>
    </w:p>
    <w:p w14:paraId="2A061564" w14:textId="77777777" w:rsidR="008322ED" w:rsidRPr="00FB351A" w:rsidRDefault="008322ED" w:rsidP="00803115">
      <w:pPr>
        <w:contextualSpacing/>
        <w:jc w:val="both"/>
        <w:rPr>
          <w:rFonts w:ascii="Arial" w:hAnsi="Arial" w:cs="Arial"/>
          <w:sz w:val="20"/>
          <w:szCs w:val="20"/>
          <w:lang w:val="es-ES_tradnl"/>
        </w:rPr>
      </w:pPr>
    </w:p>
    <w:p w14:paraId="466F6975" w14:textId="2640C72C" w:rsidR="008322ED" w:rsidRPr="00FB351A" w:rsidRDefault="008322ED" w:rsidP="00803115">
      <w:pPr>
        <w:pStyle w:val="Prrafodelista"/>
        <w:numPr>
          <w:ilvl w:val="2"/>
          <w:numId w:val="1"/>
        </w:numPr>
        <w:contextualSpacing/>
        <w:jc w:val="both"/>
        <w:rPr>
          <w:rFonts w:ascii="Arial" w:hAnsi="Arial" w:cs="Arial"/>
          <w:b/>
          <w:sz w:val="20"/>
          <w:szCs w:val="20"/>
        </w:rPr>
      </w:pPr>
      <w:r w:rsidRPr="00FB351A">
        <w:rPr>
          <w:rFonts w:ascii="Arial" w:hAnsi="Arial" w:cs="Arial"/>
          <w:b/>
          <w:sz w:val="20"/>
          <w:szCs w:val="20"/>
        </w:rPr>
        <w:t xml:space="preserve">Dinámica del comercio exterior del sector: </w:t>
      </w:r>
    </w:p>
    <w:p w14:paraId="3B2D75F6" w14:textId="77777777" w:rsidR="008322ED" w:rsidRPr="00FB351A" w:rsidRDefault="008322ED" w:rsidP="00803115">
      <w:pPr>
        <w:contextualSpacing/>
        <w:jc w:val="both"/>
        <w:rPr>
          <w:rFonts w:ascii="Arial" w:hAnsi="Arial" w:cs="Arial"/>
          <w:b/>
          <w:sz w:val="20"/>
          <w:szCs w:val="20"/>
        </w:rPr>
      </w:pPr>
    </w:p>
    <w:p w14:paraId="5A132AA5" w14:textId="77777777" w:rsidR="008322ED" w:rsidRPr="00FB351A" w:rsidRDefault="008322ED" w:rsidP="00803115">
      <w:pPr>
        <w:contextualSpacing/>
        <w:jc w:val="both"/>
        <w:rPr>
          <w:rFonts w:ascii="Arial" w:hAnsi="Arial" w:cs="Arial"/>
          <w:bCs/>
          <w:sz w:val="20"/>
          <w:szCs w:val="20"/>
        </w:rPr>
      </w:pPr>
      <w:r w:rsidRPr="00FB351A">
        <w:rPr>
          <w:rFonts w:ascii="Arial" w:hAnsi="Arial" w:cs="Arial"/>
          <w:bCs/>
          <w:sz w:val="20"/>
          <w:szCs w:val="20"/>
        </w:rPr>
        <w:t xml:space="preserve">Para desarrollar la actividad aseguradora en Colombia debe constituirse en el país una entidad bajo la forma de sociedad anónima mercantil o asociación cooperativa, una vez obtenida la autorización expresa de la Superintendencia Financiera de Colombia. Esto significa que las entidades aseguradoras extranjeras no </w:t>
      </w:r>
      <w:r w:rsidRPr="00FB351A">
        <w:rPr>
          <w:rFonts w:ascii="Arial" w:hAnsi="Arial" w:cs="Arial"/>
          <w:bCs/>
          <w:sz w:val="20"/>
          <w:szCs w:val="20"/>
        </w:rPr>
        <w:lastRenderedPageBreak/>
        <w:t xml:space="preserve">pueden operar ni contratar directamente seguros en Colombia; para ello deben constituir una entidad filial en el país de acuerdo con lo dispuesto en la Constitución y la Ley. </w:t>
      </w:r>
    </w:p>
    <w:p w14:paraId="2C57D256" w14:textId="77777777" w:rsidR="008322ED" w:rsidRPr="00FB351A" w:rsidRDefault="008322ED" w:rsidP="00803115">
      <w:pPr>
        <w:contextualSpacing/>
        <w:jc w:val="both"/>
        <w:rPr>
          <w:rFonts w:ascii="Arial" w:hAnsi="Arial" w:cs="Arial"/>
          <w:bCs/>
          <w:sz w:val="20"/>
          <w:szCs w:val="20"/>
        </w:rPr>
      </w:pPr>
    </w:p>
    <w:p w14:paraId="402CF147" w14:textId="77777777" w:rsidR="008322ED" w:rsidRPr="00FB351A" w:rsidRDefault="008322ED" w:rsidP="00803115">
      <w:pPr>
        <w:contextualSpacing/>
        <w:jc w:val="both"/>
        <w:rPr>
          <w:rFonts w:ascii="Arial" w:hAnsi="Arial" w:cs="Arial"/>
          <w:bCs/>
          <w:sz w:val="20"/>
          <w:szCs w:val="20"/>
        </w:rPr>
      </w:pPr>
      <w:r w:rsidRPr="00FB351A">
        <w:rPr>
          <w:rFonts w:ascii="Arial" w:hAnsi="Arial" w:cs="Arial"/>
          <w:bCs/>
          <w:sz w:val="20"/>
          <w:szCs w:val="20"/>
        </w:rPr>
        <w:t>De acuerdo con el parágrafo 2 del Artículo 39 del Estatuto Orgánico del Sistema Financiero (</w:t>
      </w:r>
      <w:proofErr w:type="spellStart"/>
      <w:r w:rsidRPr="00FB351A">
        <w:rPr>
          <w:rFonts w:ascii="Arial" w:hAnsi="Arial" w:cs="Arial"/>
          <w:bCs/>
          <w:sz w:val="20"/>
          <w:szCs w:val="20"/>
        </w:rPr>
        <w:t>EOSF</w:t>
      </w:r>
      <w:proofErr w:type="spellEnd"/>
      <w:r w:rsidRPr="00FB351A">
        <w:rPr>
          <w:rFonts w:ascii="Arial" w:hAnsi="Arial" w:cs="Arial"/>
          <w:bCs/>
          <w:sz w:val="20"/>
          <w:szCs w:val="20"/>
        </w:rPr>
        <w:t>), las Entidades Estatales cuando actúen como tomador, asegurado o beneficiario no pueden adquirir seguros en el exterior o con compañías de seguros del exterior</w:t>
      </w:r>
    </w:p>
    <w:bookmarkEnd w:id="5"/>
    <w:p w14:paraId="173107F0"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4F0A3F2E" w14:textId="3F8AED67" w:rsidR="008322ED" w:rsidRPr="00FB351A" w:rsidRDefault="008322ED" w:rsidP="00803115">
      <w:pPr>
        <w:pStyle w:val="Prrafodelista"/>
        <w:numPr>
          <w:ilvl w:val="2"/>
          <w:numId w:val="1"/>
        </w:numPr>
        <w:jc w:val="both"/>
        <w:rPr>
          <w:rFonts w:ascii="Arial" w:eastAsia="Batang" w:hAnsi="Arial" w:cs="Arial"/>
          <w:b/>
          <w:sz w:val="20"/>
          <w:szCs w:val="20"/>
        </w:rPr>
      </w:pPr>
      <w:r w:rsidRPr="00FB351A">
        <w:rPr>
          <w:rFonts w:ascii="Arial" w:eastAsia="Batang" w:hAnsi="Arial" w:cs="Arial"/>
          <w:b/>
          <w:sz w:val="20"/>
          <w:szCs w:val="20"/>
        </w:rPr>
        <w:t>Variables económicas que afectan el sector:</w:t>
      </w:r>
    </w:p>
    <w:p w14:paraId="57269C01"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7F3BB976" w14:textId="77777777" w:rsidR="008322ED" w:rsidRPr="00FB351A" w:rsidRDefault="008322ED" w:rsidP="00803115">
      <w:pPr>
        <w:numPr>
          <w:ilvl w:val="0"/>
          <w:numId w:val="2"/>
        </w:numPr>
        <w:tabs>
          <w:tab w:val="left" w:pos="318"/>
        </w:tabs>
        <w:overflowPunct w:val="0"/>
        <w:autoSpaceDE w:val="0"/>
        <w:autoSpaceDN w:val="0"/>
        <w:adjustRightInd w:val="0"/>
        <w:ind w:left="0" w:firstLine="0"/>
        <w:jc w:val="both"/>
        <w:textAlignment w:val="baseline"/>
        <w:rPr>
          <w:rFonts w:ascii="Arial" w:hAnsi="Arial" w:cs="Arial"/>
          <w:b/>
          <w:bCs/>
          <w:color w:val="000000"/>
          <w:sz w:val="20"/>
          <w:szCs w:val="20"/>
        </w:rPr>
      </w:pPr>
      <w:r w:rsidRPr="00FB351A">
        <w:rPr>
          <w:rFonts w:ascii="Arial" w:hAnsi="Arial" w:cs="Arial"/>
          <w:b/>
          <w:bCs/>
          <w:color w:val="000000"/>
          <w:sz w:val="20"/>
          <w:szCs w:val="20"/>
        </w:rPr>
        <w:t>Producto Interno Bruto</w:t>
      </w:r>
      <w:r w:rsidRPr="00FB351A">
        <w:rPr>
          <w:rFonts w:ascii="Arial" w:hAnsi="Arial" w:cs="Arial"/>
          <w:b/>
          <w:bCs/>
          <w:color w:val="000000"/>
          <w:sz w:val="20"/>
          <w:szCs w:val="20"/>
          <w:vertAlign w:val="superscript"/>
        </w:rPr>
        <w:footnoteReference w:id="7"/>
      </w:r>
      <w:r w:rsidRPr="00FB351A">
        <w:rPr>
          <w:rFonts w:ascii="Arial" w:hAnsi="Arial" w:cs="Arial"/>
          <w:b/>
          <w:bCs/>
          <w:color w:val="000000"/>
          <w:sz w:val="20"/>
          <w:szCs w:val="20"/>
        </w:rPr>
        <w:t xml:space="preserve"> </w:t>
      </w:r>
    </w:p>
    <w:p w14:paraId="3146E1AC"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
          <w:bCs/>
          <w:color w:val="000000"/>
          <w:sz w:val="20"/>
          <w:szCs w:val="20"/>
        </w:rPr>
      </w:pPr>
    </w:p>
    <w:p w14:paraId="074C5C6E"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El producto interno bruto (PIB) es el valor de mercado de todos los bienes y servicios finales producidos usando los factores de producción disponibles dentro de un país en un periodo determinado.</w:t>
      </w:r>
    </w:p>
    <w:p w14:paraId="17828C61"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0650235C"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Cuando se usan los precios actuales (precios corrientes) para calcularlo se habla de PIB nominal, y al usar los precios de un año base (precios constantes) se conoce como PIB real. Este último es una mejor medida de la actividad económica de un país al medir exclusivamente el cambio en la producción de bienes y servicios en la economía (cantidades), dejando de lado el efecto de las variaciones de los precios.</w:t>
      </w:r>
    </w:p>
    <w:p w14:paraId="4B6923CA"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1B8ECC0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Los datos del PIB se producen cada tres meses y por el Departamento Administrativo Nacional de Estadística (DANE), y su crecimiento se puede analizar de manera trimestral o anual. Asimismo, se pueden realizar otras mediciones más cercanas a la realidad, tomando los datos desestacionalizados y teniendo en cuenta la cantidad de días hábiles de un período a otro (efectos calendario) para hacerlos comparables.</w:t>
      </w:r>
    </w:p>
    <w:p w14:paraId="50362BF7"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46A13BFB"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De acuerdo con el boletín emitido por el DANE del PIB en agosto 18 de 2026, en el segundo trimestre de 2026, el Producto Interno Bruto en su serie original, crece 3,5% respecto al mismo periodo de 2025.</w:t>
      </w:r>
    </w:p>
    <w:p w14:paraId="3286D850"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7A253D84" w14:textId="781BB8EC"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noProof/>
          <w:color w:val="000000"/>
          <w:sz w:val="20"/>
          <w:szCs w:val="20"/>
        </w:rPr>
        <w:lastRenderedPageBreak/>
        <w:drawing>
          <wp:inline distT="0" distB="0" distL="0" distR="0" wp14:anchorId="47763619" wp14:editId="079EF4A3">
            <wp:extent cx="5943600" cy="3285490"/>
            <wp:effectExtent l="0" t="0" r="0" b="0"/>
            <wp:docPr id="158890062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285490"/>
                    </a:xfrm>
                    <a:prstGeom prst="rect">
                      <a:avLst/>
                    </a:prstGeom>
                    <a:noFill/>
                    <a:ln>
                      <a:noFill/>
                    </a:ln>
                  </pic:spPr>
                </pic:pic>
              </a:graphicData>
            </a:graphic>
          </wp:inline>
        </w:drawing>
      </w:r>
    </w:p>
    <w:p w14:paraId="01B5E399"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lang w:val="es-ES"/>
        </w:rPr>
        <w:t>Gráfica PIB. Imagen tomada del DANE Boletín Técnico</w:t>
      </w:r>
    </w:p>
    <w:p w14:paraId="39E914C3"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p>
    <w:p w14:paraId="3DCE4ED0"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Las actividades económicas que más contribuyen a la dinámica del valor agregado son: </w:t>
      </w:r>
    </w:p>
    <w:p w14:paraId="2EB26777"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p>
    <w:p w14:paraId="0D381B46"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 Administración pública y defensa; planes de seguridad social de afiliación obligatoria; Educación; Actividades de atención de la salud humana y de servicios sociales crece 10,0% (contribuye 1,7 puntos porcentuales a la variación anual). </w:t>
      </w:r>
    </w:p>
    <w:p w14:paraId="3C7AF424"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 Comercio al por mayor y al por menor; reparación de vehículos automotores y motocicletas; Transporte y almacenamiento; Alojamiento y servicios de comida crece 2,2% (contribuye 0,5 puntos porcentuales a la variación anual). </w:t>
      </w:r>
    </w:p>
    <w:p w14:paraId="53F4ED42"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lang w:val="es-ES"/>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763ED131"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62EC4B4C"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Durante el primer semestre de 2026, respecto al mismo periodo del año anterior, el Producto Interno Bruto presenta un crecimiento de 2,9%. </w:t>
      </w:r>
    </w:p>
    <w:p w14:paraId="1E117E40"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p>
    <w:p w14:paraId="20251659"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Las actividades económicas que más contribuyen a la dinámica del valor agregado son: </w:t>
      </w:r>
    </w:p>
    <w:p w14:paraId="49D7178B"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p>
    <w:p w14:paraId="5BAF06B6"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 Administración pública y defensa; planes de seguridad social de afiliación obligatoria; Educación; Actividades de atención de la salud humana y de servicios sociales crece 7,9% (contribuye 1,3 puntos porcentuales a la variación anual). </w:t>
      </w:r>
    </w:p>
    <w:p w14:paraId="64A15E70"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lang w:val="es-ES"/>
        </w:rPr>
        <w:t>• Comercio al por mayor y al por menor; reparación de vehículos automotores y motocicletas; Transporte y almacenamiento; Alojamiento y servicios de comida crece 2,6% (contribuye 0,5 puntos porcentuales a la variación anual).</w:t>
      </w:r>
    </w:p>
    <w:p w14:paraId="1DB0E53A"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lastRenderedPageBreak/>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 </w:t>
      </w:r>
    </w:p>
    <w:p w14:paraId="2656A32F"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p>
    <w:p w14:paraId="64BF15FE"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Respecto al trimestre inmediatamente anterior, el Producto Interno Bruto en su serie ajustada por efecto estacional y calendario crece 1,3%. Cuando se observa el comportamiento de las actividades económicas relacionadas: </w:t>
      </w:r>
    </w:p>
    <w:p w14:paraId="11BB9BE6"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p>
    <w:p w14:paraId="65588C3C"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 Construcción crece 6,4%. </w:t>
      </w:r>
    </w:p>
    <w:p w14:paraId="1108D728"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4,0%. </w:t>
      </w:r>
    </w:p>
    <w:p w14:paraId="1B32C897"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lang w:val="es-ES"/>
        </w:rPr>
        <w:t>• Suministro de electricidad, gas, vapor y aire acondicionado; Distribución de agua; evacuación y tratamiento de aguas residuales, gestión de desechos y actividades de saneamiento ambiental crece 2,8%.</w:t>
      </w:r>
    </w:p>
    <w:p w14:paraId="0645FF08"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465595E5" w14:textId="7F7B9F40" w:rsidR="0038254D" w:rsidRPr="00FB351A" w:rsidRDefault="0038254D" w:rsidP="0038254D">
      <w:pPr>
        <w:tabs>
          <w:tab w:val="left" w:pos="318"/>
        </w:tabs>
        <w:overflowPunct w:val="0"/>
        <w:autoSpaceDE w:val="0"/>
        <w:autoSpaceDN w:val="0"/>
        <w:adjustRightInd w:val="0"/>
        <w:jc w:val="center"/>
        <w:textAlignment w:val="baseline"/>
        <w:rPr>
          <w:rFonts w:ascii="Arial" w:hAnsi="Arial" w:cs="Arial"/>
          <w:bCs/>
          <w:color w:val="000000"/>
          <w:sz w:val="20"/>
          <w:szCs w:val="20"/>
        </w:rPr>
      </w:pPr>
      <w:r w:rsidRPr="00FB351A">
        <w:rPr>
          <w:rFonts w:ascii="Arial" w:hAnsi="Arial" w:cs="Arial"/>
          <w:bCs/>
          <w:noProof/>
          <w:color w:val="000000"/>
          <w:sz w:val="20"/>
          <w:szCs w:val="20"/>
        </w:rPr>
        <w:drawing>
          <wp:inline distT="0" distB="0" distL="0" distR="0" wp14:anchorId="1D062ED5" wp14:editId="5814003C">
            <wp:extent cx="4314959" cy="4795283"/>
            <wp:effectExtent l="0" t="0" r="0" b="5715"/>
            <wp:docPr id="1938766009"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5729" cy="4807252"/>
                    </a:xfrm>
                    <a:prstGeom prst="rect">
                      <a:avLst/>
                    </a:prstGeom>
                    <a:noFill/>
                    <a:ln>
                      <a:noFill/>
                    </a:ln>
                  </pic:spPr>
                </pic:pic>
              </a:graphicData>
            </a:graphic>
          </wp:inline>
        </w:drawing>
      </w:r>
    </w:p>
    <w:p w14:paraId="71557BF9" w14:textId="77777777" w:rsidR="0038254D" w:rsidRPr="00FB351A" w:rsidRDefault="0038254D" w:rsidP="0038254D">
      <w:pPr>
        <w:tabs>
          <w:tab w:val="left" w:pos="318"/>
        </w:tabs>
        <w:overflowPunct w:val="0"/>
        <w:autoSpaceDE w:val="0"/>
        <w:autoSpaceDN w:val="0"/>
        <w:adjustRightInd w:val="0"/>
        <w:jc w:val="center"/>
        <w:textAlignment w:val="baseline"/>
        <w:rPr>
          <w:rFonts w:ascii="Arial" w:hAnsi="Arial" w:cs="Arial"/>
          <w:bCs/>
          <w:color w:val="000000"/>
          <w:sz w:val="20"/>
          <w:szCs w:val="20"/>
        </w:rPr>
      </w:pPr>
    </w:p>
    <w:p w14:paraId="5C6450AD" w14:textId="77777777" w:rsidR="0038254D" w:rsidRPr="00FB351A" w:rsidRDefault="0038254D" w:rsidP="0038254D">
      <w:pPr>
        <w:numPr>
          <w:ilvl w:val="0"/>
          <w:numId w:val="3"/>
        </w:numPr>
        <w:tabs>
          <w:tab w:val="left" w:pos="318"/>
        </w:tabs>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Actividades financieras y de seguros</w:t>
      </w:r>
    </w:p>
    <w:p w14:paraId="0F77D890"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03BBCC61"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Este indicador económico, constituye una síntesis de la información macroeconómica coyuntural del país, donde se mide la dimensión y la dinámica del crecimiento económico, reflejando el aporte de la industria al crecimiento económico nacional.</w:t>
      </w:r>
      <w:r w:rsidRPr="00FB351A">
        <w:rPr>
          <w:rFonts w:ascii="Arial" w:hAnsi="Arial" w:cs="Arial"/>
          <w:bCs/>
          <w:color w:val="000000"/>
          <w:sz w:val="20"/>
          <w:szCs w:val="20"/>
        </w:rPr>
        <w:tab/>
      </w:r>
    </w:p>
    <w:p w14:paraId="569C6454"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48C1C21B" w14:textId="5CC49460"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r w:rsidRPr="00FB351A">
        <w:rPr>
          <w:rFonts w:ascii="Arial" w:hAnsi="Arial" w:cs="Arial"/>
          <w:bCs/>
          <w:color w:val="000000"/>
          <w:sz w:val="20"/>
          <w:szCs w:val="20"/>
          <w:lang w:val="es-ES"/>
        </w:rPr>
        <w:t>En el segundo trimestre de 2026, el valor agregado de las actividades financieras y de seguros crece 4,3% en su serie original, respecto al mismo periodo de 2025. Para la serie ajustada por efecto estacional y calendario, el valor agregado crece en 1,9%, respecto al trimestre inmediatamente anterior</w:t>
      </w:r>
      <w:r w:rsidR="00A23C02" w:rsidRPr="00FB351A">
        <w:rPr>
          <w:rFonts w:ascii="Arial" w:hAnsi="Arial" w:cs="Arial"/>
          <w:bCs/>
          <w:color w:val="000000"/>
          <w:sz w:val="20"/>
          <w:szCs w:val="20"/>
          <w:lang w:val="es-ES"/>
        </w:rPr>
        <w:t>.</w:t>
      </w:r>
    </w:p>
    <w:p w14:paraId="67038AF0" w14:textId="77777777" w:rsidR="00A23C02" w:rsidRPr="00FB351A" w:rsidRDefault="00A23C02" w:rsidP="0038254D">
      <w:pPr>
        <w:tabs>
          <w:tab w:val="left" w:pos="318"/>
        </w:tabs>
        <w:overflowPunct w:val="0"/>
        <w:autoSpaceDE w:val="0"/>
        <w:autoSpaceDN w:val="0"/>
        <w:adjustRightInd w:val="0"/>
        <w:jc w:val="both"/>
        <w:textAlignment w:val="baseline"/>
        <w:rPr>
          <w:rFonts w:ascii="Arial" w:hAnsi="Arial" w:cs="Arial"/>
          <w:bCs/>
          <w:color w:val="000000"/>
          <w:sz w:val="20"/>
          <w:szCs w:val="20"/>
          <w:lang w:val="es-ES"/>
        </w:rPr>
      </w:pPr>
    </w:p>
    <w:p w14:paraId="4C406C9C" w14:textId="3C8278AA" w:rsidR="0038254D" w:rsidRPr="00FB351A" w:rsidRDefault="0038254D" w:rsidP="0038254D">
      <w:pPr>
        <w:tabs>
          <w:tab w:val="left" w:pos="318"/>
        </w:tabs>
        <w:overflowPunct w:val="0"/>
        <w:autoSpaceDE w:val="0"/>
        <w:autoSpaceDN w:val="0"/>
        <w:adjustRightInd w:val="0"/>
        <w:jc w:val="center"/>
        <w:textAlignment w:val="baseline"/>
        <w:rPr>
          <w:rFonts w:ascii="Arial" w:hAnsi="Arial" w:cs="Arial"/>
          <w:bCs/>
          <w:color w:val="000000"/>
          <w:sz w:val="20"/>
          <w:szCs w:val="20"/>
        </w:rPr>
      </w:pPr>
      <w:r w:rsidRPr="00FB351A">
        <w:rPr>
          <w:rFonts w:ascii="Arial" w:hAnsi="Arial" w:cs="Arial"/>
          <w:bCs/>
          <w:noProof/>
          <w:color w:val="000000"/>
          <w:sz w:val="20"/>
          <w:szCs w:val="20"/>
        </w:rPr>
        <w:drawing>
          <wp:inline distT="0" distB="0" distL="0" distR="0" wp14:anchorId="113F5B60" wp14:editId="61A971E0">
            <wp:extent cx="4465955" cy="2339340"/>
            <wp:effectExtent l="0" t="0" r="0" b="3810"/>
            <wp:docPr id="187951442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65955" cy="2339340"/>
                    </a:xfrm>
                    <a:prstGeom prst="rect">
                      <a:avLst/>
                    </a:prstGeom>
                    <a:noFill/>
                    <a:ln>
                      <a:noFill/>
                    </a:ln>
                  </pic:spPr>
                </pic:pic>
              </a:graphicData>
            </a:graphic>
          </wp:inline>
        </w:drawing>
      </w:r>
    </w:p>
    <w:p w14:paraId="5E937E9A" w14:textId="77777777" w:rsidR="0038254D" w:rsidRPr="00FB351A" w:rsidRDefault="0038254D" w:rsidP="0038254D">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lang w:val="es-ES"/>
        </w:rPr>
        <w:t>Gráfica PIB actividades financieras y de seguros. Imagen tomada del DANE Boletín Técnico</w:t>
      </w:r>
    </w:p>
    <w:p w14:paraId="4E7EE42D" w14:textId="77777777" w:rsidR="0038254D" w:rsidRPr="00FB351A" w:rsidRDefault="0038254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3DE1D842" w14:textId="77777777" w:rsidR="008322ED" w:rsidRPr="00FB351A" w:rsidRDefault="008322ED" w:rsidP="00803115">
      <w:pPr>
        <w:numPr>
          <w:ilvl w:val="0"/>
          <w:numId w:val="2"/>
        </w:numPr>
        <w:tabs>
          <w:tab w:val="left" w:pos="318"/>
        </w:tabs>
        <w:overflowPunct w:val="0"/>
        <w:autoSpaceDE w:val="0"/>
        <w:autoSpaceDN w:val="0"/>
        <w:adjustRightInd w:val="0"/>
        <w:ind w:left="0" w:firstLine="0"/>
        <w:jc w:val="both"/>
        <w:textAlignment w:val="baseline"/>
        <w:rPr>
          <w:rFonts w:ascii="Arial" w:hAnsi="Arial" w:cs="Arial"/>
          <w:b/>
          <w:bCs/>
          <w:color w:val="000000"/>
          <w:sz w:val="20"/>
          <w:szCs w:val="20"/>
          <w:lang w:val="es-ES_tradnl"/>
        </w:rPr>
      </w:pPr>
      <w:r w:rsidRPr="00FB351A">
        <w:rPr>
          <w:rFonts w:ascii="Arial" w:hAnsi="Arial" w:cs="Arial"/>
          <w:b/>
          <w:bCs/>
          <w:color w:val="000000"/>
          <w:sz w:val="20"/>
          <w:szCs w:val="20"/>
          <w:lang w:val="es-ES_tradnl"/>
        </w:rPr>
        <w:t xml:space="preserve">Índice de precio al consumidor </w:t>
      </w:r>
    </w:p>
    <w:p w14:paraId="1C322EA0"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lang w:val="es-ES_tradnl"/>
        </w:rPr>
      </w:pPr>
    </w:p>
    <w:p w14:paraId="4C337103"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lang w:val="es-ES_tradnl"/>
        </w:rPr>
      </w:pPr>
      <w:r w:rsidRPr="00FB351A">
        <w:rPr>
          <w:rFonts w:ascii="Arial" w:hAnsi="Arial" w:cs="Arial"/>
          <w:bCs/>
          <w:color w:val="000000"/>
          <w:sz w:val="20"/>
          <w:szCs w:val="20"/>
          <w:lang w:val="es-ES_tradnl"/>
        </w:rPr>
        <w:t>EL IPC Es una medida del cambio (variación), en el precio de bienes y servicios representativos del consumo de los hogares del país conocido como canasta, y mide la evolución del costo promedio de una canasta de bienes y servicios representativa del consumo final de los hogares, expresado en relación con un período base.</w:t>
      </w:r>
    </w:p>
    <w:p w14:paraId="6C836577"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lang w:val="es-ES_tradnl"/>
        </w:rPr>
      </w:pPr>
    </w:p>
    <w:p w14:paraId="420B2FA6" w14:textId="77777777" w:rsidR="004E22AF" w:rsidRPr="00FB351A" w:rsidRDefault="004E22AF" w:rsidP="004E22AF">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r w:rsidRPr="00FB351A">
        <w:rPr>
          <w:rFonts w:ascii="Arial" w:hAnsi="Arial" w:cs="Arial"/>
          <w:bCs/>
          <w:color w:val="000000"/>
          <w:sz w:val="20"/>
          <w:szCs w:val="20"/>
          <w:lang w:eastAsia="es-ES"/>
        </w:rPr>
        <w:t>En agosto de 2026 la variación mensual del IPC fue 0,39%, la variación año corrido fue 5,35% y la anual 6,24%.</w:t>
      </w:r>
    </w:p>
    <w:p w14:paraId="422FD8AF" w14:textId="77777777" w:rsidR="004E22AF" w:rsidRPr="00FB351A" w:rsidRDefault="004E22AF" w:rsidP="004E22AF">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p>
    <w:p w14:paraId="40988233" w14:textId="77777777" w:rsidR="004E22AF" w:rsidRPr="00FB351A" w:rsidRDefault="004E22AF" w:rsidP="004E22AF">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r w:rsidRPr="00FB351A">
        <w:rPr>
          <w:rFonts w:ascii="Arial" w:hAnsi="Arial" w:cs="Arial"/>
          <w:bCs/>
          <w:color w:val="000000"/>
          <w:sz w:val="20"/>
          <w:szCs w:val="20"/>
          <w:lang w:eastAsia="es-ES"/>
        </w:rPr>
        <w:t>En agosto de 2026 la variación anual del IPC fue 6,24%, es decir, 1,14 puntos porcentuales mayor que la reportada en el mismo periodo del año anterior, cuando fue de 5,10%.</w:t>
      </w:r>
    </w:p>
    <w:p w14:paraId="55D209F5" w14:textId="77777777" w:rsidR="003671A6" w:rsidRPr="00FB351A" w:rsidRDefault="003671A6" w:rsidP="003671A6">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p>
    <w:p w14:paraId="75D4EB1F" w14:textId="77777777" w:rsidR="003671A6" w:rsidRPr="00FB351A" w:rsidRDefault="003671A6" w:rsidP="003671A6">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p>
    <w:p w14:paraId="044CEC6B" w14:textId="320A7EDE" w:rsidR="003671A6" w:rsidRPr="00FB351A" w:rsidRDefault="004E22AF" w:rsidP="003671A6">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r w:rsidRPr="00FB351A">
        <w:rPr>
          <w:rFonts w:ascii="Arial" w:hAnsi="Arial" w:cs="Arial"/>
          <w:bCs/>
          <w:noProof/>
          <w:color w:val="000000"/>
          <w:sz w:val="20"/>
          <w:szCs w:val="20"/>
          <w:lang w:eastAsia="es-ES"/>
        </w:rPr>
        <w:lastRenderedPageBreak/>
        <w:drawing>
          <wp:inline distT="0" distB="0" distL="0" distR="0" wp14:anchorId="57B1E8D5" wp14:editId="21FF311F">
            <wp:extent cx="6120765" cy="1251585"/>
            <wp:effectExtent l="0" t="0" r="0" b="5715"/>
            <wp:docPr id="1941419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419491" name=""/>
                    <pic:cNvPicPr/>
                  </pic:nvPicPr>
                  <pic:blipFill>
                    <a:blip r:embed="rId21"/>
                    <a:stretch>
                      <a:fillRect/>
                    </a:stretch>
                  </pic:blipFill>
                  <pic:spPr>
                    <a:xfrm>
                      <a:off x="0" y="0"/>
                      <a:ext cx="6120765" cy="1251585"/>
                    </a:xfrm>
                    <a:prstGeom prst="rect">
                      <a:avLst/>
                    </a:prstGeom>
                  </pic:spPr>
                </pic:pic>
              </a:graphicData>
            </a:graphic>
          </wp:inline>
        </w:drawing>
      </w:r>
    </w:p>
    <w:p w14:paraId="16166492" w14:textId="77777777" w:rsidR="003671A6" w:rsidRPr="00FB351A" w:rsidRDefault="003671A6" w:rsidP="003671A6">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r w:rsidRPr="00FB351A">
        <w:rPr>
          <w:rFonts w:ascii="Arial" w:hAnsi="Arial" w:cs="Arial"/>
          <w:bCs/>
          <w:color w:val="000000"/>
          <w:sz w:val="20"/>
          <w:szCs w:val="20"/>
          <w:lang w:eastAsia="es-ES"/>
        </w:rPr>
        <w:t>Gráfica IPC. Imagen tomada del DANE Boletín Técnico</w:t>
      </w:r>
    </w:p>
    <w:p w14:paraId="741CE225" w14:textId="77777777" w:rsidR="003671A6" w:rsidRPr="00FB351A" w:rsidRDefault="003671A6" w:rsidP="003671A6">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p>
    <w:p w14:paraId="494B67E2" w14:textId="16A03281" w:rsidR="003671A6" w:rsidRPr="00FB351A" w:rsidRDefault="004E22AF" w:rsidP="003671A6">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r w:rsidRPr="00FB351A">
        <w:rPr>
          <w:rFonts w:ascii="Arial" w:hAnsi="Arial" w:cs="Arial"/>
          <w:bCs/>
          <w:color w:val="000000"/>
          <w:sz w:val="20"/>
          <w:szCs w:val="20"/>
          <w:lang w:val="es-ES" w:eastAsia="es-ES"/>
        </w:rPr>
        <w:t>En el mes de agosto de 2026, el IPC registró una variación de 0,39% en comparación con julio de 2026, siete divisiones se ubicaron por encima del promedio nacional (0,39%): Recreación y cultura (0,89%), Información y comunicación (0,81%), Alimentos y bebidas no alcohólicas (0,71%), Bienes y servicios diversos (0,52%), Bebidas alcohólicas y tabaco (0,41%), Muebles, artículos para el hogar y para la conservación ordinaria del hogar (0,40%) y, por último, Salud (0,40%). Por debajo se ubicaron: Alojamiento, agua, electricidad, gas y otros combustibles (0,38%), Restaurantes y hoteles (0,33%), Educación (0,02%), Transporte (0,01%) y, por último, Prendas de vestir y calzado (-0,14%).</w:t>
      </w:r>
    </w:p>
    <w:p w14:paraId="6CDD24D0" w14:textId="7136D35D" w:rsidR="003671A6" w:rsidRPr="00FB351A" w:rsidRDefault="003671A6" w:rsidP="003671A6">
      <w:pPr>
        <w:tabs>
          <w:tab w:val="left" w:pos="318"/>
        </w:tabs>
        <w:overflowPunct w:val="0"/>
        <w:autoSpaceDE w:val="0"/>
        <w:autoSpaceDN w:val="0"/>
        <w:adjustRightInd w:val="0"/>
        <w:jc w:val="both"/>
        <w:textAlignment w:val="baseline"/>
        <w:rPr>
          <w:rFonts w:ascii="Arial" w:hAnsi="Arial" w:cs="Arial"/>
          <w:bCs/>
          <w:noProof/>
          <w:color w:val="000000"/>
          <w:sz w:val="20"/>
          <w:szCs w:val="20"/>
          <w:lang w:eastAsia="es-ES"/>
        </w:rPr>
      </w:pPr>
    </w:p>
    <w:p w14:paraId="3D6AE3B1" w14:textId="610ADA03" w:rsidR="00652C7A" w:rsidRPr="00FB351A" w:rsidRDefault="00652C7A" w:rsidP="003671A6">
      <w:pPr>
        <w:tabs>
          <w:tab w:val="left" w:pos="318"/>
        </w:tabs>
        <w:overflowPunct w:val="0"/>
        <w:autoSpaceDE w:val="0"/>
        <w:autoSpaceDN w:val="0"/>
        <w:adjustRightInd w:val="0"/>
        <w:jc w:val="both"/>
        <w:textAlignment w:val="baseline"/>
        <w:rPr>
          <w:rFonts w:ascii="Arial" w:hAnsi="Arial" w:cs="Arial"/>
          <w:bCs/>
          <w:color w:val="000000"/>
          <w:sz w:val="20"/>
          <w:szCs w:val="20"/>
          <w:lang w:eastAsia="es-ES"/>
        </w:rPr>
      </w:pPr>
      <w:r w:rsidRPr="00FB351A">
        <w:rPr>
          <w:rFonts w:ascii="Arial" w:hAnsi="Arial" w:cs="Arial"/>
          <w:bCs/>
          <w:noProof/>
          <w:color w:val="000000"/>
          <w:sz w:val="20"/>
          <w:szCs w:val="20"/>
          <w:lang w:eastAsia="es-ES"/>
        </w:rPr>
        <w:drawing>
          <wp:inline distT="0" distB="0" distL="0" distR="0" wp14:anchorId="785A958E" wp14:editId="5AC12D16">
            <wp:extent cx="6120765" cy="3051175"/>
            <wp:effectExtent l="0" t="0" r="0" b="0"/>
            <wp:docPr id="882278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78547" name=""/>
                    <pic:cNvPicPr/>
                  </pic:nvPicPr>
                  <pic:blipFill>
                    <a:blip r:embed="rId22"/>
                    <a:stretch>
                      <a:fillRect/>
                    </a:stretch>
                  </pic:blipFill>
                  <pic:spPr>
                    <a:xfrm>
                      <a:off x="0" y="0"/>
                      <a:ext cx="6120765" cy="3051175"/>
                    </a:xfrm>
                    <a:prstGeom prst="rect">
                      <a:avLst/>
                    </a:prstGeom>
                  </pic:spPr>
                </pic:pic>
              </a:graphicData>
            </a:graphic>
          </wp:inline>
        </w:drawing>
      </w:r>
    </w:p>
    <w:p w14:paraId="29D1541E" w14:textId="7ADA25FC" w:rsidR="008322ED" w:rsidRPr="00FB351A" w:rsidRDefault="003671A6" w:rsidP="003671A6">
      <w:pPr>
        <w:tabs>
          <w:tab w:val="left" w:pos="318"/>
        </w:tabs>
        <w:overflowPunct w:val="0"/>
        <w:autoSpaceDE w:val="0"/>
        <w:autoSpaceDN w:val="0"/>
        <w:adjustRightInd w:val="0"/>
        <w:jc w:val="both"/>
        <w:textAlignment w:val="baseline"/>
        <w:rPr>
          <w:rFonts w:ascii="Arial" w:hAnsi="Arial" w:cs="Arial"/>
          <w:bCs/>
          <w:color w:val="000000"/>
          <w:sz w:val="20"/>
          <w:szCs w:val="20"/>
          <w:lang w:val="es-ES" w:eastAsia="es-ES"/>
        </w:rPr>
      </w:pPr>
      <w:r w:rsidRPr="00FB351A">
        <w:rPr>
          <w:rFonts w:ascii="Arial" w:hAnsi="Arial" w:cs="Arial"/>
          <w:bCs/>
          <w:color w:val="000000"/>
          <w:sz w:val="20"/>
          <w:szCs w:val="20"/>
          <w:lang w:val="es-ES" w:eastAsia="es-ES"/>
        </w:rPr>
        <w:t>Gráfica IPC Variación y contribución mensual según división del gasto. Imagen tomada del DANE Boletín Técnico</w:t>
      </w:r>
    </w:p>
    <w:p w14:paraId="604DF9B8" w14:textId="77777777" w:rsidR="003671A6" w:rsidRPr="00FB351A" w:rsidRDefault="003671A6" w:rsidP="003671A6">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5E94C0F0" w14:textId="77777777" w:rsidR="008322ED" w:rsidRPr="00FB351A" w:rsidRDefault="008322ED" w:rsidP="00803115">
      <w:pPr>
        <w:pStyle w:val="Prrafodelista"/>
        <w:numPr>
          <w:ilvl w:val="0"/>
          <w:numId w:val="2"/>
        </w:numPr>
        <w:ind w:left="0" w:firstLine="0"/>
        <w:contextualSpacing/>
        <w:jc w:val="both"/>
        <w:rPr>
          <w:rFonts w:ascii="Arial" w:hAnsi="Arial" w:cs="Arial"/>
          <w:b/>
          <w:bCs/>
          <w:sz w:val="20"/>
          <w:szCs w:val="20"/>
          <w:lang w:val="es-ES_tradnl"/>
        </w:rPr>
      </w:pPr>
      <w:r w:rsidRPr="00FB351A">
        <w:rPr>
          <w:rFonts w:ascii="Arial" w:hAnsi="Arial" w:cs="Arial"/>
          <w:b/>
          <w:bCs/>
          <w:sz w:val="20"/>
          <w:szCs w:val="20"/>
          <w:lang w:val="es-ES_tradnl"/>
        </w:rPr>
        <w:t>Salario mínimo</w:t>
      </w:r>
    </w:p>
    <w:p w14:paraId="0BBAA051" w14:textId="77777777" w:rsidR="008322ED" w:rsidRPr="00FB351A" w:rsidRDefault="008322ED" w:rsidP="00803115">
      <w:pPr>
        <w:jc w:val="both"/>
        <w:rPr>
          <w:rFonts w:ascii="Arial" w:hAnsi="Arial" w:cs="Arial"/>
          <w:sz w:val="20"/>
          <w:szCs w:val="20"/>
        </w:rPr>
      </w:pPr>
    </w:p>
    <w:p w14:paraId="11A4F0D6" w14:textId="77777777" w:rsidR="008322ED" w:rsidRPr="00FB351A" w:rsidRDefault="008322ED" w:rsidP="00803115">
      <w:pPr>
        <w:jc w:val="both"/>
        <w:rPr>
          <w:rFonts w:ascii="Arial" w:hAnsi="Arial" w:cs="Arial"/>
          <w:sz w:val="20"/>
          <w:szCs w:val="20"/>
        </w:rPr>
      </w:pPr>
      <w:r w:rsidRPr="00FB351A">
        <w:rPr>
          <w:rFonts w:ascii="Arial" w:hAnsi="Arial" w:cs="Arial"/>
          <w:sz w:val="20"/>
          <w:szCs w:val="20"/>
        </w:rPr>
        <w:t xml:space="preserve">Como es de suponerse el salario mínimo al igual que el Índice de Precios al Consumidor crecen anualmente en cualquier economía que se considere competitiva. </w:t>
      </w:r>
    </w:p>
    <w:p w14:paraId="7FB7F810" w14:textId="77777777" w:rsidR="008322ED" w:rsidRPr="00FB351A" w:rsidRDefault="008322ED" w:rsidP="00803115">
      <w:pPr>
        <w:jc w:val="both"/>
        <w:rPr>
          <w:rFonts w:ascii="Arial" w:hAnsi="Arial" w:cs="Arial"/>
          <w:sz w:val="20"/>
          <w:szCs w:val="20"/>
        </w:rPr>
      </w:pPr>
    </w:p>
    <w:p w14:paraId="4FB4721A" w14:textId="0728DD89" w:rsidR="008322ED" w:rsidRPr="00FB351A" w:rsidRDefault="008322ED" w:rsidP="00803115">
      <w:pPr>
        <w:jc w:val="both"/>
        <w:rPr>
          <w:rFonts w:ascii="Arial" w:eastAsia="Batang" w:hAnsi="Arial" w:cs="Arial"/>
          <w:bCs/>
          <w:sz w:val="20"/>
          <w:szCs w:val="20"/>
        </w:rPr>
      </w:pPr>
      <w:r w:rsidRPr="00FB351A">
        <w:rPr>
          <w:rFonts w:ascii="Arial" w:eastAsia="Batang" w:hAnsi="Arial" w:cs="Arial"/>
          <w:bCs/>
          <w:sz w:val="20"/>
          <w:szCs w:val="20"/>
        </w:rPr>
        <w:lastRenderedPageBreak/>
        <w:t xml:space="preserve">De conformidad con lo establecido en el </w:t>
      </w:r>
      <w:r w:rsidR="009E61F8" w:rsidRPr="00FB351A">
        <w:rPr>
          <w:rFonts w:ascii="Arial" w:eastAsia="Batang" w:hAnsi="Arial" w:cs="Arial"/>
          <w:bCs/>
          <w:sz w:val="20"/>
          <w:szCs w:val="20"/>
        </w:rPr>
        <w:t>Decreto 1598 del 19 de febrero de 2026</w:t>
      </w:r>
      <w:r w:rsidRPr="00FB351A">
        <w:rPr>
          <w:rFonts w:ascii="Arial" w:eastAsia="Batang" w:hAnsi="Arial" w:cs="Arial"/>
          <w:bCs/>
          <w:sz w:val="20"/>
          <w:szCs w:val="20"/>
        </w:rPr>
        <w:t xml:space="preserve">, el salario mínimo legal para el año 2026 en Colombia se fijó en un millón setecientos cincuenta mil novecientos cinco pesos ($1.750.905) mensuales a partir del 1 de enero del </w:t>
      </w:r>
      <w:r w:rsidR="00CF642F" w:rsidRPr="00FB351A">
        <w:rPr>
          <w:rFonts w:ascii="Arial" w:eastAsia="Batang" w:hAnsi="Arial" w:cs="Arial"/>
          <w:bCs/>
          <w:sz w:val="20"/>
          <w:szCs w:val="20"/>
        </w:rPr>
        <w:t>2026</w:t>
      </w:r>
      <w:r w:rsidRPr="00FB351A">
        <w:rPr>
          <w:rFonts w:ascii="Arial" w:eastAsia="Batang" w:hAnsi="Arial" w:cs="Arial"/>
          <w:bCs/>
          <w:sz w:val="20"/>
          <w:szCs w:val="20"/>
        </w:rPr>
        <w:t>, lo que representa un aumento del 23% comparado con el año anterior.</w:t>
      </w:r>
    </w:p>
    <w:p w14:paraId="588A25B0" w14:textId="77777777" w:rsidR="008322ED" w:rsidRPr="00FB351A" w:rsidRDefault="008322ED" w:rsidP="00803115">
      <w:pPr>
        <w:jc w:val="both"/>
        <w:rPr>
          <w:rFonts w:ascii="Arial" w:eastAsia="Batang" w:hAnsi="Arial" w:cs="Arial"/>
          <w:bCs/>
          <w:sz w:val="20"/>
          <w:szCs w:val="20"/>
        </w:rPr>
      </w:pPr>
    </w:p>
    <w:p w14:paraId="46D4AD66" w14:textId="428CF3D1" w:rsidR="008322ED" w:rsidRPr="00FB351A" w:rsidRDefault="008322ED" w:rsidP="00803115">
      <w:pPr>
        <w:jc w:val="both"/>
        <w:rPr>
          <w:rFonts w:ascii="Arial" w:eastAsia="Batang" w:hAnsi="Arial" w:cs="Arial"/>
          <w:bCs/>
          <w:sz w:val="20"/>
          <w:szCs w:val="20"/>
        </w:rPr>
      </w:pPr>
      <w:r w:rsidRPr="00FB351A">
        <w:rPr>
          <w:rFonts w:ascii="Arial" w:eastAsia="Batang" w:hAnsi="Arial" w:cs="Arial"/>
          <w:bCs/>
          <w:sz w:val="20"/>
          <w:szCs w:val="20"/>
        </w:rPr>
        <w:t xml:space="preserve">Por su parte, de conformidad con lo establecido en el Decreto </w:t>
      </w:r>
      <w:r w:rsidR="009E61F8" w:rsidRPr="00FB351A">
        <w:rPr>
          <w:rFonts w:ascii="Arial" w:eastAsia="Batang" w:hAnsi="Arial" w:cs="Arial"/>
          <w:bCs/>
          <w:sz w:val="20"/>
          <w:szCs w:val="20"/>
        </w:rPr>
        <w:t>1598</w:t>
      </w:r>
      <w:r w:rsidRPr="00FB351A">
        <w:rPr>
          <w:rFonts w:ascii="Arial" w:eastAsia="Batang" w:hAnsi="Arial" w:cs="Arial"/>
          <w:bCs/>
          <w:sz w:val="20"/>
          <w:szCs w:val="20"/>
        </w:rPr>
        <w:t xml:space="preserve"> del </w:t>
      </w:r>
      <w:r w:rsidR="009E61F8" w:rsidRPr="00FB351A">
        <w:rPr>
          <w:rFonts w:ascii="Arial" w:eastAsia="Batang" w:hAnsi="Arial" w:cs="Arial"/>
          <w:bCs/>
          <w:sz w:val="20"/>
          <w:szCs w:val="20"/>
        </w:rPr>
        <w:t>19</w:t>
      </w:r>
      <w:r w:rsidRPr="00FB351A">
        <w:rPr>
          <w:rFonts w:ascii="Arial" w:eastAsia="Batang" w:hAnsi="Arial" w:cs="Arial"/>
          <w:bCs/>
          <w:sz w:val="20"/>
          <w:szCs w:val="20"/>
        </w:rPr>
        <w:t xml:space="preserve"> de </w:t>
      </w:r>
      <w:r w:rsidR="009E61F8" w:rsidRPr="00FB351A">
        <w:rPr>
          <w:rFonts w:ascii="Arial" w:eastAsia="Batang" w:hAnsi="Arial" w:cs="Arial"/>
          <w:bCs/>
          <w:sz w:val="20"/>
          <w:szCs w:val="20"/>
        </w:rPr>
        <w:t>febrero</w:t>
      </w:r>
      <w:r w:rsidRPr="00FB351A">
        <w:rPr>
          <w:rFonts w:ascii="Arial" w:eastAsia="Batang" w:hAnsi="Arial" w:cs="Arial"/>
          <w:bCs/>
          <w:sz w:val="20"/>
          <w:szCs w:val="20"/>
        </w:rPr>
        <w:t xml:space="preserve"> de </w:t>
      </w:r>
      <w:r w:rsidR="009E61F8" w:rsidRPr="00FB351A">
        <w:rPr>
          <w:rFonts w:ascii="Arial" w:eastAsia="Batang" w:hAnsi="Arial" w:cs="Arial"/>
          <w:bCs/>
          <w:sz w:val="20"/>
          <w:szCs w:val="20"/>
        </w:rPr>
        <w:t>2026</w:t>
      </w:r>
      <w:r w:rsidRPr="00FB351A">
        <w:rPr>
          <w:rFonts w:ascii="Arial" w:eastAsia="Batang" w:hAnsi="Arial" w:cs="Arial"/>
          <w:bCs/>
          <w:sz w:val="20"/>
          <w:szCs w:val="20"/>
        </w:rPr>
        <w:t>, el auxilio de transporte para el año 2026 será de $249.095 pesos mensuales.</w:t>
      </w:r>
    </w:p>
    <w:p w14:paraId="680D0170" w14:textId="77777777" w:rsidR="008322ED" w:rsidRPr="00FB351A" w:rsidRDefault="008322ED" w:rsidP="00803115">
      <w:pPr>
        <w:jc w:val="both"/>
        <w:rPr>
          <w:rFonts w:ascii="Arial" w:eastAsia="Batang" w:hAnsi="Arial" w:cs="Arial"/>
          <w:bCs/>
          <w:sz w:val="20"/>
          <w:szCs w:val="20"/>
        </w:rPr>
      </w:pPr>
    </w:p>
    <w:p w14:paraId="55FD084B" w14:textId="77777777" w:rsidR="008322ED" w:rsidRPr="00FB351A" w:rsidRDefault="008322ED" w:rsidP="00803115">
      <w:pPr>
        <w:jc w:val="both"/>
        <w:rPr>
          <w:rFonts w:ascii="Arial" w:eastAsia="Batang" w:hAnsi="Arial" w:cs="Arial"/>
          <w:bCs/>
          <w:sz w:val="20"/>
          <w:szCs w:val="20"/>
        </w:rPr>
      </w:pPr>
      <w:r w:rsidRPr="00FB351A">
        <w:rPr>
          <w:rFonts w:ascii="Arial" w:eastAsia="Batang" w:hAnsi="Arial" w:cs="Arial"/>
          <w:bCs/>
          <w:sz w:val="20"/>
          <w:szCs w:val="20"/>
        </w:rPr>
        <w:t>A continuación, se muestra la evolución histórica del salario mínimo y el auxilio de transporte desde el año 2018 hasta el año 2026.</w:t>
      </w:r>
    </w:p>
    <w:p w14:paraId="67340095" w14:textId="77777777" w:rsidR="008322ED" w:rsidRPr="00FB351A" w:rsidRDefault="008322ED" w:rsidP="00803115">
      <w:pPr>
        <w:jc w:val="both"/>
        <w:rPr>
          <w:rFonts w:ascii="Arial" w:hAnsi="Arial" w:cs="Arial"/>
          <w:b/>
          <w:bCs/>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39"/>
        <w:gridCol w:w="4285"/>
        <w:gridCol w:w="3899"/>
      </w:tblGrid>
      <w:tr w:rsidR="00652C7A" w:rsidRPr="00FB351A" w14:paraId="484141AF" w14:textId="77777777" w:rsidTr="009B3AAD">
        <w:trPr>
          <w:trHeight w:val="20"/>
          <w:tblHeader/>
          <w:tblCellSpacing w:w="15" w:type="dxa"/>
        </w:trPr>
        <w:tc>
          <w:tcPr>
            <w:tcW w:w="723"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85B7E9F"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Año</w:t>
            </w:r>
          </w:p>
        </w:tc>
        <w:tc>
          <w:tcPr>
            <w:tcW w:w="2207"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915612B"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Salario Mínimo (SMLMV)</w:t>
            </w:r>
          </w:p>
        </w:tc>
        <w:tc>
          <w:tcPr>
            <w:tcW w:w="1999"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43D8C6F"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Auxilio de Transporte</w:t>
            </w:r>
          </w:p>
        </w:tc>
      </w:tr>
      <w:tr w:rsidR="00652C7A" w:rsidRPr="00FB351A" w14:paraId="2DE9CC4A"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81BBBB"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2018</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0BB0A7"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$ 781.242</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84C798" w14:textId="481955A5" w:rsidR="00652C7A" w:rsidRPr="00FB351A" w:rsidRDefault="00652C7A" w:rsidP="009B3AAD">
            <w:pPr>
              <w:jc w:val="center"/>
              <w:rPr>
                <w:rFonts w:ascii="Arial" w:hAnsi="Arial" w:cs="Arial"/>
                <w:b/>
                <w:bCs/>
                <w:sz w:val="20"/>
                <w:szCs w:val="20"/>
              </w:rPr>
            </w:pPr>
            <m:oMath>
              <m:r>
                <w:rPr>
                  <w:rFonts w:ascii="Cambria Math" w:hAnsi="Cambria Math" w:cs="Arial"/>
                </w:rPr>
                <m:t>88.211|</m:t>
              </m:r>
            </m:oMath>
            <w:r w:rsidRPr="00FB351A">
              <w:rPr>
                <w:rFonts w:ascii="Arial" w:hAnsi="Arial" w:cs="Arial"/>
                <w:b/>
                <w:bCs/>
                <w:sz w:val="20"/>
                <w:szCs w:val="20"/>
              </w:rPr>
              <w:t xml:space="preserve"> 869.453</w:t>
            </w:r>
          </w:p>
        </w:tc>
      </w:tr>
      <w:tr w:rsidR="00652C7A" w:rsidRPr="00FB351A" w14:paraId="31463B5D"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4F03F4"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2019</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579602"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$ 828.116</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2B9FF" w14:textId="354C3B42" w:rsidR="00652C7A" w:rsidRPr="00FB351A" w:rsidRDefault="00652C7A" w:rsidP="009B3AAD">
            <w:pPr>
              <w:jc w:val="center"/>
              <w:rPr>
                <w:rFonts w:ascii="Arial" w:hAnsi="Arial" w:cs="Arial"/>
                <w:b/>
                <w:bCs/>
                <w:sz w:val="20"/>
                <w:szCs w:val="20"/>
              </w:rPr>
            </w:pPr>
            <m:oMath>
              <m:r>
                <w:rPr>
                  <w:rFonts w:ascii="Cambria Math" w:hAnsi="Cambria Math" w:cs="Arial"/>
                </w:rPr>
                <m:t>97.032|</m:t>
              </m:r>
            </m:oMath>
            <w:r w:rsidRPr="00FB351A">
              <w:rPr>
                <w:rFonts w:ascii="Arial" w:hAnsi="Arial" w:cs="Arial"/>
                <w:b/>
                <w:bCs/>
                <w:sz w:val="20"/>
                <w:szCs w:val="20"/>
              </w:rPr>
              <w:t xml:space="preserve"> 925.148</w:t>
            </w:r>
          </w:p>
        </w:tc>
      </w:tr>
      <w:tr w:rsidR="00652C7A" w:rsidRPr="00FB351A" w14:paraId="7E1B4A4C"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01C73"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2020</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30546C"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$ 877.803</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239BC2" w14:textId="7D727A46" w:rsidR="00652C7A" w:rsidRPr="00FB351A" w:rsidRDefault="00652C7A" w:rsidP="009B3AAD">
            <w:pPr>
              <w:jc w:val="center"/>
              <w:rPr>
                <w:rFonts w:ascii="Arial" w:hAnsi="Arial" w:cs="Arial"/>
                <w:b/>
                <w:bCs/>
                <w:sz w:val="20"/>
                <w:szCs w:val="20"/>
              </w:rPr>
            </w:pPr>
            <m:oMath>
              <m:r>
                <w:rPr>
                  <w:rFonts w:ascii="Cambria Math" w:hAnsi="Cambria Math" w:cs="Arial"/>
                </w:rPr>
                <m:t>102.854|</m:t>
              </m:r>
            </m:oMath>
            <w:r w:rsidRPr="00FB351A">
              <w:rPr>
                <w:rFonts w:ascii="Arial" w:hAnsi="Arial" w:cs="Arial"/>
                <w:b/>
                <w:bCs/>
                <w:sz w:val="20"/>
                <w:szCs w:val="20"/>
              </w:rPr>
              <w:t xml:space="preserve"> 980.657</w:t>
            </w:r>
          </w:p>
        </w:tc>
      </w:tr>
      <w:tr w:rsidR="00652C7A" w:rsidRPr="00FB351A" w14:paraId="534B2EAA"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E4A4E"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2021</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75868C"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$ 908.526</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B79E92" w14:textId="7DC3AD66" w:rsidR="00652C7A" w:rsidRPr="00FB351A" w:rsidRDefault="00652C7A" w:rsidP="009B3AAD">
            <w:pPr>
              <w:jc w:val="center"/>
              <w:rPr>
                <w:rFonts w:ascii="Arial" w:hAnsi="Arial" w:cs="Arial"/>
                <w:b/>
                <w:bCs/>
                <w:sz w:val="20"/>
                <w:szCs w:val="20"/>
              </w:rPr>
            </w:pPr>
            <m:oMath>
              <m:r>
                <w:rPr>
                  <w:rFonts w:ascii="Cambria Math" w:hAnsi="Cambria Math" w:cs="Arial"/>
                </w:rPr>
                <m:t>106.454|</m:t>
              </m:r>
            </m:oMath>
            <w:r w:rsidRPr="00FB351A">
              <w:rPr>
                <w:rFonts w:ascii="Arial" w:hAnsi="Arial" w:cs="Arial"/>
                <w:b/>
                <w:bCs/>
                <w:sz w:val="20"/>
                <w:szCs w:val="20"/>
              </w:rPr>
              <w:t xml:space="preserve"> 1.014.980</w:t>
            </w:r>
          </w:p>
        </w:tc>
      </w:tr>
      <w:tr w:rsidR="00652C7A" w:rsidRPr="00FB351A" w14:paraId="431F7949"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A119E"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2022</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92966A"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$ 1.000.000</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14D4E" w14:textId="296AF3DA" w:rsidR="00652C7A" w:rsidRPr="00FB351A" w:rsidRDefault="00652C7A" w:rsidP="009B3AAD">
            <w:pPr>
              <w:jc w:val="center"/>
              <w:rPr>
                <w:rFonts w:ascii="Arial" w:hAnsi="Arial" w:cs="Arial"/>
                <w:b/>
                <w:bCs/>
                <w:sz w:val="20"/>
                <w:szCs w:val="20"/>
              </w:rPr>
            </w:pPr>
            <m:oMath>
              <m:r>
                <w:rPr>
                  <w:rFonts w:ascii="Cambria Math" w:hAnsi="Cambria Math" w:cs="Arial"/>
                </w:rPr>
                <m:t>117.172|</m:t>
              </m:r>
            </m:oMath>
            <w:r w:rsidRPr="00FB351A">
              <w:rPr>
                <w:rFonts w:ascii="Arial" w:hAnsi="Arial" w:cs="Arial"/>
                <w:b/>
                <w:bCs/>
                <w:sz w:val="20"/>
                <w:szCs w:val="20"/>
              </w:rPr>
              <w:t xml:space="preserve"> 1.117.172</w:t>
            </w:r>
          </w:p>
        </w:tc>
      </w:tr>
      <w:tr w:rsidR="00652C7A" w:rsidRPr="00FB351A" w14:paraId="640674BA"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7CB818"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2023</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AF2AA4"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$ 1.160.000</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398B7" w14:textId="0FDBE353" w:rsidR="00652C7A" w:rsidRPr="00FB351A" w:rsidRDefault="00652C7A" w:rsidP="009B3AAD">
            <w:pPr>
              <w:jc w:val="center"/>
              <w:rPr>
                <w:rFonts w:ascii="Arial" w:hAnsi="Arial" w:cs="Arial"/>
                <w:b/>
                <w:bCs/>
                <w:sz w:val="20"/>
                <w:szCs w:val="20"/>
              </w:rPr>
            </w:pPr>
            <m:oMath>
              <m:r>
                <w:rPr>
                  <w:rFonts w:ascii="Cambria Math" w:hAnsi="Cambria Math" w:cs="Arial"/>
                </w:rPr>
                <m:t>140.606|</m:t>
              </m:r>
            </m:oMath>
            <w:r w:rsidRPr="00FB351A">
              <w:rPr>
                <w:rFonts w:ascii="Arial" w:hAnsi="Arial" w:cs="Arial"/>
                <w:b/>
                <w:bCs/>
                <w:sz w:val="20"/>
                <w:szCs w:val="20"/>
              </w:rPr>
              <w:t xml:space="preserve"> 1.300.606</w:t>
            </w:r>
          </w:p>
        </w:tc>
      </w:tr>
      <w:tr w:rsidR="00652C7A" w:rsidRPr="00FB351A" w14:paraId="3948BE6A"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B8F203"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2024</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295340"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$ 1.300.000</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6BA940" w14:textId="1B833DAE" w:rsidR="00652C7A" w:rsidRPr="00FB351A" w:rsidRDefault="00652C7A" w:rsidP="009B3AAD">
            <w:pPr>
              <w:jc w:val="center"/>
              <w:rPr>
                <w:rFonts w:ascii="Arial" w:hAnsi="Arial" w:cs="Arial"/>
                <w:b/>
                <w:bCs/>
                <w:sz w:val="20"/>
                <w:szCs w:val="20"/>
              </w:rPr>
            </w:pPr>
            <m:oMath>
              <m:r>
                <w:rPr>
                  <w:rFonts w:ascii="Cambria Math" w:hAnsi="Cambria Math" w:cs="Arial"/>
                </w:rPr>
                <m:t>162.000|</m:t>
              </m:r>
            </m:oMath>
            <w:r w:rsidRPr="00FB351A">
              <w:rPr>
                <w:rFonts w:ascii="Arial" w:hAnsi="Arial" w:cs="Arial"/>
                <w:b/>
                <w:bCs/>
                <w:sz w:val="20"/>
                <w:szCs w:val="20"/>
              </w:rPr>
              <w:t xml:space="preserve"> 1.462.000</w:t>
            </w:r>
          </w:p>
        </w:tc>
      </w:tr>
      <w:tr w:rsidR="00652C7A" w:rsidRPr="00FB351A" w14:paraId="7AC47FDF"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DAAE5"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2025</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51EA7C"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$ 1.423.500</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9D61F9" w14:textId="7CD7BC74" w:rsidR="00652C7A" w:rsidRPr="00FB351A" w:rsidRDefault="00652C7A" w:rsidP="009B3AAD">
            <w:pPr>
              <w:jc w:val="center"/>
              <w:rPr>
                <w:rFonts w:ascii="Arial" w:hAnsi="Arial" w:cs="Arial"/>
                <w:b/>
                <w:bCs/>
                <w:sz w:val="20"/>
                <w:szCs w:val="20"/>
              </w:rPr>
            </w:pPr>
            <m:oMath>
              <m:r>
                <w:rPr>
                  <w:rFonts w:ascii="Cambria Math" w:hAnsi="Cambria Math" w:cs="Arial"/>
                </w:rPr>
                <m:t>200.000|</m:t>
              </m:r>
            </m:oMath>
            <w:r w:rsidRPr="00FB351A">
              <w:rPr>
                <w:rFonts w:ascii="Arial" w:hAnsi="Arial" w:cs="Arial"/>
                <w:b/>
                <w:bCs/>
                <w:sz w:val="20"/>
                <w:szCs w:val="20"/>
              </w:rPr>
              <w:t xml:space="preserve"> 1.623.500</w:t>
            </w:r>
          </w:p>
        </w:tc>
      </w:tr>
      <w:tr w:rsidR="00652C7A" w:rsidRPr="00FB351A" w14:paraId="6A5CFC8E" w14:textId="77777777" w:rsidTr="009B3AAD">
        <w:trPr>
          <w:trHeight w:val="20"/>
          <w:tblCellSpacing w:w="15" w:type="dxa"/>
        </w:trPr>
        <w:tc>
          <w:tcPr>
            <w:tcW w:w="7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6A75DC"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2026</w:t>
            </w:r>
          </w:p>
        </w:tc>
        <w:tc>
          <w:tcPr>
            <w:tcW w:w="220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386FD6" w14:textId="77777777" w:rsidR="00652C7A" w:rsidRPr="00FB351A" w:rsidRDefault="00652C7A" w:rsidP="009B3AAD">
            <w:pPr>
              <w:jc w:val="center"/>
              <w:rPr>
                <w:rFonts w:ascii="Arial" w:hAnsi="Arial" w:cs="Arial"/>
                <w:b/>
                <w:bCs/>
                <w:sz w:val="20"/>
                <w:szCs w:val="20"/>
              </w:rPr>
            </w:pPr>
            <w:r w:rsidRPr="00FB351A">
              <w:rPr>
                <w:rFonts w:ascii="Arial" w:hAnsi="Arial" w:cs="Arial"/>
                <w:b/>
                <w:bCs/>
                <w:sz w:val="20"/>
                <w:szCs w:val="20"/>
              </w:rPr>
              <w:t>$ 1.750.905</w:t>
            </w:r>
          </w:p>
        </w:tc>
        <w:tc>
          <w:tcPr>
            <w:tcW w:w="199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272256" w14:textId="67DB8473" w:rsidR="00652C7A" w:rsidRPr="00FB351A" w:rsidRDefault="00652C7A" w:rsidP="009B3AAD">
            <w:pPr>
              <w:jc w:val="center"/>
              <w:rPr>
                <w:rFonts w:ascii="Arial" w:hAnsi="Arial" w:cs="Arial"/>
                <w:b/>
                <w:bCs/>
                <w:sz w:val="20"/>
                <w:szCs w:val="20"/>
              </w:rPr>
            </w:pPr>
            <m:oMath>
              <m:r>
                <w:rPr>
                  <w:rFonts w:ascii="Cambria Math" w:hAnsi="Cambria Math" w:cs="Arial"/>
                </w:rPr>
                <m:t>249.095|</m:t>
              </m:r>
            </m:oMath>
            <w:r w:rsidRPr="00FB351A">
              <w:rPr>
                <w:rFonts w:ascii="Arial" w:hAnsi="Arial" w:cs="Arial"/>
                <w:b/>
                <w:bCs/>
                <w:sz w:val="20"/>
                <w:szCs w:val="20"/>
              </w:rPr>
              <w:t xml:space="preserve"> 2.000.000</w:t>
            </w:r>
          </w:p>
        </w:tc>
      </w:tr>
    </w:tbl>
    <w:p w14:paraId="7EE41D8C" w14:textId="54FFC864" w:rsidR="00F823AC" w:rsidRPr="00FB351A" w:rsidRDefault="008322ED" w:rsidP="00803115">
      <w:pPr>
        <w:pStyle w:val="Descripcin"/>
        <w:jc w:val="both"/>
        <w:rPr>
          <w:rFonts w:ascii="Arial" w:eastAsia="Batang" w:hAnsi="Arial" w:cs="Arial"/>
          <w:b w:val="0"/>
        </w:rPr>
      </w:pPr>
      <w:r w:rsidRPr="00FB351A">
        <w:rPr>
          <w:rFonts w:ascii="Arial" w:eastAsia="Batang" w:hAnsi="Arial" w:cs="Arial"/>
          <w:b w:val="0"/>
        </w:rPr>
        <w:t xml:space="preserve">Cuadro Evolución del salario mínimo en Colombia. Elaborada por el intermediario de seguros de la entidad </w:t>
      </w:r>
    </w:p>
    <w:p w14:paraId="6C210987" w14:textId="77777777" w:rsidR="0009737E" w:rsidRPr="00FB351A" w:rsidRDefault="0009737E" w:rsidP="00803115">
      <w:pPr>
        <w:jc w:val="both"/>
        <w:rPr>
          <w:rFonts w:ascii="Arial" w:eastAsia="Batang" w:hAnsi="Arial" w:cs="Arial"/>
          <w:bCs/>
          <w:sz w:val="20"/>
          <w:szCs w:val="20"/>
        </w:rPr>
      </w:pPr>
    </w:p>
    <w:p w14:paraId="491CC6D1" w14:textId="77777777" w:rsidR="008322ED" w:rsidRPr="00FB351A" w:rsidRDefault="008322ED" w:rsidP="005E2AD5">
      <w:pPr>
        <w:pStyle w:val="Prrafodelista"/>
        <w:numPr>
          <w:ilvl w:val="0"/>
          <w:numId w:val="2"/>
        </w:numPr>
        <w:jc w:val="both"/>
        <w:rPr>
          <w:rFonts w:ascii="Arial" w:eastAsia="Batang" w:hAnsi="Arial" w:cs="Arial"/>
          <w:b/>
          <w:sz w:val="20"/>
          <w:szCs w:val="20"/>
        </w:rPr>
      </w:pPr>
      <w:r w:rsidRPr="00FB351A">
        <w:rPr>
          <w:rFonts w:ascii="Arial" w:eastAsia="Batang" w:hAnsi="Arial" w:cs="Arial"/>
          <w:b/>
          <w:sz w:val="20"/>
          <w:szCs w:val="20"/>
        </w:rPr>
        <w:t>Tasa de Desempleo</w:t>
      </w:r>
      <w:r w:rsidRPr="00FB351A">
        <w:rPr>
          <w:rStyle w:val="Refdenotaalpie"/>
          <w:rFonts w:ascii="Arial" w:eastAsia="Batang" w:hAnsi="Arial" w:cs="Arial"/>
          <w:b/>
          <w:sz w:val="20"/>
          <w:szCs w:val="20"/>
        </w:rPr>
        <w:footnoteReference w:id="8"/>
      </w:r>
    </w:p>
    <w:p w14:paraId="70041AD0" w14:textId="77777777" w:rsidR="008322ED" w:rsidRPr="00FB351A" w:rsidRDefault="008322ED" w:rsidP="00803115">
      <w:pPr>
        <w:jc w:val="both"/>
        <w:rPr>
          <w:rFonts w:ascii="Arial" w:eastAsia="Batang" w:hAnsi="Arial" w:cs="Arial"/>
          <w:sz w:val="20"/>
          <w:szCs w:val="20"/>
        </w:rPr>
      </w:pPr>
    </w:p>
    <w:p w14:paraId="68858410" w14:textId="77777777" w:rsidR="008322ED" w:rsidRPr="00FB351A" w:rsidRDefault="008322ED" w:rsidP="00803115">
      <w:pPr>
        <w:jc w:val="both"/>
        <w:rPr>
          <w:rFonts w:ascii="Arial" w:eastAsia="Batang" w:hAnsi="Arial" w:cs="Arial"/>
          <w:sz w:val="20"/>
          <w:szCs w:val="20"/>
        </w:rPr>
      </w:pPr>
      <w:r w:rsidRPr="00FB351A">
        <w:rPr>
          <w:rFonts w:ascii="Arial" w:eastAsia="Batang" w:hAnsi="Arial" w:cs="Arial"/>
          <w:sz w:val="20"/>
          <w:szCs w:val="20"/>
        </w:rPr>
        <w:t>El DANE, mediante La Gran Encuesta Integrada de Hogares (</w:t>
      </w:r>
      <w:proofErr w:type="spellStart"/>
      <w:r w:rsidRPr="00FB351A">
        <w:rPr>
          <w:rFonts w:ascii="Arial" w:eastAsia="Batang" w:hAnsi="Arial" w:cs="Arial"/>
          <w:sz w:val="20"/>
          <w:szCs w:val="20"/>
        </w:rPr>
        <w:t>GEIH</w:t>
      </w:r>
      <w:proofErr w:type="spellEnd"/>
      <w:r w:rsidRPr="00FB351A">
        <w:rPr>
          <w:rFonts w:ascii="Arial" w:eastAsia="Batang" w:hAnsi="Arial" w:cs="Arial"/>
          <w:sz w:val="20"/>
          <w:szCs w:val="20"/>
        </w:rPr>
        <w:t>) tiene como objetivo principal proporcionar información básica sobre el tamaño y estructura de la fuerza de trabajo del país (empleo, desempleo e inactividad), así como de las características sociodemográficas que permiten caracterizar a la población según sexo, edad, parentesco con el jefe del hogar, nivel educativo, la afiliación al sistema de seguridad social en salud, entre otros.</w:t>
      </w:r>
    </w:p>
    <w:p w14:paraId="6528463B" w14:textId="77777777" w:rsidR="008322ED" w:rsidRPr="00FB351A" w:rsidRDefault="008322ED" w:rsidP="00803115">
      <w:pPr>
        <w:jc w:val="both"/>
        <w:rPr>
          <w:rFonts w:ascii="Arial" w:eastAsia="Batang" w:hAnsi="Arial" w:cs="Arial"/>
          <w:sz w:val="20"/>
          <w:szCs w:val="20"/>
        </w:rPr>
      </w:pPr>
    </w:p>
    <w:p w14:paraId="551B3F44" w14:textId="77777777" w:rsidR="008322ED" w:rsidRPr="00FB351A" w:rsidRDefault="008322ED" w:rsidP="00803115">
      <w:pPr>
        <w:jc w:val="both"/>
        <w:rPr>
          <w:rFonts w:ascii="Arial" w:eastAsia="Batang" w:hAnsi="Arial" w:cs="Arial"/>
          <w:sz w:val="20"/>
          <w:szCs w:val="20"/>
        </w:rPr>
      </w:pPr>
      <w:r w:rsidRPr="00FB351A">
        <w:rPr>
          <w:rFonts w:ascii="Arial" w:eastAsia="Batang" w:hAnsi="Arial" w:cs="Arial"/>
          <w:sz w:val="20"/>
          <w:szCs w:val="20"/>
        </w:rPr>
        <w:lastRenderedPageBreak/>
        <w:t>Igualmente, a través de la encuesta se clasifica a las personas según su fuerza de trabajo en ocupadas, desocupadas o inactivas. De esta forma, es posible estimar los principales indicadores del mercado laboral colombiano, como son la Tasa Global de Participación (</w:t>
      </w:r>
      <w:proofErr w:type="spellStart"/>
      <w:r w:rsidRPr="00FB351A">
        <w:rPr>
          <w:rFonts w:ascii="Arial" w:eastAsia="Batang" w:hAnsi="Arial" w:cs="Arial"/>
          <w:sz w:val="20"/>
          <w:szCs w:val="20"/>
        </w:rPr>
        <w:t>TGP</w:t>
      </w:r>
      <w:proofErr w:type="spellEnd"/>
      <w:r w:rsidRPr="00FB351A">
        <w:rPr>
          <w:rFonts w:ascii="Arial" w:eastAsia="Batang" w:hAnsi="Arial" w:cs="Arial"/>
          <w:sz w:val="20"/>
          <w:szCs w:val="20"/>
        </w:rPr>
        <w:t>), la Tasa de Ocupación (</w:t>
      </w:r>
      <w:proofErr w:type="spellStart"/>
      <w:r w:rsidRPr="00FB351A">
        <w:rPr>
          <w:rFonts w:ascii="Arial" w:eastAsia="Batang" w:hAnsi="Arial" w:cs="Arial"/>
          <w:sz w:val="20"/>
          <w:szCs w:val="20"/>
        </w:rPr>
        <w:t>TO</w:t>
      </w:r>
      <w:proofErr w:type="spellEnd"/>
      <w:r w:rsidRPr="00FB351A">
        <w:rPr>
          <w:rFonts w:ascii="Arial" w:eastAsia="Batang" w:hAnsi="Arial" w:cs="Arial"/>
          <w:sz w:val="20"/>
          <w:szCs w:val="20"/>
        </w:rPr>
        <w:t>) y la Tasa de Desempleo (</w:t>
      </w:r>
      <w:proofErr w:type="spellStart"/>
      <w:r w:rsidRPr="00FB351A">
        <w:rPr>
          <w:rFonts w:ascii="Arial" w:eastAsia="Batang" w:hAnsi="Arial" w:cs="Arial"/>
          <w:sz w:val="20"/>
          <w:szCs w:val="20"/>
        </w:rPr>
        <w:t>TD</w:t>
      </w:r>
      <w:proofErr w:type="spellEnd"/>
      <w:r w:rsidRPr="00FB351A">
        <w:rPr>
          <w:rFonts w:ascii="Arial" w:eastAsia="Batang" w:hAnsi="Arial" w:cs="Arial"/>
          <w:sz w:val="20"/>
          <w:szCs w:val="20"/>
        </w:rPr>
        <w:t>).</w:t>
      </w:r>
    </w:p>
    <w:p w14:paraId="1156FAE2" w14:textId="77777777" w:rsidR="008322ED" w:rsidRPr="00FB351A" w:rsidRDefault="008322ED" w:rsidP="00803115">
      <w:pPr>
        <w:tabs>
          <w:tab w:val="left" w:pos="318"/>
        </w:tabs>
        <w:jc w:val="both"/>
        <w:rPr>
          <w:rFonts w:ascii="Arial" w:eastAsia="Batang" w:hAnsi="Arial" w:cs="Arial"/>
          <w:bCs/>
          <w:sz w:val="20"/>
          <w:szCs w:val="20"/>
        </w:rPr>
      </w:pPr>
    </w:p>
    <w:p w14:paraId="0BF91453" w14:textId="77777777" w:rsidR="00652C7A" w:rsidRPr="00FB351A" w:rsidRDefault="00652C7A" w:rsidP="00652C7A">
      <w:pPr>
        <w:tabs>
          <w:tab w:val="left" w:pos="318"/>
        </w:tabs>
        <w:overflowPunct w:val="0"/>
        <w:autoSpaceDE w:val="0"/>
        <w:autoSpaceDN w:val="0"/>
        <w:adjustRightInd w:val="0"/>
        <w:jc w:val="both"/>
        <w:textAlignment w:val="baseline"/>
        <w:rPr>
          <w:rFonts w:ascii="Arial" w:eastAsia="Batang" w:hAnsi="Arial" w:cs="Arial"/>
          <w:bCs/>
          <w:sz w:val="20"/>
          <w:szCs w:val="20"/>
          <w:lang w:val="es-ES"/>
        </w:rPr>
      </w:pPr>
      <w:r w:rsidRPr="00FB351A">
        <w:rPr>
          <w:rFonts w:ascii="Arial" w:eastAsia="Batang" w:hAnsi="Arial" w:cs="Arial"/>
          <w:bCs/>
          <w:sz w:val="20"/>
          <w:szCs w:val="20"/>
          <w:lang w:val="es-ES"/>
        </w:rPr>
        <w:t>En el primer semestre de 2026, las regiones Orinoquía, Amazonía e Insular presentaron una tasa de desocupación de 11,4%, lo que representó una disminución de 2,7 puntos porcentuales frente al mismo periodo del año anterior (14,2%). En la región Caribe esta tasa fue 9,6%, presentando una disminución de 0,9 puntos porcentuales, en contraste con el mismo periodo de 2025 (10,5%). Por su parte en la región Pacífica la tasa de desocupación fue 8,3%, en la región Central de 8,7% y en Bogotá D.C. se ubicó en 8,5%.</w:t>
      </w:r>
    </w:p>
    <w:p w14:paraId="6D8D6DC5" w14:textId="77777777" w:rsidR="00652C7A" w:rsidRPr="00FB351A" w:rsidRDefault="00652C7A" w:rsidP="00652C7A">
      <w:pPr>
        <w:tabs>
          <w:tab w:val="left" w:pos="318"/>
        </w:tabs>
        <w:overflowPunct w:val="0"/>
        <w:autoSpaceDE w:val="0"/>
        <w:autoSpaceDN w:val="0"/>
        <w:adjustRightInd w:val="0"/>
        <w:jc w:val="both"/>
        <w:textAlignment w:val="baseline"/>
        <w:rPr>
          <w:rFonts w:ascii="Arial" w:eastAsia="Batang" w:hAnsi="Arial" w:cs="Arial"/>
          <w:bCs/>
          <w:sz w:val="20"/>
          <w:szCs w:val="20"/>
        </w:rPr>
      </w:pPr>
    </w:p>
    <w:p w14:paraId="65B9128E" w14:textId="4649F721" w:rsidR="00652C7A" w:rsidRPr="00FB351A" w:rsidRDefault="00652C7A" w:rsidP="00652C7A">
      <w:pPr>
        <w:tabs>
          <w:tab w:val="left" w:pos="318"/>
        </w:tabs>
        <w:overflowPunct w:val="0"/>
        <w:autoSpaceDE w:val="0"/>
        <w:autoSpaceDN w:val="0"/>
        <w:adjustRightInd w:val="0"/>
        <w:jc w:val="both"/>
        <w:textAlignment w:val="baseline"/>
        <w:rPr>
          <w:rFonts w:ascii="Arial" w:eastAsia="Batang" w:hAnsi="Arial" w:cs="Arial"/>
          <w:bCs/>
          <w:sz w:val="20"/>
          <w:szCs w:val="20"/>
          <w:lang w:val="es-ES"/>
        </w:rPr>
      </w:pPr>
      <w:r w:rsidRPr="00FB351A">
        <w:rPr>
          <w:rFonts w:ascii="Arial" w:eastAsia="Batang" w:hAnsi="Arial" w:cs="Arial"/>
          <w:bCs/>
          <w:noProof/>
          <w:sz w:val="20"/>
          <w:szCs w:val="20"/>
          <w:lang w:val="es-ES"/>
        </w:rPr>
        <w:drawing>
          <wp:inline distT="0" distB="0" distL="0" distR="0" wp14:anchorId="03F5E905" wp14:editId="6F2DACC5">
            <wp:extent cx="5922645" cy="2966720"/>
            <wp:effectExtent l="0" t="0" r="1905" b="5080"/>
            <wp:docPr id="207507838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22645" cy="2966720"/>
                    </a:xfrm>
                    <a:prstGeom prst="rect">
                      <a:avLst/>
                    </a:prstGeom>
                    <a:noFill/>
                    <a:ln>
                      <a:noFill/>
                    </a:ln>
                  </pic:spPr>
                </pic:pic>
              </a:graphicData>
            </a:graphic>
          </wp:inline>
        </w:drawing>
      </w:r>
    </w:p>
    <w:p w14:paraId="0809B252" w14:textId="77777777" w:rsidR="00652C7A" w:rsidRPr="00FB351A" w:rsidRDefault="00652C7A" w:rsidP="00652C7A">
      <w:pPr>
        <w:tabs>
          <w:tab w:val="left" w:pos="318"/>
        </w:tabs>
        <w:overflowPunct w:val="0"/>
        <w:autoSpaceDE w:val="0"/>
        <w:autoSpaceDN w:val="0"/>
        <w:adjustRightInd w:val="0"/>
        <w:jc w:val="both"/>
        <w:textAlignment w:val="baseline"/>
        <w:rPr>
          <w:rFonts w:ascii="Arial" w:eastAsia="Batang" w:hAnsi="Arial" w:cs="Arial"/>
          <w:bCs/>
          <w:sz w:val="20"/>
          <w:szCs w:val="20"/>
        </w:rPr>
      </w:pPr>
      <w:r w:rsidRPr="00FB351A">
        <w:rPr>
          <w:rFonts w:ascii="Arial" w:eastAsia="Batang" w:hAnsi="Arial" w:cs="Arial"/>
          <w:bCs/>
          <w:sz w:val="20"/>
          <w:szCs w:val="20"/>
          <w:lang w:val="es-ES"/>
        </w:rPr>
        <w:t>Gráfica Tasa global de participación – tasa de ocupación – tasa de desocupación. Imagen tomada del DANE Boletín técnico</w:t>
      </w:r>
    </w:p>
    <w:p w14:paraId="770ABA5E" w14:textId="77777777" w:rsidR="00652C7A" w:rsidRPr="00FB351A" w:rsidRDefault="00652C7A" w:rsidP="00652C7A">
      <w:pPr>
        <w:tabs>
          <w:tab w:val="left" w:pos="318"/>
        </w:tabs>
        <w:overflowPunct w:val="0"/>
        <w:autoSpaceDE w:val="0"/>
        <w:autoSpaceDN w:val="0"/>
        <w:adjustRightInd w:val="0"/>
        <w:jc w:val="both"/>
        <w:textAlignment w:val="baseline"/>
        <w:rPr>
          <w:rFonts w:ascii="Arial" w:eastAsia="Batang" w:hAnsi="Arial" w:cs="Arial"/>
          <w:bCs/>
          <w:sz w:val="20"/>
          <w:szCs w:val="20"/>
          <w:u w:val="single"/>
          <w:lang w:val="es-ES"/>
        </w:rPr>
      </w:pPr>
    </w:p>
    <w:p w14:paraId="4906D4F3" w14:textId="3AE39239" w:rsidR="008322ED" w:rsidRPr="00FB351A" w:rsidRDefault="008322ED" w:rsidP="00803115">
      <w:pPr>
        <w:pStyle w:val="Prrafodelista"/>
        <w:numPr>
          <w:ilvl w:val="2"/>
          <w:numId w:val="1"/>
        </w:numPr>
        <w:tabs>
          <w:tab w:val="left" w:pos="318"/>
        </w:tabs>
        <w:overflowPunct w:val="0"/>
        <w:autoSpaceDE w:val="0"/>
        <w:autoSpaceDN w:val="0"/>
        <w:adjustRightInd w:val="0"/>
        <w:jc w:val="both"/>
        <w:textAlignment w:val="baseline"/>
        <w:rPr>
          <w:rFonts w:ascii="Arial" w:eastAsia="Arial" w:hAnsi="Arial" w:cs="Arial"/>
          <w:b/>
          <w:bCs/>
          <w:noProof/>
          <w:sz w:val="20"/>
          <w:szCs w:val="20"/>
        </w:rPr>
      </w:pPr>
      <w:r w:rsidRPr="00FB351A">
        <w:rPr>
          <w:rFonts w:ascii="Arial" w:eastAsia="Arial" w:hAnsi="Arial" w:cs="Arial"/>
          <w:b/>
          <w:bCs/>
          <w:noProof/>
          <w:sz w:val="20"/>
          <w:szCs w:val="20"/>
        </w:rPr>
        <w:t>Otros aspecos relevantes</w:t>
      </w:r>
    </w:p>
    <w:p w14:paraId="26243AEE"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Arial" w:hAnsi="Arial" w:cs="Arial"/>
          <w:b/>
          <w:bCs/>
          <w:noProof/>
          <w:sz w:val="20"/>
          <w:szCs w:val="20"/>
        </w:rPr>
      </w:pPr>
    </w:p>
    <w:p w14:paraId="56F58F55" w14:textId="77777777" w:rsidR="008322ED" w:rsidRPr="00FB351A" w:rsidRDefault="008322ED" w:rsidP="00803115">
      <w:pPr>
        <w:numPr>
          <w:ilvl w:val="3"/>
          <w:numId w:val="1"/>
        </w:numPr>
        <w:tabs>
          <w:tab w:val="left" w:pos="318"/>
        </w:tabs>
        <w:overflowPunct w:val="0"/>
        <w:autoSpaceDE w:val="0"/>
        <w:autoSpaceDN w:val="0"/>
        <w:adjustRightInd w:val="0"/>
        <w:ind w:left="0" w:firstLine="0"/>
        <w:jc w:val="both"/>
        <w:textAlignment w:val="baseline"/>
        <w:rPr>
          <w:rFonts w:ascii="Arial" w:eastAsia="Arial" w:hAnsi="Arial" w:cs="Arial"/>
          <w:b/>
          <w:bCs/>
          <w:noProof/>
          <w:sz w:val="20"/>
          <w:szCs w:val="20"/>
        </w:rPr>
      </w:pPr>
      <w:r w:rsidRPr="00FB351A">
        <w:rPr>
          <w:rFonts w:ascii="Arial" w:hAnsi="Arial" w:cs="Arial"/>
          <w:b/>
          <w:bCs/>
          <w:sz w:val="20"/>
          <w:szCs w:val="20"/>
          <w:lang w:val="es-ES_tradnl"/>
        </w:rPr>
        <w:t>Población objetivo</w:t>
      </w:r>
    </w:p>
    <w:p w14:paraId="258885AC" w14:textId="77777777" w:rsidR="008322ED" w:rsidRPr="00FB351A" w:rsidRDefault="008322ED" w:rsidP="00803115">
      <w:pPr>
        <w:jc w:val="both"/>
        <w:rPr>
          <w:rFonts w:ascii="Arial" w:hAnsi="Arial" w:cs="Arial"/>
          <w:sz w:val="20"/>
          <w:szCs w:val="20"/>
          <w:lang w:val="es-ES_tradnl"/>
        </w:rPr>
      </w:pPr>
    </w:p>
    <w:p w14:paraId="017CF081" w14:textId="75177AB3" w:rsidR="008322ED" w:rsidRPr="00FB351A" w:rsidRDefault="008322ED" w:rsidP="00803115">
      <w:pPr>
        <w:jc w:val="both"/>
        <w:rPr>
          <w:rFonts w:ascii="Arial" w:hAnsi="Arial" w:cs="Arial"/>
          <w:sz w:val="20"/>
          <w:szCs w:val="20"/>
        </w:rPr>
      </w:pPr>
      <w:r w:rsidRPr="00FB351A">
        <w:rPr>
          <w:rFonts w:ascii="Arial" w:hAnsi="Arial" w:cs="Arial"/>
          <w:sz w:val="20"/>
          <w:szCs w:val="20"/>
        </w:rPr>
        <w:t xml:space="preserve">La </w:t>
      </w:r>
      <w:r w:rsidR="00C17A42" w:rsidRPr="00FB351A">
        <w:rPr>
          <w:rFonts w:ascii="Arial" w:hAnsi="Arial" w:cs="Arial"/>
          <w:sz w:val="20"/>
          <w:szCs w:val="20"/>
        </w:rPr>
        <w:t>Agencia de Desarrollo Rural - ADR</w:t>
      </w:r>
      <w:r w:rsidRPr="00FB351A">
        <w:rPr>
          <w:rFonts w:ascii="Arial" w:hAnsi="Arial" w:cs="Arial"/>
          <w:sz w:val="20"/>
          <w:szCs w:val="20"/>
        </w:rPr>
        <w:t xml:space="preserve"> y todos sus actores, además de terceros que puedan verse afectados con ocasión de las actividades que desarrolla la entidad.</w:t>
      </w:r>
    </w:p>
    <w:p w14:paraId="3123303F" w14:textId="77777777" w:rsidR="008322ED" w:rsidRPr="00FB351A" w:rsidRDefault="008322ED" w:rsidP="00803115">
      <w:pPr>
        <w:jc w:val="both"/>
        <w:rPr>
          <w:rFonts w:ascii="Arial" w:hAnsi="Arial" w:cs="Arial"/>
          <w:sz w:val="20"/>
          <w:szCs w:val="20"/>
        </w:rPr>
      </w:pPr>
    </w:p>
    <w:p w14:paraId="2DFEC13F" w14:textId="77777777" w:rsidR="008322ED" w:rsidRPr="00FB351A" w:rsidRDefault="008322ED" w:rsidP="00803115">
      <w:pPr>
        <w:numPr>
          <w:ilvl w:val="3"/>
          <w:numId w:val="1"/>
        </w:numPr>
        <w:ind w:left="0" w:firstLine="0"/>
        <w:jc w:val="both"/>
        <w:rPr>
          <w:rFonts w:ascii="Arial" w:hAnsi="Arial" w:cs="Arial"/>
          <w:b/>
          <w:sz w:val="20"/>
          <w:szCs w:val="20"/>
        </w:rPr>
      </w:pPr>
      <w:r w:rsidRPr="00FB351A">
        <w:rPr>
          <w:rFonts w:ascii="Arial" w:hAnsi="Arial" w:cs="Arial"/>
          <w:b/>
          <w:sz w:val="20"/>
          <w:szCs w:val="20"/>
          <w:lang w:val="es-ES_tradnl"/>
        </w:rPr>
        <w:t>Contexto macroeconómico:</w:t>
      </w:r>
    </w:p>
    <w:p w14:paraId="2148637F" w14:textId="77777777" w:rsidR="008322ED" w:rsidRPr="00FB351A" w:rsidRDefault="008322ED" w:rsidP="00803115">
      <w:pPr>
        <w:jc w:val="both"/>
        <w:rPr>
          <w:rFonts w:ascii="Arial" w:hAnsi="Arial" w:cs="Arial"/>
          <w:bCs/>
          <w:sz w:val="20"/>
          <w:szCs w:val="20"/>
          <w:lang w:val="es-ES_tradnl"/>
        </w:rPr>
      </w:pPr>
    </w:p>
    <w:p w14:paraId="7C1FCACA" w14:textId="75181E80" w:rsidR="00393BE5" w:rsidRPr="00FB351A" w:rsidRDefault="00393BE5" w:rsidP="00803115">
      <w:pPr>
        <w:jc w:val="both"/>
        <w:rPr>
          <w:rFonts w:ascii="Arial" w:hAnsi="Arial" w:cs="Arial"/>
          <w:bCs/>
          <w:sz w:val="20"/>
          <w:szCs w:val="20"/>
          <w:lang w:val="es-ES_tradnl"/>
        </w:rPr>
      </w:pPr>
      <w:bookmarkStart w:id="6" w:name="_Hlk209453854"/>
      <w:r w:rsidRPr="00FB351A">
        <w:rPr>
          <w:rFonts w:ascii="Arial" w:hAnsi="Arial" w:cs="Arial"/>
          <w:bCs/>
          <w:sz w:val="20"/>
          <w:szCs w:val="20"/>
          <w:lang w:val="es-ES_tradnl"/>
        </w:rPr>
        <w:t xml:space="preserve">La economía es un estudio que involucra la asignación, la producción y la distribución de los recursos económicos. </w:t>
      </w:r>
      <w:r w:rsidR="00280A08" w:rsidRPr="00FB351A">
        <w:rPr>
          <w:rFonts w:ascii="Arial" w:hAnsi="Arial" w:cs="Arial"/>
          <w:bCs/>
          <w:sz w:val="20"/>
          <w:szCs w:val="20"/>
          <w:lang w:val="es-ES_tradnl"/>
        </w:rPr>
        <w:t>El contexto macroeconómico de los seguros está altamente influenciado por el producto interno bruto (PIB</w:t>
      </w:r>
      <w:r w:rsidR="004E2051" w:rsidRPr="00FB351A">
        <w:rPr>
          <w:rFonts w:ascii="Arial" w:hAnsi="Arial" w:cs="Arial"/>
          <w:bCs/>
          <w:sz w:val="20"/>
          <w:szCs w:val="20"/>
          <w:lang w:val="es-ES_tradnl"/>
        </w:rPr>
        <w:t>),</w:t>
      </w:r>
      <w:r w:rsidR="00280A08" w:rsidRPr="00FB351A">
        <w:rPr>
          <w:rFonts w:ascii="Arial" w:hAnsi="Arial" w:cs="Arial"/>
          <w:bCs/>
          <w:sz w:val="20"/>
          <w:szCs w:val="20"/>
          <w:lang w:val="es-ES_tradnl"/>
        </w:rPr>
        <w:t xml:space="preserve"> el índice de precios al consumidor (IPC) que mide la inflación y las tasas </w:t>
      </w:r>
      <w:r w:rsidR="001F3123" w:rsidRPr="00FB351A">
        <w:rPr>
          <w:rFonts w:ascii="Arial" w:hAnsi="Arial" w:cs="Arial"/>
          <w:bCs/>
          <w:sz w:val="20"/>
          <w:szCs w:val="20"/>
          <w:lang w:val="es-ES_tradnl"/>
        </w:rPr>
        <w:t xml:space="preserve">representativas de mercado y las tasas </w:t>
      </w:r>
      <w:r w:rsidR="00280A08" w:rsidRPr="00FB351A">
        <w:rPr>
          <w:rFonts w:ascii="Arial" w:hAnsi="Arial" w:cs="Arial"/>
          <w:bCs/>
          <w:sz w:val="20"/>
          <w:szCs w:val="20"/>
          <w:lang w:val="es-ES_tradnl"/>
        </w:rPr>
        <w:t xml:space="preserve">de interés, actuando como estabilizador económico ante riesgos climáticos y financieros. </w:t>
      </w:r>
      <w:r w:rsidRPr="00FB351A">
        <w:rPr>
          <w:rFonts w:ascii="Arial" w:hAnsi="Arial" w:cs="Arial"/>
          <w:bCs/>
          <w:sz w:val="20"/>
          <w:szCs w:val="20"/>
          <w:lang w:val="es-ES_tradnl"/>
        </w:rPr>
        <w:t xml:space="preserve">Las naciones y los gobiernos prestan mucha atención a los indicadores económicos, ya que proporcionan </w:t>
      </w:r>
      <w:r w:rsidRPr="00FB351A">
        <w:rPr>
          <w:rFonts w:ascii="Arial" w:hAnsi="Arial" w:cs="Arial"/>
          <w:bCs/>
          <w:sz w:val="20"/>
          <w:szCs w:val="20"/>
          <w:lang w:val="es-ES_tradnl"/>
        </w:rPr>
        <w:lastRenderedPageBreak/>
        <w:t xml:space="preserve">información sobre la contracción o la expansión de una economía. Los indicadores </w:t>
      </w:r>
      <w:r w:rsidR="001F3123" w:rsidRPr="00FB351A">
        <w:rPr>
          <w:rFonts w:ascii="Arial" w:hAnsi="Arial" w:cs="Arial"/>
          <w:bCs/>
          <w:sz w:val="20"/>
          <w:szCs w:val="20"/>
          <w:lang w:val="es-ES_tradnl"/>
        </w:rPr>
        <w:t>económicos</w:t>
      </w:r>
      <w:r w:rsidRPr="00FB351A">
        <w:rPr>
          <w:rFonts w:ascii="Arial" w:hAnsi="Arial" w:cs="Arial"/>
          <w:bCs/>
          <w:sz w:val="20"/>
          <w:szCs w:val="20"/>
          <w:lang w:val="es-ES_tradnl"/>
        </w:rPr>
        <w:t xml:space="preserve"> proporcionan información actual que puede predecir los futuros cambios en la economía.</w:t>
      </w:r>
    </w:p>
    <w:p w14:paraId="1B7DF118" w14:textId="77777777" w:rsidR="008322ED" w:rsidRPr="00FB351A" w:rsidRDefault="008322ED" w:rsidP="00803115">
      <w:pPr>
        <w:jc w:val="both"/>
        <w:rPr>
          <w:rFonts w:ascii="Arial" w:hAnsi="Arial" w:cs="Arial"/>
          <w:bCs/>
          <w:sz w:val="20"/>
          <w:szCs w:val="20"/>
          <w:lang w:val="es-ES_tradnl"/>
        </w:rPr>
      </w:pPr>
    </w:p>
    <w:p w14:paraId="4996DEE4" w14:textId="77777777" w:rsidR="008322ED" w:rsidRPr="00FB351A" w:rsidRDefault="008322ED" w:rsidP="00803115">
      <w:pPr>
        <w:jc w:val="both"/>
        <w:rPr>
          <w:rFonts w:ascii="Arial" w:hAnsi="Arial" w:cs="Arial"/>
          <w:bCs/>
          <w:sz w:val="20"/>
          <w:szCs w:val="20"/>
          <w:lang w:val="es-ES_tradnl"/>
        </w:rPr>
      </w:pPr>
      <w:r w:rsidRPr="00FB351A">
        <w:rPr>
          <w:rFonts w:ascii="Arial" w:hAnsi="Arial" w:cs="Arial"/>
          <w:bCs/>
          <w:sz w:val="20"/>
          <w:szCs w:val="20"/>
          <w:lang w:val="es-ES_tradnl"/>
        </w:rPr>
        <w:t>De acuerdo con la dinámica del sector asegurador ha tenido un impacto notorio en el desarrollo de la economía colombiana, teniendo en cuenta un marco legislativo favorecedor y una población objetivo cada vez más concientizada. La segmentación y especialización del sector asegurador han sido clave para el crecimiento de este. La diversificación de los servicios en función de las necesidades del mercado ha permitido no solamente evoluciones constantes, sino también un ambiente más propicio para la consolidación de la oferta a nivel general, en un entorno en el que los riesgos surgen a la par de los avances y las innovaciones.</w:t>
      </w:r>
    </w:p>
    <w:bookmarkEnd w:id="6"/>
    <w:p w14:paraId="2A82B05C" w14:textId="77777777" w:rsidR="00BD589B" w:rsidRPr="00FB351A" w:rsidRDefault="00BD589B" w:rsidP="00803115">
      <w:pPr>
        <w:tabs>
          <w:tab w:val="left" w:pos="318"/>
        </w:tabs>
        <w:overflowPunct w:val="0"/>
        <w:autoSpaceDE w:val="0"/>
        <w:autoSpaceDN w:val="0"/>
        <w:adjustRightInd w:val="0"/>
        <w:jc w:val="both"/>
        <w:textAlignment w:val="baseline"/>
        <w:rPr>
          <w:rFonts w:ascii="Arial" w:eastAsia="Arial" w:hAnsi="Arial" w:cs="Arial"/>
          <w:noProof/>
          <w:sz w:val="20"/>
          <w:szCs w:val="20"/>
        </w:rPr>
      </w:pPr>
    </w:p>
    <w:p w14:paraId="3ED46ED3" w14:textId="6B2C38A6" w:rsidR="008322ED" w:rsidRPr="00FB351A" w:rsidRDefault="008322ED" w:rsidP="00803115">
      <w:pPr>
        <w:pStyle w:val="Prrafodelista"/>
        <w:numPr>
          <w:ilvl w:val="1"/>
          <w:numId w:val="1"/>
        </w:numPr>
        <w:tabs>
          <w:tab w:val="left" w:pos="318"/>
        </w:tabs>
        <w:overflowPunct w:val="0"/>
        <w:autoSpaceDE w:val="0"/>
        <w:autoSpaceDN w:val="0"/>
        <w:adjustRightInd w:val="0"/>
        <w:jc w:val="both"/>
        <w:textAlignment w:val="baseline"/>
        <w:rPr>
          <w:rFonts w:ascii="Arial" w:hAnsi="Arial" w:cs="Arial"/>
          <w:b/>
          <w:color w:val="000000"/>
          <w:sz w:val="20"/>
          <w:szCs w:val="20"/>
        </w:rPr>
      </w:pPr>
      <w:r w:rsidRPr="00FB351A">
        <w:rPr>
          <w:rFonts w:ascii="Arial" w:hAnsi="Arial" w:cs="Arial"/>
          <w:b/>
          <w:color w:val="000000"/>
          <w:sz w:val="20"/>
          <w:szCs w:val="20"/>
        </w:rPr>
        <w:t>Aspecto Técnico:</w:t>
      </w:r>
    </w:p>
    <w:p w14:paraId="76AC58FC" w14:textId="77777777" w:rsidR="008322ED" w:rsidRPr="00FB351A" w:rsidRDefault="008322ED" w:rsidP="00803115">
      <w:pPr>
        <w:pStyle w:val="Ttulo4"/>
        <w:spacing w:before="0"/>
        <w:jc w:val="both"/>
        <w:rPr>
          <w:rFonts w:ascii="Arial" w:eastAsia="Arial MT" w:hAnsi="Arial" w:cs="Arial"/>
          <w:b/>
          <w:bCs/>
          <w:i w:val="0"/>
          <w:iCs w:val="0"/>
          <w:color w:val="auto"/>
          <w:sz w:val="20"/>
          <w:szCs w:val="20"/>
        </w:rPr>
      </w:pPr>
    </w:p>
    <w:p w14:paraId="4CDEAE90" w14:textId="77777777" w:rsidR="008322ED" w:rsidRPr="00FB351A" w:rsidRDefault="008322ED" w:rsidP="00803115">
      <w:pPr>
        <w:pStyle w:val="Prrafodelista"/>
        <w:ind w:left="0" w:firstLine="0"/>
        <w:jc w:val="both"/>
        <w:rPr>
          <w:rFonts w:ascii="Arial" w:hAnsi="Arial" w:cs="Arial"/>
          <w:bCs/>
          <w:sz w:val="20"/>
          <w:szCs w:val="20"/>
          <w:lang w:val="es-ES_tradnl"/>
        </w:rPr>
      </w:pPr>
      <w:bookmarkStart w:id="7" w:name="_Hlk209457959"/>
      <w:r w:rsidRPr="00FB351A">
        <w:rPr>
          <w:rFonts w:ascii="Arial" w:hAnsi="Arial" w:cs="Arial"/>
          <w:bCs/>
          <w:sz w:val="20"/>
          <w:szCs w:val="20"/>
          <w:lang w:val="es-ES_tradnl"/>
        </w:rPr>
        <w:t xml:space="preserve">La función indemnizatoria del seguro permite a la sociedad enfrentar los diferentes riesgos a los que se exponen sus bienes y su patrimonio, en la medida en que los protege cuando se presentan siniestros, que son tan diversos, como diversos son los riesgos que pueden presentar. </w:t>
      </w:r>
    </w:p>
    <w:p w14:paraId="15DB9D43" w14:textId="77777777" w:rsidR="008322ED" w:rsidRPr="00FB351A" w:rsidRDefault="008322ED" w:rsidP="00803115">
      <w:pPr>
        <w:pStyle w:val="Prrafodelista"/>
        <w:ind w:left="0" w:firstLine="0"/>
        <w:jc w:val="both"/>
        <w:rPr>
          <w:rFonts w:ascii="Arial" w:hAnsi="Arial" w:cs="Arial"/>
          <w:bCs/>
          <w:sz w:val="20"/>
          <w:szCs w:val="20"/>
          <w:lang w:val="es-ES_tradnl"/>
        </w:rPr>
      </w:pPr>
    </w:p>
    <w:p w14:paraId="252CC9BD" w14:textId="12F4C0DC" w:rsidR="008322ED" w:rsidRPr="00FB351A" w:rsidRDefault="008322ED" w:rsidP="00803115">
      <w:pPr>
        <w:pStyle w:val="Prrafodelista"/>
        <w:ind w:left="0" w:firstLine="0"/>
        <w:jc w:val="both"/>
        <w:rPr>
          <w:rFonts w:ascii="Arial" w:hAnsi="Arial" w:cs="Arial"/>
          <w:bCs/>
          <w:sz w:val="20"/>
          <w:szCs w:val="20"/>
          <w:lang w:val="es-ES_tradnl"/>
        </w:rPr>
      </w:pPr>
      <w:r w:rsidRPr="00FB351A">
        <w:rPr>
          <w:rFonts w:ascii="Arial" w:hAnsi="Arial" w:cs="Arial"/>
          <w:bCs/>
          <w:sz w:val="20"/>
          <w:szCs w:val="20"/>
          <w:lang w:val="es-ES_tradnl"/>
        </w:rPr>
        <w:t xml:space="preserve">Igualmente, el seguro apoya a las Entidades estatales en la protección sobre sus bienes y patrimonio, bien sea indemnizando los daños causados a su propiedad, o bien sea reparando a víctimas por perjuicios causados a terceros. A través de la celebración de contratos de seguros. Las Entidades Estatales buscan proteger su patrimonio contra la mayor cantidad de riesgos a los cuales se encuentra expuesto. Es así como los bienes e intereses patrimoniales de la </w:t>
      </w:r>
      <w:r w:rsidR="00DC070C" w:rsidRPr="00FB351A">
        <w:rPr>
          <w:rFonts w:ascii="Arial" w:hAnsi="Arial" w:cs="Arial"/>
          <w:sz w:val="20"/>
          <w:szCs w:val="20"/>
        </w:rPr>
        <w:t>Agencia de Desarrollo Rural - ADR</w:t>
      </w:r>
      <w:r w:rsidRPr="00FB351A">
        <w:rPr>
          <w:rFonts w:ascii="Arial" w:hAnsi="Arial" w:cs="Arial"/>
          <w:bCs/>
          <w:sz w:val="20"/>
          <w:szCs w:val="20"/>
          <w:lang w:val="es-ES_tradnl"/>
        </w:rPr>
        <w:t xml:space="preserve">, al encontrarse a una gran cantidad de riesgos que, en el evento de realizarse, producirían un detrimento al patrimonio de la Entidad, se hace necesario la contratación de seguros que protejan este patrimonio, además de cumplir con la obligación de las Entidades del Estado asegurar sus bienes e intereses patrimoniales. </w:t>
      </w:r>
    </w:p>
    <w:p w14:paraId="42442C8E" w14:textId="77777777" w:rsidR="008322ED" w:rsidRPr="00FB351A" w:rsidRDefault="008322ED" w:rsidP="00803115">
      <w:pPr>
        <w:pStyle w:val="Prrafodelista"/>
        <w:ind w:left="0" w:firstLine="0"/>
        <w:jc w:val="both"/>
        <w:rPr>
          <w:rFonts w:ascii="Arial" w:hAnsi="Arial" w:cs="Arial"/>
          <w:bCs/>
          <w:sz w:val="20"/>
          <w:szCs w:val="20"/>
          <w:lang w:val="es-ES_tradnl"/>
        </w:rPr>
      </w:pPr>
    </w:p>
    <w:p w14:paraId="4C6E15B5" w14:textId="77777777" w:rsidR="008322ED" w:rsidRPr="00FB351A" w:rsidRDefault="008322ED" w:rsidP="00803115">
      <w:pPr>
        <w:pStyle w:val="Prrafodelista"/>
        <w:ind w:left="0" w:firstLine="0"/>
        <w:jc w:val="both"/>
        <w:rPr>
          <w:rFonts w:ascii="Arial" w:hAnsi="Arial" w:cs="Arial"/>
          <w:bCs/>
          <w:sz w:val="20"/>
          <w:szCs w:val="20"/>
          <w:lang w:val="es-ES_tradnl"/>
        </w:rPr>
      </w:pPr>
      <w:r w:rsidRPr="00FB351A">
        <w:rPr>
          <w:rFonts w:ascii="Arial" w:hAnsi="Arial" w:cs="Arial"/>
          <w:bCs/>
          <w:sz w:val="20"/>
          <w:szCs w:val="20"/>
          <w:lang w:val="es-ES_tradnl"/>
        </w:rPr>
        <w:t>EL código de comercio colombiano no tiene una definición puntual del contrato de seguros, simplemente señala sus características, por tanto, es importante conocer el significado de algunas de sus elementos:</w:t>
      </w:r>
    </w:p>
    <w:bookmarkEnd w:id="7"/>
    <w:p w14:paraId="36439D97" w14:textId="77777777" w:rsidR="008322ED" w:rsidRPr="00FB351A" w:rsidRDefault="008322ED" w:rsidP="00803115">
      <w:pPr>
        <w:pStyle w:val="Prrafodelista"/>
        <w:ind w:left="0" w:firstLine="0"/>
        <w:jc w:val="both"/>
        <w:rPr>
          <w:rFonts w:ascii="Arial" w:hAnsi="Arial" w:cs="Arial"/>
          <w:bCs/>
          <w:sz w:val="20"/>
          <w:szCs w:val="20"/>
        </w:rPr>
      </w:pPr>
    </w:p>
    <w:p w14:paraId="5B0185B7" w14:textId="77777777" w:rsidR="008322ED" w:rsidRPr="00FB351A" w:rsidRDefault="008322ED">
      <w:pPr>
        <w:pStyle w:val="Prrafodelista"/>
        <w:numPr>
          <w:ilvl w:val="0"/>
          <w:numId w:val="21"/>
        </w:numPr>
        <w:ind w:left="0" w:firstLine="0"/>
        <w:contextualSpacing/>
        <w:jc w:val="both"/>
        <w:rPr>
          <w:rFonts w:ascii="Arial" w:hAnsi="Arial" w:cs="Arial"/>
          <w:b/>
          <w:sz w:val="20"/>
          <w:szCs w:val="20"/>
        </w:rPr>
      </w:pPr>
      <w:r w:rsidRPr="00FB351A">
        <w:rPr>
          <w:rFonts w:ascii="Arial" w:hAnsi="Arial" w:cs="Arial"/>
          <w:b/>
          <w:sz w:val="20"/>
          <w:szCs w:val="20"/>
        </w:rPr>
        <w:t>El Contrato de Seguros</w:t>
      </w:r>
    </w:p>
    <w:p w14:paraId="6473B1D8" w14:textId="77777777" w:rsidR="008322ED" w:rsidRPr="00FB351A" w:rsidRDefault="008322ED" w:rsidP="00803115">
      <w:pPr>
        <w:pStyle w:val="Prrafodelista"/>
        <w:ind w:left="0" w:firstLine="0"/>
        <w:jc w:val="both"/>
        <w:rPr>
          <w:rFonts w:ascii="Arial" w:hAnsi="Arial" w:cs="Arial"/>
          <w:bCs/>
          <w:sz w:val="20"/>
          <w:szCs w:val="20"/>
        </w:rPr>
      </w:pPr>
    </w:p>
    <w:p w14:paraId="457A88AE"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Está regulado por el Código de Comercio en el Título V, Capítulo I- Principios Comunes a los Seguros Terrestres, Capítulo II – Seguros de Daños y Capítulo III Seguros de Personas, Artículo 1036 y ss. Lo define este artículo así: “El seguro es un contrato consensual, bilateral, oneroso, aleatorio y de ejecución sucesiva”.</w:t>
      </w:r>
    </w:p>
    <w:p w14:paraId="08DA538E" w14:textId="77777777" w:rsidR="008322ED" w:rsidRPr="00FB351A" w:rsidRDefault="008322ED" w:rsidP="00803115">
      <w:pPr>
        <w:pStyle w:val="Prrafodelista"/>
        <w:ind w:left="0" w:firstLine="0"/>
        <w:jc w:val="both"/>
        <w:rPr>
          <w:rFonts w:ascii="Arial" w:hAnsi="Arial" w:cs="Arial"/>
          <w:bCs/>
          <w:sz w:val="20"/>
          <w:szCs w:val="20"/>
        </w:rPr>
      </w:pPr>
    </w:p>
    <w:p w14:paraId="3AC427FB"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Se complementa esta normatividad con la emitida por la Superintendencia Financiera, Entidad que regula la actividad de las Compañías Aseguradoras y de los Intermediarios de Seguros. Igualmente, debe tenerse presente, las normas que expide el Congreso de la República en materia de intermediación financiera, actividad aseguradora y otras disposiciones.</w:t>
      </w:r>
    </w:p>
    <w:p w14:paraId="123EA745" w14:textId="77777777" w:rsidR="008322ED" w:rsidRPr="00FB351A" w:rsidRDefault="008322ED" w:rsidP="00803115">
      <w:pPr>
        <w:pStyle w:val="Prrafodelista"/>
        <w:ind w:left="0" w:firstLine="0"/>
        <w:jc w:val="both"/>
        <w:rPr>
          <w:rFonts w:ascii="Arial" w:hAnsi="Arial" w:cs="Arial"/>
          <w:bCs/>
          <w:sz w:val="20"/>
          <w:szCs w:val="20"/>
        </w:rPr>
      </w:pPr>
    </w:p>
    <w:p w14:paraId="08A3C8CD" w14:textId="77777777" w:rsidR="008322ED" w:rsidRPr="00FB351A" w:rsidRDefault="008322ED">
      <w:pPr>
        <w:pStyle w:val="Prrafodelista"/>
        <w:numPr>
          <w:ilvl w:val="0"/>
          <w:numId w:val="21"/>
        </w:numPr>
        <w:ind w:left="0" w:firstLine="0"/>
        <w:contextualSpacing/>
        <w:jc w:val="both"/>
        <w:rPr>
          <w:rFonts w:ascii="Arial" w:hAnsi="Arial" w:cs="Arial"/>
          <w:b/>
          <w:sz w:val="20"/>
          <w:szCs w:val="20"/>
        </w:rPr>
      </w:pPr>
      <w:bookmarkStart w:id="8" w:name="_Toc518922178"/>
      <w:bookmarkStart w:id="9" w:name="_Toc14162594"/>
      <w:bookmarkStart w:id="10" w:name="_Toc41048555"/>
      <w:r w:rsidRPr="00FB351A">
        <w:rPr>
          <w:rFonts w:ascii="Arial" w:hAnsi="Arial" w:cs="Arial"/>
          <w:b/>
          <w:sz w:val="20"/>
          <w:szCs w:val="20"/>
        </w:rPr>
        <w:t>Principales Elementos Técnicos del Contrato de Seguro</w:t>
      </w:r>
      <w:bookmarkEnd w:id="8"/>
      <w:bookmarkEnd w:id="9"/>
      <w:bookmarkEnd w:id="10"/>
    </w:p>
    <w:p w14:paraId="0E5B25EF" w14:textId="77777777" w:rsidR="008322ED" w:rsidRPr="00FB351A" w:rsidRDefault="008322ED" w:rsidP="00803115">
      <w:pPr>
        <w:pStyle w:val="Prrafodelista"/>
        <w:ind w:left="0" w:firstLine="0"/>
        <w:jc w:val="both"/>
        <w:rPr>
          <w:rFonts w:ascii="Arial" w:hAnsi="Arial" w:cs="Arial"/>
          <w:bCs/>
          <w:sz w:val="20"/>
          <w:szCs w:val="20"/>
        </w:rPr>
      </w:pPr>
    </w:p>
    <w:p w14:paraId="59CB03E9"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Se considera como principales elementos técnicos que forman parte del contrato de seguro, los siguientes: Suma Asegurada, Amparos, Tasa o Prima de Seguro e Indemnización.</w:t>
      </w:r>
    </w:p>
    <w:p w14:paraId="5C61E36D" w14:textId="77777777" w:rsidR="008322ED" w:rsidRPr="00FB351A" w:rsidRDefault="008322ED" w:rsidP="00803115">
      <w:pPr>
        <w:pStyle w:val="Prrafodelista"/>
        <w:ind w:left="0" w:firstLine="0"/>
        <w:jc w:val="both"/>
        <w:rPr>
          <w:rFonts w:ascii="Arial" w:hAnsi="Arial" w:cs="Arial"/>
          <w:bCs/>
          <w:sz w:val="20"/>
          <w:szCs w:val="20"/>
        </w:rPr>
      </w:pPr>
    </w:p>
    <w:p w14:paraId="325EA803"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Suma Asegurada: es el valor atribuido por el Asegurador a los bienes cubiertos por la póliza y representa el límite máximo de la indemnización a pagar por el Asegurador en cada siniestro. La suma asegurada coincide con el valor el Asegurado en la solicitud para contratar un seguro.</w:t>
      </w:r>
    </w:p>
    <w:p w14:paraId="746045A4" w14:textId="77777777" w:rsidR="008322ED" w:rsidRPr="00FB351A" w:rsidRDefault="008322ED" w:rsidP="00803115">
      <w:pPr>
        <w:pStyle w:val="Prrafodelista"/>
        <w:ind w:left="0" w:firstLine="0"/>
        <w:jc w:val="both"/>
        <w:rPr>
          <w:rFonts w:ascii="Arial" w:hAnsi="Arial" w:cs="Arial"/>
          <w:bCs/>
          <w:sz w:val="20"/>
          <w:szCs w:val="20"/>
        </w:rPr>
      </w:pPr>
    </w:p>
    <w:p w14:paraId="2C5C9A84"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lastRenderedPageBreak/>
        <w:t>Amparos: de acuerdo con la cosa que deseamos asegurar se deben establecer las coberturas o amparos en las pólizas, estas se refieren a aquellos eventos contra los que se pretenden resguardar el bien o cosa objeto del seguro.</w:t>
      </w:r>
    </w:p>
    <w:p w14:paraId="77A09031" w14:textId="77777777" w:rsidR="008322ED" w:rsidRPr="00FB351A" w:rsidRDefault="008322ED" w:rsidP="00803115">
      <w:pPr>
        <w:pStyle w:val="Prrafodelista"/>
        <w:ind w:left="0" w:firstLine="0"/>
        <w:jc w:val="both"/>
        <w:rPr>
          <w:rFonts w:ascii="Arial" w:hAnsi="Arial" w:cs="Arial"/>
          <w:bCs/>
          <w:sz w:val="20"/>
          <w:szCs w:val="20"/>
        </w:rPr>
      </w:pPr>
    </w:p>
    <w:p w14:paraId="65C8AAA0"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Tasa o Prima de Seguro: Es el pago al cual se compromete el Tomador de la póliza a la Aseguradora por el traslado del riesgo.</w:t>
      </w:r>
    </w:p>
    <w:p w14:paraId="5E469BA8" w14:textId="77777777" w:rsidR="008322ED" w:rsidRPr="00FB351A" w:rsidRDefault="008322ED" w:rsidP="00803115">
      <w:pPr>
        <w:pStyle w:val="Prrafodelista"/>
        <w:ind w:left="0" w:firstLine="0"/>
        <w:jc w:val="both"/>
        <w:rPr>
          <w:rFonts w:ascii="Arial" w:hAnsi="Arial" w:cs="Arial"/>
          <w:bCs/>
          <w:sz w:val="20"/>
          <w:szCs w:val="20"/>
        </w:rPr>
      </w:pPr>
    </w:p>
    <w:p w14:paraId="55CE6C93"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Indemnización: es el pago al que se obliga realizar la Aseguradora en el plazo legal (un mes) una vez ocurrido el siniestro, para lo cual el Asegurado deberá demostrar su ocurrencia y cuantía.</w:t>
      </w:r>
    </w:p>
    <w:p w14:paraId="6B28167F" w14:textId="77777777" w:rsidR="008322ED" w:rsidRPr="00FB351A" w:rsidRDefault="008322ED" w:rsidP="00803115">
      <w:pPr>
        <w:pStyle w:val="Prrafodelista"/>
        <w:ind w:left="0" w:firstLine="0"/>
        <w:jc w:val="both"/>
        <w:rPr>
          <w:rFonts w:ascii="Arial" w:hAnsi="Arial" w:cs="Arial"/>
          <w:bCs/>
          <w:sz w:val="20"/>
          <w:szCs w:val="20"/>
        </w:rPr>
      </w:pPr>
    </w:p>
    <w:p w14:paraId="7BF3F0D5" w14:textId="77777777" w:rsidR="008322ED" w:rsidRPr="00FB351A" w:rsidRDefault="008322ED">
      <w:pPr>
        <w:pStyle w:val="Prrafodelista"/>
        <w:numPr>
          <w:ilvl w:val="0"/>
          <w:numId w:val="21"/>
        </w:numPr>
        <w:ind w:left="0" w:firstLine="0"/>
        <w:contextualSpacing/>
        <w:jc w:val="both"/>
        <w:rPr>
          <w:rFonts w:ascii="Arial" w:hAnsi="Arial" w:cs="Arial"/>
          <w:b/>
          <w:sz w:val="20"/>
          <w:szCs w:val="20"/>
        </w:rPr>
      </w:pPr>
      <w:r w:rsidRPr="00FB351A">
        <w:rPr>
          <w:rFonts w:ascii="Arial" w:hAnsi="Arial" w:cs="Arial"/>
          <w:b/>
          <w:sz w:val="20"/>
          <w:szCs w:val="20"/>
        </w:rPr>
        <w:t>Condiciones Generales del Contrato de Seguro</w:t>
      </w:r>
    </w:p>
    <w:p w14:paraId="586B0E65" w14:textId="77777777" w:rsidR="008322ED" w:rsidRPr="00FB351A" w:rsidRDefault="008322ED" w:rsidP="00803115">
      <w:pPr>
        <w:pStyle w:val="Prrafodelista"/>
        <w:ind w:left="0" w:firstLine="0"/>
        <w:jc w:val="both"/>
        <w:rPr>
          <w:rFonts w:ascii="Arial" w:hAnsi="Arial" w:cs="Arial"/>
          <w:bCs/>
          <w:sz w:val="20"/>
          <w:szCs w:val="20"/>
        </w:rPr>
      </w:pPr>
    </w:p>
    <w:p w14:paraId="1E140BA4"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Se entiende por condiciones generales aquellas que establecen el conjunto de </w:t>
      </w:r>
      <w:hyperlink r:id="rId24" w:history="1">
        <w:r w:rsidRPr="00FB351A">
          <w:rPr>
            <w:rStyle w:val="Hipervnculo"/>
            <w:rFonts w:ascii="Arial" w:hAnsi="Arial" w:cs="Arial"/>
            <w:bCs/>
            <w:color w:val="auto"/>
            <w:sz w:val="20"/>
            <w:szCs w:val="20"/>
            <w:u w:val="none"/>
          </w:rPr>
          <w:t>principios</w:t>
        </w:r>
      </w:hyperlink>
      <w:r w:rsidRPr="00FB351A">
        <w:rPr>
          <w:rFonts w:ascii="Arial" w:hAnsi="Arial" w:cs="Arial"/>
          <w:bCs/>
          <w:sz w:val="20"/>
          <w:szCs w:val="20"/>
        </w:rPr>
        <w:t> que prevé la empresa de seguros para regular todos los contratos de seguro que emita en el mismo ramo o modalidad.</w:t>
      </w:r>
    </w:p>
    <w:p w14:paraId="020F48FB" w14:textId="77777777" w:rsidR="008322ED" w:rsidRPr="00FB351A" w:rsidRDefault="008322ED" w:rsidP="00803115">
      <w:pPr>
        <w:pStyle w:val="Prrafodelista"/>
        <w:ind w:left="0" w:firstLine="0"/>
        <w:jc w:val="both"/>
        <w:rPr>
          <w:rFonts w:ascii="Arial" w:hAnsi="Arial" w:cs="Arial"/>
          <w:bCs/>
          <w:sz w:val="20"/>
          <w:szCs w:val="20"/>
        </w:rPr>
      </w:pPr>
    </w:p>
    <w:p w14:paraId="1F6F73B7"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 xml:space="preserve">Estas condiciones son las que establecen la relación contractual entre la Aseguradora y el Tomador del contrato de seguro, se encuentran preestablecidas y aunque normalmente son aceptadas por adhesión del Tomador, pueden de igual manera anularse o modificarse por acuerdo entre las partes, mediante la emisión de una condición particular.  </w:t>
      </w:r>
    </w:p>
    <w:p w14:paraId="11B7059B" w14:textId="77777777" w:rsidR="008322ED" w:rsidRPr="00FB351A" w:rsidRDefault="008322ED" w:rsidP="00803115">
      <w:pPr>
        <w:pStyle w:val="Prrafodelista"/>
        <w:ind w:left="0" w:firstLine="0"/>
        <w:jc w:val="both"/>
        <w:rPr>
          <w:rFonts w:ascii="Arial" w:hAnsi="Arial" w:cs="Arial"/>
          <w:bCs/>
          <w:sz w:val="20"/>
          <w:szCs w:val="20"/>
        </w:rPr>
      </w:pPr>
    </w:p>
    <w:p w14:paraId="355ED8C9" w14:textId="77777777" w:rsidR="008322ED" w:rsidRPr="00FB351A" w:rsidRDefault="008322ED">
      <w:pPr>
        <w:pStyle w:val="Prrafodelista"/>
        <w:numPr>
          <w:ilvl w:val="0"/>
          <w:numId w:val="21"/>
        </w:numPr>
        <w:ind w:left="0" w:firstLine="0"/>
        <w:contextualSpacing/>
        <w:jc w:val="both"/>
        <w:rPr>
          <w:rFonts w:ascii="Arial" w:hAnsi="Arial" w:cs="Arial"/>
          <w:b/>
          <w:sz w:val="20"/>
          <w:szCs w:val="20"/>
        </w:rPr>
      </w:pPr>
      <w:bookmarkStart w:id="11" w:name="_Toc518922180"/>
      <w:bookmarkStart w:id="12" w:name="_Toc14162596"/>
      <w:bookmarkStart w:id="13" w:name="_Toc41048557"/>
      <w:r w:rsidRPr="00FB351A">
        <w:rPr>
          <w:rFonts w:ascii="Arial" w:hAnsi="Arial" w:cs="Arial"/>
          <w:b/>
          <w:sz w:val="20"/>
          <w:szCs w:val="20"/>
        </w:rPr>
        <w:t>Condiciones Particulares del Contrato de Seguro</w:t>
      </w:r>
      <w:bookmarkEnd w:id="11"/>
      <w:bookmarkEnd w:id="12"/>
      <w:bookmarkEnd w:id="13"/>
    </w:p>
    <w:p w14:paraId="12AF69D2" w14:textId="77777777" w:rsidR="008322ED" w:rsidRPr="00FB351A" w:rsidRDefault="008322ED" w:rsidP="00803115">
      <w:pPr>
        <w:pStyle w:val="Prrafodelista"/>
        <w:ind w:left="0" w:firstLine="0"/>
        <w:jc w:val="both"/>
        <w:rPr>
          <w:rFonts w:ascii="Arial" w:hAnsi="Arial" w:cs="Arial"/>
          <w:bCs/>
          <w:sz w:val="20"/>
          <w:szCs w:val="20"/>
        </w:rPr>
      </w:pPr>
    </w:p>
    <w:p w14:paraId="6E7B45BF"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Son aquellas condiciones que contemplan los aspectos concretamente relativos al riesgo que se asegura y que tienen por objeto, incluir nuevas condiciones, modificar o anular condiciones generales o particulares ya existentes.</w:t>
      </w:r>
    </w:p>
    <w:p w14:paraId="0A2FB3E4" w14:textId="77777777" w:rsidR="008322ED" w:rsidRPr="00FB351A" w:rsidRDefault="008322ED" w:rsidP="00803115">
      <w:pPr>
        <w:pStyle w:val="Prrafodelista"/>
        <w:ind w:left="0" w:firstLine="0"/>
        <w:jc w:val="both"/>
        <w:rPr>
          <w:rFonts w:ascii="Arial" w:hAnsi="Arial" w:cs="Arial"/>
          <w:bCs/>
          <w:sz w:val="20"/>
          <w:szCs w:val="20"/>
        </w:rPr>
      </w:pPr>
      <w:bookmarkStart w:id="14" w:name="_Toc518922181"/>
      <w:bookmarkStart w:id="15" w:name="_Toc14162597"/>
    </w:p>
    <w:bookmarkEnd w:id="14"/>
    <w:bookmarkEnd w:id="15"/>
    <w:p w14:paraId="6314DCE9" w14:textId="77777777" w:rsidR="008322ED" w:rsidRPr="00FB351A" w:rsidRDefault="008322ED" w:rsidP="00803115">
      <w:pPr>
        <w:pStyle w:val="Prrafodelista"/>
        <w:numPr>
          <w:ilvl w:val="0"/>
          <w:numId w:val="4"/>
        </w:numPr>
        <w:ind w:left="0" w:firstLine="0"/>
        <w:contextualSpacing/>
        <w:jc w:val="both"/>
        <w:rPr>
          <w:rFonts w:ascii="Arial" w:hAnsi="Arial" w:cs="Arial"/>
          <w:b/>
          <w:sz w:val="20"/>
          <w:szCs w:val="20"/>
        </w:rPr>
      </w:pPr>
      <w:r w:rsidRPr="00FB351A">
        <w:rPr>
          <w:rFonts w:ascii="Arial" w:hAnsi="Arial" w:cs="Arial"/>
          <w:b/>
          <w:sz w:val="20"/>
          <w:szCs w:val="20"/>
        </w:rPr>
        <w:t>La póliza</w:t>
      </w:r>
    </w:p>
    <w:p w14:paraId="326BC17E" w14:textId="77777777" w:rsidR="008322ED" w:rsidRPr="00FB351A" w:rsidRDefault="008322ED" w:rsidP="00803115">
      <w:pPr>
        <w:pStyle w:val="Prrafodelista"/>
        <w:ind w:left="0" w:firstLine="0"/>
        <w:jc w:val="both"/>
        <w:rPr>
          <w:rFonts w:ascii="Arial" w:hAnsi="Arial" w:cs="Arial"/>
          <w:bCs/>
          <w:sz w:val="20"/>
          <w:szCs w:val="20"/>
        </w:rPr>
      </w:pPr>
    </w:p>
    <w:p w14:paraId="6AEAD95C"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La póliza de seguro es el documento escrito en donde constan las condiciones del contrato.</w:t>
      </w:r>
    </w:p>
    <w:p w14:paraId="4EA18F6A" w14:textId="77777777" w:rsidR="008322ED" w:rsidRPr="00FB351A" w:rsidRDefault="008322ED" w:rsidP="00803115">
      <w:pPr>
        <w:pStyle w:val="Prrafodelista"/>
        <w:ind w:left="0" w:firstLine="0"/>
        <w:jc w:val="both"/>
        <w:rPr>
          <w:rFonts w:ascii="Arial" w:hAnsi="Arial" w:cs="Arial"/>
          <w:bCs/>
          <w:sz w:val="20"/>
          <w:szCs w:val="20"/>
        </w:rPr>
      </w:pPr>
    </w:p>
    <w:p w14:paraId="2707AC0D" w14:textId="77777777" w:rsidR="008322ED" w:rsidRPr="00FB351A" w:rsidRDefault="008322ED" w:rsidP="00803115">
      <w:pPr>
        <w:pStyle w:val="Prrafodelista"/>
        <w:numPr>
          <w:ilvl w:val="0"/>
          <w:numId w:val="4"/>
        </w:numPr>
        <w:ind w:left="0" w:firstLine="0"/>
        <w:contextualSpacing/>
        <w:jc w:val="both"/>
        <w:rPr>
          <w:rFonts w:ascii="Arial" w:hAnsi="Arial" w:cs="Arial"/>
          <w:bCs/>
          <w:sz w:val="20"/>
          <w:szCs w:val="20"/>
        </w:rPr>
      </w:pPr>
      <w:bookmarkStart w:id="16" w:name="_Toc41048559"/>
      <w:r w:rsidRPr="00FB351A">
        <w:rPr>
          <w:rFonts w:ascii="Arial" w:hAnsi="Arial" w:cs="Arial"/>
          <w:bCs/>
          <w:sz w:val="20"/>
          <w:szCs w:val="20"/>
        </w:rPr>
        <w:t>Requisitos Mínimos que deben contener las pólizas</w:t>
      </w:r>
      <w:bookmarkEnd w:id="16"/>
    </w:p>
    <w:p w14:paraId="6C6040B1" w14:textId="77777777" w:rsidR="008322ED" w:rsidRPr="00FB351A" w:rsidRDefault="008322ED" w:rsidP="00803115">
      <w:pPr>
        <w:pStyle w:val="Prrafodelista"/>
        <w:ind w:left="0" w:firstLine="0"/>
        <w:jc w:val="both"/>
        <w:rPr>
          <w:rFonts w:ascii="Arial" w:hAnsi="Arial" w:cs="Arial"/>
          <w:bCs/>
          <w:sz w:val="20"/>
          <w:szCs w:val="20"/>
        </w:rPr>
      </w:pPr>
    </w:p>
    <w:p w14:paraId="439EBB90"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Las pólizas de seguros deberán contener como mínimo:</w:t>
      </w:r>
    </w:p>
    <w:p w14:paraId="3B8E677E" w14:textId="77777777" w:rsidR="008322ED" w:rsidRPr="00FB351A" w:rsidRDefault="008322ED" w:rsidP="00803115">
      <w:pPr>
        <w:pStyle w:val="Prrafodelista"/>
        <w:ind w:left="0" w:firstLine="0"/>
        <w:jc w:val="both"/>
        <w:rPr>
          <w:rFonts w:ascii="Arial" w:hAnsi="Arial" w:cs="Arial"/>
          <w:bCs/>
          <w:sz w:val="20"/>
          <w:szCs w:val="20"/>
        </w:rPr>
      </w:pPr>
    </w:p>
    <w:p w14:paraId="612520FE" w14:textId="7EA9470D"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 xml:space="preserve">Razón social, </w:t>
      </w:r>
      <w:hyperlink r:id="rId25" w:history="1">
        <w:r w:rsidRPr="00FB351A">
          <w:rPr>
            <w:rStyle w:val="Hipervnculo"/>
            <w:rFonts w:ascii="Arial" w:hAnsi="Arial" w:cs="Arial"/>
            <w:bCs/>
            <w:color w:val="auto"/>
            <w:sz w:val="20"/>
            <w:szCs w:val="20"/>
            <w:u w:val="none"/>
          </w:rPr>
          <w:t>registro</w:t>
        </w:r>
      </w:hyperlink>
      <w:r w:rsidRPr="00FB351A">
        <w:rPr>
          <w:rFonts w:ascii="Arial" w:hAnsi="Arial" w:cs="Arial"/>
          <w:bCs/>
          <w:sz w:val="20"/>
          <w:szCs w:val="20"/>
        </w:rPr>
        <w:t xml:space="preserve"> </w:t>
      </w:r>
      <w:r w:rsidR="009434E2" w:rsidRPr="00FB351A">
        <w:rPr>
          <w:rFonts w:ascii="Arial" w:hAnsi="Arial" w:cs="Arial"/>
          <w:bCs/>
          <w:sz w:val="20"/>
          <w:szCs w:val="20"/>
        </w:rPr>
        <w:t xml:space="preserve">único tributario </w:t>
      </w:r>
      <w:r w:rsidRPr="00FB351A">
        <w:rPr>
          <w:rFonts w:ascii="Arial" w:hAnsi="Arial" w:cs="Arial"/>
          <w:bCs/>
          <w:sz w:val="20"/>
          <w:szCs w:val="20"/>
        </w:rPr>
        <w:t>(</w:t>
      </w:r>
      <w:r w:rsidR="009434E2" w:rsidRPr="00FB351A">
        <w:rPr>
          <w:rFonts w:ascii="Arial" w:hAnsi="Arial" w:cs="Arial"/>
          <w:bCs/>
          <w:sz w:val="20"/>
          <w:szCs w:val="20"/>
        </w:rPr>
        <w:t>RUT</w:t>
      </w:r>
      <w:r w:rsidRPr="00FB351A">
        <w:rPr>
          <w:rFonts w:ascii="Arial" w:hAnsi="Arial" w:cs="Arial"/>
          <w:bCs/>
          <w:sz w:val="20"/>
          <w:szCs w:val="20"/>
        </w:rPr>
        <w:t xml:space="preserve">), </w:t>
      </w:r>
      <w:hyperlink r:id="rId26" w:history="1">
        <w:r w:rsidRPr="00FB351A">
          <w:rPr>
            <w:rStyle w:val="Hipervnculo"/>
            <w:rFonts w:ascii="Arial" w:hAnsi="Arial" w:cs="Arial"/>
            <w:bCs/>
            <w:color w:val="auto"/>
            <w:sz w:val="20"/>
            <w:szCs w:val="20"/>
            <w:u w:val="none"/>
          </w:rPr>
          <w:t>datos</w:t>
        </w:r>
      </w:hyperlink>
      <w:r w:rsidRPr="00FB351A">
        <w:rPr>
          <w:rFonts w:ascii="Arial" w:hAnsi="Arial" w:cs="Arial"/>
          <w:bCs/>
          <w:sz w:val="20"/>
          <w:szCs w:val="20"/>
        </w:rPr>
        <w:t xml:space="preserve"> de registro mercantil y </w:t>
      </w:r>
      <w:hyperlink r:id="rId27" w:history="1">
        <w:r w:rsidRPr="00FB351A">
          <w:rPr>
            <w:rStyle w:val="Hipervnculo"/>
            <w:rFonts w:ascii="Arial" w:hAnsi="Arial" w:cs="Arial"/>
            <w:bCs/>
            <w:color w:val="auto"/>
            <w:sz w:val="20"/>
            <w:szCs w:val="20"/>
            <w:u w:val="none"/>
          </w:rPr>
          <w:t>dirección</w:t>
        </w:r>
      </w:hyperlink>
      <w:r w:rsidRPr="00FB351A">
        <w:rPr>
          <w:rFonts w:ascii="Arial" w:hAnsi="Arial" w:cs="Arial"/>
          <w:bCs/>
          <w:sz w:val="20"/>
          <w:szCs w:val="20"/>
        </w:rPr>
        <w:t> de la sede principal de la empresa de seguros, identificación de la persona que actúa en su nombre, el carácter con el que actúa y los datos del documento donde consta su representación.</w:t>
      </w:r>
    </w:p>
    <w:p w14:paraId="686F9067"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Identificación completa del tomador y el carácter en que contrata, los nombres del asegurado y del beneficiario o la forma de identificarlos, si fueren distintos.</w:t>
      </w:r>
    </w:p>
    <w:p w14:paraId="1B03C159"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La vigencia del contrato, con indicación de la fecha en que se extienda, la hora y día de su iniciación y </w:t>
      </w:r>
      <w:hyperlink r:id="rId28" w:history="1">
        <w:r w:rsidRPr="00FB351A">
          <w:rPr>
            <w:rStyle w:val="Hipervnculo"/>
            <w:rFonts w:ascii="Arial" w:hAnsi="Arial" w:cs="Arial"/>
            <w:bCs/>
            <w:color w:val="auto"/>
            <w:sz w:val="20"/>
            <w:szCs w:val="20"/>
            <w:u w:val="none"/>
          </w:rPr>
          <w:t>vencimiento</w:t>
        </w:r>
      </w:hyperlink>
      <w:r w:rsidRPr="00FB351A">
        <w:rPr>
          <w:rFonts w:ascii="Arial" w:hAnsi="Arial" w:cs="Arial"/>
          <w:bCs/>
          <w:sz w:val="20"/>
          <w:szCs w:val="20"/>
        </w:rPr>
        <w:t>, o el modo de determinarlos.</w:t>
      </w:r>
    </w:p>
    <w:p w14:paraId="7A1D2575"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La suma asegurada o el modo de precisarla, o el alcance de la cobertura.</w:t>
      </w:r>
    </w:p>
    <w:p w14:paraId="4B32E733"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La prima o el modo de calcularla, la forma y lugar de su pago.</w:t>
      </w:r>
    </w:p>
    <w:p w14:paraId="7ADC665E"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Señalamiento de los riesgos asumidos.</w:t>
      </w:r>
    </w:p>
    <w:p w14:paraId="745011FE"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Nombre de los intermediarios de seguro en caso de que intervengan en el contrato.</w:t>
      </w:r>
    </w:p>
    <w:p w14:paraId="3ECF2234"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Las condiciones generales y particulares que acuerden los contratantes.</w:t>
      </w:r>
    </w:p>
    <w:p w14:paraId="2B5FF225" w14:textId="77777777" w:rsidR="008322ED" w:rsidRPr="00FB351A" w:rsidRDefault="008322ED" w:rsidP="00803115">
      <w:pPr>
        <w:pStyle w:val="Prrafodelista"/>
        <w:numPr>
          <w:ilvl w:val="0"/>
          <w:numId w:val="5"/>
        </w:numPr>
        <w:ind w:left="567" w:hanging="567"/>
        <w:contextualSpacing/>
        <w:jc w:val="both"/>
        <w:rPr>
          <w:rFonts w:ascii="Arial" w:hAnsi="Arial" w:cs="Arial"/>
          <w:bCs/>
          <w:sz w:val="20"/>
          <w:szCs w:val="20"/>
        </w:rPr>
      </w:pPr>
      <w:r w:rsidRPr="00FB351A">
        <w:rPr>
          <w:rFonts w:ascii="Arial" w:hAnsi="Arial" w:cs="Arial"/>
          <w:bCs/>
          <w:sz w:val="20"/>
          <w:szCs w:val="20"/>
        </w:rPr>
        <w:t>Las firmas de la empresa de seguros y del tomador.</w:t>
      </w:r>
    </w:p>
    <w:p w14:paraId="1AD93356" w14:textId="77777777" w:rsidR="008322ED" w:rsidRPr="00FB351A" w:rsidRDefault="008322ED" w:rsidP="00803115">
      <w:pPr>
        <w:pStyle w:val="Prrafodelista"/>
        <w:ind w:left="0" w:firstLine="0"/>
        <w:jc w:val="both"/>
        <w:rPr>
          <w:rFonts w:ascii="Arial" w:hAnsi="Arial" w:cs="Arial"/>
          <w:bCs/>
          <w:sz w:val="20"/>
          <w:szCs w:val="20"/>
        </w:rPr>
      </w:pPr>
    </w:p>
    <w:p w14:paraId="19931F12"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lastRenderedPageBreak/>
        <w:t>Requisitos que deberán poseer para su validez los anexos de las pólizas que modifiquen sus condiciones serían firmados por la empresa de seguros y el tomador, e indicar claramente la póliza a la que pertenecen.</w:t>
      </w:r>
    </w:p>
    <w:p w14:paraId="3C1BAB30" w14:textId="77777777" w:rsidR="008322ED" w:rsidRPr="00FB351A" w:rsidRDefault="008322ED" w:rsidP="00803115">
      <w:pPr>
        <w:pStyle w:val="Prrafodelista"/>
        <w:ind w:left="0" w:firstLine="0"/>
        <w:jc w:val="both"/>
        <w:rPr>
          <w:rFonts w:ascii="Arial" w:hAnsi="Arial" w:cs="Arial"/>
          <w:bCs/>
          <w:sz w:val="20"/>
          <w:szCs w:val="20"/>
        </w:rPr>
      </w:pPr>
    </w:p>
    <w:p w14:paraId="0C832C61"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En caso de discrepancia entre lo indicado en el anexo y en la póliza, prevalecerá lo señalado en el anexo debidamente firmado.</w:t>
      </w:r>
    </w:p>
    <w:p w14:paraId="1F4A33D9"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La póliza puede ser nominativa, a la orden o al portador.</w:t>
      </w:r>
    </w:p>
    <w:p w14:paraId="7CB3BE8E" w14:textId="77777777" w:rsidR="008322ED" w:rsidRPr="00FB351A" w:rsidRDefault="008322ED" w:rsidP="00803115">
      <w:pPr>
        <w:pStyle w:val="Prrafodelista"/>
        <w:ind w:left="0" w:firstLine="0"/>
        <w:jc w:val="both"/>
        <w:rPr>
          <w:rFonts w:ascii="Arial" w:hAnsi="Arial" w:cs="Arial"/>
          <w:bCs/>
          <w:sz w:val="20"/>
          <w:szCs w:val="20"/>
        </w:rPr>
      </w:pPr>
    </w:p>
    <w:p w14:paraId="16A24CAB"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La cesión de la póliza para que produzca efectos contra la empresa de seguros requiere de la autorización de la misma.</w:t>
      </w:r>
    </w:p>
    <w:p w14:paraId="6B63F1FE" w14:textId="77777777" w:rsidR="008322ED" w:rsidRPr="00FB351A" w:rsidRDefault="008322ED" w:rsidP="00803115">
      <w:pPr>
        <w:pStyle w:val="Prrafodelista"/>
        <w:ind w:left="0" w:firstLine="0"/>
        <w:jc w:val="both"/>
        <w:rPr>
          <w:rFonts w:ascii="Arial" w:hAnsi="Arial" w:cs="Arial"/>
          <w:bCs/>
          <w:sz w:val="20"/>
          <w:szCs w:val="20"/>
        </w:rPr>
      </w:pPr>
    </w:p>
    <w:p w14:paraId="74478E1D"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La cesión de la póliza a la orden puede hacerse por simple endoso.</w:t>
      </w:r>
    </w:p>
    <w:p w14:paraId="7823DDA7" w14:textId="77777777" w:rsidR="008322ED" w:rsidRPr="00FB351A" w:rsidRDefault="008322ED" w:rsidP="00803115">
      <w:pPr>
        <w:pStyle w:val="Prrafodelista"/>
        <w:ind w:left="0" w:firstLine="0"/>
        <w:jc w:val="both"/>
        <w:rPr>
          <w:rFonts w:ascii="Arial" w:hAnsi="Arial" w:cs="Arial"/>
          <w:bCs/>
          <w:sz w:val="20"/>
          <w:szCs w:val="20"/>
        </w:rPr>
      </w:pPr>
    </w:p>
    <w:p w14:paraId="12FB37E5"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Podrá oponer la empresa de seguros al cesionario o endosatario las excepciones que tenga contra el tomador, el asegurado o el beneficiario.</w:t>
      </w:r>
    </w:p>
    <w:p w14:paraId="4A9C1924" w14:textId="77777777" w:rsidR="008322ED" w:rsidRPr="00FB351A" w:rsidRDefault="008322ED" w:rsidP="00803115">
      <w:pPr>
        <w:pStyle w:val="Prrafodelista"/>
        <w:ind w:left="0" w:firstLine="0"/>
        <w:jc w:val="both"/>
        <w:rPr>
          <w:rFonts w:ascii="Arial" w:hAnsi="Arial" w:cs="Arial"/>
          <w:bCs/>
          <w:sz w:val="20"/>
          <w:szCs w:val="20"/>
        </w:rPr>
      </w:pPr>
    </w:p>
    <w:p w14:paraId="617D68D2" w14:textId="77777777" w:rsidR="008322ED" w:rsidRPr="00FB351A" w:rsidRDefault="008322ED" w:rsidP="00803115">
      <w:pPr>
        <w:pStyle w:val="Prrafodelista"/>
        <w:numPr>
          <w:ilvl w:val="0"/>
          <w:numId w:val="4"/>
        </w:numPr>
        <w:ind w:left="0" w:firstLine="0"/>
        <w:contextualSpacing/>
        <w:jc w:val="both"/>
        <w:rPr>
          <w:rFonts w:ascii="Arial" w:hAnsi="Arial" w:cs="Arial"/>
          <w:b/>
          <w:sz w:val="20"/>
          <w:szCs w:val="20"/>
        </w:rPr>
      </w:pPr>
      <w:bookmarkStart w:id="17" w:name="_Toc518922182"/>
      <w:bookmarkStart w:id="18" w:name="_Toc14162598"/>
      <w:bookmarkStart w:id="19" w:name="_Toc41048560"/>
      <w:r w:rsidRPr="00FB351A">
        <w:rPr>
          <w:rFonts w:ascii="Arial" w:hAnsi="Arial" w:cs="Arial"/>
          <w:b/>
          <w:sz w:val="20"/>
          <w:szCs w:val="20"/>
        </w:rPr>
        <w:t>Partes del Seguro</w:t>
      </w:r>
      <w:bookmarkEnd w:id="17"/>
      <w:bookmarkEnd w:id="18"/>
      <w:bookmarkEnd w:id="19"/>
    </w:p>
    <w:p w14:paraId="232B2BF7" w14:textId="77777777" w:rsidR="008322ED" w:rsidRPr="00FB351A" w:rsidRDefault="008322ED" w:rsidP="00803115">
      <w:pPr>
        <w:pStyle w:val="Prrafodelista"/>
        <w:ind w:left="0" w:firstLine="0"/>
        <w:jc w:val="both"/>
        <w:rPr>
          <w:rFonts w:ascii="Arial" w:hAnsi="Arial" w:cs="Arial"/>
          <w:bCs/>
          <w:sz w:val="20"/>
          <w:szCs w:val="20"/>
        </w:rPr>
      </w:pPr>
    </w:p>
    <w:p w14:paraId="4A4256E1" w14:textId="77777777" w:rsidR="008322ED" w:rsidRPr="00FB351A" w:rsidRDefault="008322ED" w:rsidP="00803115">
      <w:pPr>
        <w:pStyle w:val="Prrafodelista"/>
        <w:numPr>
          <w:ilvl w:val="0"/>
          <w:numId w:val="6"/>
        </w:numPr>
        <w:ind w:left="567" w:hanging="567"/>
        <w:contextualSpacing/>
        <w:jc w:val="both"/>
        <w:rPr>
          <w:rFonts w:ascii="Arial" w:hAnsi="Arial" w:cs="Arial"/>
          <w:bCs/>
          <w:sz w:val="20"/>
          <w:szCs w:val="20"/>
        </w:rPr>
      </w:pPr>
      <w:r w:rsidRPr="00FB351A">
        <w:rPr>
          <w:rFonts w:ascii="Arial" w:hAnsi="Arial" w:cs="Arial"/>
          <w:bCs/>
          <w:sz w:val="20"/>
          <w:szCs w:val="20"/>
        </w:rPr>
        <w:t>La empresa de seguros o asegurador: La persona que asume los riesgos. Sólo las empresas de seguros autorizadas de acuerdo con la ley que rige la </w:t>
      </w:r>
      <w:hyperlink r:id="rId29" w:history="1">
        <w:r w:rsidRPr="00FB351A">
          <w:rPr>
            <w:rStyle w:val="Hipervnculo"/>
            <w:rFonts w:ascii="Arial" w:hAnsi="Arial" w:cs="Arial"/>
            <w:bCs/>
            <w:color w:val="auto"/>
            <w:sz w:val="20"/>
            <w:szCs w:val="20"/>
            <w:u w:val="none"/>
          </w:rPr>
          <w:t>materia</w:t>
        </w:r>
      </w:hyperlink>
      <w:r w:rsidRPr="00FB351A">
        <w:rPr>
          <w:rFonts w:ascii="Arial" w:hAnsi="Arial" w:cs="Arial"/>
          <w:bCs/>
          <w:sz w:val="20"/>
          <w:szCs w:val="20"/>
        </w:rPr>
        <w:t> pueden actuar como asegurador.</w:t>
      </w:r>
    </w:p>
    <w:p w14:paraId="6E0BDFC2" w14:textId="77777777" w:rsidR="008322ED" w:rsidRPr="00FB351A" w:rsidRDefault="008322ED" w:rsidP="00803115">
      <w:pPr>
        <w:pStyle w:val="Prrafodelista"/>
        <w:numPr>
          <w:ilvl w:val="0"/>
          <w:numId w:val="6"/>
        </w:numPr>
        <w:ind w:left="567" w:hanging="567"/>
        <w:contextualSpacing/>
        <w:jc w:val="both"/>
        <w:rPr>
          <w:rFonts w:ascii="Arial" w:hAnsi="Arial" w:cs="Arial"/>
          <w:bCs/>
          <w:sz w:val="20"/>
          <w:szCs w:val="20"/>
        </w:rPr>
      </w:pPr>
      <w:r w:rsidRPr="00FB351A">
        <w:rPr>
          <w:rFonts w:ascii="Arial" w:hAnsi="Arial" w:cs="Arial"/>
          <w:bCs/>
          <w:sz w:val="20"/>
          <w:szCs w:val="20"/>
        </w:rPr>
        <w:t>El tomador: La persona que, obrando por cuenta propia o ajena, traslada los riesgos.</w:t>
      </w:r>
    </w:p>
    <w:p w14:paraId="58941680" w14:textId="77777777" w:rsidR="008322ED" w:rsidRPr="00FB351A" w:rsidRDefault="008322ED" w:rsidP="00803115">
      <w:pPr>
        <w:pStyle w:val="Prrafodelista"/>
        <w:numPr>
          <w:ilvl w:val="0"/>
          <w:numId w:val="6"/>
        </w:numPr>
        <w:ind w:left="567" w:hanging="567"/>
        <w:contextualSpacing/>
        <w:jc w:val="both"/>
        <w:rPr>
          <w:rFonts w:ascii="Arial" w:hAnsi="Arial" w:cs="Arial"/>
          <w:bCs/>
          <w:sz w:val="20"/>
          <w:szCs w:val="20"/>
        </w:rPr>
      </w:pPr>
      <w:r w:rsidRPr="00FB351A">
        <w:rPr>
          <w:rFonts w:ascii="Arial" w:hAnsi="Arial" w:cs="Arial"/>
          <w:bCs/>
          <w:sz w:val="20"/>
          <w:szCs w:val="20"/>
        </w:rPr>
        <w:t>El asegurado: Persona que en sí misma, en sus bienes o en sus intereses económicos está expuesta al riesgo.</w:t>
      </w:r>
    </w:p>
    <w:p w14:paraId="4430249C" w14:textId="77777777" w:rsidR="008322ED" w:rsidRPr="00FB351A" w:rsidRDefault="008322ED" w:rsidP="00803115">
      <w:pPr>
        <w:pStyle w:val="Prrafodelista"/>
        <w:numPr>
          <w:ilvl w:val="0"/>
          <w:numId w:val="6"/>
        </w:numPr>
        <w:ind w:left="567" w:hanging="567"/>
        <w:contextualSpacing/>
        <w:jc w:val="both"/>
        <w:rPr>
          <w:rFonts w:ascii="Arial" w:hAnsi="Arial" w:cs="Arial"/>
          <w:bCs/>
          <w:sz w:val="20"/>
          <w:szCs w:val="20"/>
        </w:rPr>
      </w:pPr>
      <w:r w:rsidRPr="00FB351A">
        <w:rPr>
          <w:rFonts w:ascii="Arial" w:hAnsi="Arial" w:cs="Arial"/>
          <w:bCs/>
          <w:sz w:val="20"/>
          <w:szCs w:val="20"/>
        </w:rPr>
        <w:t>El beneficiario: Aquél en cuyo favor se ha establecido la indemnización que pagará la empresa de seguros.</w:t>
      </w:r>
    </w:p>
    <w:p w14:paraId="05F95509" w14:textId="77777777" w:rsidR="008322ED" w:rsidRPr="00FB351A" w:rsidRDefault="008322ED" w:rsidP="00803115">
      <w:pPr>
        <w:pStyle w:val="Prrafodelista"/>
        <w:ind w:left="0" w:firstLine="0"/>
        <w:jc w:val="both"/>
        <w:rPr>
          <w:rFonts w:ascii="Arial" w:hAnsi="Arial" w:cs="Arial"/>
          <w:bCs/>
          <w:sz w:val="20"/>
          <w:szCs w:val="20"/>
        </w:rPr>
      </w:pPr>
    </w:p>
    <w:p w14:paraId="493FDE03" w14:textId="3548360F"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El Tomador, Asegurado y Beneficiario pueden ser o no la misma persona.</w:t>
      </w:r>
    </w:p>
    <w:p w14:paraId="3234E538" w14:textId="77777777" w:rsidR="008322ED" w:rsidRPr="00FB351A" w:rsidRDefault="008322ED" w:rsidP="00803115">
      <w:pPr>
        <w:pStyle w:val="Prrafodelista"/>
        <w:ind w:left="0" w:firstLine="0"/>
        <w:jc w:val="both"/>
        <w:rPr>
          <w:rFonts w:ascii="Arial" w:hAnsi="Arial" w:cs="Arial"/>
          <w:bCs/>
          <w:sz w:val="20"/>
          <w:szCs w:val="20"/>
        </w:rPr>
      </w:pPr>
    </w:p>
    <w:p w14:paraId="324A5DCD" w14:textId="77777777" w:rsidR="008322ED" w:rsidRPr="00FB351A" w:rsidRDefault="008322ED">
      <w:pPr>
        <w:pStyle w:val="Prrafodelista"/>
        <w:numPr>
          <w:ilvl w:val="0"/>
          <w:numId w:val="34"/>
        </w:numPr>
        <w:ind w:left="0" w:firstLine="0"/>
        <w:contextualSpacing/>
        <w:jc w:val="both"/>
        <w:rPr>
          <w:rFonts w:ascii="Arial" w:hAnsi="Arial" w:cs="Arial"/>
          <w:b/>
          <w:sz w:val="20"/>
          <w:szCs w:val="20"/>
        </w:rPr>
      </w:pPr>
      <w:bookmarkStart w:id="20" w:name="_Toc518922183"/>
      <w:bookmarkStart w:id="21" w:name="_Toc14162599"/>
      <w:bookmarkStart w:id="22" w:name="_Toc41048561"/>
      <w:r w:rsidRPr="00FB351A">
        <w:rPr>
          <w:rFonts w:ascii="Arial" w:hAnsi="Arial" w:cs="Arial"/>
          <w:b/>
          <w:sz w:val="20"/>
          <w:szCs w:val="20"/>
        </w:rPr>
        <w:t>Obligaciones de las Partes del Seguro</w:t>
      </w:r>
      <w:bookmarkEnd w:id="20"/>
      <w:bookmarkEnd w:id="21"/>
      <w:bookmarkEnd w:id="22"/>
    </w:p>
    <w:p w14:paraId="69FD4DBF" w14:textId="77777777" w:rsidR="008322ED" w:rsidRPr="00FB351A" w:rsidRDefault="008322ED" w:rsidP="00803115">
      <w:pPr>
        <w:pStyle w:val="Prrafodelista"/>
        <w:ind w:left="0" w:firstLine="0"/>
        <w:jc w:val="both"/>
        <w:rPr>
          <w:rFonts w:ascii="Arial" w:hAnsi="Arial" w:cs="Arial"/>
          <w:bCs/>
          <w:sz w:val="20"/>
          <w:szCs w:val="20"/>
        </w:rPr>
      </w:pPr>
    </w:p>
    <w:p w14:paraId="359C9525"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El tomador, el asegurado o el beneficiario, según el caso, deberá:</w:t>
      </w:r>
    </w:p>
    <w:p w14:paraId="5312707A" w14:textId="77777777" w:rsidR="008322ED" w:rsidRPr="00FB351A" w:rsidRDefault="008322ED" w:rsidP="00803115">
      <w:pPr>
        <w:pStyle w:val="Prrafodelista"/>
        <w:ind w:left="0" w:firstLine="0"/>
        <w:jc w:val="both"/>
        <w:rPr>
          <w:rFonts w:ascii="Arial" w:hAnsi="Arial" w:cs="Arial"/>
          <w:bCs/>
          <w:sz w:val="20"/>
          <w:szCs w:val="20"/>
        </w:rPr>
      </w:pPr>
    </w:p>
    <w:p w14:paraId="0571CF77"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Llenar la solicitud del seguro y declarar con sinceridad todas las circunstancias necesarias para identificar el bien o personas aseguradas y apreciar la extensión de los riesgos, en los términos indicados en este Decreto Ley.</w:t>
      </w:r>
    </w:p>
    <w:p w14:paraId="7A30C538"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Pagar la prima en la forma y tiempo convenidos.</w:t>
      </w:r>
    </w:p>
    <w:p w14:paraId="3C0AF000"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Emplear el cuidado de un diligente padre de </w:t>
      </w:r>
      <w:hyperlink r:id="rId30" w:history="1">
        <w:r w:rsidRPr="00FB351A">
          <w:rPr>
            <w:rStyle w:val="Hipervnculo"/>
            <w:rFonts w:ascii="Arial" w:hAnsi="Arial" w:cs="Arial"/>
            <w:bCs/>
            <w:color w:val="auto"/>
            <w:sz w:val="20"/>
            <w:szCs w:val="20"/>
          </w:rPr>
          <w:t>familia</w:t>
        </w:r>
      </w:hyperlink>
      <w:r w:rsidRPr="00FB351A">
        <w:rPr>
          <w:rFonts w:ascii="Arial" w:hAnsi="Arial" w:cs="Arial"/>
          <w:bCs/>
          <w:sz w:val="20"/>
          <w:szCs w:val="20"/>
        </w:rPr>
        <w:t> para prevenir el siniestro.</w:t>
      </w:r>
    </w:p>
    <w:p w14:paraId="0AA6172E"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Tomar las medidas necesarias para salvar o recobrar las cosas aseguradas o para conservar sus restos.</w:t>
      </w:r>
    </w:p>
    <w:p w14:paraId="20D3F7C2"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Hacer saber a la empresa de seguros en el plazo establecido en este Decreto Ley después de la recepción de la noticia, el advenimiento de cualquier incidente que afecte su </w:t>
      </w:r>
      <w:hyperlink r:id="rId31" w:history="1">
        <w:r w:rsidRPr="00FB351A">
          <w:rPr>
            <w:rStyle w:val="Hipervnculo"/>
            <w:rFonts w:ascii="Arial" w:hAnsi="Arial" w:cs="Arial"/>
            <w:bCs/>
            <w:color w:val="auto"/>
            <w:sz w:val="20"/>
            <w:szCs w:val="20"/>
          </w:rPr>
          <w:t>responsabilidad</w:t>
        </w:r>
      </w:hyperlink>
      <w:r w:rsidRPr="00FB351A">
        <w:rPr>
          <w:rFonts w:ascii="Arial" w:hAnsi="Arial" w:cs="Arial"/>
          <w:bCs/>
          <w:sz w:val="20"/>
          <w:szCs w:val="20"/>
        </w:rPr>
        <w:t>, expresando claramente las causas y circunstancias del incidente ocurrido.</w:t>
      </w:r>
    </w:p>
    <w:p w14:paraId="7ED4A238"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Declarar al tiempo de exigir el pago del siniestro los contratos de seguros que cubren el mismo riesgo.</w:t>
      </w:r>
    </w:p>
    <w:p w14:paraId="3E6028E4"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Probar la ocurrencia del siniestro.</w:t>
      </w:r>
    </w:p>
    <w:p w14:paraId="0A0D980F" w14:textId="77777777" w:rsidR="008322ED" w:rsidRPr="00FB351A" w:rsidRDefault="008322ED" w:rsidP="00803115">
      <w:pPr>
        <w:pStyle w:val="Prrafodelista"/>
        <w:numPr>
          <w:ilvl w:val="0"/>
          <w:numId w:val="7"/>
        </w:numPr>
        <w:ind w:left="567" w:hanging="567"/>
        <w:contextualSpacing/>
        <w:jc w:val="both"/>
        <w:rPr>
          <w:rFonts w:ascii="Arial" w:hAnsi="Arial" w:cs="Arial"/>
          <w:bCs/>
          <w:sz w:val="20"/>
          <w:szCs w:val="20"/>
        </w:rPr>
      </w:pPr>
      <w:r w:rsidRPr="00FB351A">
        <w:rPr>
          <w:rFonts w:ascii="Arial" w:hAnsi="Arial" w:cs="Arial"/>
          <w:bCs/>
          <w:sz w:val="20"/>
          <w:szCs w:val="20"/>
        </w:rPr>
        <w:t>Realizar todas las </w:t>
      </w:r>
      <w:hyperlink r:id="rId32" w:history="1">
        <w:r w:rsidRPr="00FB351A">
          <w:rPr>
            <w:rStyle w:val="Hipervnculo"/>
            <w:rFonts w:ascii="Arial" w:hAnsi="Arial" w:cs="Arial"/>
            <w:bCs/>
            <w:color w:val="auto"/>
            <w:sz w:val="20"/>
            <w:szCs w:val="20"/>
            <w:u w:val="none"/>
          </w:rPr>
          <w:t>acciones</w:t>
        </w:r>
      </w:hyperlink>
      <w:r w:rsidRPr="00FB351A">
        <w:rPr>
          <w:rFonts w:ascii="Arial" w:hAnsi="Arial" w:cs="Arial"/>
          <w:bCs/>
          <w:sz w:val="20"/>
          <w:szCs w:val="20"/>
        </w:rPr>
        <w:t> necesarias para garantizar a la empresa de seguros el ejercicio de su derecho de subrogación.</w:t>
      </w:r>
    </w:p>
    <w:p w14:paraId="468F3A23" w14:textId="77777777" w:rsidR="008322ED" w:rsidRPr="00FB351A" w:rsidRDefault="008322ED" w:rsidP="00803115">
      <w:pPr>
        <w:pStyle w:val="Prrafodelista"/>
        <w:ind w:left="0" w:firstLine="0"/>
        <w:jc w:val="both"/>
        <w:rPr>
          <w:rFonts w:ascii="Arial" w:hAnsi="Arial" w:cs="Arial"/>
          <w:bCs/>
          <w:sz w:val="20"/>
          <w:szCs w:val="20"/>
        </w:rPr>
      </w:pPr>
    </w:p>
    <w:p w14:paraId="7FB61D83" w14:textId="77777777" w:rsidR="008322ED" w:rsidRPr="00FB351A" w:rsidRDefault="008322ED" w:rsidP="00803115">
      <w:pPr>
        <w:pStyle w:val="Prrafodelista"/>
        <w:ind w:left="0" w:firstLine="0"/>
        <w:jc w:val="both"/>
        <w:rPr>
          <w:rFonts w:ascii="Arial" w:hAnsi="Arial" w:cs="Arial"/>
          <w:bCs/>
          <w:sz w:val="20"/>
          <w:szCs w:val="20"/>
        </w:rPr>
      </w:pPr>
      <w:r w:rsidRPr="00FB351A">
        <w:rPr>
          <w:rFonts w:ascii="Arial" w:hAnsi="Arial" w:cs="Arial"/>
          <w:bCs/>
          <w:sz w:val="20"/>
          <w:szCs w:val="20"/>
        </w:rPr>
        <w:t>Son obligaciones de las empresas de seguros:</w:t>
      </w:r>
    </w:p>
    <w:p w14:paraId="089731C4" w14:textId="77777777" w:rsidR="008322ED" w:rsidRPr="00FB351A" w:rsidRDefault="008322ED" w:rsidP="00803115">
      <w:pPr>
        <w:pStyle w:val="Prrafodelista"/>
        <w:ind w:left="0" w:firstLine="0"/>
        <w:jc w:val="both"/>
        <w:rPr>
          <w:rFonts w:ascii="Arial" w:hAnsi="Arial" w:cs="Arial"/>
          <w:bCs/>
          <w:sz w:val="20"/>
          <w:szCs w:val="20"/>
        </w:rPr>
      </w:pPr>
    </w:p>
    <w:p w14:paraId="2B5CD364" w14:textId="77777777" w:rsidR="008322ED" w:rsidRPr="00FB351A" w:rsidRDefault="008322ED" w:rsidP="00803115">
      <w:pPr>
        <w:pStyle w:val="Prrafodelista"/>
        <w:numPr>
          <w:ilvl w:val="0"/>
          <w:numId w:val="8"/>
        </w:numPr>
        <w:ind w:left="567" w:hanging="567"/>
        <w:contextualSpacing/>
        <w:jc w:val="both"/>
        <w:rPr>
          <w:rFonts w:ascii="Arial" w:hAnsi="Arial" w:cs="Arial"/>
          <w:bCs/>
          <w:sz w:val="20"/>
          <w:szCs w:val="20"/>
        </w:rPr>
      </w:pPr>
      <w:r w:rsidRPr="00FB351A">
        <w:rPr>
          <w:rFonts w:ascii="Arial" w:hAnsi="Arial" w:cs="Arial"/>
          <w:bCs/>
          <w:sz w:val="20"/>
          <w:szCs w:val="20"/>
        </w:rPr>
        <w:lastRenderedPageBreak/>
        <w:t>Informar al tomador, mediante la entrega de la póliza y demás documentos, la extensión de los riesgos asumidos y aclarar, en cualquier tiempo, cualquier duda que éste le formule.</w:t>
      </w:r>
    </w:p>
    <w:p w14:paraId="23267D18" w14:textId="77777777" w:rsidR="008322ED" w:rsidRPr="00FB351A" w:rsidRDefault="008322ED" w:rsidP="00803115">
      <w:pPr>
        <w:pStyle w:val="Prrafodelista"/>
        <w:numPr>
          <w:ilvl w:val="0"/>
          <w:numId w:val="8"/>
        </w:numPr>
        <w:ind w:left="567" w:hanging="567"/>
        <w:contextualSpacing/>
        <w:jc w:val="both"/>
        <w:rPr>
          <w:rFonts w:ascii="Arial" w:hAnsi="Arial" w:cs="Arial"/>
          <w:bCs/>
          <w:sz w:val="20"/>
          <w:szCs w:val="20"/>
        </w:rPr>
      </w:pPr>
      <w:r w:rsidRPr="00FB351A">
        <w:rPr>
          <w:rFonts w:ascii="Arial" w:hAnsi="Arial" w:cs="Arial"/>
          <w:bCs/>
          <w:sz w:val="20"/>
          <w:szCs w:val="20"/>
        </w:rPr>
        <w:t>Pagar la suma asegurada o la indemnización que corresponda en caso de siniestro en los plazos establecidos en la Ley del Contrato de seguro o rechazar, mediante escrito debidamente motivado, la cobertura del siniestro.</w:t>
      </w:r>
    </w:p>
    <w:p w14:paraId="1699CC6D" w14:textId="77777777" w:rsidR="008322ED" w:rsidRPr="00FB351A" w:rsidRDefault="008322ED" w:rsidP="00803115">
      <w:pPr>
        <w:pStyle w:val="Prrafodelista"/>
        <w:numPr>
          <w:ilvl w:val="0"/>
          <w:numId w:val="8"/>
        </w:numPr>
        <w:ind w:left="567" w:hanging="567"/>
        <w:contextualSpacing/>
        <w:jc w:val="both"/>
        <w:rPr>
          <w:rFonts w:ascii="Arial" w:hAnsi="Arial" w:cs="Arial"/>
          <w:bCs/>
          <w:sz w:val="20"/>
          <w:szCs w:val="20"/>
        </w:rPr>
      </w:pPr>
      <w:r w:rsidRPr="00FB351A">
        <w:rPr>
          <w:rFonts w:ascii="Arial" w:hAnsi="Arial" w:cs="Arial"/>
          <w:bCs/>
          <w:sz w:val="20"/>
          <w:szCs w:val="20"/>
        </w:rPr>
        <w:t>Las empresas de Seguros deben suministrar la póliza, o al menos, el documento de cobertura provisional, el cuadro recibo o recibo de prima al tomador en el momento de la celebración del contrato. En las modalidades de seguro en que por disposiciones especiales emitidas por la Superintendencia de Seguros no se exija la emisión de la póliza, la empresa de seguros estará obligada a entregar el documento que en estas disposiciones se establezcan.</w:t>
      </w:r>
    </w:p>
    <w:p w14:paraId="254428BF" w14:textId="77777777" w:rsidR="008322ED" w:rsidRPr="00FB351A" w:rsidRDefault="008322ED" w:rsidP="00803115">
      <w:pPr>
        <w:pStyle w:val="Prrafodelista"/>
        <w:numPr>
          <w:ilvl w:val="0"/>
          <w:numId w:val="8"/>
        </w:numPr>
        <w:ind w:left="567" w:hanging="567"/>
        <w:contextualSpacing/>
        <w:jc w:val="both"/>
        <w:rPr>
          <w:rFonts w:ascii="Arial" w:hAnsi="Arial" w:cs="Arial"/>
          <w:bCs/>
          <w:sz w:val="20"/>
          <w:szCs w:val="20"/>
        </w:rPr>
      </w:pPr>
      <w:r w:rsidRPr="00FB351A">
        <w:rPr>
          <w:rFonts w:ascii="Arial" w:hAnsi="Arial" w:cs="Arial"/>
          <w:bCs/>
          <w:sz w:val="20"/>
          <w:szCs w:val="20"/>
        </w:rPr>
        <w:t>La empresa de seguros debe entregar, asimismo, a solicitud y a costa del interesado, duplicados o copias de la póliza. La empresa de seguros deberá dejar constancia de que ha cumplido con esta obligación.</w:t>
      </w:r>
    </w:p>
    <w:p w14:paraId="20FF9789" w14:textId="77777777" w:rsidR="00146C21" w:rsidRPr="00FB351A" w:rsidRDefault="00146C21" w:rsidP="00803115">
      <w:pPr>
        <w:tabs>
          <w:tab w:val="left" w:pos="3872"/>
        </w:tabs>
        <w:jc w:val="both"/>
        <w:rPr>
          <w:rFonts w:ascii="Arial" w:eastAsia="Arial MT" w:hAnsi="Arial" w:cs="Arial"/>
          <w:sz w:val="20"/>
          <w:szCs w:val="20"/>
        </w:rPr>
      </w:pPr>
    </w:p>
    <w:p w14:paraId="0E9A058C" w14:textId="77777777" w:rsidR="00146C21" w:rsidRPr="00FB351A" w:rsidRDefault="00146C21" w:rsidP="00146C21">
      <w:pPr>
        <w:tabs>
          <w:tab w:val="left" w:pos="3872"/>
        </w:tabs>
        <w:jc w:val="both"/>
        <w:rPr>
          <w:rFonts w:ascii="Arial" w:eastAsia="Arial MT" w:hAnsi="Arial" w:cs="Arial"/>
          <w:sz w:val="20"/>
          <w:szCs w:val="20"/>
          <w:lang w:val="es-ES"/>
        </w:rPr>
      </w:pPr>
      <w:r w:rsidRPr="00FB351A">
        <w:rPr>
          <w:rFonts w:ascii="Arial" w:eastAsia="Arial MT" w:hAnsi="Arial" w:cs="Arial"/>
          <w:sz w:val="20"/>
          <w:szCs w:val="20"/>
          <w:lang w:val="es-ES"/>
        </w:rPr>
        <w:t>El Código de Comercio Colombiano no tiene una definición puntual del contrato de seguros, simplemente señala sus características, por tanto, es importante conocer el significado de algunas de sus elementos:</w:t>
      </w:r>
    </w:p>
    <w:p w14:paraId="45D383AE" w14:textId="77777777" w:rsidR="00146C21" w:rsidRPr="00FB351A" w:rsidRDefault="00146C21" w:rsidP="00146C21">
      <w:pPr>
        <w:tabs>
          <w:tab w:val="left" w:pos="3872"/>
        </w:tabs>
        <w:jc w:val="both"/>
        <w:rPr>
          <w:rFonts w:ascii="Arial" w:eastAsia="Arial MT" w:hAnsi="Arial" w:cs="Arial"/>
          <w:sz w:val="20"/>
          <w:szCs w:val="20"/>
          <w:lang w:val="es-ES"/>
        </w:rPr>
      </w:pPr>
    </w:p>
    <w:tbl>
      <w:tblPr>
        <w:tblW w:w="5000" w:type="pct"/>
        <w:tblCellSpacing w:w="15" w:type="dxa"/>
        <w:tblCellMar>
          <w:left w:w="0" w:type="dxa"/>
          <w:right w:w="0" w:type="dxa"/>
        </w:tblCellMar>
        <w:tblLook w:val="04A0" w:firstRow="1" w:lastRow="0" w:firstColumn="1" w:lastColumn="0" w:noHBand="0" w:noVBand="1"/>
      </w:tblPr>
      <w:tblGrid>
        <w:gridCol w:w="1825"/>
        <w:gridCol w:w="7798"/>
      </w:tblGrid>
      <w:tr w:rsidR="006E2955" w:rsidRPr="00FB351A" w14:paraId="153FC584" w14:textId="77777777" w:rsidTr="006E2955">
        <w:trPr>
          <w:trHeight w:val="20"/>
          <w:tblHeader/>
          <w:tblCellSpacing w:w="15" w:type="dxa"/>
        </w:trPr>
        <w:tc>
          <w:tcPr>
            <w:tcW w:w="88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2E261A9"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Concepto</w:t>
            </w:r>
          </w:p>
        </w:tc>
        <w:tc>
          <w:tcPr>
            <w:tcW w:w="4068"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31C95E9F"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Definición Técnica</w:t>
            </w:r>
          </w:p>
        </w:tc>
      </w:tr>
      <w:tr w:rsidR="006E2955" w:rsidRPr="00FB351A" w14:paraId="519FC77D"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8924EE"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Interés Asegurable</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5A9F59"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Es la relación jurídico-económica que debe existir entre quien toma el seguro y el objeto o sujeto asegurado (sea la vida, un bien material o el patrimonio).</w:t>
            </w:r>
          </w:p>
        </w:tc>
      </w:tr>
      <w:tr w:rsidR="006E2955" w:rsidRPr="00FB351A" w14:paraId="5EC0B565"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B4DC0D"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Riesgo Asegurable</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6AD02A"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 xml:space="preserve">Es el suceso incierto que no depende exclusivamente de la voluntad del tomador, del asegurado o del beneficiario, y cuya realización da origen a la obligación del asegurador. Los hechos ciertos y los físicamente imposibles no constituyen riesgos. El dolo y los actos meramente potestativos son </w:t>
            </w:r>
            <w:proofErr w:type="spellStart"/>
            <w:r w:rsidRPr="00FB351A">
              <w:rPr>
                <w:rFonts w:ascii="Arial" w:eastAsia="Arial MT" w:hAnsi="Arial" w:cs="Arial"/>
                <w:sz w:val="20"/>
                <w:szCs w:val="20"/>
              </w:rPr>
              <w:t>inasegurables</w:t>
            </w:r>
            <w:proofErr w:type="spellEnd"/>
            <w:r w:rsidRPr="00FB351A">
              <w:rPr>
                <w:rFonts w:ascii="Arial" w:eastAsia="Arial MT" w:hAnsi="Arial" w:cs="Arial"/>
                <w:sz w:val="20"/>
                <w:szCs w:val="20"/>
              </w:rPr>
              <w:t>.</w:t>
            </w:r>
          </w:p>
        </w:tc>
      </w:tr>
      <w:tr w:rsidR="006E2955" w:rsidRPr="00FB351A" w14:paraId="3A388DE6"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BD13D"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Suma Asegurada</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96DA11"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Es el valor atribuido por la aseguradora a los bienes o intereses cubiertos por la póliza. Representa el límite máximo de la indemnización a pagar en cada siniestro y coincide con el valor declarado por el asegurado en la solicitud del seguro.</w:t>
            </w:r>
          </w:p>
        </w:tc>
      </w:tr>
      <w:tr w:rsidR="006E2955" w:rsidRPr="00FB351A" w14:paraId="6E19084D"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A89496"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Amparos (Coberturas)</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904C7"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Son los riesgos o eventos específicos contra los cuales se pretende resguardar el bien, la persona o el patrimonio objeto del seguro, delimitando el alcance de la protección.</w:t>
            </w:r>
          </w:p>
        </w:tc>
      </w:tr>
      <w:tr w:rsidR="006E2955" w:rsidRPr="00FB351A" w14:paraId="18FFCBCA"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607326"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Prima de Seguro</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2E5856"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Es la contraprestación económica (precio) a la cual se compromete el tomador a favor de la aseguradora por el traslado y asunción del riesgo.</w:t>
            </w:r>
          </w:p>
        </w:tc>
      </w:tr>
      <w:tr w:rsidR="006E2955" w:rsidRPr="00FB351A" w14:paraId="18D2EE3C"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39B144"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Indemnización</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524FF9"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Es el pago que la aseguradora se obliga a realizar dentro del plazo legal (un mes) una vez reclamado el siniestro. Para que sea exigible, el asegurado debe demostrar la ocurrencia del evento y la cuantía de la pérdida.</w:t>
            </w:r>
          </w:p>
        </w:tc>
      </w:tr>
      <w:tr w:rsidR="006E2955" w:rsidRPr="00FB351A" w14:paraId="6E31BBFB"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0A210D"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Condiciones Generales</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A2E4D5"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 xml:space="preserve">Conjunto de principios y estipulaciones preestablecidas por la aseguradora para regular los contratos que emita en un mismo ramo. Aunque operan como un </w:t>
            </w:r>
            <w:r w:rsidRPr="00FB351A">
              <w:rPr>
                <w:rFonts w:ascii="Arial" w:eastAsia="Arial MT" w:hAnsi="Arial" w:cs="Arial"/>
                <w:sz w:val="20"/>
                <w:szCs w:val="20"/>
              </w:rPr>
              <w:lastRenderedPageBreak/>
              <w:t xml:space="preserve">contrato de adhesión, pueden modificarse o anularse por mutuo acuerdo mediante la emisión de </w:t>
            </w:r>
            <w:r w:rsidRPr="00FB351A">
              <w:rPr>
                <w:rFonts w:ascii="Arial" w:eastAsia="Arial MT" w:hAnsi="Arial" w:cs="Arial"/>
                <w:b/>
                <w:bCs/>
                <w:sz w:val="20"/>
                <w:szCs w:val="20"/>
              </w:rPr>
              <w:t>condiciones particulares</w:t>
            </w:r>
            <w:r w:rsidRPr="00FB351A">
              <w:rPr>
                <w:rFonts w:ascii="Arial" w:eastAsia="Arial MT" w:hAnsi="Arial" w:cs="Arial"/>
                <w:sz w:val="20"/>
                <w:szCs w:val="20"/>
              </w:rPr>
              <w:t>.</w:t>
            </w:r>
          </w:p>
        </w:tc>
      </w:tr>
      <w:tr w:rsidR="006E2955" w:rsidRPr="00FB351A" w14:paraId="0E9BA18B" w14:textId="77777777" w:rsidTr="006E2955">
        <w:trPr>
          <w:trHeight w:val="20"/>
          <w:tblCellSpacing w:w="15" w:type="dxa"/>
        </w:trPr>
        <w:tc>
          <w:tcPr>
            <w:tcW w:w="885"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058F16"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lastRenderedPageBreak/>
              <w:t>Póliza</w:t>
            </w:r>
          </w:p>
        </w:tc>
        <w:tc>
          <w:tcPr>
            <w:tcW w:w="406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EFF0E"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Es el documento escrito que perfecciona y sirve como prueba del contrato de seguro, en el cual constan todas sus condiciones generales, particulares y anexos.</w:t>
            </w:r>
          </w:p>
        </w:tc>
      </w:tr>
    </w:tbl>
    <w:p w14:paraId="159B17B3" w14:textId="07214E5B" w:rsidR="006E2955" w:rsidRPr="00FB351A" w:rsidRDefault="006E2955" w:rsidP="006E2955">
      <w:pPr>
        <w:tabs>
          <w:tab w:val="left" w:pos="3872"/>
        </w:tabs>
        <w:jc w:val="both"/>
        <w:rPr>
          <w:rFonts w:ascii="Arial" w:eastAsia="Arial MT" w:hAnsi="Arial" w:cs="Arial"/>
          <w:sz w:val="20"/>
          <w:szCs w:val="20"/>
          <w:lang w:val="es-ES"/>
        </w:rPr>
      </w:pPr>
      <w:r w:rsidRPr="00FB351A">
        <w:rPr>
          <w:rFonts w:ascii="Arial" w:eastAsia="Arial MT" w:hAnsi="Arial" w:cs="Arial"/>
          <w:sz w:val="20"/>
          <w:szCs w:val="20"/>
          <w:lang w:val="es-ES"/>
        </w:rPr>
        <w:t>Cuadro Conceptos Básicos y Elementos Técnicos del Seguro. Elaborado por el intermediario de seguros de la entidad JARGU S.A. Corredores de seguros.</w:t>
      </w:r>
    </w:p>
    <w:p w14:paraId="612D1530" w14:textId="77777777" w:rsidR="006E2955" w:rsidRPr="00FB351A" w:rsidRDefault="006E2955" w:rsidP="00146C21">
      <w:pPr>
        <w:tabs>
          <w:tab w:val="left" w:pos="3872"/>
        </w:tabs>
        <w:jc w:val="both"/>
        <w:rPr>
          <w:rFonts w:ascii="Arial" w:eastAsia="Arial MT" w:hAnsi="Arial" w:cs="Arial"/>
          <w:sz w:val="20"/>
          <w:szCs w:val="20"/>
        </w:rPr>
      </w:pPr>
    </w:p>
    <w:tbl>
      <w:tblPr>
        <w:tblW w:w="5000" w:type="pct"/>
        <w:tblCellSpacing w:w="15" w:type="dxa"/>
        <w:tblCellMar>
          <w:left w:w="0" w:type="dxa"/>
          <w:right w:w="0" w:type="dxa"/>
        </w:tblCellMar>
        <w:tblLook w:val="04A0" w:firstRow="1" w:lastRow="0" w:firstColumn="1" w:lastColumn="0" w:noHBand="0" w:noVBand="1"/>
      </w:tblPr>
      <w:tblGrid>
        <w:gridCol w:w="2293"/>
        <w:gridCol w:w="7330"/>
      </w:tblGrid>
      <w:tr w:rsidR="006E2955" w:rsidRPr="00FB351A" w14:paraId="7F0D4E4E" w14:textId="77777777" w:rsidTr="006E2955">
        <w:trPr>
          <w:trHeight w:val="20"/>
          <w:tblHeader/>
          <w:tblCellSpacing w:w="15" w:type="dxa"/>
        </w:trPr>
        <w:tc>
          <w:tcPr>
            <w:tcW w:w="117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AF960C2"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Parte</w:t>
            </w:r>
          </w:p>
        </w:tc>
        <w:tc>
          <w:tcPr>
            <w:tcW w:w="3781"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C01E079"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Rol dentro del Contrato</w:t>
            </w:r>
          </w:p>
        </w:tc>
      </w:tr>
      <w:tr w:rsidR="006E2955" w:rsidRPr="00FB351A" w14:paraId="28A8C1D4" w14:textId="77777777" w:rsidTr="006E2955">
        <w:trPr>
          <w:trHeight w:val="20"/>
          <w:tblCellSpacing w:w="15" w:type="dxa"/>
        </w:trPr>
        <w:tc>
          <w:tcPr>
            <w:tcW w:w="11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20A0F"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Asegurador (Compañía de Seguros)</w:t>
            </w:r>
          </w:p>
        </w:tc>
        <w:tc>
          <w:tcPr>
            <w:tcW w:w="37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C8C7E0"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Persona jurídica que asume los riesgos. En Colombia, solo las empresas autorizadas y vigiladas por la Superintendencia Financiera pueden actuar como aseguradoras.</w:t>
            </w:r>
          </w:p>
        </w:tc>
      </w:tr>
      <w:tr w:rsidR="006E2955" w:rsidRPr="00FB351A" w14:paraId="325D521B" w14:textId="77777777" w:rsidTr="006E2955">
        <w:trPr>
          <w:trHeight w:val="20"/>
          <w:tblCellSpacing w:w="15" w:type="dxa"/>
        </w:trPr>
        <w:tc>
          <w:tcPr>
            <w:tcW w:w="11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0B99B"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Tomador</w:t>
            </w:r>
          </w:p>
        </w:tc>
        <w:tc>
          <w:tcPr>
            <w:tcW w:w="37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D561D"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Persona natural o jurídica que, obrando por cuenta propia o ajena, traslada los riesgos y asume la obligación de pagar la prima.</w:t>
            </w:r>
          </w:p>
        </w:tc>
      </w:tr>
      <w:tr w:rsidR="006E2955" w:rsidRPr="00FB351A" w14:paraId="3C7CDB8F" w14:textId="77777777" w:rsidTr="006E2955">
        <w:trPr>
          <w:trHeight w:val="20"/>
          <w:tblCellSpacing w:w="15" w:type="dxa"/>
        </w:trPr>
        <w:tc>
          <w:tcPr>
            <w:tcW w:w="11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398CB"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Asegurado</w:t>
            </w:r>
          </w:p>
        </w:tc>
        <w:tc>
          <w:tcPr>
            <w:tcW w:w="37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A98C6D"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Persona que en sí misma, en sus bienes o en sus intereses patrimoniales está directamente expuesta al riesgo amparado.</w:t>
            </w:r>
          </w:p>
        </w:tc>
      </w:tr>
      <w:tr w:rsidR="006E2955" w:rsidRPr="00FB351A" w14:paraId="2761C339" w14:textId="77777777" w:rsidTr="006E2955">
        <w:trPr>
          <w:trHeight w:val="20"/>
          <w:tblCellSpacing w:w="15" w:type="dxa"/>
        </w:trPr>
        <w:tc>
          <w:tcPr>
            <w:tcW w:w="117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FFCC00"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Beneficiario</w:t>
            </w:r>
          </w:p>
        </w:tc>
        <w:tc>
          <w:tcPr>
            <w:tcW w:w="378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41E7AE"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sz w:val="20"/>
                <w:szCs w:val="20"/>
              </w:rPr>
              <w:t>Persona natural o jurídica en cuyo favor se ha establecido el derecho a recibir la indemnización que pagará la aseguradora tras la ocurrencia del siniestro.</w:t>
            </w:r>
          </w:p>
        </w:tc>
      </w:tr>
      <w:tr w:rsidR="006E2955" w:rsidRPr="00FB351A" w14:paraId="3064CA7A" w14:textId="77777777" w:rsidTr="009B3AAD">
        <w:trPr>
          <w:trHeight w:val="20"/>
          <w:tblCellSpacing w:w="15" w:type="dxa"/>
        </w:trPr>
        <w:tc>
          <w:tcPr>
            <w:tcW w:w="4969" w:type="pct"/>
            <w:gridSpan w:val="2"/>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C8B2058" w14:textId="77777777" w:rsidR="006E2955" w:rsidRPr="00FB351A" w:rsidRDefault="006E2955" w:rsidP="009B3AAD">
            <w:pPr>
              <w:tabs>
                <w:tab w:val="left" w:pos="3872"/>
              </w:tabs>
              <w:jc w:val="center"/>
              <w:rPr>
                <w:rFonts w:ascii="Arial" w:eastAsia="Arial MT" w:hAnsi="Arial" w:cs="Arial"/>
                <w:sz w:val="20"/>
                <w:szCs w:val="20"/>
              </w:rPr>
            </w:pPr>
            <w:r w:rsidRPr="00FB351A">
              <w:rPr>
                <w:rFonts w:ascii="Arial" w:eastAsia="Arial MT" w:hAnsi="Arial" w:cs="Arial"/>
                <w:b/>
                <w:bCs/>
                <w:sz w:val="20"/>
                <w:szCs w:val="20"/>
              </w:rPr>
              <w:t>Nota Jurídica:</w:t>
            </w:r>
            <w:r w:rsidRPr="00FB351A">
              <w:rPr>
                <w:rFonts w:ascii="Arial" w:eastAsia="Arial MT" w:hAnsi="Arial" w:cs="Arial"/>
                <w:sz w:val="20"/>
                <w:szCs w:val="20"/>
              </w:rPr>
              <w:t xml:space="preserve"> De acuerdo con la legislación mercantil colombiana (Código de Comercio), las figuras de </w:t>
            </w:r>
            <w:r w:rsidRPr="00FB351A">
              <w:rPr>
                <w:rFonts w:ascii="Arial" w:eastAsia="Arial MT" w:hAnsi="Arial" w:cs="Arial"/>
                <w:b/>
                <w:bCs/>
                <w:sz w:val="20"/>
                <w:szCs w:val="20"/>
              </w:rPr>
              <w:t>Tomador, Asegurado y Beneficiario</w:t>
            </w:r>
            <w:r w:rsidRPr="00FB351A">
              <w:rPr>
                <w:rFonts w:ascii="Arial" w:eastAsia="Arial MT" w:hAnsi="Arial" w:cs="Arial"/>
                <w:sz w:val="20"/>
                <w:szCs w:val="20"/>
              </w:rPr>
              <w:t xml:space="preserve"> pueden recaer en la misma persona, o pueden ser personas distintas, dependiendo de la naturaleza y estructuración específica de cada contrato de seguro</w:t>
            </w:r>
          </w:p>
        </w:tc>
      </w:tr>
    </w:tbl>
    <w:p w14:paraId="0510B775" w14:textId="7D92B06E" w:rsidR="006E2955" w:rsidRPr="00FB351A" w:rsidRDefault="006E2955" w:rsidP="006E2955">
      <w:pPr>
        <w:tabs>
          <w:tab w:val="left" w:pos="3872"/>
        </w:tabs>
        <w:jc w:val="both"/>
        <w:rPr>
          <w:rFonts w:ascii="Arial" w:eastAsia="Arial MT" w:hAnsi="Arial" w:cs="Arial"/>
          <w:sz w:val="20"/>
          <w:szCs w:val="20"/>
          <w:lang w:val="es-ES"/>
        </w:rPr>
      </w:pPr>
      <w:r w:rsidRPr="00FB351A">
        <w:rPr>
          <w:rFonts w:ascii="Arial" w:eastAsia="Arial MT" w:hAnsi="Arial" w:cs="Arial"/>
          <w:sz w:val="20"/>
          <w:szCs w:val="20"/>
          <w:lang w:val="es-ES"/>
        </w:rPr>
        <w:t>Cuadro Partes Intervinientes en el Contrato de Seguro. Elaborado por el intermediario de seguros de la entidad JARGU S.A. Corredores de seguros.</w:t>
      </w:r>
    </w:p>
    <w:p w14:paraId="45644A0F" w14:textId="77777777" w:rsidR="006E2955" w:rsidRPr="00FB351A" w:rsidRDefault="006E2955" w:rsidP="00146C21">
      <w:pPr>
        <w:tabs>
          <w:tab w:val="left" w:pos="3872"/>
        </w:tabs>
        <w:jc w:val="both"/>
        <w:rPr>
          <w:rFonts w:ascii="Arial" w:eastAsia="Arial MT" w:hAnsi="Arial" w:cs="Arial"/>
          <w:sz w:val="20"/>
          <w:szCs w:val="20"/>
        </w:rPr>
      </w:pPr>
    </w:p>
    <w:p w14:paraId="73145429" w14:textId="77777777" w:rsidR="006E2955" w:rsidRPr="00FB351A" w:rsidRDefault="006E2955">
      <w:pPr>
        <w:numPr>
          <w:ilvl w:val="0"/>
          <w:numId w:val="42"/>
        </w:numPr>
        <w:tabs>
          <w:tab w:val="left" w:pos="3872"/>
        </w:tabs>
        <w:jc w:val="both"/>
        <w:rPr>
          <w:rFonts w:ascii="Arial" w:eastAsia="Arial MT" w:hAnsi="Arial" w:cs="Arial"/>
          <w:b/>
          <w:bCs/>
          <w:sz w:val="20"/>
          <w:szCs w:val="20"/>
        </w:rPr>
      </w:pPr>
      <w:r w:rsidRPr="00FB351A">
        <w:rPr>
          <w:rFonts w:ascii="Arial" w:eastAsia="Arial MT" w:hAnsi="Arial" w:cs="Arial"/>
          <w:b/>
          <w:bCs/>
          <w:sz w:val="20"/>
          <w:szCs w:val="20"/>
        </w:rPr>
        <w:t>Tipos de seguros que deben contratar las entidades estatales dependiendo de su actividad:</w:t>
      </w:r>
    </w:p>
    <w:p w14:paraId="1D7B1A48" w14:textId="77777777" w:rsidR="00146C21" w:rsidRPr="00FB351A" w:rsidRDefault="00146C21" w:rsidP="00146C21">
      <w:pPr>
        <w:tabs>
          <w:tab w:val="left" w:pos="3872"/>
        </w:tabs>
        <w:jc w:val="both"/>
        <w:rPr>
          <w:rFonts w:ascii="Arial" w:eastAsia="Arial MT" w:hAnsi="Arial" w:cs="Arial"/>
          <w:sz w:val="20"/>
          <w:szCs w:val="20"/>
        </w:rPr>
      </w:pPr>
    </w:p>
    <w:p w14:paraId="16AC043D" w14:textId="0A8EED8E" w:rsidR="00146C21" w:rsidRPr="00FB351A" w:rsidRDefault="006E2955" w:rsidP="00146C21">
      <w:pPr>
        <w:tabs>
          <w:tab w:val="left" w:pos="3872"/>
        </w:tabs>
        <w:jc w:val="center"/>
        <w:rPr>
          <w:rFonts w:ascii="Arial" w:eastAsia="Arial MT" w:hAnsi="Arial" w:cs="Arial"/>
          <w:sz w:val="20"/>
          <w:szCs w:val="20"/>
        </w:rPr>
      </w:pPr>
      <w:r w:rsidRPr="00FB351A">
        <w:rPr>
          <w:rFonts w:ascii="Arial" w:hAnsi="Arial" w:cs="Arial"/>
          <w:noProof/>
        </w:rPr>
        <w:lastRenderedPageBreak/>
        <w:drawing>
          <wp:inline distT="0" distB="0" distL="0" distR="0" wp14:anchorId="25806C2B" wp14:editId="7A723602">
            <wp:extent cx="5305425" cy="3561715"/>
            <wp:effectExtent l="0" t="0" r="9525" b="635"/>
            <wp:docPr id="430500469"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05425" cy="3561715"/>
                    </a:xfrm>
                    <a:prstGeom prst="rect">
                      <a:avLst/>
                    </a:prstGeom>
                    <a:noFill/>
                    <a:ln>
                      <a:noFill/>
                    </a:ln>
                  </pic:spPr>
                </pic:pic>
              </a:graphicData>
            </a:graphic>
          </wp:inline>
        </w:drawing>
      </w:r>
    </w:p>
    <w:p w14:paraId="43964A7C" w14:textId="13C2533A" w:rsidR="00BD589B" w:rsidRPr="00FB351A" w:rsidRDefault="008322ED" w:rsidP="00803115">
      <w:pPr>
        <w:tabs>
          <w:tab w:val="left" w:pos="3872"/>
        </w:tabs>
        <w:jc w:val="both"/>
        <w:rPr>
          <w:rFonts w:ascii="Arial" w:eastAsia="Arial MT" w:hAnsi="Arial" w:cs="Arial"/>
          <w:sz w:val="20"/>
          <w:szCs w:val="20"/>
        </w:rPr>
      </w:pPr>
      <w:r w:rsidRPr="00FB351A">
        <w:rPr>
          <w:rFonts w:ascii="Arial" w:eastAsia="Arial MT" w:hAnsi="Arial" w:cs="Arial"/>
          <w:sz w:val="20"/>
          <w:szCs w:val="20"/>
        </w:rPr>
        <w:tab/>
      </w:r>
    </w:p>
    <w:p w14:paraId="0B5BF470" w14:textId="5A769C72" w:rsidR="008322ED" w:rsidRPr="00FB351A" w:rsidRDefault="008322ED" w:rsidP="00803115">
      <w:pPr>
        <w:pStyle w:val="Prrafodelista"/>
        <w:numPr>
          <w:ilvl w:val="2"/>
          <w:numId w:val="1"/>
        </w:numPr>
        <w:tabs>
          <w:tab w:val="left" w:pos="3872"/>
        </w:tabs>
        <w:jc w:val="both"/>
        <w:rPr>
          <w:rFonts w:ascii="Arial" w:eastAsia="Arial MT" w:hAnsi="Arial" w:cs="Arial"/>
          <w:sz w:val="20"/>
          <w:szCs w:val="20"/>
        </w:rPr>
      </w:pPr>
      <w:r w:rsidRPr="00FB351A">
        <w:rPr>
          <w:rFonts w:ascii="Arial" w:eastAsia="Arial MT" w:hAnsi="Arial" w:cs="Arial"/>
          <w:b/>
          <w:sz w:val="20"/>
          <w:szCs w:val="20"/>
        </w:rPr>
        <w:t>Análisis Capacidad Financiera De Las Aseguradoras Que Participan En Procesos De Contratación De Seguros</w:t>
      </w:r>
    </w:p>
    <w:p w14:paraId="392DF5AC" w14:textId="77777777" w:rsidR="008322ED" w:rsidRPr="00FB351A" w:rsidRDefault="008322ED" w:rsidP="00803115">
      <w:pPr>
        <w:jc w:val="both"/>
        <w:rPr>
          <w:rFonts w:ascii="Arial" w:eastAsia="Arial MT" w:hAnsi="Arial" w:cs="Arial"/>
          <w:bCs/>
          <w:sz w:val="20"/>
          <w:szCs w:val="20"/>
        </w:rPr>
      </w:pPr>
    </w:p>
    <w:p w14:paraId="5CB4496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En cumplimiento de lo establecido en el artículo 6º de la Ley 1150 de 2007, modificado por el artículo 221 del Decreto Ley 19 de 2012 y la Subsección 5, artículo 2.2.1.1.1.5.3, numeral 3 y 4 Decreto 1082 de 2015, la Entidad evaluará la capacidad financiera y organizacional de los proponentes con base en los indicadores definidos y la información financiera contenida en el Certificado de Inscripción y Clasificación – RUP, correspondiente a los estados financieros con fecha de corte a 31 de diciembre de 2025 en firme, al momento del cierre del proceso, o renovado a tiempo según los términos del Decreto 1082 de 2015</w:t>
      </w:r>
      <w:r w:rsidRPr="00FB351A">
        <w:rPr>
          <w:rFonts w:ascii="Arial" w:eastAsia="Arial MT" w:hAnsi="Arial" w:cs="Arial"/>
          <w:sz w:val="20"/>
          <w:szCs w:val="20"/>
          <w:u w:val="single"/>
          <w:vertAlign w:val="superscript"/>
        </w:rPr>
        <w:footnoteReference w:id="9"/>
      </w:r>
      <w:r w:rsidRPr="00FB351A">
        <w:rPr>
          <w:rFonts w:ascii="Arial" w:eastAsia="Arial MT" w:hAnsi="Arial" w:cs="Arial"/>
          <w:sz w:val="20"/>
          <w:szCs w:val="20"/>
        </w:rPr>
        <w:t>.</w:t>
      </w:r>
      <w:r w:rsidRPr="00FB351A">
        <w:rPr>
          <w:rFonts w:ascii="Arial" w:eastAsia="Arial MT" w:hAnsi="Arial" w:cs="Arial"/>
          <w:bCs/>
          <w:sz w:val="20"/>
          <w:szCs w:val="20"/>
        </w:rPr>
        <w:t xml:space="preserve"> </w:t>
      </w:r>
    </w:p>
    <w:p w14:paraId="0B70959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9286D6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La capacidad financiera busca establecer condiciones mínimas en relación con la salud financiera de los proponentes, particularmente demostrar su aptitud para cumplir oportuna y cabalmente el objeto del contrato.</w:t>
      </w:r>
    </w:p>
    <w:p w14:paraId="1EFA835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 </w:t>
      </w:r>
    </w:p>
    <w:p w14:paraId="0B8DF9A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En ese sentido, la capacidad financiera que la entidad requiera para este Proceso de Contratación debe ser adecuada y proporcional a su naturaleza, plazo, complejidad, riesgo y valor del contrato</w:t>
      </w:r>
    </w:p>
    <w:p w14:paraId="60B01D7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F6834B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_tradnl"/>
        </w:rPr>
      </w:pPr>
      <w:r w:rsidRPr="00FB351A">
        <w:rPr>
          <w:rFonts w:ascii="Arial" w:eastAsia="Arial MT" w:hAnsi="Arial" w:cs="Arial"/>
          <w:sz w:val="20"/>
          <w:szCs w:val="20"/>
        </w:rPr>
        <w:t>El estudio financiero de las propuestas no tiene ponderación alguna, se efectúa con el fin de medir la fortaleza financiera del interesado, e indica si la propuesta CUMPLE O NO CUMPLE.</w:t>
      </w:r>
    </w:p>
    <w:p w14:paraId="3BBBA82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92DA453"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lastRenderedPageBreak/>
        <w:t>De conformidad con lo anterior, considerando el comportamiento financiero y organizacional del mercado asegurador, los cuales buscan establecer unas condiciones mínimas que reflejen la salud financiera de los proponentes a través de su liquidez y endeudamiento mostrando la aptitud del proponente para cumplir oportuna y cabalmente el objeto del contrato</w:t>
      </w:r>
      <w:r w:rsidRPr="00FB351A">
        <w:rPr>
          <w:rFonts w:ascii="Arial" w:eastAsia="Arial MT" w:hAnsi="Arial" w:cs="Arial"/>
          <w:sz w:val="20"/>
          <w:szCs w:val="20"/>
          <w:vertAlign w:val="superscript"/>
        </w:rPr>
        <w:footnoteReference w:id="10"/>
      </w:r>
      <w:r w:rsidRPr="00FB351A">
        <w:rPr>
          <w:rFonts w:ascii="Arial" w:eastAsia="Arial MT" w:hAnsi="Arial" w:cs="Arial"/>
          <w:sz w:val="20"/>
          <w:szCs w:val="20"/>
        </w:rPr>
        <w:t xml:space="preserve">. </w:t>
      </w:r>
    </w:p>
    <w:p w14:paraId="5705CFA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4FD23A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La información de los indicadores financieros contenidos en los cuadros que se estructuran para cada indicador analizado corresponde a los indicadores financieros tomados directamente del </w:t>
      </w:r>
      <w:proofErr w:type="spellStart"/>
      <w:r w:rsidRPr="00FB351A">
        <w:rPr>
          <w:rFonts w:ascii="Arial" w:eastAsia="Arial MT" w:hAnsi="Arial" w:cs="Arial"/>
          <w:sz w:val="20"/>
          <w:szCs w:val="20"/>
        </w:rPr>
        <w:t>R.U.P</w:t>
      </w:r>
      <w:proofErr w:type="spellEnd"/>
      <w:r w:rsidRPr="00FB351A">
        <w:rPr>
          <w:rFonts w:ascii="Arial" w:eastAsia="Arial MT" w:hAnsi="Arial" w:cs="Arial"/>
          <w:sz w:val="20"/>
          <w:szCs w:val="20"/>
        </w:rPr>
        <w:t xml:space="preserve">, en firme al 26 de mayo de 2026, de cada una de las empresas de seguros analizadas, por corresponder a las empresas de seguros que habitualmente participan en este tipo de procesos de selección.   </w:t>
      </w:r>
    </w:p>
    <w:p w14:paraId="4E4D5E3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09232AD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r w:rsidRPr="00FB351A">
        <w:rPr>
          <w:rFonts w:ascii="Arial" w:eastAsia="Arial MT" w:hAnsi="Arial" w:cs="Arial"/>
          <w:sz w:val="20"/>
          <w:szCs w:val="20"/>
          <w:lang w:val="es-ES"/>
        </w:rPr>
        <w:t>A su vez, se tienen en cuenta las directrices dadas por Colombia Compra Eficiente a través del Manual para Determinar y Verificar los Requisitos Habilitantes en los Procesos de Contratación, así: “La promoción de la competencia es uno de los objetivos del sistema de compras y contratación pública, por lo que la determinación de los requisitos habilitantes no puede ejercerse de forma arbitraria, caprichosa y, mucho menos, con el ánimo de direccionar el Proceso de Contratación o favorecer a alguno de los potenciales proponentes, así como tampoco puede ejercerse desconociendo límites legales, como, por ejemplo, el que estable el artículo 5, parágrafo 2, de la Ley 1150 de 2007, relacionado con la prohibición de exigir certificaciones de sistemas de gestión de calidad como requisito habilitante”</w:t>
      </w:r>
    </w:p>
    <w:p w14:paraId="252F0D9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p>
    <w:p w14:paraId="1929160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r w:rsidRPr="00FB351A">
        <w:rPr>
          <w:rFonts w:ascii="Arial" w:eastAsia="Arial MT" w:hAnsi="Arial" w:cs="Arial"/>
          <w:sz w:val="20"/>
          <w:szCs w:val="20"/>
          <w:lang w:val="es-ES"/>
        </w:rPr>
        <w:t>Es por ello por lo que los índices mínimos habilitantes que se proponen para los indicadores financieros no restringen la participación de eventuales proponentes con capacidad, promocionando la participación de más proponentes y el crecimiento de la industria nacional de bienes y servicios, al tiempo que se garantiza la participación plural de oferentes.</w:t>
      </w:r>
    </w:p>
    <w:p w14:paraId="583EB88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p>
    <w:p w14:paraId="793AC0E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De acuerdo con el Manual para determinar y verificar los requisitos habilitantes en los Procesos de Contratación de Colombia Compra Eficiente, como quiera que en este proceso de selección de compañías aseguradoras no existe una relación de dependencia fuerte entre cada indicador requerido y la ejecución del contrato, la entidad  tomo la precaución pertinente para no excluir posibles proponentes que aunque, para un indicador específico tengan un peor desempeño que el promedio de su sector, estén en capacidad de participar en el Proceso de Contratación y cumplir con el objeto del contrato. Para ello, la Entidad Estatal fijó límites más flexibles dados por el comportamiento del sector económico estudiando, por ejemplo, los valores máximos y mínimos del indicador para las empresas objeto de análisis.</w:t>
      </w:r>
    </w:p>
    <w:p w14:paraId="5E083DC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D36FAE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El objeto social principal de las compañías aseguradoras consiste en asumir riesgos que pueden generar pérdidas económicas y en contraprestación reciben de los asegurados el pago de una prima, razón por la cual, lo importante de este negocio se centra en las adecuadas y suficientes reservas que deben tener las compañías aseguradoras, dirigidas a garantizar el pago de los siniestros, lo cual se apalanca con el respaldo de los reaseguradores con que cuentan las compañías, además del exceso de patrimonio, aspecto que la Superintendencia Financiera vigila.</w:t>
      </w:r>
    </w:p>
    <w:p w14:paraId="414409D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A3A779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La Superintendencia Financiera de Colombia, es el ente que está facultado para vigilar a las aseguradoras y tomar decisiones frente a la capacidad de las mismas, que permitan garantizar el cumplimiento de sus obligaciones; por lo que su función tiene como objetivo velar por la operación segura de este mercado, que permita la tranquilidad de la ciudadanía en la entrega de la protección de sus riesgos asegurables a las compañías de seguros; y para tal efecto, la Superintendencia se basa en el análisis del indicador de patrimonio </w:t>
      </w:r>
      <w:r w:rsidRPr="00FB351A">
        <w:rPr>
          <w:rFonts w:ascii="Arial" w:eastAsia="Arial MT" w:hAnsi="Arial" w:cs="Arial"/>
          <w:sz w:val="20"/>
          <w:szCs w:val="20"/>
        </w:rPr>
        <w:lastRenderedPageBreak/>
        <w:t>técnico y patrimonio adecuado, cuyos resultados da a conocer al público para que con base en el mismo, puedan elegir las aseguradoras en sus procesos de contratación Estatal.</w:t>
      </w:r>
    </w:p>
    <w:p w14:paraId="600B9B33"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84DD33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Es importante resaltar, que las aseguradoras, se encuentran bajo el control y vigilancia de la Superintendencia Financiera y en cumplimiento de la regulación establecida, deben constituir y cumplir con el régimen de reservas técnicas mínimas para poder operar en Colombia. </w:t>
      </w:r>
    </w:p>
    <w:p w14:paraId="1CAC96B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241F752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En el sector asegurador es importante que las aseguradoras tengan buenas reservas, es decir, que sean solventes para garantizar el oportuno pago de siniestros en que pueden incurrir las empresas que tienen aseguradas, lo cual se reflejara de cara al proceso en un principio de transparencia y pluralidad de oferentes.</w:t>
      </w:r>
    </w:p>
    <w:p w14:paraId="65DE1E4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153B693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Se destaca sobre este particular, que tal como lo refiere </w:t>
      </w:r>
      <w:proofErr w:type="spellStart"/>
      <w:r w:rsidRPr="00FB351A">
        <w:rPr>
          <w:rFonts w:ascii="Arial" w:eastAsia="Arial MT" w:hAnsi="Arial" w:cs="Arial"/>
          <w:bCs/>
          <w:sz w:val="20"/>
          <w:szCs w:val="20"/>
        </w:rPr>
        <w:t>FASECOLDA</w:t>
      </w:r>
      <w:proofErr w:type="spellEnd"/>
      <w:r w:rsidRPr="00FB351A">
        <w:rPr>
          <w:rFonts w:ascii="Arial" w:eastAsia="Arial MT" w:hAnsi="Arial" w:cs="Arial"/>
          <w:bCs/>
          <w:sz w:val="20"/>
          <w:szCs w:val="20"/>
        </w:rPr>
        <w:t xml:space="preserve"> en su artículo de “El régimen de reservas técnicas en Colombia”, las reservas técnicas son los recursos que destina una compañía de seguros para respaldar las obligaciones que ha contraído con sus asegurados y este régimen de reservas técnicas es un conjunto de normas prudenciales establecidas como regulación establecida con el propósito de fijar directrices a seguir por las aseguradoras, para estimar adecuadamente dichas obligaciones. </w:t>
      </w:r>
    </w:p>
    <w:p w14:paraId="23407FB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7C71027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Las compañías de seguros deben identificar y cuantificar cuales son las obligaciones derivadas de los contratos de seguros que suscriben y deben asignar las partidas necesarias para garantizar el pago o reconocimiento futuro de esas obligaciones. Desde el punto de vista contable, las reservas técnicas representan el compromiso que mantiene la aseguradora hacia su masa de asegurados. </w:t>
      </w:r>
    </w:p>
    <w:p w14:paraId="1678B81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303C40E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A continuación, se presenta un breve resumen de los principales tipos de reservas: </w:t>
      </w:r>
    </w:p>
    <w:p w14:paraId="1293786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3E7EB2A7" w14:textId="77777777" w:rsidR="00FB351A" w:rsidRPr="00FB351A" w:rsidRDefault="00FB351A">
      <w:pPr>
        <w:numPr>
          <w:ilvl w:val="0"/>
          <w:numId w:val="40"/>
        </w:numPr>
        <w:tabs>
          <w:tab w:val="left" w:pos="318"/>
        </w:tabs>
        <w:overflowPunct w:val="0"/>
        <w:autoSpaceDE w:val="0"/>
        <w:autoSpaceDN w:val="0"/>
        <w:adjustRightInd w:val="0"/>
        <w:jc w:val="both"/>
        <w:textAlignment w:val="baseline"/>
        <w:rPr>
          <w:rFonts w:ascii="Arial" w:eastAsia="Arial MT" w:hAnsi="Arial" w:cs="Arial"/>
          <w:b/>
          <w:bCs/>
          <w:sz w:val="20"/>
          <w:szCs w:val="20"/>
        </w:rPr>
      </w:pPr>
      <w:r w:rsidRPr="00FB351A">
        <w:rPr>
          <w:rFonts w:ascii="Arial" w:eastAsia="Arial MT" w:hAnsi="Arial" w:cs="Arial"/>
          <w:b/>
          <w:bCs/>
          <w:sz w:val="20"/>
          <w:szCs w:val="20"/>
        </w:rPr>
        <w:t xml:space="preserve">Reservas de primas: </w:t>
      </w:r>
    </w:p>
    <w:p w14:paraId="1D98831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bCs/>
          <w:sz w:val="20"/>
          <w:szCs w:val="20"/>
        </w:rPr>
      </w:pPr>
    </w:p>
    <w:p w14:paraId="7EE9DBB3"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bCs/>
          <w:sz w:val="20"/>
          <w:szCs w:val="20"/>
        </w:rPr>
      </w:pPr>
      <w:r w:rsidRPr="00FB351A">
        <w:rPr>
          <w:rFonts w:ascii="Arial" w:eastAsia="Arial MT" w:hAnsi="Arial" w:cs="Arial"/>
          <w:bCs/>
          <w:sz w:val="20"/>
          <w:szCs w:val="20"/>
        </w:rPr>
        <w:t>Corresponden a la porción de la prima que, a la fecha de cálculo, no ha sido ganada por el asegurador. Dentro de este grupo de reservas, la más difundida es la Reserva de Prima no Devengada</w:t>
      </w:r>
    </w:p>
    <w:p w14:paraId="6C9E53C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11007C3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Esta reserva tiene como finalidad distribuir el ingreso de la compañía en función del periodo de tiempo en que estará́ expuesta al riesgo asegurado. </w:t>
      </w:r>
    </w:p>
    <w:p w14:paraId="5AAA271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4CAB7B4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De esta manera se ajusta el resultado de la aseguradora al asignar la utilidad al periodo en el que se ganó́ la prima, independientemente de cuando fue emitida. La prima ganada se determina tomando la cuantía de la prima emitida descontándole los saldos de la Reserva de Prima No Devengada de comienzo y fin de ejercicio. </w:t>
      </w:r>
    </w:p>
    <w:p w14:paraId="69A4E9F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Desde el punto de vista del cálculo, existen distintas metodologías para realizarlo, pero siempre buscan estimar la proporción de prima aun no ganada por el hecho de que el riesgo cubierto sigue corriendo. </w:t>
      </w:r>
    </w:p>
    <w:p w14:paraId="76AFC79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508A0F6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Conceptualmente se trata de un “compromiso técnico” y no de un pasivo con una contraparte definida, por lo que no es relevante en este caso si el asegurado tiene derecho a cancelar el contrato y reclamar la prima correspondiente. </w:t>
      </w:r>
    </w:p>
    <w:p w14:paraId="5B7CD66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5F390E6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En muchos productos es válido asumir que el riesgo, y, consecuentemente, la prima, se distribuyen uniformemente a lo largo del periodo de cobertura. </w:t>
      </w:r>
    </w:p>
    <w:p w14:paraId="2AEB0E2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168A4ACE" w14:textId="77777777" w:rsidR="00FB351A" w:rsidRPr="00FB351A" w:rsidRDefault="00FB351A">
      <w:pPr>
        <w:numPr>
          <w:ilvl w:val="0"/>
          <w:numId w:val="39"/>
        </w:numPr>
        <w:tabs>
          <w:tab w:val="left" w:pos="318"/>
        </w:tabs>
        <w:overflowPunct w:val="0"/>
        <w:autoSpaceDE w:val="0"/>
        <w:autoSpaceDN w:val="0"/>
        <w:adjustRightInd w:val="0"/>
        <w:jc w:val="both"/>
        <w:textAlignment w:val="baseline"/>
        <w:rPr>
          <w:rFonts w:ascii="Arial" w:eastAsia="Arial MT" w:hAnsi="Arial" w:cs="Arial"/>
          <w:b/>
          <w:bCs/>
          <w:sz w:val="20"/>
          <w:szCs w:val="20"/>
        </w:rPr>
      </w:pPr>
      <w:r w:rsidRPr="00FB351A">
        <w:rPr>
          <w:rFonts w:ascii="Arial" w:eastAsia="Arial MT" w:hAnsi="Arial" w:cs="Arial"/>
          <w:b/>
          <w:bCs/>
          <w:sz w:val="20"/>
          <w:szCs w:val="20"/>
        </w:rPr>
        <w:t>Reservas de siniestros:</w:t>
      </w:r>
    </w:p>
    <w:p w14:paraId="52647E8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bCs/>
          <w:sz w:val="20"/>
          <w:szCs w:val="20"/>
        </w:rPr>
      </w:pPr>
    </w:p>
    <w:p w14:paraId="7455E12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lastRenderedPageBreak/>
        <w:t xml:space="preserve">Las reservas de siniestros son un pasivo constituido para reflejar el costo estimado de siniestros que han ocurrido y no han sido pagados. Bajo este concepto se incluyen las Reservas de Siniestros Avisados y las Reservas de Siniestros no Avisados. </w:t>
      </w:r>
    </w:p>
    <w:p w14:paraId="1DAB30D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4B7C9CD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Desde el momento en que se conoce un siniestro y hasta que se efectúa su pago, la aseguradora va obteniendo información adicional que le permite mejorar su conocimiento y evaluación de la perdida. Este hecho, sumado a que la exigibilidad de la indemnización se perfecciona contra entrega de cierta documentación por parte del asegurado, ha determinado que, en algunos países, las reservas de siniestros pendientes se clasifiquen en siniestros avisados con información insuficiente, siniestros avisados en proceso de liquidación y siniestros liquidados pendientes de pago. En los tres casos es posible establecer una asignación directa entre el siniestro y la póliza a la que corresponde. </w:t>
      </w:r>
    </w:p>
    <w:p w14:paraId="0698BE1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2CC0583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 xml:space="preserve">Cuanto mayor sea el grado de información disponible (cantidad y más se aproximará la reserva al monto a pagar. </w:t>
      </w:r>
    </w:p>
    <w:p w14:paraId="6A05C94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p>
    <w:p w14:paraId="7B071CE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Cs/>
          <w:sz w:val="20"/>
          <w:szCs w:val="20"/>
        </w:rPr>
      </w:pPr>
      <w:r w:rsidRPr="00FB351A">
        <w:rPr>
          <w:rFonts w:ascii="Arial" w:eastAsia="Arial MT" w:hAnsi="Arial" w:cs="Arial"/>
          <w:bCs/>
          <w:sz w:val="20"/>
          <w:szCs w:val="20"/>
        </w:rPr>
        <w:t>Las Reservas de Siniestros Ocurridos no Avisados (</w:t>
      </w:r>
      <w:proofErr w:type="spellStart"/>
      <w:r w:rsidRPr="00FB351A">
        <w:rPr>
          <w:rFonts w:ascii="Arial" w:eastAsia="Arial MT" w:hAnsi="Arial" w:cs="Arial"/>
          <w:bCs/>
          <w:sz w:val="20"/>
          <w:szCs w:val="20"/>
        </w:rPr>
        <w:t>Incurred</w:t>
      </w:r>
      <w:proofErr w:type="spellEnd"/>
      <w:r w:rsidRPr="00FB351A">
        <w:rPr>
          <w:rFonts w:ascii="Arial" w:eastAsia="Arial MT" w:hAnsi="Arial" w:cs="Arial"/>
          <w:bCs/>
          <w:sz w:val="20"/>
          <w:szCs w:val="20"/>
        </w:rPr>
        <w:t xml:space="preserve"> But Not </w:t>
      </w:r>
      <w:proofErr w:type="spellStart"/>
      <w:r w:rsidRPr="00FB351A">
        <w:rPr>
          <w:rFonts w:ascii="Arial" w:eastAsia="Arial MT" w:hAnsi="Arial" w:cs="Arial"/>
          <w:bCs/>
          <w:sz w:val="20"/>
          <w:szCs w:val="20"/>
        </w:rPr>
        <w:t>Reported</w:t>
      </w:r>
      <w:proofErr w:type="spellEnd"/>
      <w:r w:rsidRPr="00FB351A">
        <w:rPr>
          <w:rFonts w:ascii="Arial" w:eastAsia="Arial MT" w:hAnsi="Arial" w:cs="Arial"/>
          <w:bCs/>
          <w:sz w:val="20"/>
          <w:szCs w:val="20"/>
        </w:rPr>
        <w:t xml:space="preserve">, </w:t>
      </w:r>
      <w:proofErr w:type="spellStart"/>
      <w:r w:rsidRPr="00FB351A">
        <w:rPr>
          <w:rFonts w:ascii="Arial" w:eastAsia="Arial MT" w:hAnsi="Arial" w:cs="Arial"/>
          <w:bCs/>
          <w:sz w:val="20"/>
          <w:szCs w:val="20"/>
        </w:rPr>
        <w:t>IBNR</w:t>
      </w:r>
      <w:proofErr w:type="spellEnd"/>
      <w:r w:rsidRPr="00FB351A">
        <w:rPr>
          <w:rFonts w:ascii="Arial" w:eastAsia="Arial MT" w:hAnsi="Arial" w:cs="Arial"/>
          <w:bCs/>
          <w:sz w:val="20"/>
          <w:szCs w:val="20"/>
        </w:rPr>
        <w:t xml:space="preserve">) procuran estimar los siniestros que a una fecha dada ya ocurrieron, pero no han sido informados a la aseguradora. Los registros contables deben tener en cuenta esta realidad, aun cuando el valor que se determine no pueda ser asignable en forma directa a un evento conocido. Para su estimación existen distintas metodologías. Basta agregar, por ahora, que el concepto de </w:t>
      </w:r>
      <w:proofErr w:type="spellStart"/>
      <w:r w:rsidRPr="00FB351A">
        <w:rPr>
          <w:rFonts w:ascii="Arial" w:eastAsia="Arial MT" w:hAnsi="Arial" w:cs="Arial"/>
          <w:bCs/>
          <w:sz w:val="20"/>
          <w:szCs w:val="20"/>
        </w:rPr>
        <w:t>IBNR</w:t>
      </w:r>
      <w:proofErr w:type="spellEnd"/>
      <w:r w:rsidRPr="00FB351A">
        <w:rPr>
          <w:rFonts w:ascii="Arial" w:eastAsia="Arial MT" w:hAnsi="Arial" w:cs="Arial"/>
          <w:bCs/>
          <w:sz w:val="20"/>
          <w:szCs w:val="20"/>
        </w:rPr>
        <w:t xml:space="preserve"> incluye muchas veces el de </w:t>
      </w:r>
      <w:proofErr w:type="spellStart"/>
      <w:r w:rsidRPr="00FB351A">
        <w:rPr>
          <w:rFonts w:ascii="Arial" w:eastAsia="Arial MT" w:hAnsi="Arial" w:cs="Arial"/>
          <w:bCs/>
          <w:sz w:val="20"/>
          <w:szCs w:val="20"/>
        </w:rPr>
        <w:t>IBNER</w:t>
      </w:r>
      <w:proofErr w:type="spellEnd"/>
      <w:r w:rsidRPr="00FB351A">
        <w:rPr>
          <w:rFonts w:ascii="Arial" w:eastAsia="Arial MT" w:hAnsi="Arial" w:cs="Arial"/>
          <w:bCs/>
          <w:sz w:val="20"/>
          <w:szCs w:val="20"/>
        </w:rPr>
        <w:t xml:space="preserve"> (</w:t>
      </w:r>
      <w:proofErr w:type="spellStart"/>
      <w:r w:rsidRPr="00FB351A">
        <w:rPr>
          <w:rFonts w:ascii="Arial" w:eastAsia="Arial MT" w:hAnsi="Arial" w:cs="Arial"/>
          <w:bCs/>
          <w:sz w:val="20"/>
          <w:szCs w:val="20"/>
        </w:rPr>
        <w:t>Incurred</w:t>
      </w:r>
      <w:proofErr w:type="spellEnd"/>
      <w:r w:rsidRPr="00FB351A">
        <w:rPr>
          <w:rFonts w:ascii="Arial" w:eastAsia="Arial MT" w:hAnsi="Arial" w:cs="Arial"/>
          <w:bCs/>
          <w:sz w:val="20"/>
          <w:szCs w:val="20"/>
        </w:rPr>
        <w:t xml:space="preserve"> But </w:t>
      </w:r>
      <w:proofErr w:type="spellStart"/>
      <w:r w:rsidRPr="00FB351A">
        <w:rPr>
          <w:rFonts w:ascii="Arial" w:eastAsia="Arial MT" w:hAnsi="Arial" w:cs="Arial"/>
          <w:bCs/>
          <w:sz w:val="20"/>
          <w:szCs w:val="20"/>
        </w:rPr>
        <w:t>not</w:t>
      </w:r>
      <w:proofErr w:type="spellEnd"/>
      <w:r w:rsidRPr="00FB351A">
        <w:rPr>
          <w:rFonts w:ascii="Arial" w:eastAsia="Arial MT" w:hAnsi="Arial" w:cs="Arial"/>
          <w:bCs/>
          <w:sz w:val="20"/>
          <w:szCs w:val="20"/>
        </w:rPr>
        <w:t xml:space="preserve"> </w:t>
      </w:r>
      <w:proofErr w:type="spellStart"/>
      <w:r w:rsidRPr="00FB351A">
        <w:rPr>
          <w:rFonts w:ascii="Arial" w:eastAsia="Arial MT" w:hAnsi="Arial" w:cs="Arial"/>
          <w:bCs/>
          <w:sz w:val="20"/>
          <w:szCs w:val="20"/>
        </w:rPr>
        <w:t>Enough</w:t>
      </w:r>
      <w:proofErr w:type="spellEnd"/>
      <w:r w:rsidRPr="00FB351A">
        <w:rPr>
          <w:rFonts w:ascii="Arial" w:eastAsia="Arial MT" w:hAnsi="Arial" w:cs="Arial"/>
          <w:bCs/>
          <w:sz w:val="20"/>
          <w:szCs w:val="20"/>
        </w:rPr>
        <w:t xml:space="preserve"> </w:t>
      </w:r>
      <w:proofErr w:type="spellStart"/>
      <w:r w:rsidRPr="00FB351A">
        <w:rPr>
          <w:rFonts w:ascii="Arial" w:eastAsia="Arial MT" w:hAnsi="Arial" w:cs="Arial"/>
          <w:bCs/>
          <w:sz w:val="20"/>
          <w:szCs w:val="20"/>
        </w:rPr>
        <w:t>Reported</w:t>
      </w:r>
      <w:proofErr w:type="spellEnd"/>
      <w:r w:rsidRPr="00FB351A">
        <w:rPr>
          <w:rFonts w:ascii="Arial" w:eastAsia="Arial MT" w:hAnsi="Arial" w:cs="Arial"/>
          <w:bCs/>
          <w:sz w:val="20"/>
          <w:szCs w:val="20"/>
        </w:rPr>
        <w:t>) y corresponde a siniestros conocidos a los que, por falta de información adecuada, se les ha estimado una reserva por montos incorrectos.</w:t>
      </w:r>
    </w:p>
    <w:p w14:paraId="5AEBC22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184008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Así entonces se considera por parte de la Entidad, que con el fin de promover la competencia en el presente proceso y con el fin de permitir la participación plural de compañías de seguros que comúnmente participan en procesos con Entidades Estatales, se hace necesario establecer los indicadores financieros y de organización acorde al sector asegurador así:</w:t>
      </w:r>
    </w:p>
    <w:p w14:paraId="6015E56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430EABDC" w14:textId="77777777" w:rsidR="00FB351A" w:rsidRPr="00FB351A" w:rsidRDefault="00FB351A" w:rsidP="00FB351A">
      <w:pPr>
        <w:numPr>
          <w:ilvl w:val="3"/>
          <w:numId w:val="1"/>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t>Indicadores Financieros</w:t>
      </w:r>
    </w:p>
    <w:p w14:paraId="24E3F20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7C9185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Si bien es cierto que el Decreto 1082 de 2015 establece tres tipos de indicadores financieros a saber: liquidez, endeudamiento y razón de cobertura de intereses, al realizar el correspondiente estudio del sector, frente a los indicadores financieros de las compañías de seguros, los mismos, por las características propias de estas compañías, deben solicitarse con unos márgenes muy diferentes a los que se solicitarían para cualquier otro tipo de compañías, atendiendo que esta es una actividad regulada por la Superintendencia Financiera de Colombia.</w:t>
      </w:r>
    </w:p>
    <w:p w14:paraId="58B6951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F839AD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Lo anterior, teniendo en cuenta las directrices dadas por Colombia Compra Eficiente, a través del Manual para Determinar y Verificar los Requisitos Habilitantes en los Procesos de Contratación, en el que dispone que  “La promoción de la competencia es uno de los objetivos del sistema de compras y contratación pública, por lo que la determinación de los requisitos habilitantes no puede ejercerse de forma arbitraria, caprichosa y, mucho menos, con el ánimo de direccionar el Proceso de Contratación o favorecer a alguno de los potenciales proponentes, así como tampoco puede ejercerse desconociendo límites legales, como, por ejemplo, el que estable el artículo 5, parágrafo 2, de la Ley 1150 de 2007, relacionado con la prohibición de exigir certificaciones de sistemas de gestión de calidad como requisito habilitante”</w:t>
      </w:r>
    </w:p>
    <w:p w14:paraId="26D8A02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F857EF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Es por ello por lo que los índices mínimos habilitantes que se proponen para los indicadores financieros no restringen la participación de eventuales proponentes con capacidad, promocionando la participación de más proponentes y el crecimiento de la industria nacional de bienes y servicios, al tiempo que se garantiza la </w:t>
      </w:r>
      <w:r w:rsidRPr="00FB351A">
        <w:rPr>
          <w:rFonts w:ascii="Arial" w:eastAsia="Arial MT" w:hAnsi="Arial" w:cs="Arial"/>
          <w:sz w:val="20"/>
          <w:szCs w:val="20"/>
        </w:rPr>
        <w:lastRenderedPageBreak/>
        <w:t>participación plural de oferentes, evitando descartar, por indicadores financieros, a eventuales proponentes que tengan idoneidad financiera y organizacional para ejecutar el objeto d la contratacion.</w:t>
      </w:r>
    </w:p>
    <w:p w14:paraId="1F63BDE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079961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De acuerdo con el Manual para determinar y verificar los requisitos habilitantes en los Procesos de Contratación de Colombia Compra Eficiente, como quiera que en este proceso de selección de compañías aseguradoras no existe una relación de dependencia fuerte entre cada indicador requerido y la ejecución del contrato, la Agencia de Desarrollo Rural - ADR tomo la precaución pertinente para no excluir posibles proponentes que aunque, para un indicador específico tengan un peor desempeño que el promedio de su sector, estén en capacidad de participar en el Proceso de Contratación y cumplir con el objeto del contrato. Para ello, la Entidad Estatal fijó límites más flexibles dados por el comportamiento del sector económico estudiando, por ejemplo, los valores máximos y mínimos del indicador para las empresas objeto de análisis.</w:t>
      </w:r>
    </w:p>
    <w:p w14:paraId="637FF99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F983FF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Así entonces se considera por parte de la Entidad, que con el fin de promover la competencia en el presente proceso y con el fin de permitir la participación plural de compañías de seguros que comúnmente participan en procesos con Entidades Estatales, se hace necesario establecer los indicadores financieros y de organización acorde al sector asegurador</w:t>
      </w:r>
    </w:p>
    <w:p w14:paraId="4EDB0CE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448B8EE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Ahora bien, tal como lo señala el Manual de Requisitos Habilitantes expedido por Colombia Compra Eficiente, se adelantó el análisis de conocimiento del sector y con base en el mismo, particularmente el relativo al objeto del Proceso de la Contratación de las aseguradoras que participan en los procesos de contratación estatal de seguros que se consideran son posibles oferentes. </w:t>
      </w:r>
    </w:p>
    <w:p w14:paraId="38F7081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7FE4D1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Por lo anterior, la Entidad, da cumplimiento a lo indicado en el Decreto 1082 de 2015 así:</w:t>
      </w:r>
    </w:p>
    <w:p w14:paraId="71DF88E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793C5FC" w14:textId="77777777" w:rsidR="00FB351A" w:rsidRPr="00FB351A" w:rsidRDefault="00FB351A">
      <w:pPr>
        <w:numPr>
          <w:ilvl w:val="0"/>
          <w:numId w:val="30"/>
        </w:num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Artículo 2.2.1.1.1.6.1 del Decreto 1082 de 2015 que a la letra señala que </w:t>
      </w:r>
      <w:r w:rsidRPr="00FB351A">
        <w:rPr>
          <w:rFonts w:ascii="Arial" w:eastAsia="Arial MT" w:hAnsi="Arial" w:cs="Arial"/>
          <w:i/>
          <w:iCs/>
          <w:sz w:val="20"/>
          <w:szCs w:val="20"/>
        </w:rPr>
        <w:t>“La Entidad Estatal debe hacer durante la etapa de planeación el análisis necesario para conocer el sector relativo al objeto del Proceso de Contratación desde la perspectiva legal, comercial, financiera, organizacional, técnica y de Análisis de Riesgo…”</w:t>
      </w:r>
      <w:r w:rsidRPr="00FB351A">
        <w:rPr>
          <w:rFonts w:ascii="Arial" w:eastAsia="Arial MT" w:hAnsi="Arial" w:cs="Arial"/>
          <w:sz w:val="20"/>
          <w:szCs w:val="20"/>
        </w:rPr>
        <w:t xml:space="preserve">. (Subrayado fuera de texto) </w:t>
      </w:r>
    </w:p>
    <w:p w14:paraId="6B1F13B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2440BAE" w14:textId="77777777" w:rsidR="00FB351A" w:rsidRPr="00FB351A" w:rsidRDefault="00FB351A">
      <w:pPr>
        <w:numPr>
          <w:ilvl w:val="0"/>
          <w:numId w:val="30"/>
        </w:num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Artículo 2.2.1.1.1.6.2 que a la letra señala que “</w:t>
      </w:r>
      <w:r w:rsidRPr="00FB351A">
        <w:rPr>
          <w:rFonts w:ascii="Arial" w:eastAsia="Arial MT" w:hAnsi="Arial" w:cs="Arial"/>
          <w:i/>
          <w:iCs/>
          <w:sz w:val="20"/>
          <w:szCs w:val="20"/>
        </w:rPr>
        <w:t xml:space="preserve">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w:t>
      </w:r>
      <w:r w:rsidRPr="00FB351A">
        <w:rPr>
          <w:rFonts w:ascii="Arial" w:eastAsia="Arial MT" w:hAnsi="Arial" w:cs="Arial"/>
          <w:b/>
          <w:bCs/>
          <w:i/>
          <w:iCs/>
          <w:sz w:val="20"/>
          <w:szCs w:val="20"/>
        </w:rPr>
        <w:t>el conocimiento de fondo de los posibles oferentes desde la perspectiva comercial</w:t>
      </w:r>
      <w:r w:rsidRPr="00FB351A">
        <w:rPr>
          <w:rFonts w:ascii="Arial" w:eastAsia="Arial MT" w:hAnsi="Arial" w:cs="Arial"/>
          <w:i/>
          <w:iCs/>
          <w:sz w:val="20"/>
          <w:szCs w:val="20"/>
        </w:rPr>
        <w:t xml:space="preserve">. La Entidad Estatal </w:t>
      </w:r>
      <w:r w:rsidRPr="00FB351A">
        <w:rPr>
          <w:rFonts w:ascii="Arial" w:eastAsia="Arial MT" w:hAnsi="Arial" w:cs="Arial"/>
          <w:b/>
          <w:bCs/>
          <w:i/>
          <w:iCs/>
          <w:sz w:val="20"/>
          <w:szCs w:val="20"/>
        </w:rPr>
        <w:t>no debe limitarse a la aplicación mecánica de fórmulas financieras para verificar los requisitos habilitantes</w:t>
      </w:r>
      <w:r w:rsidRPr="00FB351A">
        <w:rPr>
          <w:rFonts w:ascii="Arial" w:eastAsia="Arial MT" w:hAnsi="Arial" w:cs="Arial"/>
          <w:i/>
          <w:iCs/>
          <w:sz w:val="20"/>
          <w:szCs w:val="20"/>
        </w:rPr>
        <w:t xml:space="preserve">.” </w:t>
      </w:r>
      <w:r w:rsidRPr="00FB351A">
        <w:rPr>
          <w:rFonts w:ascii="Arial" w:eastAsia="Arial MT" w:hAnsi="Arial" w:cs="Arial"/>
          <w:sz w:val="20"/>
          <w:szCs w:val="20"/>
        </w:rPr>
        <w:t>(Subrayado y negrilla fuera de texto)”</w:t>
      </w:r>
    </w:p>
    <w:p w14:paraId="2780CEA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385B31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A su vez, se procede a tener en cuenta las directrices dadas por Colombia Compra Eficiente, a través del Manual para Determinar y Verificar los Requisitos Habilitantes en los Procesos de Contratación, así: </w:t>
      </w:r>
    </w:p>
    <w:p w14:paraId="0B3456F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iCs/>
          <w:sz w:val="20"/>
          <w:szCs w:val="20"/>
        </w:rPr>
      </w:pPr>
    </w:p>
    <w:p w14:paraId="71F8305E" w14:textId="77777777" w:rsidR="00FB351A" w:rsidRPr="00FB351A" w:rsidRDefault="00FB351A">
      <w:pPr>
        <w:numPr>
          <w:ilvl w:val="0"/>
          <w:numId w:val="30"/>
        </w:numPr>
        <w:tabs>
          <w:tab w:val="left" w:pos="318"/>
        </w:tabs>
        <w:overflowPunct w:val="0"/>
        <w:autoSpaceDE w:val="0"/>
        <w:autoSpaceDN w:val="0"/>
        <w:adjustRightInd w:val="0"/>
        <w:jc w:val="both"/>
        <w:textAlignment w:val="baseline"/>
        <w:rPr>
          <w:rFonts w:ascii="Arial" w:eastAsia="Arial MT" w:hAnsi="Arial" w:cs="Arial"/>
          <w:i/>
          <w:iCs/>
          <w:sz w:val="20"/>
          <w:szCs w:val="20"/>
        </w:rPr>
      </w:pPr>
      <w:r w:rsidRPr="00FB351A">
        <w:rPr>
          <w:rFonts w:ascii="Arial" w:eastAsia="Arial MT" w:hAnsi="Arial" w:cs="Arial"/>
          <w:i/>
          <w:iCs/>
          <w:sz w:val="20"/>
          <w:szCs w:val="20"/>
        </w:rPr>
        <w:t>“La promoción de la competencia es uno de los objetivos del sistema de compras y contratación pública, por lo cual es muy importante tener en cuenta que los requisitos habilitantes no son ni pueden ser una forma de restringir la participación en los Procesos de Contratación. El sistema de compras y contratación pública debe promover la participación de más proponentes y el crecimiento de la industria nacional de bienes y servicios y por eso los requisitos habilitantes deben ser adecuados y proporcionales.”</w:t>
      </w:r>
      <w:r w:rsidRPr="00FB351A">
        <w:rPr>
          <w:rFonts w:ascii="Arial" w:eastAsia="Arial MT" w:hAnsi="Arial" w:cs="Arial"/>
          <w:i/>
          <w:iCs/>
          <w:sz w:val="20"/>
          <w:szCs w:val="20"/>
          <w:vertAlign w:val="superscript"/>
        </w:rPr>
        <w:footnoteReference w:customMarkFollows="1" w:id="11"/>
        <w:t>[1]</w:t>
      </w:r>
    </w:p>
    <w:p w14:paraId="596477A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E4F95C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lastRenderedPageBreak/>
        <w:t>Así entonces se considera por parte de la Entidad, que con el fin de promover la competencia en el presente proceso y con el fin de permitir la participación plural de compañías de seguros que comúnmente participan en procesos con Entidades Estatales, se hace necesario establecer los indicadores financieros y de organización acorde al sector asegurador, realizando el análisis con los indicadores vigentes y en firme en el RUP con corte al 31/12/2025.</w:t>
      </w:r>
    </w:p>
    <w:p w14:paraId="4E3248D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A212DA7" w14:textId="77777777" w:rsidR="00FB351A" w:rsidRPr="00FB351A" w:rsidRDefault="00FB351A">
      <w:pPr>
        <w:numPr>
          <w:ilvl w:val="1"/>
          <w:numId w:val="31"/>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t>Indicador de Liquidez</w:t>
      </w:r>
    </w:p>
    <w:p w14:paraId="65E15FC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224DFF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El indicador de liquidez determina la capacidad del proponente para hacer frente a sus deudas a corto plazo, comprometiendo sus activos corrientes. Por cada peso ($) de deuda corriente, cuánto se tiene de respaldo en activo corriente, entre más alto sea, menor riesgo existe que resulten impagadas las deudas a corto plazo. De igual manera, el índice de liquidez demuestra la capacidad de la compañía para adquirir nuevos compromisos y emprender nuevos proyectos sin necesitad de endeudamiento adicional. </w:t>
      </w:r>
    </w:p>
    <w:p w14:paraId="2BB0CBD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887D68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La fórmula para su cálculo es la siguiente: Activo corriente/Pasivo corriente.</w:t>
      </w:r>
    </w:p>
    <w:p w14:paraId="4E3E15C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ED6E64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El Margen de las Compañías de Seguros, que habitualmente participan en procesos de contratación son los siguientes:</w:t>
      </w:r>
    </w:p>
    <w:p w14:paraId="554D5AA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tbl>
      <w:tblPr>
        <w:tblW w:w="5000" w:type="pct"/>
        <w:tblCellMar>
          <w:left w:w="70" w:type="dxa"/>
          <w:right w:w="70" w:type="dxa"/>
        </w:tblCellMar>
        <w:tblLook w:val="04A0" w:firstRow="1" w:lastRow="0" w:firstColumn="1" w:lastColumn="0" w:noHBand="0" w:noVBand="1"/>
      </w:tblPr>
      <w:tblGrid>
        <w:gridCol w:w="7929"/>
        <w:gridCol w:w="1700"/>
      </w:tblGrid>
      <w:tr w:rsidR="00FB351A" w:rsidRPr="00FB351A" w14:paraId="77C98BAE" w14:textId="77777777" w:rsidTr="00F17BFD">
        <w:trPr>
          <w:trHeight w:val="57"/>
        </w:trPr>
        <w:tc>
          <w:tcPr>
            <w:tcW w:w="4117" w:type="pct"/>
            <w:tcBorders>
              <w:top w:val="single" w:sz="4" w:space="0" w:color="auto"/>
              <w:left w:val="single" w:sz="4" w:space="0" w:color="auto"/>
              <w:bottom w:val="single" w:sz="4" w:space="0" w:color="auto"/>
              <w:right w:val="single" w:sz="4" w:space="0" w:color="auto"/>
            </w:tcBorders>
            <w:shd w:val="clear" w:color="000000" w:fill="D9E2F3"/>
            <w:vAlign w:val="center"/>
            <w:hideMark/>
          </w:tcPr>
          <w:p w14:paraId="139CAF16"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ÍNDICE DE LIQUIDEZ</w:t>
            </w:r>
          </w:p>
        </w:tc>
        <w:tc>
          <w:tcPr>
            <w:tcW w:w="883" w:type="pct"/>
            <w:tcBorders>
              <w:top w:val="single" w:sz="4" w:space="0" w:color="auto"/>
              <w:left w:val="nil"/>
              <w:bottom w:val="single" w:sz="4" w:space="0" w:color="auto"/>
              <w:right w:val="single" w:sz="4" w:space="0" w:color="auto"/>
            </w:tcBorders>
            <w:shd w:val="clear" w:color="000000" w:fill="D9E2F3"/>
            <w:vAlign w:val="center"/>
            <w:hideMark/>
          </w:tcPr>
          <w:p w14:paraId="7CF5ABB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
        </w:tc>
      </w:tr>
      <w:tr w:rsidR="00FB351A" w:rsidRPr="00FB351A" w14:paraId="65C3F7C7"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D9E2F3"/>
            <w:vAlign w:val="center"/>
            <w:hideMark/>
          </w:tcPr>
          <w:p w14:paraId="0A008A5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 AÑO</w:t>
            </w:r>
          </w:p>
        </w:tc>
        <w:tc>
          <w:tcPr>
            <w:tcW w:w="883" w:type="pct"/>
            <w:tcBorders>
              <w:top w:val="nil"/>
              <w:left w:val="nil"/>
              <w:bottom w:val="single" w:sz="4" w:space="0" w:color="auto"/>
              <w:right w:val="single" w:sz="4" w:space="0" w:color="auto"/>
            </w:tcBorders>
            <w:shd w:val="clear" w:color="000000" w:fill="D9E2F3"/>
            <w:vAlign w:val="center"/>
            <w:hideMark/>
          </w:tcPr>
          <w:p w14:paraId="51C74C3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2025</w:t>
            </w:r>
          </w:p>
        </w:tc>
      </w:tr>
      <w:tr w:rsidR="00FB351A" w:rsidRPr="00FB351A" w14:paraId="74F1F69C"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2A057BA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SOLIDARIA DE COLOMBIA EC</w:t>
            </w:r>
          </w:p>
        </w:tc>
        <w:tc>
          <w:tcPr>
            <w:tcW w:w="883" w:type="pct"/>
            <w:tcBorders>
              <w:top w:val="nil"/>
              <w:left w:val="nil"/>
              <w:bottom w:val="single" w:sz="4" w:space="0" w:color="auto"/>
              <w:right w:val="single" w:sz="4" w:space="0" w:color="auto"/>
            </w:tcBorders>
            <w:shd w:val="clear" w:color="000000" w:fill="F2F2F2"/>
            <w:noWrap/>
            <w:vAlign w:val="center"/>
            <w:hideMark/>
          </w:tcPr>
          <w:p w14:paraId="2F65F19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2.07</w:t>
            </w:r>
          </w:p>
        </w:tc>
      </w:tr>
      <w:tr w:rsidR="00FB351A" w:rsidRPr="00FB351A" w14:paraId="74AEC396"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018EA6D4" w14:textId="15BBDE37" w:rsidR="00FB351A" w:rsidRPr="00FB351A" w:rsidRDefault="00F17BFD"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w:t>
            </w:r>
            <w:r w:rsidR="00FB351A" w:rsidRPr="00FB351A">
              <w:rPr>
                <w:rFonts w:ascii="Arial" w:eastAsia="Arial MT" w:hAnsi="Arial" w:cs="Arial"/>
                <w:sz w:val="20"/>
                <w:szCs w:val="20"/>
              </w:rPr>
              <w:t xml:space="preserve"> ASEGURADORA DE FIANZAS S. A</w:t>
            </w:r>
          </w:p>
        </w:tc>
        <w:tc>
          <w:tcPr>
            <w:tcW w:w="883" w:type="pct"/>
            <w:tcBorders>
              <w:top w:val="nil"/>
              <w:left w:val="nil"/>
              <w:bottom w:val="single" w:sz="4" w:space="0" w:color="auto"/>
              <w:right w:val="single" w:sz="4" w:space="0" w:color="auto"/>
            </w:tcBorders>
            <w:shd w:val="clear" w:color="000000" w:fill="F2F2F2"/>
            <w:noWrap/>
            <w:vAlign w:val="center"/>
            <w:hideMark/>
          </w:tcPr>
          <w:p w14:paraId="58A2B2B6"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5.74</w:t>
            </w:r>
          </w:p>
        </w:tc>
      </w:tr>
      <w:tr w:rsidR="00FB351A" w:rsidRPr="00FB351A" w14:paraId="6C11FD3C"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6F924421"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COLMENA SEGUROS DE VIDA SA</w:t>
            </w:r>
          </w:p>
        </w:tc>
        <w:tc>
          <w:tcPr>
            <w:tcW w:w="883" w:type="pct"/>
            <w:tcBorders>
              <w:top w:val="nil"/>
              <w:left w:val="nil"/>
              <w:bottom w:val="single" w:sz="4" w:space="0" w:color="auto"/>
              <w:right w:val="single" w:sz="4" w:space="0" w:color="auto"/>
            </w:tcBorders>
            <w:shd w:val="clear" w:color="000000" w:fill="F2F2F2"/>
            <w:noWrap/>
            <w:vAlign w:val="center"/>
            <w:hideMark/>
          </w:tcPr>
          <w:p w14:paraId="594CA2E4"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1.38</w:t>
            </w:r>
          </w:p>
        </w:tc>
      </w:tr>
      <w:tr w:rsidR="00FB351A" w:rsidRPr="00FB351A" w14:paraId="3512BF69"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092CE30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lang w:val="pt-PT"/>
              </w:rPr>
            </w:pPr>
            <w:r w:rsidRPr="00FB351A">
              <w:rPr>
                <w:rFonts w:ascii="Arial" w:eastAsia="Arial MT" w:hAnsi="Arial" w:cs="Arial"/>
                <w:sz w:val="20"/>
                <w:szCs w:val="20"/>
                <w:lang w:val="pt-PT"/>
              </w:rPr>
              <w:t>AXA COLPATRIA SEGUROS S.A.</w:t>
            </w:r>
          </w:p>
        </w:tc>
        <w:tc>
          <w:tcPr>
            <w:tcW w:w="883" w:type="pct"/>
            <w:tcBorders>
              <w:top w:val="nil"/>
              <w:left w:val="nil"/>
              <w:bottom w:val="single" w:sz="4" w:space="0" w:color="auto"/>
              <w:right w:val="single" w:sz="4" w:space="0" w:color="auto"/>
            </w:tcBorders>
            <w:shd w:val="clear" w:color="000000" w:fill="F2F2F2"/>
            <w:noWrap/>
            <w:vAlign w:val="center"/>
            <w:hideMark/>
          </w:tcPr>
          <w:p w14:paraId="1A0E63AE"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1.35</w:t>
            </w:r>
          </w:p>
        </w:tc>
      </w:tr>
      <w:tr w:rsidR="00FB351A" w:rsidRPr="00FB351A" w14:paraId="67A7A4B3"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2B45F7A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CHUBB DE COLOMBIA S.A.</w:t>
            </w:r>
          </w:p>
        </w:tc>
        <w:tc>
          <w:tcPr>
            <w:tcW w:w="883" w:type="pct"/>
            <w:tcBorders>
              <w:top w:val="nil"/>
              <w:left w:val="nil"/>
              <w:bottom w:val="single" w:sz="4" w:space="0" w:color="auto"/>
              <w:right w:val="single" w:sz="4" w:space="0" w:color="auto"/>
            </w:tcBorders>
            <w:shd w:val="clear" w:color="000000" w:fill="F2F2F2"/>
            <w:noWrap/>
            <w:vAlign w:val="center"/>
            <w:hideMark/>
          </w:tcPr>
          <w:p w14:paraId="3639EF8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1.05</w:t>
            </w:r>
          </w:p>
        </w:tc>
      </w:tr>
      <w:tr w:rsidR="00FB351A" w:rsidRPr="00FB351A" w14:paraId="7013D1FC"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256654E0"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MUNDIAL DE SEGUROS S.A.</w:t>
            </w:r>
          </w:p>
        </w:tc>
        <w:tc>
          <w:tcPr>
            <w:tcW w:w="883" w:type="pct"/>
            <w:tcBorders>
              <w:top w:val="nil"/>
              <w:left w:val="nil"/>
              <w:bottom w:val="single" w:sz="4" w:space="0" w:color="auto"/>
              <w:right w:val="single" w:sz="4" w:space="0" w:color="auto"/>
            </w:tcBorders>
            <w:shd w:val="clear" w:color="000000" w:fill="F2F2F2"/>
            <w:noWrap/>
            <w:vAlign w:val="center"/>
            <w:hideMark/>
          </w:tcPr>
          <w:p w14:paraId="61D2D3C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2.98</w:t>
            </w:r>
          </w:p>
        </w:tc>
      </w:tr>
      <w:tr w:rsidR="00FB351A" w:rsidRPr="00FB351A" w14:paraId="0C37B26C"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436B961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HDI</w:t>
            </w:r>
            <w:proofErr w:type="spellEnd"/>
            <w:r w:rsidRPr="00FB351A">
              <w:rPr>
                <w:rFonts w:ascii="Arial" w:eastAsia="Arial MT" w:hAnsi="Arial" w:cs="Arial"/>
                <w:sz w:val="20"/>
                <w:szCs w:val="20"/>
              </w:rPr>
              <w:t xml:space="preserve"> SEGUROS COLOMBIA S.A.</w:t>
            </w:r>
          </w:p>
        </w:tc>
        <w:tc>
          <w:tcPr>
            <w:tcW w:w="883" w:type="pct"/>
            <w:tcBorders>
              <w:top w:val="nil"/>
              <w:left w:val="nil"/>
              <w:bottom w:val="single" w:sz="4" w:space="0" w:color="auto"/>
              <w:right w:val="single" w:sz="4" w:space="0" w:color="auto"/>
            </w:tcBorders>
            <w:shd w:val="clear" w:color="000000" w:fill="F2F2F2"/>
            <w:noWrap/>
            <w:vAlign w:val="center"/>
            <w:hideMark/>
          </w:tcPr>
          <w:p w14:paraId="1169358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5.24</w:t>
            </w:r>
          </w:p>
        </w:tc>
      </w:tr>
      <w:tr w:rsidR="00FB351A" w:rsidRPr="00FB351A" w14:paraId="18C7636F"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4FC4910E"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SBS</w:t>
            </w:r>
            <w:proofErr w:type="spellEnd"/>
            <w:r w:rsidRPr="00FB351A">
              <w:rPr>
                <w:rFonts w:ascii="Arial" w:eastAsia="Arial MT" w:hAnsi="Arial" w:cs="Arial"/>
                <w:sz w:val="20"/>
                <w:szCs w:val="20"/>
              </w:rPr>
              <w:t xml:space="preserve"> SEGUROS COLOMBIA SA</w:t>
            </w:r>
          </w:p>
        </w:tc>
        <w:tc>
          <w:tcPr>
            <w:tcW w:w="883" w:type="pct"/>
            <w:tcBorders>
              <w:top w:val="nil"/>
              <w:left w:val="nil"/>
              <w:bottom w:val="single" w:sz="4" w:space="0" w:color="auto"/>
              <w:right w:val="single" w:sz="4" w:space="0" w:color="auto"/>
            </w:tcBorders>
            <w:shd w:val="clear" w:color="000000" w:fill="F2F2F2"/>
            <w:noWrap/>
            <w:vAlign w:val="center"/>
            <w:hideMark/>
          </w:tcPr>
          <w:p w14:paraId="42FDAC4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4.04</w:t>
            </w:r>
          </w:p>
        </w:tc>
      </w:tr>
      <w:tr w:rsidR="00FB351A" w:rsidRPr="00FB351A" w14:paraId="4E870A12"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343E56E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LA PREVISORA S.A. COMPAÑÍA DE SEGUROS</w:t>
            </w:r>
          </w:p>
        </w:tc>
        <w:tc>
          <w:tcPr>
            <w:tcW w:w="883" w:type="pct"/>
            <w:tcBorders>
              <w:top w:val="nil"/>
              <w:left w:val="nil"/>
              <w:bottom w:val="single" w:sz="4" w:space="0" w:color="auto"/>
              <w:right w:val="single" w:sz="4" w:space="0" w:color="auto"/>
            </w:tcBorders>
            <w:shd w:val="clear" w:color="000000" w:fill="F2F2F2"/>
            <w:noWrap/>
            <w:vAlign w:val="center"/>
            <w:hideMark/>
          </w:tcPr>
          <w:p w14:paraId="569934A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2.82</w:t>
            </w:r>
          </w:p>
        </w:tc>
      </w:tr>
      <w:tr w:rsidR="00FB351A" w:rsidRPr="00FB351A" w14:paraId="69B2E328"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2D9A2EF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MAPFRE SEGUROS GENERALES DE COLOMBIA S.A.</w:t>
            </w:r>
          </w:p>
        </w:tc>
        <w:tc>
          <w:tcPr>
            <w:tcW w:w="883" w:type="pct"/>
            <w:tcBorders>
              <w:top w:val="nil"/>
              <w:left w:val="nil"/>
              <w:bottom w:val="single" w:sz="4" w:space="0" w:color="auto"/>
              <w:right w:val="single" w:sz="4" w:space="0" w:color="auto"/>
            </w:tcBorders>
            <w:shd w:val="clear" w:color="000000" w:fill="F2F2F2"/>
            <w:noWrap/>
            <w:vAlign w:val="center"/>
            <w:hideMark/>
          </w:tcPr>
          <w:p w14:paraId="0F090FE1"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1.08</w:t>
            </w:r>
          </w:p>
        </w:tc>
      </w:tr>
      <w:tr w:rsidR="00FB351A" w:rsidRPr="00FB351A" w14:paraId="3948380F"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0EC16D1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DEL ESTADO S.A.</w:t>
            </w:r>
          </w:p>
        </w:tc>
        <w:tc>
          <w:tcPr>
            <w:tcW w:w="883" w:type="pct"/>
            <w:tcBorders>
              <w:top w:val="nil"/>
              <w:left w:val="nil"/>
              <w:bottom w:val="single" w:sz="4" w:space="0" w:color="auto"/>
              <w:right w:val="single" w:sz="4" w:space="0" w:color="auto"/>
            </w:tcBorders>
            <w:shd w:val="clear" w:color="000000" w:fill="F2F2F2"/>
            <w:noWrap/>
            <w:vAlign w:val="center"/>
            <w:hideMark/>
          </w:tcPr>
          <w:p w14:paraId="2D83EDD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2.74</w:t>
            </w:r>
          </w:p>
        </w:tc>
      </w:tr>
      <w:tr w:rsidR="00FB351A" w:rsidRPr="00FB351A" w14:paraId="54C3F5CF"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229B60F5"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DEL ESTADO SA</w:t>
            </w:r>
          </w:p>
        </w:tc>
        <w:tc>
          <w:tcPr>
            <w:tcW w:w="883" w:type="pct"/>
            <w:tcBorders>
              <w:top w:val="nil"/>
              <w:left w:val="nil"/>
              <w:bottom w:val="single" w:sz="4" w:space="0" w:color="auto"/>
              <w:right w:val="single" w:sz="4" w:space="0" w:color="auto"/>
            </w:tcBorders>
            <w:shd w:val="clear" w:color="000000" w:fill="F2F2F2"/>
            <w:noWrap/>
            <w:vAlign w:val="center"/>
            <w:hideMark/>
          </w:tcPr>
          <w:p w14:paraId="3DE351C0"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6.09</w:t>
            </w:r>
          </w:p>
        </w:tc>
      </w:tr>
      <w:tr w:rsidR="00FB351A" w:rsidRPr="00FB351A" w14:paraId="31AD34FC"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7CB9F5D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POSITIVA SA COMPAÑÍA DE SEGUROS</w:t>
            </w:r>
          </w:p>
        </w:tc>
        <w:tc>
          <w:tcPr>
            <w:tcW w:w="883" w:type="pct"/>
            <w:tcBorders>
              <w:top w:val="nil"/>
              <w:left w:val="nil"/>
              <w:bottom w:val="single" w:sz="4" w:space="0" w:color="auto"/>
              <w:right w:val="single" w:sz="4" w:space="0" w:color="auto"/>
            </w:tcBorders>
            <w:shd w:val="clear" w:color="000000" w:fill="F2F2F2"/>
            <w:noWrap/>
            <w:vAlign w:val="center"/>
            <w:hideMark/>
          </w:tcPr>
          <w:p w14:paraId="05192BA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4.89</w:t>
            </w:r>
          </w:p>
        </w:tc>
      </w:tr>
      <w:tr w:rsidR="00FB351A" w:rsidRPr="00FB351A" w14:paraId="764E143D"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5CD676A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GENERALES SURAMERICANA S, A,</w:t>
            </w:r>
          </w:p>
        </w:tc>
        <w:tc>
          <w:tcPr>
            <w:tcW w:w="883" w:type="pct"/>
            <w:tcBorders>
              <w:top w:val="nil"/>
              <w:left w:val="nil"/>
              <w:bottom w:val="single" w:sz="4" w:space="0" w:color="auto"/>
              <w:right w:val="single" w:sz="4" w:space="0" w:color="auto"/>
            </w:tcBorders>
            <w:shd w:val="clear" w:color="000000" w:fill="F2F2F2"/>
            <w:noWrap/>
            <w:vAlign w:val="center"/>
            <w:hideMark/>
          </w:tcPr>
          <w:p w14:paraId="2A93772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1.29</w:t>
            </w:r>
          </w:p>
        </w:tc>
      </w:tr>
      <w:tr w:rsidR="00FB351A" w:rsidRPr="00FB351A" w14:paraId="7A23F1E7"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2C6B4D8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ALLIANZ SEGUROS GENERALES</w:t>
            </w:r>
          </w:p>
        </w:tc>
        <w:tc>
          <w:tcPr>
            <w:tcW w:w="883" w:type="pct"/>
            <w:tcBorders>
              <w:top w:val="nil"/>
              <w:left w:val="nil"/>
              <w:bottom w:val="single" w:sz="4" w:space="0" w:color="auto"/>
              <w:right w:val="single" w:sz="4" w:space="0" w:color="auto"/>
            </w:tcBorders>
            <w:shd w:val="clear" w:color="000000" w:fill="F2F2F2"/>
            <w:noWrap/>
            <w:vAlign w:val="center"/>
            <w:hideMark/>
          </w:tcPr>
          <w:p w14:paraId="2B8A77D5"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1.22</w:t>
            </w:r>
          </w:p>
        </w:tc>
      </w:tr>
      <w:tr w:rsidR="00FB351A" w:rsidRPr="00FB351A" w14:paraId="314805D6"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50042EB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AURORA</w:t>
            </w:r>
          </w:p>
        </w:tc>
        <w:tc>
          <w:tcPr>
            <w:tcW w:w="883" w:type="pct"/>
            <w:tcBorders>
              <w:top w:val="nil"/>
              <w:left w:val="nil"/>
              <w:bottom w:val="single" w:sz="4" w:space="0" w:color="auto"/>
              <w:right w:val="single" w:sz="4" w:space="0" w:color="auto"/>
            </w:tcBorders>
            <w:shd w:val="clear" w:color="000000" w:fill="F2F2F2"/>
            <w:noWrap/>
            <w:vAlign w:val="center"/>
            <w:hideMark/>
          </w:tcPr>
          <w:p w14:paraId="4B810FC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1.29</w:t>
            </w:r>
          </w:p>
        </w:tc>
      </w:tr>
      <w:tr w:rsidR="00FB351A" w:rsidRPr="00FB351A" w14:paraId="48C20795"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F2F2F2"/>
            <w:noWrap/>
            <w:vAlign w:val="center"/>
            <w:hideMark/>
          </w:tcPr>
          <w:p w14:paraId="3314BED5"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ZURICH COLOMBIA SEGUROS SA</w:t>
            </w:r>
          </w:p>
        </w:tc>
        <w:tc>
          <w:tcPr>
            <w:tcW w:w="883" w:type="pct"/>
            <w:tcBorders>
              <w:top w:val="nil"/>
              <w:left w:val="nil"/>
              <w:bottom w:val="single" w:sz="4" w:space="0" w:color="auto"/>
              <w:right w:val="single" w:sz="4" w:space="0" w:color="auto"/>
            </w:tcBorders>
            <w:shd w:val="clear" w:color="000000" w:fill="F2F2F2"/>
            <w:noWrap/>
            <w:vAlign w:val="center"/>
            <w:hideMark/>
          </w:tcPr>
          <w:p w14:paraId="3DE9ADE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2.4</w:t>
            </w:r>
          </w:p>
        </w:tc>
      </w:tr>
      <w:tr w:rsidR="00FB351A" w:rsidRPr="00FB351A" w14:paraId="604DCE23"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E2EFDA"/>
            <w:noWrap/>
            <w:vAlign w:val="center"/>
            <w:hideMark/>
          </w:tcPr>
          <w:p w14:paraId="56A9B89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PROMEDIO</w:t>
            </w:r>
          </w:p>
        </w:tc>
        <w:tc>
          <w:tcPr>
            <w:tcW w:w="883" w:type="pct"/>
            <w:tcBorders>
              <w:top w:val="nil"/>
              <w:left w:val="nil"/>
              <w:bottom w:val="single" w:sz="4" w:space="0" w:color="auto"/>
              <w:right w:val="single" w:sz="4" w:space="0" w:color="auto"/>
            </w:tcBorders>
            <w:shd w:val="clear" w:color="000000" w:fill="E2EFDA"/>
            <w:noWrap/>
            <w:vAlign w:val="center"/>
            <w:hideMark/>
          </w:tcPr>
          <w:p w14:paraId="481B746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2.80</w:t>
            </w:r>
          </w:p>
        </w:tc>
      </w:tr>
      <w:tr w:rsidR="00FB351A" w:rsidRPr="00FB351A" w14:paraId="02E30412"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E2EFDA"/>
            <w:noWrap/>
            <w:vAlign w:val="center"/>
            <w:hideMark/>
          </w:tcPr>
          <w:p w14:paraId="23EA076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MEDIANA</w:t>
            </w:r>
          </w:p>
        </w:tc>
        <w:tc>
          <w:tcPr>
            <w:tcW w:w="883" w:type="pct"/>
            <w:tcBorders>
              <w:top w:val="nil"/>
              <w:left w:val="nil"/>
              <w:bottom w:val="single" w:sz="4" w:space="0" w:color="auto"/>
              <w:right w:val="single" w:sz="4" w:space="0" w:color="auto"/>
            </w:tcBorders>
            <w:shd w:val="clear" w:color="000000" w:fill="E2EFDA"/>
            <w:noWrap/>
            <w:vAlign w:val="center"/>
            <w:hideMark/>
          </w:tcPr>
          <w:p w14:paraId="642BE45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2.40</w:t>
            </w:r>
          </w:p>
        </w:tc>
      </w:tr>
      <w:tr w:rsidR="00FB351A" w:rsidRPr="00FB351A" w14:paraId="7F40F267"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E2EFDA"/>
            <w:noWrap/>
            <w:vAlign w:val="center"/>
            <w:hideMark/>
          </w:tcPr>
          <w:p w14:paraId="5A1FD7B1"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DESVIACIÓN ESTÁNDAR</w:t>
            </w:r>
          </w:p>
        </w:tc>
        <w:tc>
          <w:tcPr>
            <w:tcW w:w="883" w:type="pct"/>
            <w:tcBorders>
              <w:top w:val="nil"/>
              <w:left w:val="nil"/>
              <w:bottom w:val="single" w:sz="4" w:space="0" w:color="auto"/>
              <w:right w:val="single" w:sz="4" w:space="0" w:color="auto"/>
            </w:tcBorders>
            <w:shd w:val="clear" w:color="000000" w:fill="E2EFDA"/>
            <w:noWrap/>
            <w:vAlign w:val="center"/>
            <w:hideMark/>
          </w:tcPr>
          <w:p w14:paraId="12A28124"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1.75</w:t>
            </w:r>
          </w:p>
        </w:tc>
      </w:tr>
      <w:tr w:rsidR="00FB351A" w:rsidRPr="00FB351A" w14:paraId="13CDCEEF" w14:textId="77777777" w:rsidTr="00F17BFD">
        <w:trPr>
          <w:trHeight w:val="57"/>
        </w:trPr>
        <w:tc>
          <w:tcPr>
            <w:tcW w:w="4117" w:type="pct"/>
            <w:tcBorders>
              <w:top w:val="nil"/>
              <w:left w:val="single" w:sz="4" w:space="0" w:color="auto"/>
              <w:bottom w:val="single" w:sz="4" w:space="0" w:color="auto"/>
              <w:right w:val="single" w:sz="4" w:space="0" w:color="auto"/>
            </w:tcBorders>
            <w:shd w:val="clear" w:color="000000" w:fill="E2EFDA"/>
            <w:noWrap/>
            <w:vAlign w:val="center"/>
            <w:hideMark/>
          </w:tcPr>
          <w:p w14:paraId="79A05FB0"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 ACOTADA</w:t>
            </w:r>
          </w:p>
        </w:tc>
        <w:tc>
          <w:tcPr>
            <w:tcW w:w="883" w:type="pct"/>
            <w:tcBorders>
              <w:top w:val="nil"/>
              <w:left w:val="nil"/>
              <w:bottom w:val="single" w:sz="4" w:space="0" w:color="auto"/>
              <w:right w:val="single" w:sz="4" w:space="0" w:color="auto"/>
            </w:tcBorders>
            <w:shd w:val="clear" w:color="000000" w:fill="E2EFDA"/>
            <w:noWrap/>
            <w:vAlign w:val="center"/>
            <w:hideMark/>
          </w:tcPr>
          <w:p w14:paraId="1883CFF6"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2.70</w:t>
            </w:r>
          </w:p>
        </w:tc>
      </w:tr>
    </w:tbl>
    <w:p w14:paraId="5988740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r w:rsidRPr="00FB351A">
        <w:rPr>
          <w:rFonts w:ascii="Arial" w:eastAsia="Arial MT" w:hAnsi="Arial" w:cs="Arial"/>
          <w:sz w:val="20"/>
          <w:szCs w:val="20"/>
          <w:lang w:val="es-ES"/>
        </w:rPr>
        <w:t xml:space="preserve">Cuadro Índice de liquidez compañías de seguros que participan en procesos de selección. Corte financiero 31 de diciembre de 2025. Elaborada por el intermediario de seguros de la entidad </w:t>
      </w:r>
    </w:p>
    <w:p w14:paraId="62D7014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D592CD3"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Al tomar como referencia los indicadores de liquidez de una muestra de aseguradoras que normalmente presentar términos a procesos de contratación estatal de seguros, se advierte que al tomar el promedio (2.80) o la mediana (2.40) o desviación estándar (1.75) o la media acotada (2.70), el resultado del indicador puede </w:t>
      </w:r>
      <w:r w:rsidRPr="00FB351A">
        <w:rPr>
          <w:rFonts w:ascii="Arial" w:eastAsia="Arial MT" w:hAnsi="Arial" w:cs="Arial"/>
          <w:sz w:val="20"/>
          <w:szCs w:val="20"/>
        </w:rPr>
        <w:lastRenderedPageBreak/>
        <w:t xml:space="preserve">descartar de tajo, posibles proveedores con capacidad financiera idónea para ejecutar en términos idóneos el contrato de seguros por suscribir, como por ejemplo  AXA COLPATRIA SEGUROS S.A.,  CHUBB  DE COLOMBIA S.A., MAPFRE SEGUROS GENERALES DE COLOMBIA S.A., SEGUROS GENERALES SURAMERICANA </w:t>
      </w:r>
      <w:proofErr w:type="spellStart"/>
      <w:r w:rsidRPr="00FB351A">
        <w:rPr>
          <w:rFonts w:ascii="Arial" w:eastAsia="Arial MT" w:hAnsi="Arial" w:cs="Arial"/>
          <w:sz w:val="20"/>
          <w:szCs w:val="20"/>
        </w:rPr>
        <w:t>S,A</w:t>
      </w:r>
      <w:proofErr w:type="spellEnd"/>
      <w:r w:rsidRPr="00FB351A">
        <w:rPr>
          <w:rFonts w:ascii="Arial" w:eastAsia="Arial MT" w:hAnsi="Arial" w:cs="Arial"/>
          <w:sz w:val="20"/>
          <w:szCs w:val="20"/>
        </w:rPr>
        <w:t>, ALLIANZ SEGUROS GENERALES.</w:t>
      </w:r>
    </w:p>
    <w:p w14:paraId="11199CA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E9B923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Es de anotar que el sector esta supervigilado y se deben cumplir con normas especiales de carácter financiero, incluidas en el </w:t>
      </w:r>
      <w:proofErr w:type="spellStart"/>
      <w:r w:rsidRPr="00FB351A">
        <w:rPr>
          <w:rFonts w:ascii="Arial" w:eastAsia="Arial MT" w:hAnsi="Arial" w:cs="Arial"/>
          <w:sz w:val="20"/>
          <w:szCs w:val="20"/>
        </w:rPr>
        <w:t>EOSF</w:t>
      </w:r>
      <w:proofErr w:type="spellEnd"/>
      <w:r w:rsidRPr="00FB351A">
        <w:rPr>
          <w:rFonts w:ascii="Arial" w:eastAsia="Arial MT" w:hAnsi="Arial" w:cs="Arial"/>
          <w:sz w:val="20"/>
          <w:szCs w:val="20"/>
        </w:rPr>
        <w:t xml:space="preserve"> y en la Circular básica Jurídica de la Superintendencia Financiera de Colombia.</w:t>
      </w:r>
    </w:p>
    <w:p w14:paraId="51449F1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09748A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En ese orden de ideas, para establecer objetivamente el indicador financiero apropiado como habilitante para el proceso de selección, se acoge el valor mínimo de la muestra.  No se establece el indicador a través de técnicas estadísticas sugeridos por la GUÍA DE ELABORACIÓN DE ESTUDIOS DE SECTOR – GEES como el Promedio o media aritmética o la Mediana o Cuartiles, o Media Podada o Desviación estándar, toda vez que su aplicación conlleva a descalificar o descartar posibles proveedores cuya capacidad financiera es óptima para la ejecución del objeto contractual (seguros).</w:t>
      </w:r>
    </w:p>
    <w:p w14:paraId="56CA598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BDA42E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Para la Entidad es significativo que los oferentes tengan un índice de liquidez mayor o igual 1.05 ya que constituye una muestra de buena gestión financiera de una empresa para hacer frente, con su disponibilidad de liquidez, a sus obligaciones en el corto plazo y, por ende, acreditar su solvencia. </w:t>
      </w:r>
    </w:p>
    <w:p w14:paraId="6F445E3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CE06CA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Para establecer objetivamente el indicador, se acoge el valor mínimo. No se establecen indicadores por promedio o mediana, toda vez que su aplicación conlleva a descalificar posibles participantes.</w:t>
      </w:r>
    </w:p>
    <w:p w14:paraId="38B6284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F34EAB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Se determina un indicador de liquidez igual o mayor a uno, coma, cero cinco (1.05) para garantizar el principio de igualdad, la libre concurrencia, transparencia y selección objetiva.</w:t>
      </w:r>
    </w:p>
    <w:p w14:paraId="6C1C3E2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28A0ED4" w14:textId="77777777" w:rsidR="00FB351A" w:rsidRPr="00FB351A" w:rsidRDefault="00FB351A">
      <w:pPr>
        <w:numPr>
          <w:ilvl w:val="1"/>
          <w:numId w:val="31"/>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t>Indicador de Nivel de Endeudamiento</w:t>
      </w:r>
    </w:p>
    <w:p w14:paraId="5567A3C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bCs/>
          <w:sz w:val="20"/>
          <w:szCs w:val="20"/>
        </w:rPr>
      </w:pPr>
    </w:p>
    <w:p w14:paraId="0402A4B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El indicador de endeudamiento refleja el grado de apalancamiento que corresponde a la participación de los acreedores en los activos de la empresa. </w:t>
      </w:r>
    </w:p>
    <w:p w14:paraId="7475ECC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8C43A22" w14:textId="77777777" w:rsidR="00DF3E84" w:rsidRPr="00FB351A" w:rsidRDefault="00DF3E84" w:rsidP="00DF3E84">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Se realizó la evaluación de los indicadores de nivel de endeudamiento que muestra el mercado asegurador y de éste se puede deducir que los mismos arrojan un alto porcentaje.</w:t>
      </w:r>
    </w:p>
    <w:p w14:paraId="3D63425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 </w:t>
      </w:r>
    </w:p>
    <w:p w14:paraId="23F5A129" w14:textId="5803F399"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Se pudo evidenciar que este indicador se encuentra en los rangos de 0.42 hasta 0.9</w:t>
      </w:r>
      <w:r w:rsidR="00DF3E84">
        <w:rPr>
          <w:rFonts w:ascii="Arial" w:eastAsia="Arial MT" w:hAnsi="Arial" w:cs="Arial"/>
          <w:sz w:val="20"/>
          <w:szCs w:val="20"/>
        </w:rPr>
        <w:t>1</w:t>
      </w:r>
      <w:r w:rsidRPr="00FB351A">
        <w:rPr>
          <w:rFonts w:ascii="Arial" w:eastAsia="Arial MT" w:hAnsi="Arial" w:cs="Arial"/>
          <w:sz w:val="20"/>
          <w:szCs w:val="20"/>
        </w:rPr>
        <w:t xml:space="preserve"> esto producto de la aplicación de las reservas técnicas</w:t>
      </w:r>
      <w:r w:rsidRPr="00FB351A">
        <w:rPr>
          <w:rFonts w:ascii="Arial" w:eastAsia="Arial MT" w:hAnsi="Arial" w:cs="Arial"/>
          <w:sz w:val="20"/>
          <w:szCs w:val="20"/>
          <w:vertAlign w:val="superscript"/>
        </w:rPr>
        <w:footnoteReference w:id="12"/>
      </w:r>
      <w:r w:rsidRPr="00FB351A">
        <w:rPr>
          <w:rFonts w:ascii="Arial" w:eastAsia="Arial MT" w:hAnsi="Arial" w:cs="Arial"/>
          <w:sz w:val="20"/>
          <w:szCs w:val="20"/>
        </w:rPr>
        <w:t xml:space="preserve"> que deben constituir por disposición legal y las cuales son aplicables contablemente como pasivo. Las reservas más (Reservas de primas no devengadas, reservas de siniestros</w:t>
      </w:r>
    </w:p>
    <w:p w14:paraId="21345E4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111FFC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Es importante resaltar, que las aseguradoras, se encuentran bajo el control y vigilancia de la Superintendencia Financiera y en cumplimiento de la regulación establecida en el Artículo 186 del Estatuto Orgánico del Sistema Financiero, modificado por el Artículo 43 de la Ley 795 de 2003, establece: </w:t>
      </w:r>
    </w:p>
    <w:p w14:paraId="5A8EF07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p>
    <w:p w14:paraId="38AB669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r w:rsidRPr="00FB351A">
        <w:rPr>
          <w:rFonts w:ascii="Arial" w:eastAsia="Arial MT" w:hAnsi="Arial" w:cs="Arial"/>
          <w:i/>
          <w:sz w:val="20"/>
          <w:szCs w:val="20"/>
        </w:rPr>
        <w:t xml:space="preserve">"Artículo 186. Régimen de reservas técnicas e inversiones. Las entidades aseguradoras y las que administren el Sistema General de Riesgos Profesionales, cualquiera que sea su naturaleza, deberán constituir, entre </w:t>
      </w:r>
      <w:r w:rsidRPr="00FB351A">
        <w:rPr>
          <w:rFonts w:ascii="Arial" w:eastAsia="Arial MT" w:hAnsi="Arial" w:cs="Arial"/>
          <w:i/>
          <w:sz w:val="20"/>
          <w:szCs w:val="20"/>
        </w:rPr>
        <w:lastRenderedPageBreak/>
        <w:t>otras, las siguientes reservas técnicas, de acuerdo con las normas de carácter general que para el efecto expida el Gobierno Nacional:</w:t>
      </w:r>
    </w:p>
    <w:p w14:paraId="228B572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p>
    <w:p w14:paraId="569BDBD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r w:rsidRPr="00FB351A">
        <w:rPr>
          <w:rFonts w:ascii="Arial" w:eastAsia="Arial MT" w:hAnsi="Arial" w:cs="Arial"/>
          <w:i/>
          <w:sz w:val="20"/>
          <w:szCs w:val="20"/>
        </w:rPr>
        <w:t>a) Reserva de riesgos en curso;</w:t>
      </w:r>
    </w:p>
    <w:p w14:paraId="344CE0E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r w:rsidRPr="00FB351A">
        <w:rPr>
          <w:rFonts w:ascii="Arial" w:eastAsia="Arial MT" w:hAnsi="Arial" w:cs="Arial"/>
          <w:i/>
          <w:sz w:val="20"/>
          <w:szCs w:val="20"/>
        </w:rPr>
        <w:t>b) Reserva matemática;</w:t>
      </w:r>
    </w:p>
    <w:p w14:paraId="045CE10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r w:rsidRPr="00FB351A">
        <w:rPr>
          <w:rFonts w:ascii="Arial" w:eastAsia="Arial MT" w:hAnsi="Arial" w:cs="Arial"/>
          <w:i/>
          <w:sz w:val="20"/>
          <w:szCs w:val="20"/>
        </w:rPr>
        <w:t>c) Reserva para siniestros pendientes, y</w:t>
      </w:r>
    </w:p>
    <w:p w14:paraId="7A326F1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r w:rsidRPr="00FB351A">
        <w:rPr>
          <w:rFonts w:ascii="Arial" w:eastAsia="Arial MT" w:hAnsi="Arial" w:cs="Arial"/>
          <w:i/>
          <w:sz w:val="20"/>
          <w:szCs w:val="20"/>
        </w:rPr>
        <w:t>d) Reserva de desviación de siniestralidad.</w:t>
      </w:r>
    </w:p>
    <w:p w14:paraId="7BDD78A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p>
    <w:p w14:paraId="7A69DB9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sz w:val="20"/>
          <w:szCs w:val="20"/>
        </w:rPr>
      </w:pPr>
      <w:r w:rsidRPr="00FB351A">
        <w:rPr>
          <w:rFonts w:ascii="Arial" w:eastAsia="Arial MT" w:hAnsi="Arial" w:cs="Arial"/>
          <w:i/>
          <w:sz w:val="20"/>
          <w:szCs w:val="20"/>
        </w:rPr>
        <w:t>El Gobierno Nacional señalará las reservas técnicas adicionales a las señaladas que se requieran para la explotación de los ramos. Así mismo, dictará las normas que determinen los aspectos técnicos pertinentes, para garantizar que los diferentes tipos de seguros que se expidan dentro del Sistema de Seguridad Social cumplan con los principios que los rigen."</w:t>
      </w:r>
    </w:p>
    <w:p w14:paraId="4A1AB3C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D6FDDD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El Margen de las Compañías de Seguros, que habitualmente participan en procesos de contratación son los siguientes:</w:t>
      </w:r>
    </w:p>
    <w:p w14:paraId="479E674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tbl>
      <w:tblPr>
        <w:tblW w:w="5000" w:type="pct"/>
        <w:tblCellMar>
          <w:left w:w="70" w:type="dxa"/>
          <w:right w:w="70" w:type="dxa"/>
        </w:tblCellMar>
        <w:tblLook w:val="04A0" w:firstRow="1" w:lastRow="0" w:firstColumn="1" w:lastColumn="0" w:noHBand="0" w:noVBand="1"/>
      </w:tblPr>
      <w:tblGrid>
        <w:gridCol w:w="8007"/>
        <w:gridCol w:w="1622"/>
      </w:tblGrid>
      <w:tr w:rsidR="00FB351A" w:rsidRPr="00FB351A" w14:paraId="60F7C3C8" w14:textId="77777777" w:rsidTr="00F17BFD">
        <w:trPr>
          <w:trHeight w:val="20"/>
        </w:trPr>
        <w:tc>
          <w:tcPr>
            <w:tcW w:w="4158" w:type="pct"/>
            <w:tcBorders>
              <w:top w:val="single" w:sz="4" w:space="0" w:color="auto"/>
              <w:left w:val="single" w:sz="4" w:space="0" w:color="auto"/>
              <w:bottom w:val="single" w:sz="4" w:space="0" w:color="auto"/>
              <w:right w:val="single" w:sz="4" w:space="0" w:color="auto"/>
            </w:tcBorders>
            <w:shd w:val="clear" w:color="000000" w:fill="D9E2F3"/>
            <w:vAlign w:val="center"/>
            <w:hideMark/>
          </w:tcPr>
          <w:p w14:paraId="22EE1240"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NIVEL DE ENDEUDAMIENTO</w:t>
            </w:r>
          </w:p>
        </w:tc>
        <w:tc>
          <w:tcPr>
            <w:tcW w:w="842" w:type="pct"/>
            <w:tcBorders>
              <w:top w:val="single" w:sz="4" w:space="0" w:color="auto"/>
              <w:left w:val="nil"/>
              <w:bottom w:val="single" w:sz="4" w:space="0" w:color="auto"/>
              <w:right w:val="single" w:sz="4" w:space="0" w:color="auto"/>
            </w:tcBorders>
            <w:shd w:val="clear" w:color="000000" w:fill="D9E2F3"/>
            <w:vAlign w:val="center"/>
            <w:hideMark/>
          </w:tcPr>
          <w:p w14:paraId="223EDED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
        </w:tc>
      </w:tr>
      <w:tr w:rsidR="00FB351A" w:rsidRPr="00FB351A" w14:paraId="4048635D"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vAlign w:val="center"/>
            <w:hideMark/>
          </w:tcPr>
          <w:p w14:paraId="1C1EBC2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 AÑO</w:t>
            </w:r>
          </w:p>
        </w:tc>
        <w:tc>
          <w:tcPr>
            <w:tcW w:w="842" w:type="pct"/>
            <w:tcBorders>
              <w:top w:val="nil"/>
              <w:left w:val="nil"/>
              <w:bottom w:val="single" w:sz="4" w:space="0" w:color="auto"/>
              <w:right w:val="single" w:sz="4" w:space="0" w:color="auto"/>
            </w:tcBorders>
            <w:shd w:val="clear" w:color="000000" w:fill="F2F2F2"/>
            <w:vAlign w:val="center"/>
            <w:hideMark/>
          </w:tcPr>
          <w:p w14:paraId="6224FE9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2025</w:t>
            </w:r>
          </w:p>
        </w:tc>
      </w:tr>
      <w:tr w:rsidR="00FB351A" w:rsidRPr="00FB351A" w14:paraId="49013748"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3418C59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SOLIDARIA DE COLOMBIA EC</w:t>
            </w:r>
          </w:p>
        </w:tc>
        <w:tc>
          <w:tcPr>
            <w:tcW w:w="842" w:type="pct"/>
            <w:tcBorders>
              <w:top w:val="nil"/>
              <w:left w:val="nil"/>
              <w:bottom w:val="single" w:sz="4" w:space="0" w:color="auto"/>
              <w:right w:val="single" w:sz="4" w:space="0" w:color="auto"/>
            </w:tcBorders>
            <w:shd w:val="clear" w:color="000000" w:fill="F2F2F2"/>
            <w:noWrap/>
            <w:vAlign w:val="center"/>
            <w:hideMark/>
          </w:tcPr>
          <w:p w14:paraId="3560434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0.71</w:t>
            </w:r>
          </w:p>
        </w:tc>
      </w:tr>
      <w:tr w:rsidR="00FB351A" w:rsidRPr="00FB351A" w14:paraId="7CD908F4"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4EB2AC1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ASEGURADORA DE FIANZAS S. A</w:t>
            </w:r>
          </w:p>
        </w:tc>
        <w:tc>
          <w:tcPr>
            <w:tcW w:w="842" w:type="pct"/>
            <w:tcBorders>
              <w:top w:val="nil"/>
              <w:left w:val="nil"/>
              <w:bottom w:val="single" w:sz="4" w:space="0" w:color="auto"/>
              <w:right w:val="single" w:sz="4" w:space="0" w:color="auto"/>
            </w:tcBorders>
            <w:shd w:val="clear" w:color="000000" w:fill="F2F2F2"/>
            <w:noWrap/>
            <w:vAlign w:val="center"/>
            <w:hideMark/>
          </w:tcPr>
          <w:p w14:paraId="378177A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0.85</w:t>
            </w:r>
          </w:p>
        </w:tc>
      </w:tr>
      <w:tr w:rsidR="00FB351A" w:rsidRPr="00FB351A" w14:paraId="33B90794"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2D396211"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COLMENA SEGUROS DE VIDA SA</w:t>
            </w:r>
          </w:p>
        </w:tc>
        <w:tc>
          <w:tcPr>
            <w:tcW w:w="842" w:type="pct"/>
            <w:tcBorders>
              <w:top w:val="nil"/>
              <w:left w:val="nil"/>
              <w:bottom w:val="single" w:sz="4" w:space="0" w:color="auto"/>
              <w:right w:val="single" w:sz="4" w:space="0" w:color="auto"/>
            </w:tcBorders>
            <w:shd w:val="clear" w:color="000000" w:fill="F2F2F2"/>
            <w:noWrap/>
            <w:vAlign w:val="center"/>
            <w:hideMark/>
          </w:tcPr>
          <w:p w14:paraId="0D73EF8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0.56</w:t>
            </w:r>
          </w:p>
        </w:tc>
      </w:tr>
      <w:tr w:rsidR="00FB351A" w:rsidRPr="00FB351A" w14:paraId="7850D8C8"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5C648411"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lang w:val="pt-PT"/>
              </w:rPr>
            </w:pPr>
            <w:r w:rsidRPr="00FB351A">
              <w:rPr>
                <w:rFonts w:ascii="Arial" w:eastAsia="Arial MT" w:hAnsi="Arial" w:cs="Arial"/>
                <w:sz w:val="20"/>
                <w:szCs w:val="20"/>
                <w:lang w:val="pt-PT"/>
              </w:rPr>
              <w:t>AXA COLPATRIA SEGUROS S.A.</w:t>
            </w:r>
          </w:p>
        </w:tc>
        <w:tc>
          <w:tcPr>
            <w:tcW w:w="842" w:type="pct"/>
            <w:tcBorders>
              <w:top w:val="nil"/>
              <w:left w:val="nil"/>
              <w:bottom w:val="single" w:sz="4" w:space="0" w:color="auto"/>
              <w:right w:val="single" w:sz="4" w:space="0" w:color="auto"/>
            </w:tcBorders>
            <w:shd w:val="clear" w:color="000000" w:fill="F2F2F2"/>
            <w:noWrap/>
            <w:vAlign w:val="center"/>
            <w:hideMark/>
          </w:tcPr>
          <w:p w14:paraId="172B6F1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0.86</w:t>
            </w:r>
          </w:p>
        </w:tc>
      </w:tr>
      <w:tr w:rsidR="00FB351A" w:rsidRPr="00FB351A" w14:paraId="65028E64"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5099694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CHUBB DE COLOMBIA S.A.</w:t>
            </w:r>
          </w:p>
        </w:tc>
        <w:tc>
          <w:tcPr>
            <w:tcW w:w="842" w:type="pct"/>
            <w:tcBorders>
              <w:top w:val="nil"/>
              <w:left w:val="nil"/>
              <w:bottom w:val="single" w:sz="4" w:space="0" w:color="auto"/>
              <w:right w:val="single" w:sz="4" w:space="0" w:color="auto"/>
            </w:tcBorders>
            <w:shd w:val="clear" w:color="000000" w:fill="F2F2F2"/>
            <w:noWrap/>
            <w:vAlign w:val="center"/>
            <w:hideMark/>
          </w:tcPr>
          <w:p w14:paraId="286926C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0.83</w:t>
            </w:r>
          </w:p>
        </w:tc>
      </w:tr>
      <w:tr w:rsidR="00FB351A" w:rsidRPr="00FB351A" w14:paraId="38BC49DD"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2E1D7F3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MUNDIAL DE SEGUROS S.A.</w:t>
            </w:r>
          </w:p>
        </w:tc>
        <w:tc>
          <w:tcPr>
            <w:tcW w:w="842" w:type="pct"/>
            <w:tcBorders>
              <w:top w:val="nil"/>
              <w:left w:val="nil"/>
              <w:bottom w:val="single" w:sz="4" w:space="0" w:color="auto"/>
              <w:right w:val="single" w:sz="4" w:space="0" w:color="auto"/>
            </w:tcBorders>
            <w:shd w:val="clear" w:color="000000" w:fill="F2F2F2"/>
            <w:noWrap/>
            <w:vAlign w:val="center"/>
            <w:hideMark/>
          </w:tcPr>
          <w:p w14:paraId="3CA59E7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0.91</w:t>
            </w:r>
          </w:p>
        </w:tc>
      </w:tr>
      <w:tr w:rsidR="00FB351A" w:rsidRPr="00FB351A" w14:paraId="6FB90F0C"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2A6A83F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HDI</w:t>
            </w:r>
            <w:proofErr w:type="spellEnd"/>
            <w:r w:rsidRPr="00FB351A">
              <w:rPr>
                <w:rFonts w:ascii="Arial" w:eastAsia="Arial MT" w:hAnsi="Arial" w:cs="Arial"/>
                <w:sz w:val="20"/>
                <w:szCs w:val="20"/>
              </w:rPr>
              <w:t xml:space="preserve"> SEGUROS COLOMBIA S.A.</w:t>
            </w:r>
          </w:p>
        </w:tc>
        <w:tc>
          <w:tcPr>
            <w:tcW w:w="842" w:type="pct"/>
            <w:tcBorders>
              <w:top w:val="nil"/>
              <w:left w:val="nil"/>
              <w:bottom w:val="single" w:sz="4" w:space="0" w:color="auto"/>
              <w:right w:val="single" w:sz="4" w:space="0" w:color="auto"/>
            </w:tcBorders>
            <w:shd w:val="clear" w:color="000000" w:fill="F2F2F2"/>
            <w:noWrap/>
            <w:vAlign w:val="center"/>
            <w:hideMark/>
          </w:tcPr>
          <w:p w14:paraId="53549A8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w:t>
            </w:r>
          </w:p>
        </w:tc>
      </w:tr>
      <w:tr w:rsidR="00FB351A" w:rsidRPr="00FB351A" w14:paraId="3DF1F3FD"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29832FAE"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SBS</w:t>
            </w:r>
            <w:proofErr w:type="spellEnd"/>
            <w:r w:rsidRPr="00FB351A">
              <w:rPr>
                <w:rFonts w:ascii="Arial" w:eastAsia="Arial MT" w:hAnsi="Arial" w:cs="Arial"/>
                <w:sz w:val="20"/>
                <w:szCs w:val="20"/>
              </w:rPr>
              <w:t xml:space="preserve"> SEGUROS COLOMBIA SA</w:t>
            </w:r>
          </w:p>
        </w:tc>
        <w:tc>
          <w:tcPr>
            <w:tcW w:w="842" w:type="pct"/>
            <w:tcBorders>
              <w:top w:val="nil"/>
              <w:left w:val="nil"/>
              <w:bottom w:val="single" w:sz="4" w:space="0" w:color="auto"/>
              <w:right w:val="single" w:sz="4" w:space="0" w:color="auto"/>
            </w:tcBorders>
            <w:shd w:val="clear" w:color="000000" w:fill="F2F2F2"/>
            <w:noWrap/>
            <w:vAlign w:val="center"/>
            <w:hideMark/>
          </w:tcPr>
          <w:p w14:paraId="28C8E47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0.83</w:t>
            </w:r>
          </w:p>
        </w:tc>
      </w:tr>
      <w:tr w:rsidR="00FB351A" w:rsidRPr="00FB351A" w14:paraId="045CFC86"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0629F85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LA PREVISORA S.A. COMPAÑÍA DE SEGUROS</w:t>
            </w:r>
          </w:p>
        </w:tc>
        <w:tc>
          <w:tcPr>
            <w:tcW w:w="842" w:type="pct"/>
            <w:tcBorders>
              <w:top w:val="nil"/>
              <w:left w:val="nil"/>
              <w:bottom w:val="single" w:sz="4" w:space="0" w:color="auto"/>
              <w:right w:val="single" w:sz="4" w:space="0" w:color="auto"/>
            </w:tcBorders>
            <w:shd w:val="clear" w:color="000000" w:fill="F2F2F2"/>
            <w:noWrap/>
            <w:vAlign w:val="center"/>
            <w:hideMark/>
          </w:tcPr>
          <w:p w14:paraId="1328193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0.83</w:t>
            </w:r>
          </w:p>
        </w:tc>
      </w:tr>
      <w:tr w:rsidR="00FB351A" w:rsidRPr="00FB351A" w14:paraId="6E689DD8"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7E505F7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MAPFRE SEGUROS GENERALES DE COLOMBIA S.A.</w:t>
            </w:r>
          </w:p>
        </w:tc>
        <w:tc>
          <w:tcPr>
            <w:tcW w:w="842" w:type="pct"/>
            <w:tcBorders>
              <w:top w:val="nil"/>
              <w:left w:val="nil"/>
              <w:bottom w:val="single" w:sz="4" w:space="0" w:color="auto"/>
              <w:right w:val="single" w:sz="4" w:space="0" w:color="auto"/>
            </w:tcBorders>
            <w:shd w:val="clear" w:color="000000" w:fill="F2F2F2"/>
            <w:noWrap/>
            <w:vAlign w:val="center"/>
            <w:hideMark/>
          </w:tcPr>
          <w:p w14:paraId="6C6B60A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0.82</w:t>
            </w:r>
          </w:p>
        </w:tc>
      </w:tr>
      <w:tr w:rsidR="00FB351A" w:rsidRPr="00FB351A" w14:paraId="4C9E4EDF"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3E7C4EF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DEL ESTADO S.A.</w:t>
            </w:r>
          </w:p>
        </w:tc>
        <w:tc>
          <w:tcPr>
            <w:tcW w:w="842" w:type="pct"/>
            <w:tcBorders>
              <w:top w:val="nil"/>
              <w:left w:val="nil"/>
              <w:bottom w:val="single" w:sz="4" w:space="0" w:color="auto"/>
              <w:right w:val="single" w:sz="4" w:space="0" w:color="auto"/>
            </w:tcBorders>
            <w:shd w:val="clear" w:color="000000" w:fill="F2F2F2"/>
            <w:noWrap/>
            <w:vAlign w:val="center"/>
            <w:hideMark/>
          </w:tcPr>
          <w:p w14:paraId="41ED6DE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0.84</w:t>
            </w:r>
          </w:p>
        </w:tc>
      </w:tr>
      <w:tr w:rsidR="00FB351A" w:rsidRPr="00FB351A" w14:paraId="6860D7A1"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7044A8E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DEL ESTADO SA</w:t>
            </w:r>
          </w:p>
        </w:tc>
        <w:tc>
          <w:tcPr>
            <w:tcW w:w="842" w:type="pct"/>
            <w:tcBorders>
              <w:top w:val="nil"/>
              <w:left w:val="nil"/>
              <w:bottom w:val="single" w:sz="4" w:space="0" w:color="auto"/>
              <w:right w:val="single" w:sz="4" w:space="0" w:color="auto"/>
            </w:tcBorders>
            <w:shd w:val="clear" w:color="000000" w:fill="F2F2F2"/>
            <w:noWrap/>
            <w:vAlign w:val="center"/>
            <w:hideMark/>
          </w:tcPr>
          <w:p w14:paraId="1511D68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0.75</w:t>
            </w:r>
          </w:p>
        </w:tc>
      </w:tr>
      <w:tr w:rsidR="00FB351A" w:rsidRPr="00FB351A" w14:paraId="7A752BA3"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663D37B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POSITIVA SA COMPAÑÍA DE SEGUROS</w:t>
            </w:r>
          </w:p>
        </w:tc>
        <w:tc>
          <w:tcPr>
            <w:tcW w:w="842" w:type="pct"/>
            <w:tcBorders>
              <w:top w:val="nil"/>
              <w:left w:val="nil"/>
              <w:bottom w:val="single" w:sz="4" w:space="0" w:color="auto"/>
              <w:right w:val="single" w:sz="4" w:space="0" w:color="auto"/>
            </w:tcBorders>
            <w:shd w:val="clear" w:color="000000" w:fill="F2F2F2"/>
            <w:noWrap/>
            <w:vAlign w:val="center"/>
            <w:hideMark/>
          </w:tcPr>
          <w:p w14:paraId="558F6DD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0.87</w:t>
            </w:r>
          </w:p>
        </w:tc>
      </w:tr>
      <w:tr w:rsidR="00FB351A" w:rsidRPr="00FB351A" w14:paraId="020739C7"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7C18134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GENERALES SURAMERICANA S, A,</w:t>
            </w:r>
          </w:p>
        </w:tc>
        <w:tc>
          <w:tcPr>
            <w:tcW w:w="842" w:type="pct"/>
            <w:tcBorders>
              <w:top w:val="nil"/>
              <w:left w:val="nil"/>
              <w:bottom w:val="single" w:sz="4" w:space="0" w:color="auto"/>
              <w:right w:val="single" w:sz="4" w:space="0" w:color="auto"/>
            </w:tcBorders>
            <w:shd w:val="clear" w:color="000000" w:fill="F2F2F2"/>
            <w:noWrap/>
            <w:vAlign w:val="center"/>
            <w:hideMark/>
          </w:tcPr>
          <w:p w14:paraId="42A9AAB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0.81</w:t>
            </w:r>
          </w:p>
        </w:tc>
      </w:tr>
      <w:tr w:rsidR="00FB351A" w:rsidRPr="00FB351A" w14:paraId="13255209"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6A402E1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ALLIANZ SEGUROS GENERALES</w:t>
            </w:r>
          </w:p>
        </w:tc>
        <w:tc>
          <w:tcPr>
            <w:tcW w:w="842" w:type="pct"/>
            <w:tcBorders>
              <w:top w:val="nil"/>
              <w:left w:val="nil"/>
              <w:bottom w:val="single" w:sz="4" w:space="0" w:color="auto"/>
              <w:right w:val="single" w:sz="4" w:space="0" w:color="auto"/>
            </w:tcBorders>
            <w:shd w:val="clear" w:color="000000" w:fill="F2F2F2"/>
            <w:noWrap/>
            <w:vAlign w:val="center"/>
            <w:hideMark/>
          </w:tcPr>
          <w:p w14:paraId="3B359F1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0.84</w:t>
            </w:r>
          </w:p>
        </w:tc>
      </w:tr>
      <w:tr w:rsidR="00FB351A" w:rsidRPr="00FB351A" w14:paraId="05E30C73"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19C8CF7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AURORA</w:t>
            </w:r>
          </w:p>
        </w:tc>
        <w:tc>
          <w:tcPr>
            <w:tcW w:w="842" w:type="pct"/>
            <w:tcBorders>
              <w:top w:val="nil"/>
              <w:left w:val="nil"/>
              <w:bottom w:val="single" w:sz="4" w:space="0" w:color="auto"/>
              <w:right w:val="single" w:sz="4" w:space="0" w:color="auto"/>
            </w:tcBorders>
            <w:shd w:val="clear" w:color="000000" w:fill="F2F2F2"/>
            <w:noWrap/>
            <w:vAlign w:val="center"/>
            <w:hideMark/>
          </w:tcPr>
          <w:p w14:paraId="47CC5B9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0.59</w:t>
            </w:r>
          </w:p>
        </w:tc>
      </w:tr>
      <w:tr w:rsidR="00FB351A" w:rsidRPr="00FB351A" w14:paraId="4011AE0E"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F2F2F2"/>
            <w:noWrap/>
            <w:vAlign w:val="center"/>
            <w:hideMark/>
          </w:tcPr>
          <w:p w14:paraId="726141A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ZURICH SEGUROS COLOMBIA SA</w:t>
            </w:r>
          </w:p>
        </w:tc>
        <w:tc>
          <w:tcPr>
            <w:tcW w:w="842" w:type="pct"/>
            <w:tcBorders>
              <w:top w:val="nil"/>
              <w:left w:val="nil"/>
              <w:bottom w:val="single" w:sz="4" w:space="0" w:color="auto"/>
              <w:right w:val="single" w:sz="4" w:space="0" w:color="auto"/>
            </w:tcBorders>
            <w:shd w:val="clear" w:color="000000" w:fill="F2F2F2"/>
            <w:noWrap/>
            <w:vAlign w:val="center"/>
            <w:hideMark/>
          </w:tcPr>
          <w:p w14:paraId="1820DED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0.88</w:t>
            </w:r>
          </w:p>
        </w:tc>
      </w:tr>
      <w:tr w:rsidR="00FB351A" w:rsidRPr="00FB351A" w14:paraId="2F578890"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E2EFDA"/>
            <w:noWrap/>
            <w:vAlign w:val="center"/>
            <w:hideMark/>
          </w:tcPr>
          <w:p w14:paraId="014F21A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PROMEDIO</w:t>
            </w:r>
          </w:p>
        </w:tc>
        <w:tc>
          <w:tcPr>
            <w:tcW w:w="842" w:type="pct"/>
            <w:tcBorders>
              <w:top w:val="nil"/>
              <w:left w:val="nil"/>
              <w:bottom w:val="single" w:sz="4" w:space="0" w:color="auto"/>
              <w:right w:val="single" w:sz="4" w:space="0" w:color="auto"/>
            </w:tcBorders>
            <w:shd w:val="clear" w:color="000000" w:fill="E2EFDA"/>
            <w:noWrap/>
            <w:vAlign w:val="center"/>
            <w:hideMark/>
          </w:tcPr>
          <w:p w14:paraId="53CB0A50"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0.80</w:t>
            </w:r>
          </w:p>
        </w:tc>
      </w:tr>
      <w:tr w:rsidR="00FB351A" w:rsidRPr="00FB351A" w14:paraId="2D1ED3C3"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E2EFDA"/>
            <w:noWrap/>
            <w:vAlign w:val="center"/>
            <w:hideMark/>
          </w:tcPr>
          <w:p w14:paraId="4C1ED806"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MEDIANA</w:t>
            </w:r>
          </w:p>
        </w:tc>
        <w:tc>
          <w:tcPr>
            <w:tcW w:w="842" w:type="pct"/>
            <w:tcBorders>
              <w:top w:val="nil"/>
              <w:left w:val="nil"/>
              <w:bottom w:val="single" w:sz="4" w:space="0" w:color="auto"/>
              <w:right w:val="single" w:sz="4" w:space="0" w:color="auto"/>
            </w:tcBorders>
            <w:shd w:val="clear" w:color="000000" w:fill="E2EFDA"/>
            <w:noWrap/>
            <w:vAlign w:val="center"/>
            <w:hideMark/>
          </w:tcPr>
          <w:p w14:paraId="5652449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0.83</w:t>
            </w:r>
          </w:p>
        </w:tc>
      </w:tr>
      <w:tr w:rsidR="00FB351A" w:rsidRPr="00FB351A" w14:paraId="02AB63C6"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E2EFDA"/>
            <w:noWrap/>
            <w:vAlign w:val="center"/>
            <w:hideMark/>
          </w:tcPr>
          <w:p w14:paraId="12AEB76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DESVIACIÓN ESTÁNDAR</w:t>
            </w:r>
          </w:p>
        </w:tc>
        <w:tc>
          <w:tcPr>
            <w:tcW w:w="842" w:type="pct"/>
            <w:tcBorders>
              <w:top w:val="nil"/>
              <w:left w:val="nil"/>
              <w:bottom w:val="single" w:sz="4" w:space="0" w:color="auto"/>
              <w:right w:val="single" w:sz="4" w:space="0" w:color="auto"/>
            </w:tcBorders>
            <w:shd w:val="clear" w:color="000000" w:fill="E2EFDA"/>
            <w:noWrap/>
            <w:vAlign w:val="center"/>
            <w:hideMark/>
          </w:tcPr>
          <w:p w14:paraId="53BFDDC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0.10</w:t>
            </w:r>
          </w:p>
        </w:tc>
      </w:tr>
      <w:tr w:rsidR="00FB351A" w:rsidRPr="00FB351A" w14:paraId="5FC1E2E4" w14:textId="77777777" w:rsidTr="00F17BFD">
        <w:trPr>
          <w:trHeight w:val="20"/>
        </w:trPr>
        <w:tc>
          <w:tcPr>
            <w:tcW w:w="4158" w:type="pct"/>
            <w:tcBorders>
              <w:top w:val="nil"/>
              <w:left w:val="single" w:sz="4" w:space="0" w:color="auto"/>
              <w:bottom w:val="single" w:sz="4" w:space="0" w:color="auto"/>
              <w:right w:val="single" w:sz="4" w:space="0" w:color="auto"/>
            </w:tcBorders>
            <w:shd w:val="clear" w:color="000000" w:fill="E2EFDA"/>
            <w:noWrap/>
            <w:vAlign w:val="center"/>
            <w:hideMark/>
          </w:tcPr>
          <w:p w14:paraId="041F65E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 ACOTADA</w:t>
            </w:r>
          </w:p>
        </w:tc>
        <w:tc>
          <w:tcPr>
            <w:tcW w:w="842" w:type="pct"/>
            <w:tcBorders>
              <w:top w:val="nil"/>
              <w:left w:val="nil"/>
              <w:bottom w:val="single" w:sz="4" w:space="0" w:color="auto"/>
              <w:right w:val="single" w:sz="4" w:space="0" w:color="auto"/>
            </w:tcBorders>
            <w:shd w:val="clear" w:color="000000" w:fill="E2EFDA"/>
            <w:noWrap/>
            <w:vAlign w:val="center"/>
            <w:hideMark/>
          </w:tcPr>
          <w:p w14:paraId="4395AAA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0.81</w:t>
            </w:r>
          </w:p>
        </w:tc>
      </w:tr>
    </w:tbl>
    <w:p w14:paraId="2C2A21E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lang w:val="es-ES"/>
        </w:rPr>
        <w:t xml:space="preserve">Cuadro Nivel de endeudamiento compañías de seguros que participan en procesos de selección. Corte financiero 31 de diciembre de 2025. Elaborada por el intermediario de seguros de la entidad </w:t>
      </w:r>
    </w:p>
    <w:p w14:paraId="6762F23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9F3A96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Al tomar como referencia los niveles de endeudamiento de una muestra de aseguradoras que normalmente presentar términos a procesos de contratación estatal de seguros, se advierte que al tomar el promedio (0.80) o la mediana (0.83) o la desviación estándar (0.10) la media acotada (0.81), el resultado del indicador puede descartar de tajo, posibles proveedores con capacidad financiera idónea para ejecutar en términos idóneos el contrato de seguros por suscribir, como por ejemplo COMPAÑÍA ASEGURADORA DE FIANZAS S.A, AXA </w:t>
      </w:r>
      <w:r w:rsidRPr="00FB351A">
        <w:rPr>
          <w:rFonts w:ascii="Arial" w:eastAsia="Arial MT" w:hAnsi="Arial" w:cs="Arial"/>
          <w:sz w:val="20"/>
          <w:szCs w:val="20"/>
        </w:rPr>
        <w:lastRenderedPageBreak/>
        <w:t>COLPATRIA SEGUROS S.A., COMPAÑÍA MUNDIAL DE SEGUROS S.A., SEGUROS DEL ESTADO S.A., ALLIANZ SEGUROS GENERALES y ZURICH SEGUROS COLOMBIA SA</w:t>
      </w:r>
    </w:p>
    <w:p w14:paraId="73B7E5A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0F2522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Es de anotar que el sector esta supervigilado y se deben cumplir con normas especiales de carácter financiero, incluidas en el </w:t>
      </w:r>
      <w:proofErr w:type="spellStart"/>
      <w:r w:rsidRPr="00FB351A">
        <w:rPr>
          <w:rFonts w:ascii="Arial" w:eastAsia="Arial MT" w:hAnsi="Arial" w:cs="Arial"/>
          <w:sz w:val="20"/>
          <w:szCs w:val="20"/>
        </w:rPr>
        <w:t>EOSF</w:t>
      </w:r>
      <w:proofErr w:type="spellEnd"/>
      <w:r w:rsidRPr="00FB351A">
        <w:rPr>
          <w:rFonts w:ascii="Arial" w:eastAsia="Arial MT" w:hAnsi="Arial" w:cs="Arial"/>
          <w:sz w:val="20"/>
          <w:szCs w:val="20"/>
        </w:rPr>
        <w:t xml:space="preserve"> y en la Circular básica Jurídica de la Superintendencia Financiera de Colombia.</w:t>
      </w:r>
    </w:p>
    <w:p w14:paraId="1B472A7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433FD6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En ese orden de ideas, para establecer objetivamente el indicador financiero apropiado como habilitante para el proceso de selección, se acoge el valor máximo de la muestra.  No se establece el indicador a través de técnicas estadísticas sugeridos por la GUÍA DE ELABORACIÓN DE ESTUDIOS DE SECTOR – GEES como el Promedio o media aritmética o la Mediana o Cuartiles, o Media Podada o Desviación estándar, toda vez que su aplicación conlleva a descalificar o descartar posibles proveedores cuya capacidad financiera es óptima para la ejecución del objeto contractual (seguros).</w:t>
      </w:r>
    </w:p>
    <w:p w14:paraId="298D35C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954F992"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Para establecer objetivamente el indicador, se acoge el valor máximo. No se establecen indicadores por promedio o mediana, toda vez que su aplicación conlleva a descalificar posibles participantes.</w:t>
      </w:r>
    </w:p>
    <w:p w14:paraId="3BF72D8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49B806C" w14:textId="1C57AC66"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Dado que el interés de la Entidad es que haya pluralidad de oferentes se define un índice de endeudamiento menor o igual al 0.9</w:t>
      </w:r>
      <w:r w:rsidR="004B58B6">
        <w:rPr>
          <w:rFonts w:ascii="Arial" w:eastAsia="Arial MT" w:hAnsi="Arial" w:cs="Arial"/>
          <w:sz w:val="20"/>
          <w:szCs w:val="20"/>
        </w:rPr>
        <w:t>1</w:t>
      </w:r>
      <w:r w:rsidRPr="00FB351A">
        <w:rPr>
          <w:rFonts w:ascii="Arial" w:eastAsia="Arial MT" w:hAnsi="Arial" w:cs="Arial"/>
          <w:sz w:val="20"/>
          <w:szCs w:val="20"/>
        </w:rPr>
        <w:t xml:space="preserve"> </w:t>
      </w:r>
    </w:p>
    <w:p w14:paraId="2C9A6EE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A8B9524" w14:textId="77777777" w:rsidR="003F3A20" w:rsidRPr="00FB351A" w:rsidRDefault="003F3A20" w:rsidP="003F3A20">
      <w:pPr>
        <w:numPr>
          <w:ilvl w:val="1"/>
          <w:numId w:val="46"/>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t>Razón de Cobertura de Interés</w:t>
      </w:r>
    </w:p>
    <w:p w14:paraId="408BD7F3"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sz w:val="20"/>
          <w:szCs w:val="20"/>
        </w:rPr>
      </w:pPr>
    </w:p>
    <w:p w14:paraId="4FE86A3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La naturaleza de este indicador es medir el grado de protección a los acreedores e inversionista a largo plazo, es decir, que refleja la capacidad del proponente de cumplir con sus obligaciones financieras.  Este criterio que no se encuentra relacionados con la actividad principal de las aseguradoras la cual no es dirigida a realizar inversiones, ni a realizar actividades dirigidas a producir resultados de eficiencia en términos de activos.</w:t>
      </w:r>
    </w:p>
    <w:p w14:paraId="223F406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F97993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Los resultados del sector corresponden a los siguientes indicadores:</w:t>
      </w:r>
    </w:p>
    <w:p w14:paraId="25DEE533"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tbl>
      <w:tblPr>
        <w:tblW w:w="5000" w:type="pct"/>
        <w:tblCellMar>
          <w:left w:w="70" w:type="dxa"/>
          <w:right w:w="70" w:type="dxa"/>
        </w:tblCellMar>
        <w:tblLook w:val="04A0" w:firstRow="1" w:lastRow="0" w:firstColumn="1" w:lastColumn="0" w:noHBand="0" w:noVBand="1"/>
      </w:tblPr>
      <w:tblGrid>
        <w:gridCol w:w="7100"/>
        <w:gridCol w:w="2529"/>
      </w:tblGrid>
      <w:tr w:rsidR="00FB351A" w:rsidRPr="00FB351A" w14:paraId="4161C92F" w14:textId="77777777" w:rsidTr="00F17BFD">
        <w:trPr>
          <w:trHeight w:val="20"/>
        </w:trPr>
        <w:tc>
          <w:tcPr>
            <w:tcW w:w="3687" w:type="pct"/>
            <w:tcBorders>
              <w:top w:val="single" w:sz="4" w:space="0" w:color="auto"/>
              <w:left w:val="single" w:sz="4" w:space="0" w:color="auto"/>
              <w:bottom w:val="single" w:sz="4" w:space="0" w:color="auto"/>
              <w:right w:val="single" w:sz="4" w:space="0" w:color="auto"/>
            </w:tcBorders>
            <w:shd w:val="clear" w:color="000000" w:fill="D5DCE4"/>
            <w:vAlign w:val="center"/>
            <w:hideMark/>
          </w:tcPr>
          <w:p w14:paraId="730B8AC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COBERTURA DE INTERÉS</w:t>
            </w:r>
          </w:p>
        </w:tc>
        <w:tc>
          <w:tcPr>
            <w:tcW w:w="1313" w:type="pct"/>
            <w:tcBorders>
              <w:top w:val="single" w:sz="4" w:space="0" w:color="auto"/>
              <w:left w:val="nil"/>
              <w:bottom w:val="single" w:sz="4" w:space="0" w:color="auto"/>
              <w:right w:val="single" w:sz="4" w:space="0" w:color="auto"/>
            </w:tcBorders>
            <w:shd w:val="clear" w:color="000000" w:fill="D5DCE4"/>
            <w:vAlign w:val="center"/>
            <w:hideMark/>
          </w:tcPr>
          <w:p w14:paraId="1CD8B9E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
        </w:tc>
      </w:tr>
      <w:tr w:rsidR="00FB351A" w:rsidRPr="00FB351A" w14:paraId="07836D18"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D5DCE4"/>
            <w:vAlign w:val="center"/>
            <w:hideMark/>
          </w:tcPr>
          <w:p w14:paraId="5F6FF53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 AÑO</w:t>
            </w:r>
          </w:p>
        </w:tc>
        <w:tc>
          <w:tcPr>
            <w:tcW w:w="1313" w:type="pct"/>
            <w:tcBorders>
              <w:top w:val="nil"/>
              <w:left w:val="nil"/>
              <w:bottom w:val="single" w:sz="4" w:space="0" w:color="auto"/>
              <w:right w:val="single" w:sz="4" w:space="0" w:color="auto"/>
            </w:tcBorders>
            <w:shd w:val="clear" w:color="000000" w:fill="D5DCE4"/>
            <w:vAlign w:val="center"/>
            <w:hideMark/>
          </w:tcPr>
          <w:p w14:paraId="651F9426"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2025</w:t>
            </w:r>
          </w:p>
        </w:tc>
      </w:tr>
      <w:tr w:rsidR="00FB351A" w:rsidRPr="00FB351A" w14:paraId="031CD184"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57FCEBC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SOLIDARIA DE COLOMBIA EC</w:t>
            </w:r>
          </w:p>
        </w:tc>
        <w:tc>
          <w:tcPr>
            <w:tcW w:w="1313" w:type="pct"/>
            <w:tcBorders>
              <w:top w:val="nil"/>
              <w:left w:val="nil"/>
              <w:bottom w:val="single" w:sz="4" w:space="0" w:color="auto"/>
              <w:right w:val="single" w:sz="4" w:space="0" w:color="auto"/>
            </w:tcBorders>
            <w:shd w:val="clear" w:color="000000" w:fill="F2F2F2"/>
            <w:noWrap/>
            <w:vAlign w:val="center"/>
            <w:hideMark/>
          </w:tcPr>
          <w:p w14:paraId="1CEE7575"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114.43</w:t>
            </w:r>
          </w:p>
        </w:tc>
      </w:tr>
      <w:tr w:rsidR="00FB351A" w:rsidRPr="00FB351A" w14:paraId="67EFF30D"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039E576D" w14:textId="56972AD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 xml:space="preserve">COMPAÑÍA ASEGURADORA DE FIANZAS </w:t>
            </w:r>
            <w:r w:rsidR="00E84526" w:rsidRPr="00FB351A">
              <w:rPr>
                <w:rFonts w:ascii="Arial" w:eastAsia="Arial MT" w:hAnsi="Arial" w:cs="Arial"/>
                <w:sz w:val="20"/>
                <w:szCs w:val="20"/>
              </w:rPr>
              <w:t>S. A</w:t>
            </w:r>
          </w:p>
        </w:tc>
        <w:tc>
          <w:tcPr>
            <w:tcW w:w="1313" w:type="pct"/>
            <w:tcBorders>
              <w:top w:val="nil"/>
              <w:left w:val="nil"/>
              <w:bottom w:val="single" w:sz="4" w:space="0" w:color="auto"/>
              <w:right w:val="single" w:sz="4" w:space="0" w:color="auto"/>
            </w:tcBorders>
            <w:shd w:val="clear" w:color="000000" w:fill="F2F2F2"/>
            <w:noWrap/>
            <w:vAlign w:val="center"/>
            <w:hideMark/>
          </w:tcPr>
          <w:p w14:paraId="6C8C92F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533.74</w:t>
            </w:r>
          </w:p>
        </w:tc>
      </w:tr>
      <w:tr w:rsidR="00FB351A" w:rsidRPr="00FB351A" w14:paraId="2AD0BD7C"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7B4C3414"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COLMENA SEGUROS DE VIDA SA</w:t>
            </w:r>
          </w:p>
        </w:tc>
        <w:tc>
          <w:tcPr>
            <w:tcW w:w="1313" w:type="pct"/>
            <w:tcBorders>
              <w:top w:val="nil"/>
              <w:left w:val="nil"/>
              <w:bottom w:val="single" w:sz="4" w:space="0" w:color="auto"/>
              <w:right w:val="single" w:sz="4" w:space="0" w:color="auto"/>
            </w:tcBorders>
            <w:shd w:val="clear" w:color="000000" w:fill="F2F2F2"/>
            <w:noWrap/>
            <w:vAlign w:val="center"/>
            <w:hideMark/>
          </w:tcPr>
          <w:p w14:paraId="3576D4D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INDETERMINADO</w:t>
            </w:r>
          </w:p>
        </w:tc>
      </w:tr>
      <w:tr w:rsidR="00FB351A" w:rsidRPr="00FB351A" w14:paraId="7A653EB6"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2502156A"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lang w:val="pt-PT"/>
              </w:rPr>
            </w:pPr>
            <w:r w:rsidRPr="00FB351A">
              <w:rPr>
                <w:rFonts w:ascii="Arial" w:eastAsia="Arial MT" w:hAnsi="Arial" w:cs="Arial"/>
                <w:sz w:val="20"/>
                <w:szCs w:val="20"/>
                <w:lang w:val="pt-PT"/>
              </w:rPr>
              <w:t>AXA COLPATRIA SEGUROS S.A.</w:t>
            </w:r>
          </w:p>
        </w:tc>
        <w:tc>
          <w:tcPr>
            <w:tcW w:w="1313" w:type="pct"/>
            <w:tcBorders>
              <w:top w:val="nil"/>
              <w:left w:val="nil"/>
              <w:bottom w:val="single" w:sz="4" w:space="0" w:color="auto"/>
              <w:right w:val="single" w:sz="4" w:space="0" w:color="auto"/>
            </w:tcBorders>
            <w:shd w:val="clear" w:color="000000" w:fill="F2F2F2"/>
            <w:noWrap/>
            <w:vAlign w:val="center"/>
            <w:hideMark/>
          </w:tcPr>
          <w:p w14:paraId="5BFC556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1371.03</w:t>
            </w:r>
          </w:p>
        </w:tc>
      </w:tr>
      <w:tr w:rsidR="00FB351A" w:rsidRPr="00FB351A" w14:paraId="33F5061E"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1923B45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CHUBB DE COLOMBIA S.A.</w:t>
            </w:r>
          </w:p>
        </w:tc>
        <w:tc>
          <w:tcPr>
            <w:tcW w:w="1313" w:type="pct"/>
            <w:tcBorders>
              <w:top w:val="nil"/>
              <w:left w:val="nil"/>
              <w:bottom w:val="single" w:sz="4" w:space="0" w:color="auto"/>
              <w:right w:val="single" w:sz="4" w:space="0" w:color="auto"/>
            </w:tcBorders>
            <w:shd w:val="clear" w:color="000000" w:fill="F2F2F2"/>
            <w:noWrap/>
            <w:vAlign w:val="center"/>
            <w:hideMark/>
          </w:tcPr>
          <w:p w14:paraId="09CA60E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145.83</w:t>
            </w:r>
          </w:p>
        </w:tc>
      </w:tr>
      <w:tr w:rsidR="00FB351A" w:rsidRPr="00FB351A" w14:paraId="26158A3B"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59F87235"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MUNDIAL DE SEGUROS S.A.</w:t>
            </w:r>
          </w:p>
        </w:tc>
        <w:tc>
          <w:tcPr>
            <w:tcW w:w="1313" w:type="pct"/>
            <w:tcBorders>
              <w:top w:val="nil"/>
              <w:left w:val="nil"/>
              <w:bottom w:val="single" w:sz="4" w:space="0" w:color="auto"/>
              <w:right w:val="single" w:sz="4" w:space="0" w:color="auto"/>
            </w:tcBorders>
            <w:shd w:val="clear" w:color="000000" w:fill="F2F2F2"/>
            <w:noWrap/>
            <w:vAlign w:val="center"/>
            <w:hideMark/>
          </w:tcPr>
          <w:p w14:paraId="2B4235C5"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234.61</w:t>
            </w:r>
          </w:p>
        </w:tc>
      </w:tr>
      <w:tr w:rsidR="00FB351A" w:rsidRPr="00FB351A" w14:paraId="3F65E19D"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2364ADB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HDI</w:t>
            </w:r>
            <w:proofErr w:type="spellEnd"/>
            <w:r w:rsidRPr="00FB351A">
              <w:rPr>
                <w:rFonts w:ascii="Arial" w:eastAsia="Arial MT" w:hAnsi="Arial" w:cs="Arial"/>
                <w:sz w:val="20"/>
                <w:szCs w:val="20"/>
              </w:rPr>
              <w:t xml:space="preserve"> SEGUROS COLOMBIA S.A.</w:t>
            </w:r>
          </w:p>
        </w:tc>
        <w:tc>
          <w:tcPr>
            <w:tcW w:w="1313" w:type="pct"/>
            <w:tcBorders>
              <w:top w:val="nil"/>
              <w:left w:val="nil"/>
              <w:bottom w:val="single" w:sz="4" w:space="0" w:color="auto"/>
              <w:right w:val="single" w:sz="4" w:space="0" w:color="auto"/>
            </w:tcBorders>
            <w:shd w:val="clear" w:color="000000" w:fill="F2F2F2"/>
            <w:noWrap/>
            <w:vAlign w:val="center"/>
            <w:hideMark/>
          </w:tcPr>
          <w:p w14:paraId="6869D6E4"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485.77</w:t>
            </w:r>
          </w:p>
        </w:tc>
      </w:tr>
      <w:tr w:rsidR="00FB351A" w:rsidRPr="00FB351A" w14:paraId="5C4E04AE"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428D166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SBS</w:t>
            </w:r>
            <w:proofErr w:type="spellEnd"/>
            <w:r w:rsidRPr="00FB351A">
              <w:rPr>
                <w:rFonts w:ascii="Arial" w:eastAsia="Arial MT" w:hAnsi="Arial" w:cs="Arial"/>
                <w:sz w:val="20"/>
                <w:szCs w:val="20"/>
              </w:rPr>
              <w:t xml:space="preserve"> SEGUROS COLOMBIA SA</w:t>
            </w:r>
          </w:p>
        </w:tc>
        <w:tc>
          <w:tcPr>
            <w:tcW w:w="1313" w:type="pct"/>
            <w:tcBorders>
              <w:top w:val="nil"/>
              <w:left w:val="nil"/>
              <w:bottom w:val="single" w:sz="4" w:space="0" w:color="auto"/>
              <w:right w:val="single" w:sz="4" w:space="0" w:color="auto"/>
            </w:tcBorders>
            <w:shd w:val="clear" w:color="000000" w:fill="F2F2F2"/>
            <w:noWrap/>
            <w:vAlign w:val="center"/>
            <w:hideMark/>
          </w:tcPr>
          <w:p w14:paraId="39A078F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INDETERMINADO</w:t>
            </w:r>
          </w:p>
        </w:tc>
      </w:tr>
      <w:tr w:rsidR="00FB351A" w:rsidRPr="00FB351A" w14:paraId="023EFABD"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38167CB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LA PREVISORA S.A. COMPAÑÍA DE SEGUROS</w:t>
            </w:r>
          </w:p>
        </w:tc>
        <w:tc>
          <w:tcPr>
            <w:tcW w:w="1313" w:type="pct"/>
            <w:tcBorders>
              <w:top w:val="nil"/>
              <w:left w:val="nil"/>
              <w:bottom w:val="single" w:sz="4" w:space="0" w:color="auto"/>
              <w:right w:val="single" w:sz="4" w:space="0" w:color="auto"/>
            </w:tcBorders>
            <w:shd w:val="clear" w:color="000000" w:fill="F2F2F2"/>
            <w:noWrap/>
            <w:vAlign w:val="center"/>
            <w:hideMark/>
          </w:tcPr>
          <w:p w14:paraId="51BAB1A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116.03</w:t>
            </w:r>
          </w:p>
        </w:tc>
      </w:tr>
      <w:tr w:rsidR="00FB351A" w:rsidRPr="00FB351A" w14:paraId="5895E185"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4525E3A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MAPFRE SEGUROS GENERALES DE COLOMBIA S.A.</w:t>
            </w:r>
          </w:p>
        </w:tc>
        <w:tc>
          <w:tcPr>
            <w:tcW w:w="1313" w:type="pct"/>
            <w:tcBorders>
              <w:top w:val="nil"/>
              <w:left w:val="nil"/>
              <w:bottom w:val="single" w:sz="4" w:space="0" w:color="auto"/>
              <w:right w:val="single" w:sz="4" w:space="0" w:color="auto"/>
            </w:tcBorders>
            <w:shd w:val="clear" w:color="000000" w:fill="F2F2F2"/>
            <w:noWrap/>
            <w:vAlign w:val="center"/>
            <w:hideMark/>
          </w:tcPr>
          <w:p w14:paraId="599C347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INDETERMINADO</w:t>
            </w:r>
          </w:p>
        </w:tc>
      </w:tr>
      <w:tr w:rsidR="00FB351A" w:rsidRPr="00FB351A" w14:paraId="78F12F3F"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08F983C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DEL ESTADO S.A.</w:t>
            </w:r>
          </w:p>
        </w:tc>
        <w:tc>
          <w:tcPr>
            <w:tcW w:w="1313" w:type="pct"/>
            <w:tcBorders>
              <w:top w:val="nil"/>
              <w:left w:val="nil"/>
              <w:bottom w:val="single" w:sz="4" w:space="0" w:color="auto"/>
              <w:right w:val="single" w:sz="4" w:space="0" w:color="auto"/>
            </w:tcBorders>
            <w:shd w:val="clear" w:color="000000" w:fill="F2F2F2"/>
            <w:noWrap/>
            <w:vAlign w:val="center"/>
            <w:hideMark/>
          </w:tcPr>
          <w:p w14:paraId="67426387"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85.24</w:t>
            </w:r>
          </w:p>
        </w:tc>
      </w:tr>
      <w:tr w:rsidR="00FB351A" w:rsidRPr="00FB351A" w14:paraId="7C2AA675"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57AE71B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DEL ESTADO SA</w:t>
            </w:r>
          </w:p>
        </w:tc>
        <w:tc>
          <w:tcPr>
            <w:tcW w:w="1313" w:type="pct"/>
            <w:tcBorders>
              <w:top w:val="nil"/>
              <w:left w:val="nil"/>
              <w:bottom w:val="single" w:sz="4" w:space="0" w:color="auto"/>
              <w:right w:val="single" w:sz="4" w:space="0" w:color="auto"/>
            </w:tcBorders>
            <w:shd w:val="clear" w:color="000000" w:fill="F2F2F2"/>
            <w:noWrap/>
            <w:vAlign w:val="center"/>
            <w:hideMark/>
          </w:tcPr>
          <w:p w14:paraId="5A4DF7DC"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72.55</w:t>
            </w:r>
          </w:p>
        </w:tc>
      </w:tr>
      <w:tr w:rsidR="00FB351A" w:rsidRPr="00FB351A" w14:paraId="14F5A8D5"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0B40DA2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GENERALES SURAMERICANA S, A,</w:t>
            </w:r>
          </w:p>
        </w:tc>
        <w:tc>
          <w:tcPr>
            <w:tcW w:w="1313" w:type="pct"/>
            <w:tcBorders>
              <w:top w:val="nil"/>
              <w:left w:val="nil"/>
              <w:bottom w:val="single" w:sz="4" w:space="0" w:color="auto"/>
              <w:right w:val="single" w:sz="4" w:space="0" w:color="auto"/>
            </w:tcBorders>
            <w:shd w:val="clear" w:color="000000" w:fill="F2F2F2"/>
            <w:noWrap/>
            <w:vAlign w:val="center"/>
            <w:hideMark/>
          </w:tcPr>
          <w:p w14:paraId="51FDE98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159.4</w:t>
            </w:r>
          </w:p>
        </w:tc>
      </w:tr>
      <w:tr w:rsidR="00FB351A" w:rsidRPr="00FB351A" w14:paraId="531683A3"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2F5AA85B"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POSITIVA SA COMPAÑÍA DE SEGUROS</w:t>
            </w:r>
          </w:p>
        </w:tc>
        <w:tc>
          <w:tcPr>
            <w:tcW w:w="1313" w:type="pct"/>
            <w:tcBorders>
              <w:top w:val="nil"/>
              <w:left w:val="nil"/>
              <w:bottom w:val="single" w:sz="4" w:space="0" w:color="auto"/>
              <w:right w:val="single" w:sz="4" w:space="0" w:color="auto"/>
            </w:tcBorders>
            <w:shd w:val="clear" w:color="000000" w:fill="F2F2F2"/>
            <w:noWrap/>
            <w:vAlign w:val="center"/>
            <w:hideMark/>
          </w:tcPr>
          <w:p w14:paraId="43F96EA5"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INDETERMINADO</w:t>
            </w:r>
          </w:p>
        </w:tc>
      </w:tr>
      <w:tr w:rsidR="00FB351A" w:rsidRPr="00FB351A" w14:paraId="72A87BE0"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21C4D9E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ALLIANZ SEGUROS GENERALES</w:t>
            </w:r>
          </w:p>
        </w:tc>
        <w:tc>
          <w:tcPr>
            <w:tcW w:w="1313" w:type="pct"/>
            <w:tcBorders>
              <w:top w:val="nil"/>
              <w:left w:val="nil"/>
              <w:bottom w:val="single" w:sz="4" w:space="0" w:color="auto"/>
              <w:right w:val="single" w:sz="4" w:space="0" w:color="auto"/>
            </w:tcBorders>
            <w:shd w:val="clear" w:color="000000" w:fill="F2F2F2"/>
            <w:noWrap/>
            <w:vAlign w:val="center"/>
            <w:hideMark/>
          </w:tcPr>
          <w:p w14:paraId="17E977E0"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INDETERMINADO</w:t>
            </w:r>
          </w:p>
        </w:tc>
      </w:tr>
      <w:tr w:rsidR="00FB351A" w:rsidRPr="00FB351A" w14:paraId="213E4FFC"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44A546B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AURORA</w:t>
            </w:r>
          </w:p>
        </w:tc>
        <w:tc>
          <w:tcPr>
            <w:tcW w:w="1313" w:type="pct"/>
            <w:tcBorders>
              <w:top w:val="nil"/>
              <w:left w:val="nil"/>
              <w:bottom w:val="single" w:sz="4" w:space="0" w:color="auto"/>
              <w:right w:val="single" w:sz="4" w:space="0" w:color="auto"/>
            </w:tcBorders>
            <w:shd w:val="clear" w:color="000000" w:fill="F2F2F2"/>
            <w:noWrap/>
            <w:vAlign w:val="center"/>
            <w:hideMark/>
          </w:tcPr>
          <w:p w14:paraId="1396F4E9"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INDETERMINADO</w:t>
            </w:r>
          </w:p>
        </w:tc>
      </w:tr>
      <w:tr w:rsidR="00FB351A" w:rsidRPr="00FB351A" w14:paraId="75BFB3DD"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F2F2F2"/>
            <w:noWrap/>
            <w:vAlign w:val="center"/>
            <w:hideMark/>
          </w:tcPr>
          <w:p w14:paraId="6E8F3901"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ZURICH SEGUROS COLOMBIA SA</w:t>
            </w:r>
          </w:p>
        </w:tc>
        <w:tc>
          <w:tcPr>
            <w:tcW w:w="1313" w:type="pct"/>
            <w:tcBorders>
              <w:top w:val="nil"/>
              <w:left w:val="nil"/>
              <w:bottom w:val="single" w:sz="4" w:space="0" w:color="auto"/>
              <w:right w:val="single" w:sz="4" w:space="0" w:color="auto"/>
            </w:tcBorders>
            <w:shd w:val="clear" w:color="000000" w:fill="F2F2F2"/>
            <w:noWrap/>
            <w:vAlign w:val="center"/>
            <w:hideMark/>
          </w:tcPr>
          <w:p w14:paraId="078ADFF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-344.8</w:t>
            </w:r>
          </w:p>
        </w:tc>
      </w:tr>
      <w:tr w:rsidR="00FB351A" w:rsidRPr="00FB351A" w14:paraId="0758EA00"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E2EFDA"/>
            <w:noWrap/>
            <w:vAlign w:val="center"/>
            <w:hideMark/>
          </w:tcPr>
          <w:p w14:paraId="5664260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PROMEDIO</w:t>
            </w:r>
          </w:p>
        </w:tc>
        <w:tc>
          <w:tcPr>
            <w:tcW w:w="1313" w:type="pct"/>
            <w:tcBorders>
              <w:top w:val="nil"/>
              <w:left w:val="nil"/>
              <w:bottom w:val="single" w:sz="4" w:space="0" w:color="auto"/>
              <w:right w:val="single" w:sz="4" w:space="0" w:color="auto"/>
            </w:tcBorders>
            <w:shd w:val="clear" w:color="000000" w:fill="E2EFDA"/>
            <w:noWrap/>
            <w:vAlign w:val="center"/>
            <w:hideMark/>
          </w:tcPr>
          <w:p w14:paraId="5B131D53"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270.35</w:t>
            </w:r>
          </w:p>
        </w:tc>
      </w:tr>
      <w:tr w:rsidR="00FB351A" w:rsidRPr="00FB351A" w14:paraId="239DF8D0"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E2EFDA"/>
            <w:noWrap/>
            <w:vAlign w:val="center"/>
            <w:hideMark/>
          </w:tcPr>
          <w:p w14:paraId="7915A43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lastRenderedPageBreak/>
              <w:t>MEDIANA</w:t>
            </w:r>
          </w:p>
        </w:tc>
        <w:tc>
          <w:tcPr>
            <w:tcW w:w="1313" w:type="pct"/>
            <w:tcBorders>
              <w:top w:val="nil"/>
              <w:left w:val="nil"/>
              <w:bottom w:val="single" w:sz="4" w:space="0" w:color="auto"/>
              <w:right w:val="single" w:sz="4" w:space="0" w:color="auto"/>
            </w:tcBorders>
            <w:shd w:val="clear" w:color="000000" w:fill="E2EFDA"/>
            <w:noWrap/>
            <w:vAlign w:val="center"/>
            <w:hideMark/>
          </w:tcPr>
          <w:p w14:paraId="4E4AB8BD"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145.83</w:t>
            </w:r>
          </w:p>
        </w:tc>
      </w:tr>
      <w:tr w:rsidR="00FB351A" w:rsidRPr="00FB351A" w14:paraId="2EC6728B"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E2EFDA"/>
            <w:noWrap/>
            <w:vAlign w:val="center"/>
            <w:hideMark/>
          </w:tcPr>
          <w:p w14:paraId="7E5F0858"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DESVIACIÓN ESTÁNDAR</w:t>
            </w:r>
          </w:p>
        </w:tc>
        <w:tc>
          <w:tcPr>
            <w:tcW w:w="1313" w:type="pct"/>
            <w:tcBorders>
              <w:top w:val="nil"/>
              <w:left w:val="nil"/>
              <w:bottom w:val="single" w:sz="4" w:space="0" w:color="auto"/>
              <w:right w:val="single" w:sz="4" w:space="0" w:color="auto"/>
            </w:tcBorders>
            <w:shd w:val="clear" w:color="000000" w:fill="E2EFDA"/>
            <w:noWrap/>
            <w:vAlign w:val="center"/>
            <w:hideMark/>
          </w:tcPr>
          <w:p w14:paraId="1ED00E6F"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365.72</w:t>
            </w:r>
          </w:p>
        </w:tc>
      </w:tr>
      <w:tr w:rsidR="00FB351A" w:rsidRPr="00FB351A" w14:paraId="6310B0DA" w14:textId="77777777" w:rsidTr="00F17BFD">
        <w:trPr>
          <w:trHeight w:val="20"/>
        </w:trPr>
        <w:tc>
          <w:tcPr>
            <w:tcW w:w="3687" w:type="pct"/>
            <w:tcBorders>
              <w:top w:val="nil"/>
              <w:left w:val="single" w:sz="4" w:space="0" w:color="auto"/>
              <w:bottom w:val="single" w:sz="4" w:space="0" w:color="auto"/>
              <w:right w:val="single" w:sz="4" w:space="0" w:color="auto"/>
            </w:tcBorders>
            <w:shd w:val="clear" w:color="000000" w:fill="E2EFDA"/>
            <w:noWrap/>
            <w:vAlign w:val="center"/>
            <w:hideMark/>
          </w:tcPr>
          <w:p w14:paraId="0E251D82"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 ACOTADA</w:t>
            </w:r>
          </w:p>
        </w:tc>
        <w:tc>
          <w:tcPr>
            <w:tcW w:w="1313" w:type="pct"/>
            <w:tcBorders>
              <w:top w:val="nil"/>
              <w:left w:val="nil"/>
              <w:bottom w:val="single" w:sz="4" w:space="0" w:color="auto"/>
              <w:right w:val="single" w:sz="4" w:space="0" w:color="auto"/>
            </w:tcBorders>
            <w:shd w:val="clear" w:color="000000" w:fill="E2EFDA"/>
            <w:noWrap/>
            <w:vAlign w:val="center"/>
            <w:hideMark/>
          </w:tcPr>
          <w:p w14:paraId="40E9C3FE" w14:textId="77777777" w:rsidR="00FB351A" w:rsidRPr="00FB351A" w:rsidRDefault="00FB351A" w:rsidP="00F17BFD">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216.40</w:t>
            </w:r>
          </w:p>
        </w:tc>
      </w:tr>
    </w:tbl>
    <w:p w14:paraId="125D834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lang w:val="es-ES"/>
        </w:rPr>
        <w:t xml:space="preserve">Cuadro Cobertura de interés compañías de seguros que participan en procesos de selección. Corte financiero 31 de diciembre de 2025. Elaborada por el intermediario de seguros de la entidad </w:t>
      </w:r>
    </w:p>
    <w:p w14:paraId="2881D35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796AD2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Al tomar como referencia la cobertura de interés de una muestra de aseguradoras que normalmente presentar términos a procesos de contratación estatal de seguros, se advierte que al tomar el promedio (270.35) o la mediana (145.83) o la desviación estándar (365.72), o la media acotada (216.40), el resultado del indicador puede descartar de tajo, posibles proveedores con capacidad financiera idónea para ejecutar en términos idóneos el contrato de seguros por suscribir, como por ejemplo ASEGURADORA SOLIDARIA DE COLOMBIA EC, LA PREVISORA S.A. COMPAÑÍA DE SEGUROS y SEGUROS DEL ESTADO S.A.</w:t>
      </w:r>
    </w:p>
    <w:p w14:paraId="0A7E134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1B7522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Es de anotar que el sector esta supervigilado y se deben cumplir con normas especiales de carácter financiero, incluidas en el </w:t>
      </w:r>
      <w:proofErr w:type="spellStart"/>
      <w:r w:rsidRPr="00FB351A">
        <w:rPr>
          <w:rFonts w:ascii="Arial" w:eastAsia="Arial MT" w:hAnsi="Arial" w:cs="Arial"/>
          <w:sz w:val="20"/>
          <w:szCs w:val="20"/>
        </w:rPr>
        <w:t>EOSF</w:t>
      </w:r>
      <w:proofErr w:type="spellEnd"/>
      <w:r w:rsidRPr="00FB351A">
        <w:rPr>
          <w:rFonts w:ascii="Arial" w:eastAsia="Arial MT" w:hAnsi="Arial" w:cs="Arial"/>
          <w:sz w:val="20"/>
          <w:szCs w:val="20"/>
        </w:rPr>
        <w:t xml:space="preserve"> y en la Circular básica Jurídica de la Superintendencia Financiera de Colombia.</w:t>
      </w:r>
    </w:p>
    <w:p w14:paraId="10D7929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91E637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En ese orden de ideas, para establecer objetivamente el indicador financiero apropiado como habilitante para el proceso de selección, se acoge el valor mínimo de la muestra.  No se establece el indicador a través de técnicas estadísticas sugeridos por la GUÍA DE ELABORACIÓN DE ESTUDIOS DE SECTOR – GEES como el Promedio o media aritmética o la Mediana o Cuartiles, o Media Podada o Desviación estándar, toda vez que su aplicación conlleva a descalificar o descartar posibles proveedores cuya capacidad financiera es óptima para la ejecución del objeto contractual (seguros).</w:t>
      </w:r>
    </w:p>
    <w:p w14:paraId="5DDAE58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1A484A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La actividad principal de una aseguradora consiste en cubrir determinados riesgos económicos mediante el pago de una prima que el interesado realiza a la compañía, para lo cual la importancia en este negocio se centra de un lado en que las compañías aseguradoras tengan </w:t>
      </w:r>
      <w:r w:rsidRPr="00FB351A">
        <w:rPr>
          <w:rFonts w:ascii="Arial" w:eastAsia="Arial MT" w:hAnsi="Arial" w:cs="Arial"/>
          <w:b/>
          <w:bCs/>
          <w:sz w:val="20"/>
          <w:szCs w:val="20"/>
        </w:rPr>
        <w:t>adecuadas reservas técnicas</w:t>
      </w:r>
      <w:r w:rsidRPr="00FB351A">
        <w:rPr>
          <w:rFonts w:ascii="Arial" w:eastAsia="Arial MT" w:hAnsi="Arial" w:cs="Arial"/>
          <w:sz w:val="20"/>
          <w:szCs w:val="20"/>
        </w:rPr>
        <w:t xml:space="preserve">, dirigidas a garantizar el pago de los siniestros ocurridos y de otro lado </w:t>
      </w:r>
      <w:r w:rsidRPr="00FB351A">
        <w:rPr>
          <w:rFonts w:ascii="Arial" w:eastAsia="Arial MT" w:hAnsi="Arial" w:cs="Arial"/>
          <w:b/>
          <w:bCs/>
          <w:sz w:val="20"/>
          <w:szCs w:val="20"/>
        </w:rPr>
        <w:t>que cuenten con un reasegurador adecuado</w:t>
      </w:r>
      <w:r w:rsidRPr="00FB351A">
        <w:rPr>
          <w:rFonts w:ascii="Arial" w:eastAsia="Arial MT" w:hAnsi="Arial" w:cs="Arial"/>
          <w:sz w:val="20"/>
          <w:szCs w:val="20"/>
        </w:rPr>
        <w:t xml:space="preserve"> que lo respalde.</w:t>
      </w:r>
    </w:p>
    <w:p w14:paraId="0F82946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MX"/>
        </w:rPr>
      </w:pPr>
    </w:p>
    <w:p w14:paraId="1F83E5B2" w14:textId="5555625C"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Por lo tanto, se deberá definir una razón de cobertura de intereses mayor o igual a </w:t>
      </w:r>
      <w:r w:rsidR="00B41F27">
        <w:rPr>
          <w:rFonts w:ascii="Arial" w:eastAsia="Arial MT" w:hAnsi="Arial" w:cs="Arial"/>
          <w:sz w:val="20"/>
          <w:szCs w:val="20"/>
        </w:rPr>
        <w:t>cero</w:t>
      </w:r>
      <w:r w:rsidR="008F744B">
        <w:rPr>
          <w:rFonts w:ascii="Arial" w:eastAsia="Arial MT" w:hAnsi="Arial" w:cs="Arial"/>
          <w:sz w:val="20"/>
          <w:szCs w:val="20"/>
        </w:rPr>
        <w:t xml:space="preserve"> – Positivo - </w:t>
      </w:r>
      <w:r w:rsidR="008F744B" w:rsidRPr="00FB351A">
        <w:rPr>
          <w:rFonts w:ascii="Arial" w:eastAsia="Arial MT" w:hAnsi="Arial" w:cs="Arial"/>
          <w:sz w:val="20"/>
          <w:szCs w:val="20"/>
        </w:rPr>
        <w:t>(</w:t>
      </w:r>
      <w:r w:rsidRPr="00FB351A">
        <w:rPr>
          <w:rFonts w:ascii="Arial" w:eastAsia="Arial MT" w:hAnsi="Arial" w:cs="Arial"/>
          <w:sz w:val="20"/>
          <w:szCs w:val="20"/>
        </w:rPr>
        <w:t>0.00)</w:t>
      </w:r>
      <w:r w:rsidR="00B41F27">
        <w:rPr>
          <w:rFonts w:ascii="Arial" w:eastAsia="Arial MT" w:hAnsi="Arial" w:cs="Arial"/>
          <w:sz w:val="20"/>
          <w:szCs w:val="20"/>
        </w:rPr>
        <w:t xml:space="preserve"> o indeterminado</w:t>
      </w:r>
      <w:r w:rsidRPr="00FB351A">
        <w:rPr>
          <w:rFonts w:ascii="Arial" w:eastAsia="Arial MT" w:hAnsi="Arial" w:cs="Arial"/>
          <w:sz w:val="20"/>
          <w:szCs w:val="20"/>
        </w:rPr>
        <w:t xml:space="preserve">, para garantizar el principio de la libre concurrencia y la participación a través de Consorcios o Uniones temporales. </w:t>
      </w:r>
    </w:p>
    <w:p w14:paraId="220FB2E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4F50496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No obstante, como se ya se indicó, se deberá tener en consideración que el indicador de Razón de Cobertura de Intereses, si bien establece el buen comportamiento de la compañía de seguros frente al sector financiero, en sí mismo no mide la rentabilidad o capacidad de una aseguradora, la cual no está dirigida a realizar inversiones, ni a realizar actividades a producir resultados de eficiencia en términos de activos; porque el objeto de una compañía aseguradora consiste en cubrir determinados riesgos económicos mediante el pago de una prima que el tomador del seguro o asegurado realiza a la aseguradora; por lo tanto, lo importante de este negocio se centra de un lado, en que las aseguradoras tengan adecuadas reservas técnicas dirigidas a garantizar el pago de los siniestros ocurridos, o que cuenten con un patrimonio adecuado positivo, como criterio del indicador que efectivamente mide en el mercado asegurador la solidez de la empresa para cumplir con su actividad principal.</w:t>
      </w:r>
    </w:p>
    <w:p w14:paraId="561DA2D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49FC7CC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Así mismo y atendiendo que las Entidades Estatales pueden establecer indicadores adicionales a los establecidos en el numeral 3 del artículo 2.2.1.1.1.5.3 del Decreto 1082 de 2015 para aquellos casos en que sea necesario por las características del objeto a contratar, por lo cual se solicita, para el presente proceso, el siguiente indicador financiero adicional.</w:t>
      </w:r>
    </w:p>
    <w:p w14:paraId="764AB48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AFBA224" w14:textId="77777777" w:rsidR="00FB351A" w:rsidRPr="00FB351A" w:rsidRDefault="00FB351A" w:rsidP="003F3A20">
      <w:pPr>
        <w:numPr>
          <w:ilvl w:val="1"/>
          <w:numId w:val="46"/>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lastRenderedPageBreak/>
        <w:t>Indicador de Exceso o Defecto de Patrimonio</w:t>
      </w:r>
    </w:p>
    <w:p w14:paraId="1287FA8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05A1B58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La fórmula de cálculo es: (Patrimonio técnico – Patrimonio Adecuado: Positivo) </w:t>
      </w:r>
    </w:p>
    <w:p w14:paraId="27BEACC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8F71DD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Se efectúa el análisis de este indicador según lo dispuesto en el Estatuto Orgánico del Sistema Financiero, Decreto 2954 de 2010, mediante el cual se estableció el régimen de patrimonio adecuado para las entidades aseguradoras, como indicador integral y específico para evidenciar la efectiva capacidad financiera de las compañías de seguros, tal como se indica en el considerando de dicha norma, en el que estipula lo siguiente: </w:t>
      </w:r>
    </w:p>
    <w:p w14:paraId="1B41A3B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w:t>
      </w:r>
    </w:p>
    <w:p w14:paraId="40337E8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iCs/>
          <w:sz w:val="20"/>
          <w:szCs w:val="20"/>
        </w:rPr>
      </w:pPr>
      <w:r w:rsidRPr="00FB351A">
        <w:rPr>
          <w:rFonts w:ascii="Arial" w:eastAsia="Arial MT" w:hAnsi="Arial" w:cs="Arial"/>
          <w:i/>
          <w:iCs/>
          <w:sz w:val="20"/>
          <w:szCs w:val="20"/>
        </w:rPr>
        <w:t xml:space="preserve">“Que, de acuerdo con los estándares internacionales de regulación, los requerimientos de solvencia para las entidades aseguradoras deben tener en cuenta no sólo los riesgos de suscripción asociados a los riesgos amparados y las primas cobradas, sino que también deben considerar otro tipo de riesgos como los propiamente financieros tal como el de mercado y el de activo. </w:t>
      </w:r>
    </w:p>
    <w:p w14:paraId="128AA87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iCs/>
          <w:sz w:val="20"/>
          <w:szCs w:val="20"/>
        </w:rPr>
      </w:pPr>
      <w:r w:rsidRPr="00FB351A">
        <w:rPr>
          <w:rFonts w:ascii="Arial" w:eastAsia="Arial MT" w:hAnsi="Arial" w:cs="Arial"/>
          <w:i/>
          <w:iCs/>
          <w:sz w:val="20"/>
          <w:szCs w:val="20"/>
        </w:rPr>
        <w:t> </w:t>
      </w:r>
    </w:p>
    <w:p w14:paraId="6C6E7EE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iCs/>
          <w:sz w:val="20"/>
          <w:szCs w:val="20"/>
        </w:rPr>
      </w:pPr>
      <w:r w:rsidRPr="00FB351A">
        <w:rPr>
          <w:rFonts w:ascii="Arial" w:eastAsia="Arial MT" w:hAnsi="Arial" w:cs="Arial"/>
          <w:i/>
          <w:iCs/>
          <w:sz w:val="20"/>
          <w:szCs w:val="20"/>
        </w:rPr>
        <w:t xml:space="preserve">Que, dado que pueden existir correlaciones entre los diferentes riesgos considerados y que dichas correlaciones varían en cada entidad, las aseguradoras podrán utilizar modelos de medición propios para el cálculo de dichas correlaciones previa autorización de la Superintendencia Financiera de Colombia. Así mismo se podrán presentar modelos de industria, autorizados por la Superintendencia Financiera de Colombia, que den cuenta de las diferentes correlaciones existentes en cada entidad. </w:t>
      </w:r>
    </w:p>
    <w:p w14:paraId="6607464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i/>
          <w:iCs/>
          <w:sz w:val="20"/>
          <w:szCs w:val="20"/>
        </w:rPr>
      </w:pPr>
      <w:r w:rsidRPr="00FB351A">
        <w:rPr>
          <w:rFonts w:ascii="Arial" w:eastAsia="Arial MT" w:hAnsi="Arial" w:cs="Arial"/>
          <w:i/>
          <w:iCs/>
          <w:sz w:val="20"/>
          <w:szCs w:val="20"/>
        </w:rPr>
        <w:t> </w:t>
      </w:r>
    </w:p>
    <w:p w14:paraId="4020BE7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i/>
          <w:iCs/>
          <w:sz w:val="20"/>
          <w:szCs w:val="20"/>
        </w:rPr>
        <w:t xml:space="preserve">Que, con el objetivo de determinar el valor correspondiente al riesgo de activo, las entidades aseguradoras deben clasificarlos en alguna de las categorías de riesgo establecidas en el presente decreto y posteriormente ponderarlos según su nivel de riesgo, con el fin de garantizar que la entidad cuenta con un patrimonio sano, adecuado y de calidad”. </w:t>
      </w:r>
    </w:p>
    <w:p w14:paraId="43384B9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1B9216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Así mismo, dentro del citado Decreto, se establecen las fórmulas que deben tener en cuenta las compañías de seguros para acreditar el régimen de patrimonio adecuado, estableciéndose en su artículo 2.3.1.1.2.1. que “</w:t>
      </w:r>
      <w:r w:rsidRPr="00FB351A">
        <w:rPr>
          <w:rFonts w:ascii="Arial" w:eastAsia="Arial MT" w:hAnsi="Arial" w:cs="Arial"/>
          <w:i/>
          <w:iCs/>
          <w:sz w:val="20"/>
          <w:szCs w:val="20"/>
        </w:rPr>
        <w:t>Las entidades aseguradoras deben mantener permanentemente y acreditar ante la Superintendencia Financiera de Colombia en la forma y plazos que ésta determine, un patrimonio técnico equivalente como mínimo al nivel de patrimonio adecuado establecido en el Capítulo 2 del Título 1 del Libro 31 de la Parte 2 del presente decreto”.</w:t>
      </w:r>
    </w:p>
    <w:p w14:paraId="1643005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3713C5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Por lo anterior, todas las compañías de seguros deben presentar mensualmente a la Superintendencia Financiera de Colombia estos indicadores, el cual es publicado por la Superintendencia Financiera de Colombia en su página web: </w:t>
      </w:r>
    </w:p>
    <w:p w14:paraId="4A2384B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4FA6DDB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hyperlink r:id="rId34" w:history="1">
        <w:r w:rsidRPr="00FB351A">
          <w:rPr>
            <w:rStyle w:val="Hipervnculo"/>
            <w:rFonts w:ascii="Arial" w:eastAsia="Arial MT" w:hAnsi="Arial" w:cs="Arial"/>
            <w:sz w:val="20"/>
            <w:szCs w:val="20"/>
          </w:rPr>
          <w:t>https://www.superfinanciera.gov.co/publicaciones/61137/informes-y-cifrascifrasindustria-aseguradora-61137/</w:t>
        </w:r>
      </w:hyperlink>
    </w:p>
    <w:p w14:paraId="4F944D4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0766A06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Para el presente proceso, la verificación de este indicador financiero se realizará con el reporte publicado por la Superintendencia Financiera de Colombia. En caso de indisponibilidad del portal web de la Superintendencia Financiera de Colombia, el mismo, podrá ser consultado también con el informe de cifras de los controles de ley, público en el portal web de </w:t>
      </w:r>
      <w:proofErr w:type="spellStart"/>
      <w:r w:rsidRPr="00FB351A">
        <w:rPr>
          <w:rFonts w:ascii="Arial" w:eastAsia="Arial MT" w:hAnsi="Arial" w:cs="Arial"/>
          <w:sz w:val="20"/>
          <w:szCs w:val="20"/>
        </w:rPr>
        <w:t>Fasecolda</w:t>
      </w:r>
      <w:proofErr w:type="spellEnd"/>
      <w:r w:rsidRPr="00FB351A">
        <w:rPr>
          <w:rFonts w:ascii="Arial" w:eastAsia="Arial MT" w:hAnsi="Arial" w:cs="Arial"/>
          <w:sz w:val="20"/>
          <w:szCs w:val="20"/>
        </w:rPr>
        <w:t>:</w:t>
      </w:r>
    </w:p>
    <w:p w14:paraId="07243496"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302159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hyperlink r:id="rId35" w:history="1">
        <w:r w:rsidRPr="00FB351A">
          <w:rPr>
            <w:rStyle w:val="Hipervnculo"/>
            <w:rFonts w:ascii="Arial" w:eastAsia="Arial MT" w:hAnsi="Arial" w:cs="Arial"/>
            <w:sz w:val="20"/>
            <w:szCs w:val="20"/>
          </w:rPr>
          <w:t>https://www.fasecolda.com/finformación financiera/</w:t>
        </w:r>
      </w:hyperlink>
    </w:p>
    <w:p w14:paraId="5202228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6F49B5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La entidad se reserva el derecho de solicitar documentos adicionales para verificar el cumplimiento del indicador.</w:t>
      </w:r>
    </w:p>
    <w:p w14:paraId="60F85F2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36823E1" w14:textId="77777777" w:rsidR="00FB351A" w:rsidRPr="00FB351A" w:rsidRDefault="00FB351A" w:rsidP="00FB351A">
      <w:pPr>
        <w:numPr>
          <w:ilvl w:val="4"/>
          <w:numId w:val="1"/>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t>Requisitos Habilitantes de la Capacidad Financieros</w:t>
      </w:r>
    </w:p>
    <w:p w14:paraId="3D35431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F5C50E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Para la verificación financiera del presente proceso se han determinado cuatro (4) indicadores en las siguientes condiciones:</w:t>
      </w:r>
    </w:p>
    <w:p w14:paraId="53979B0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7"/>
        <w:gridCol w:w="3201"/>
        <w:gridCol w:w="3141"/>
      </w:tblGrid>
      <w:tr w:rsidR="00FB351A" w:rsidRPr="00FB351A" w14:paraId="7CFE5329" w14:textId="77777777" w:rsidTr="002C3368">
        <w:trPr>
          <w:trHeight w:val="147"/>
          <w:jc w:val="center"/>
        </w:trPr>
        <w:tc>
          <w:tcPr>
            <w:tcW w:w="1707" w:type="pct"/>
            <w:shd w:val="clear" w:color="auto" w:fill="DAE9F7"/>
            <w:vAlign w:val="center"/>
          </w:tcPr>
          <w:p w14:paraId="7A2467B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b/>
                <w:sz w:val="20"/>
                <w:szCs w:val="20"/>
              </w:rPr>
            </w:pPr>
            <w:r w:rsidRPr="00FB351A">
              <w:rPr>
                <w:rFonts w:ascii="Arial" w:eastAsia="Arial MT" w:hAnsi="Arial" w:cs="Arial"/>
                <w:b/>
                <w:sz w:val="20"/>
                <w:szCs w:val="20"/>
              </w:rPr>
              <w:t>INDICADOR</w:t>
            </w:r>
          </w:p>
        </w:tc>
        <w:tc>
          <w:tcPr>
            <w:tcW w:w="1662" w:type="pct"/>
            <w:shd w:val="clear" w:color="auto" w:fill="DAE9F7"/>
            <w:vAlign w:val="center"/>
          </w:tcPr>
          <w:p w14:paraId="61AAB196"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b/>
                <w:sz w:val="20"/>
                <w:szCs w:val="20"/>
              </w:rPr>
            </w:pPr>
            <w:r w:rsidRPr="00FB351A">
              <w:rPr>
                <w:rFonts w:ascii="Arial" w:eastAsia="Arial MT" w:hAnsi="Arial" w:cs="Arial"/>
                <w:b/>
                <w:sz w:val="20"/>
                <w:szCs w:val="20"/>
              </w:rPr>
              <w:t>FORMULA</w:t>
            </w:r>
          </w:p>
        </w:tc>
        <w:tc>
          <w:tcPr>
            <w:tcW w:w="1631" w:type="pct"/>
            <w:shd w:val="clear" w:color="auto" w:fill="DAE9F7"/>
            <w:vAlign w:val="center"/>
          </w:tcPr>
          <w:p w14:paraId="6C6BC1F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b/>
                <w:sz w:val="20"/>
                <w:szCs w:val="20"/>
              </w:rPr>
            </w:pPr>
            <w:r w:rsidRPr="00FB351A">
              <w:rPr>
                <w:rFonts w:ascii="Arial" w:eastAsia="Arial MT" w:hAnsi="Arial" w:cs="Arial"/>
                <w:b/>
                <w:sz w:val="20"/>
                <w:szCs w:val="20"/>
              </w:rPr>
              <w:t>MARGEN SOLICITADO</w:t>
            </w:r>
          </w:p>
        </w:tc>
      </w:tr>
      <w:tr w:rsidR="00FB351A" w:rsidRPr="00FB351A" w14:paraId="4749BA33" w14:textId="77777777" w:rsidTr="002C3368">
        <w:trPr>
          <w:trHeight w:val="357"/>
          <w:jc w:val="center"/>
        </w:trPr>
        <w:tc>
          <w:tcPr>
            <w:tcW w:w="1707" w:type="pct"/>
            <w:vAlign w:val="center"/>
          </w:tcPr>
          <w:p w14:paraId="43C95217"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LIQUIDEZ</w:t>
            </w:r>
          </w:p>
        </w:tc>
        <w:tc>
          <w:tcPr>
            <w:tcW w:w="1662" w:type="pct"/>
            <w:vAlign w:val="center"/>
          </w:tcPr>
          <w:p w14:paraId="1D5F227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Activo corriente / Pasivo corriente</w:t>
            </w:r>
          </w:p>
        </w:tc>
        <w:tc>
          <w:tcPr>
            <w:tcW w:w="1631" w:type="pct"/>
            <w:vAlign w:val="center"/>
          </w:tcPr>
          <w:p w14:paraId="65BAB8A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Mayor o igual a 1.05</w:t>
            </w:r>
          </w:p>
        </w:tc>
      </w:tr>
      <w:tr w:rsidR="00FB351A" w:rsidRPr="00FB351A" w14:paraId="056CCC55" w14:textId="77777777" w:rsidTr="002C3368">
        <w:trPr>
          <w:trHeight w:val="389"/>
          <w:jc w:val="center"/>
        </w:trPr>
        <w:tc>
          <w:tcPr>
            <w:tcW w:w="1707" w:type="pct"/>
            <w:vAlign w:val="center"/>
          </w:tcPr>
          <w:p w14:paraId="72791BD4"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NIVEL DE ENDEUDAMIENTO</w:t>
            </w:r>
          </w:p>
        </w:tc>
        <w:tc>
          <w:tcPr>
            <w:tcW w:w="1662" w:type="pct"/>
            <w:vAlign w:val="center"/>
          </w:tcPr>
          <w:p w14:paraId="2B2D8409"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Pasivo total / Activo Total</w:t>
            </w:r>
          </w:p>
        </w:tc>
        <w:tc>
          <w:tcPr>
            <w:tcW w:w="1631" w:type="pct"/>
            <w:vAlign w:val="center"/>
          </w:tcPr>
          <w:p w14:paraId="0C2F1607" w14:textId="5337545A"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Menor o igual al 0.9</w:t>
            </w:r>
            <w:r w:rsidR="004E6096">
              <w:rPr>
                <w:rFonts w:ascii="Arial" w:eastAsia="Arial MT" w:hAnsi="Arial" w:cs="Arial"/>
                <w:sz w:val="20"/>
                <w:szCs w:val="20"/>
              </w:rPr>
              <w:t>1</w:t>
            </w:r>
          </w:p>
        </w:tc>
      </w:tr>
      <w:tr w:rsidR="00FB351A" w:rsidRPr="00FB351A" w14:paraId="7BB02341" w14:textId="77777777" w:rsidTr="002C3368">
        <w:trPr>
          <w:trHeight w:val="389"/>
          <w:jc w:val="center"/>
        </w:trPr>
        <w:tc>
          <w:tcPr>
            <w:tcW w:w="1707" w:type="pct"/>
            <w:vAlign w:val="center"/>
          </w:tcPr>
          <w:p w14:paraId="39E79ECA"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ÍNDICE DE RAZÓN DE COBERTURA DE INTERÉS</w:t>
            </w:r>
          </w:p>
        </w:tc>
        <w:tc>
          <w:tcPr>
            <w:tcW w:w="1662" w:type="pct"/>
            <w:vAlign w:val="center"/>
          </w:tcPr>
          <w:p w14:paraId="05C370E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Utilidad Operacional / Gastos de Intereses</w:t>
            </w:r>
          </w:p>
        </w:tc>
        <w:tc>
          <w:tcPr>
            <w:tcW w:w="1631" w:type="pct"/>
            <w:vAlign w:val="center"/>
          </w:tcPr>
          <w:p w14:paraId="35CFB06D" w14:textId="28E21D5E"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Mayor o igual a 0</w:t>
            </w:r>
            <w:r w:rsidR="0026465E">
              <w:rPr>
                <w:rFonts w:ascii="Arial" w:eastAsia="Arial MT" w:hAnsi="Arial" w:cs="Arial"/>
                <w:sz w:val="20"/>
                <w:szCs w:val="20"/>
              </w:rPr>
              <w:t>.</w:t>
            </w:r>
            <w:r w:rsidRPr="00FB351A">
              <w:rPr>
                <w:rFonts w:ascii="Arial" w:eastAsia="Arial MT" w:hAnsi="Arial" w:cs="Arial"/>
                <w:sz w:val="20"/>
                <w:szCs w:val="20"/>
              </w:rPr>
              <w:t>00 o Indeterminado</w:t>
            </w:r>
          </w:p>
        </w:tc>
      </w:tr>
      <w:tr w:rsidR="00FB351A" w:rsidRPr="00FB351A" w14:paraId="5E155AD8" w14:textId="77777777" w:rsidTr="002C3368">
        <w:trPr>
          <w:trHeight w:val="393"/>
          <w:jc w:val="center"/>
        </w:trPr>
        <w:tc>
          <w:tcPr>
            <w:tcW w:w="1707" w:type="pct"/>
            <w:vAlign w:val="center"/>
          </w:tcPr>
          <w:p w14:paraId="2F4576C4"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EXCESO O DEFECTO DEL PATRIMONIO</w:t>
            </w:r>
          </w:p>
        </w:tc>
        <w:tc>
          <w:tcPr>
            <w:tcW w:w="1662" w:type="pct"/>
            <w:vAlign w:val="center"/>
          </w:tcPr>
          <w:p w14:paraId="16EA045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Patrimonio técnico – Patrimonio Adecuado</w:t>
            </w:r>
          </w:p>
        </w:tc>
        <w:tc>
          <w:tcPr>
            <w:tcW w:w="1631" w:type="pct"/>
            <w:vAlign w:val="center"/>
          </w:tcPr>
          <w:p w14:paraId="2AB4330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Positivo.</w:t>
            </w:r>
          </w:p>
        </w:tc>
      </w:tr>
    </w:tbl>
    <w:p w14:paraId="744AF41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r w:rsidRPr="00FB351A">
        <w:rPr>
          <w:rFonts w:ascii="Arial" w:eastAsia="Arial MT" w:hAnsi="Arial" w:cs="Arial"/>
          <w:sz w:val="20"/>
          <w:szCs w:val="20"/>
          <w:lang w:val="es-ES"/>
        </w:rPr>
        <w:t xml:space="preserve">Cuadro Requisitos habilitantes de la capacidad financiera. Elaborada por el intermediario de seguros de la entidad </w:t>
      </w:r>
    </w:p>
    <w:p w14:paraId="7A84396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D9C07A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b/>
          <w:sz w:val="20"/>
          <w:szCs w:val="20"/>
        </w:rPr>
        <w:t>NOTA 1</w:t>
      </w:r>
      <w:r w:rsidRPr="00FB351A">
        <w:rPr>
          <w:rFonts w:ascii="Arial" w:eastAsia="Arial MT" w:hAnsi="Arial" w:cs="Arial"/>
          <w:sz w:val="20"/>
          <w:szCs w:val="20"/>
        </w:rPr>
        <w:t xml:space="preserve">: Frente al indicador de Patrimonio Técnico vs Patrimonio Adecuado, la verificación de este indicador financiero se realizará con el reporte publicado por la Superintendencia Financiera de Colombia. En caso de indisponibilidad del portal web de la Superintendencia Financiera de Colombia, el mismo, podrá ser consultado también con el informe de cifras de los controles de ley, público en el portal web de </w:t>
      </w:r>
      <w:proofErr w:type="spellStart"/>
      <w:r w:rsidRPr="00FB351A">
        <w:rPr>
          <w:rFonts w:ascii="Arial" w:eastAsia="Arial MT" w:hAnsi="Arial" w:cs="Arial"/>
          <w:sz w:val="20"/>
          <w:szCs w:val="20"/>
        </w:rPr>
        <w:t>Fasecolda</w:t>
      </w:r>
      <w:proofErr w:type="spellEnd"/>
      <w:r w:rsidRPr="00FB351A">
        <w:rPr>
          <w:rFonts w:ascii="Arial" w:eastAsia="Arial MT" w:hAnsi="Arial" w:cs="Arial"/>
          <w:sz w:val="20"/>
          <w:szCs w:val="20"/>
        </w:rPr>
        <w:t xml:space="preserve">: </w:t>
      </w:r>
      <w:hyperlink r:id="rId36" w:history="1">
        <w:r w:rsidRPr="00FB351A">
          <w:rPr>
            <w:rStyle w:val="Hipervnculo"/>
            <w:rFonts w:ascii="Arial" w:eastAsia="Arial MT" w:hAnsi="Arial" w:cs="Arial"/>
            <w:sz w:val="20"/>
            <w:szCs w:val="20"/>
          </w:rPr>
          <w:t>https://www.fasecolda.com/fasecolda/estadisticas-del-sector/controles-de-ley/</w:t>
        </w:r>
      </w:hyperlink>
    </w:p>
    <w:p w14:paraId="25DE71A7"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1BAE14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La entidad se reserva el derecho de solicitar documentos adicionales para verificar el cumplimiento del indicador.</w:t>
      </w:r>
    </w:p>
    <w:p w14:paraId="5961DAF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A1A95C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b/>
          <w:sz w:val="20"/>
          <w:szCs w:val="20"/>
        </w:rPr>
        <w:t>NOTA 2:</w:t>
      </w:r>
      <w:r w:rsidRPr="00FB351A">
        <w:rPr>
          <w:rFonts w:ascii="Arial" w:eastAsia="Arial MT" w:hAnsi="Arial" w:cs="Arial"/>
          <w:sz w:val="20"/>
          <w:szCs w:val="20"/>
        </w:rPr>
        <w:t xml:space="preserve"> </w:t>
      </w:r>
      <w:r w:rsidRPr="00FB351A">
        <w:rPr>
          <w:rFonts w:ascii="Arial" w:eastAsia="Arial MT" w:hAnsi="Arial" w:cs="Arial"/>
          <w:sz w:val="20"/>
          <w:szCs w:val="20"/>
          <w:lang w:val="es-ES_tradnl"/>
        </w:rPr>
        <w:t>Razón de cobertura de interés: Cuando existe utilidad operacional pero el valor de los gastos por intereses es cero (0), el reporte del RUP se registra como “indeterminado”. Tal circunstancia obedece a que, matemáticamente, la división de cualquier número superior a cero o entre cero, tiene tendencia a infinito (∞), pero al existir utilidad el proponente que tenga tal situación cumple con el indicador porque supera cualquier suma positiva que se haya fijado como tal; No sucede lo mismo cuando la suma a dividir por cero (0) corresponde a un número negativo (como en el evento que exista perdida en el estado de resultados), en cuyo caso el indicador siempre sería inferior a cualquier cifra positiva que se hubiese fijado como tal y por tanto no cumple, aunque de igual forma, el reporte en el RUP en este caso es “indeterminado</w:t>
      </w:r>
      <w:r w:rsidRPr="00FB351A">
        <w:rPr>
          <w:rFonts w:ascii="Arial" w:eastAsia="Arial MT" w:hAnsi="Arial" w:cs="Arial"/>
          <w:sz w:val="20"/>
          <w:szCs w:val="20"/>
        </w:rPr>
        <w:t>.</w:t>
      </w:r>
    </w:p>
    <w:p w14:paraId="08F05E1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085662B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Para que un proponente se considere habilitado, se requiere que cumpla con los cuatro (4) indicadores financieros anteriormente señalados.</w:t>
      </w:r>
    </w:p>
    <w:p w14:paraId="7514B49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66180C4" w14:textId="77777777" w:rsidR="00FB351A" w:rsidRPr="00FB351A" w:rsidRDefault="00FB351A" w:rsidP="00FB351A">
      <w:pPr>
        <w:numPr>
          <w:ilvl w:val="3"/>
          <w:numId w:val="1"/>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t>Capacidad Organizacional</w:t>
      </w:r>
    </w:p>
    <w:p w14:paraId="5595ACC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A1141E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Frente a la verificación de la </w:t>
      </w:r>
      <w:r w:rsidRPr="00FB351A">
        <w:rPr>
          <w:rFonts w:ascii="Arial" w:eastAsia="Arial MT" w:hAnsi="Arial" w:cs="Arial"/>
          <w:b/>
          <w:bCs/>
          <w:sz w:val="20"/>
          <w:szCs w:val="20"/>
        </w:rPr>
        <w:t>CAPACIDAD ORGANIZACIONAL</w:t>
      </w:r>
      <w:r w:rsidRPr="00FB351A">
        <w:rPr>
          <w:rFonts w:ascii="Arial" w:eastAsia="Arial MT" w:hAnsi="Arial" w:cs="Arial"/>
          <w:sz w:val="20"/>
          <w:szCs w:val="20"/>
        </w:rPr>
        <w:t>, la cual se establece en el artículo 2.2.1.1.1.5.3 del Decreto 1082 de 2015 en su numeral 4 como indicadores para medir el rendimiento de las inversiones y la eficiencia en el uso de activos, una vez verificado el mercado asegurador y atendiendo las consideraciones anteriores en el entendido que para las compañías de seguros el indicador significativo es el patrimonio que deben reportar trimestralmente a la Superintendencia Financiera de Colombia las compañías de seguros, se encuentra que estos indicadores no presentan márgenes altos e incluso existiendo compañías con indicador en negativo.</w:t>
      </w:r>
    </w:p>
    <w:p w14:paraId="33191F7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65D80F8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La actividad principal de una aseguradora consiste en cubrir determinados riesgos económicos mediante el pago de una prima que el interesado realiza a la compañía, para lo cual la importancia en este negocio se </w:t>
      </w:r>
      <w:r w:rsidRPr="00FB351A">
        <w:rPr>
          <w:rFonts w:ascii="Arial" w:eastAsia="Arial MT" w:hAnsi="Arial" w:cs="Arial"/>
          <w:sz w:val="20"/>
          <w:szCs w:val="20"/>
        </w:rPr>
        <w:lastRenderedPageBreak/>
        <w:t>centra de un lado en que las compañías aseguradoras tengan adecuadas reservas técnicas, dirigidas a garantizar el pago de los siniestros ocurridos y de otro lado que cuenten con un reasegurador adecuado que lo respalde.</w:t>
      </w:r>
    </w:p>
    <w:p w14:paraId="2CD9D52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BD37B8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Vale la pena resaltar que estos indicadores de rentabilidad del activo y del patrimonio, se utilizan para observar cual es el real margen de rentabilidad de los accionistas con relación a su inversión. Este valor, es más un indicador para análisis interno de los oferentes, toda vez que éste les permite comparar el valor obtenido con el costo de oportunidad, es decir con otras alternativas de inversión posibles del mercado, pero que no miden la capacidad financiera real de las compañías de seguros y al presentarse en negativo para algunas compañías de seguros, no significa que las mencionadas sociedades estén pasando por una mala situación organizacional.</w:t>
      </w:r>
    </w:p>
    <w:p w14:paraId="3B36F0F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45C7F8E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t>A. Índice de rentabilidad del patrimonio:</w:t>
      </w:r>
    </w:p>
    <w:p w14:paraId="23A5358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sz w:val="20"/>
          <w:szCs w:val="20"/>
        </w:rPr>
      </w:pPr>
    </w:p>
    <w:p w14:paraId="1402391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Para la Rentabilidad sobre patrimonio se calcula mediante la fórmula: Utilidad Operacional / Patrimonio: este indicador determina la rentabilidad del patrimonio del proponente, es decir, la capacidad de generación de utilidad operacional por cada peso invertido en el patrimonio. A mayor rentabilidad sobre el patrimonio, mayor es la rentabilidad de los accionistas y mejorar la capacidad organizacional del proponente </w:t>
      </w:r>
    </w:p>
    <w:p w14:paraId="34549C5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sz w:val="20"/>
          <w:szCs w:val="20"/>
        </w:rPr>
      </w:pPr>
    </w:p>
    <w:p w14:paraId="2CFE9AE9"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El Margen de las Compañías de Seguros, que habitualmente participan en procesos de contratación son los siguientes:</w:t>
      </w:r>
    </w:p>
    <w:p w14:paraId="3E89A64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tbl>
      <w:tblPr>
        <w:tblW w:w="5000" w:type="pct"/>
        <w:tblCellMar>
          <w:left w:w="70" w:type="dxa"/>
          <w:right w:w="70" w:type="dxa"/>
        </w:tblCellMar>
        <w:tblLook w:val="04A0" w:firstRow="1" w:lastRow="0" w:firstColumn="1" w:lastColumn="0" w:noHBand="0" w:noVBand="1"/>
      </w:tblPr>
      <w:tblGrid>
        <w:gridCol w:w="7850"/>
        <w:gridCol w:w="1779"/>
      </w:tblGrid>
      <w:tr w:rsidR="00FB351A" w:rsidRPr="00FB351A" w14:paraId="153F003A" w14:textId="77777777" w:rsidTr="002C3368">
        <w:trPr>
          <w:trHeight w:val="20"/>
        </w:trPr>
        <w:tc>
          <w:tcPr>
            <w:tcW w:w="4076" w:type="pct"/>
            <w:tcBorders>
              <w:top w:val="single" w:sz="4" w:space="0" w:color="auto"/>
              <w:left w:val="single" w:sz="4" w:space="0" w:color="auto"/>
              <w:bottom w:val="single" w:sz="4" w:space="0" w:color="auto"/>
              <w:right w:val="single" w:sz="4" w:space="0" w:color="auto"/>
            </w:tcBorders>
            <w:shd w:val="clear" w:color="000000" w:fill="D5DCE4"/>
            <w:vAlign w:val="center"/>
            <w:hideMark/>
          </w:tcPr>
          <w:p w14:paraId="41BDA0A7"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RENTABILIDAD DEL PATRIMONIO</w:t>
            </w:r>
          </w:p>
        </w:tc>
        <w:tc>
          <w:tcPr>
            <w:tcW w:w="924" w:type="pct"/>
            <w:tcBorders>
              <w:top w:val="single" w:sz="4" w:space="0" w:color="auto"/>
              <w:left w:val="nil"/>
              <w:bottom w:val="single" w:sz="4" w:space="0" w:color="auto"/>
              <w:right w:val="single" w:sz="4" w:space="0" w:color="auto"/>
            </w:tcBorders>
            <w:shd w:val="clear" w:color="000000" w:fill="D5DCE4"/>
            <w:vAlign w:val="center"/>
            <w:hideMark/>
          </w:tcPr>
          <w:p w14:paraId="22C907DA"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p>
        </w:tc>
      </w:tr>
      <w:tr w:rsidR="00FB351A" w:rsidRPr="00FB351A" w14:paraId="707478FD"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D5DCE4"/>
            <w:vAlign w:val="center"/>
            <w:hideMark/>
          </w:tcPr>
          <w:p w14:paraId="2CF8763B"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 AÑO</w:t>
            </w:r>
          </w:p>
        </w:tc>
        <w:tc>
          <w:tcPr>
            <w:tcW w:w="924" w:type="pct"/>
            <w:tcBorders>
              <w:top w:val="nil"/>
              <w:left w:val="nil"/>
              <w:bottom w:val="single" w:sz="4" w:space="0" w:color="auto"/>
              <w:right w:val="single" w:sz="4" w:space="0" w:color="auto"/>
            </w:tcBorders>
            <w:shd w:val="clear" w:color="000000" w:fill="D5DCE4"/>
            <w:vAlign w:val="center"/>
            <w:hideMark/>
          </w:tcPr>
          <w:p w14:paraId="52DC8202"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2025</w:t>
            </w:r>
          </w:p>
        </w:tc>
      </w:tr>
      <w:tr w:rsidR="00FB351A" w:rsidRPr="00FB351A" w14:paraId="0A95888A"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3F52823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SOLIDARIA DE COLOMBIA EC</w:t>
            </w:r>
          </w:p>
        </w:tc>
        <w:tc>
          <w:tcPr>
            <w:tcW w:w="924" w:type="pct"/>
            <w:tcBorders>
              <w:top w:val="nil"/>
              <w:left w:val="nil"/>
              <w:bottom w:val="single" w:sz="4" w:space="0" w:color="auto"/>
              <w:right w:val="single" w:sz="4" w:space="0" w:color="auto"/>
            </w:tcBorders>
            <w:shd w:val="clear" w:color="000000" w:fill="F2F2F2"/>
            <w:noWrap/>
            <w:vAlign w:val="center"/>
            <w:hideMark/>
          </w:tcPr>
          <w:p w14:paraId="5B594414"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0.16</w:t>
            </w:r>
          </w:p>
        </w:tc>
      </w:tr>
      <w:tr w:rsidR="00FB351A" w:rsidRPr="00FB351A" w14:paraId="2967F8C3"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25A3BE5F" w14:textId="71A2159E"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ASEGURADORA DE FIANZAS S. A</w:t>
            </w:r>
          </w:p>
        </w:tc>
        <w:tc>
          <w:tcPr>
            <w:tcW w:w="924" w:type="pct"/>
            <w:tcBorders>
              <w:top w:val="nil"/>
              <w:left w:val="nil"/>
              <w:bottom w:val="single" w:sz="4" w:space="0" w:color="auto"/>
              <w:right w:val="single" w:sz="4" w:space="0" w:color="auto"/>
            </w:tcBorders>
            <w:shd w:val="clear" w:color="000000" w:fill="F2F2F2"/>
            <w:noWrap/>
            <w:vAlign w:val="center"/>
            <w:hideMark/>
          </w:tcPr>
          <w:p w14:paraId="15CB0AB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0.29</w:t>
            </w:r>
          </w:p>
        </w:tc>
      </w:tr>
      <w:tr w:rsidR="00FB351A" w:rsidRPr="00FB351A" w14:paraId="3628F676"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14BF0D3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COLMENA SEGUROS DE VIDA SA</w:t>
            </w:r>
          </w:p>
        </w:tc>
        <w:tc>
          <w:tcPr>
            <w:tcW w:w="924" w:type="pct"/>
            <w:tcBorders>
              <w:top w:val="nil"/>
              <w:left w:val="nil"/>
              <w:bottom w:val="single" w:sz="4" w:space="0" w:color="auto"/>
              <w:right w:val="single" w:sz="4" w:space="0" w:color="auto"/>
            </w:tcBorders>
            <w:shd w:val="clear" w:color="000000" w:fill="F2F2F2"/>
            <w:noWrap/>
            <w:vAlign w:val="center"/>
            <w:hideMark/>
          </w:tcPr>
          <w:p w14:paraId="006B79B6"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0.16</w:t>
            </w:r>
          </w:p>
        </w:tc>
      </w:tr>
      <w:tr w:rsidR="00FB351A" w:rsidRPr="00FB351A" w14:paraId="02AD5614"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5C83E15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lang w:val="pt-PT"/>
              </w:rPr>
            </w:pPr>
            <w:r w:rsidRPr="00FB351A">
              <w:rPr>
                <w:rFonts w:ascii="Arial" w:eastAsia="Arial MT" w:hAnsi="Arial" w:cs="Arial"/>
                <w:sz w:val="20"/>
                <w:szCs w:val="20"/>
                <w:lang w:val="pt-PT"/>
              </w:rPr>
              <w:t>AXA COLPATRIA SEGUROS S.A.</w:t>
            </w:r>
          </w:p>
        </w:tc>
        <w:tc>
          <w:tcPr>
            <w:tcW w:w="924" w:type="pct"/>
            <w:tcBorders>
              <w:top w:val="nil"/>
              <w:left w:val="nil"/>
              <w:bottom w:val="single" w:sz="4" w:space="0" w:color="auto"/>
              <w:right w:val="single" w:sz="4" w:space="0" w:color="auto"/>
            </w:tcBorders>
            <w:shd w:val="clear" w:color="000000" w:fill="F2F2F2"/>
            <w:noWrap/>
            <w:vAlign w:val="center"/>
            <w:hideMark/>
          </w:tcPr>
          <w:p w14:paraId="4A67943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0.27</w:t>
            </w:r>
          </w:p>
        </w:tc>
      </w:tr>
      <w:tr w:rsidR="00FB351A" w:rsidRPr="00FB351A" w14:paraId="3E4973C4"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4ECBDFC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CHUBB DE COLOMBIA S.A.</w:t>
            </w:r>
          </w:p>
        </w:tc>
        <w:tc>
          <w:tcPr>
            <w:tcW w:w="924" w:type="pct"/>
            <w:tcBorders>
              <w:top w:val="nil"/>
              <w:left w:val="nil"/>
              <w:bottom w:val="single" w:sz="4" w:space="0" w:color="auto"/>
              <w:right w:val="single" w:sz="4" w:space="0" w:color="auto"/>
            </w:tcBorders>
            <w:shd w:val="clear" w:color="000000" w:fill="F2F2F2"/>
            <w:noWrap/>
            <w:vAlign w:val="center"/>
            <w:hideMark/>
          </w:tcPr>
          <w:p w14:paraId="7E55D7E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0.27</w:t>
            </w:r>
          </w:p>
        </w:tc>
      </w:tr>
      <w:tr w:rsidR="00FB351A" w:rsidRPr="00FB351A" w14:paraId="5AE34E14"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22EB09E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MUNDIAL DE SEGUROS S.A.</w:t>
            </w:r>
          </w:p>
        </w:tc>
        <w:tc>
          <w:tcPr>
            <w:tcW w:w="924" w:type="pct"/>
            <w:tcBorders>
              <w:top w:val="nil"/>
              <w:left w:val="nil"/>
              <w:bottom w:val="single" w:sz="4" w:space="0" w:color="auto"/>
              <w:right w:val="single" w:sz="4" w:space="0" w:color="auto"/>
            </w:tcBorders>
            <w:shd w:val="clear" w:color="000000" w:fill="F2F2F2"/>
            <w:noWrap/>
            <w:vAlign w:val="center"/>
            <w:hideMark/>
          </w:tcPr>
          <w:p w14:paraId="2DE8E699"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0.58</w:t>
            </w:r>
          </w:p>
        </w:tc>
      </w:tr>
      <w:tr w:rsidR="00FB351A" w:rsidRPr="00FB351A" w14:paraId="6C2792D6"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5D372E94"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HDI</w:t>
            </w:r>
            <w:proofErr w:type="spellEnd"/>
            <w:r w:rsidRPr="00FB351A">
              <w:rPr>
                <w:rFonts w:ascii="Arial" w:eastAsia="Arial MT" w:hAnsi="Arial" w:cs="Arial"/>
                <w:sz w:val="20"/>
                <w:szCs w:val="20"/>
              </w:rPr>
              <w:t xml:space="preserve"> SEGUROS COLOMBIA S.A.</w:t>
            </w:r>
          </w:p>
        </w:tc>
        <w:tc>
          <w:tcPr>
            <w:tcW w:w="924" w:type="pct"/>
            <w:tcBorders>
              <w:top w:val="nil"/>
              <w:left w:val="nil"/>
              <w:bottom w:val="single" w:sz="4" w:space="0" w:color="auto"/>
              <w:right w:val="single" w:sz="4" w:space="0" w:color="auto"/>
            </w:tcBorders>
            <w:shd w:val="clear" w:color="000000" w:fill="F2F2F2"/>
            <w:noWrap/>
            <w:vAlign w:val="center"/>
            <w:hideMark/>
          </w:tcPr>
          <w:p w14:paraId="2902D16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0.32</w:t>
            </w:r>
          </w:p>
        </w:tc>
      </w:tr>
      <w:tr w:rsidR="00FB351A" w:rsidRPr="00FB351A" w14:paraId="149B7087"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45390DB5"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SBS</w:t>
            </w:r>
            <w:proofErr w:type="spellEnd"/>
            <w:r w:rsidRPr="00FB351A">
              <w:rPr>
                <w:rFonts w:ascii="Arial" w:eastAsia="Arial MT" w:hAnsi="Arial" w:cs="Arial"/>
                <w:sz w:val="20"/>
                <w:szCs w:val="20"/>
              </w:rPr>
              <w:t xml:space="preserve"> SEGUROS COLOMBIA SA</w:t>
            </w:r>
          </w:p>
        </w:tc>
        <w:tc>
          <w:tcPr>
            <w:tcW w:w="924" w:type="pct"/>
            <w:tcBorders>
              <w:top w:val="nil"/>
              <w:left w:val="nil"/>
              <w:bottom w:val="single" w:sz="4" w:space="0" w:color="auto"/>
              <w:right w:val="single" w:sz="4" w:space="0" w:color="auto"/>
            </w:tcBorders>
            <w:shd w:val="clear" w:color="000000" w:fill="F2F2F2"/>
            <w:noWrap/>
            <w:vAlign w:val="center"/>
            <w:hideMark/>
          </w:tcPr>
          <w:p w14:paraId="38CFBD3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0.11</w:t>
            </w:r>
          </w:p>
        </w:tc>
      </w:tr>
      <w:tr w:rsidR="00FB351A" w:rsidRPr="00FB351A" w14:paraId="1EF7BB31"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2A38BAB2"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LA PREVISORA S.A. COMPAÑÍA DE SEGUROS</w:t>
            </w:r>
          </w:p>
        </w:tc>
        <w:tc>
          <w:tcPr>
            <w:tcW w:w="924" w:type="pct"/>
            <w:tcBorders>
              <w:top w:val="nil"/>
              <w:left w:val="nil"/>
              <w:bottom w:val="single" w:sz="4" w:space="0" w:color="auto"/>
              <w:right w:val="single" w:sz="4" w:space="0" w:color="auto"/>
            </w:tcBorders>
            <w:shd w:val="clear" w:color="000000" w:fill="F2F2F2"/>
            <w:noWrap/>
            <w:vAlign w:val="center"/>
            <w:hideMark/>
          </w:tcPr>
          <w:p w14:paraId="5D5EF55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0.18</w:t>
            </w:r>
          </w:p>
        </w:tc>
      </w:tr>
      <w:tr w:rsidR="00FB351A" w:rsidRPr="00FB351A" w14:paraId="61C8A6F4"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20D5087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MAPFRE SEGUROS GENERALES DE COLOMBIA S.A.</w:t>
            </w:r>
          </w:p>
        </w:tc>
        <w:tc>
          <w:tcPr>
            <w:tcW w:w="924" w:type="pct"/>
            <w:tcBorders>
              <w:top w:val="nil"/>
              <w:left w:val="nil"/>
              <w:bottom w:val="single" w:sz="4" w:space="0" w:color="auto"/>
              <w:right w:val="single" w:sz="4" w:space="0" w:color="auto"/>
            </w:tcBorders>
            <w:shd w:val="clear" w:color="000000" w:fill="F2F2F2"/>
            <w:noWrap/>
            <w:vAlign w:val="center"/>
            <w:hideMark/>
          </w:tcPr>
          <w:p w14:paraId="27B18F06"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0.07</w:t>
            </w:r>
          </w:p>
        </w:tc>
      </w:tr>
      <w:tr w:rsidR="00FB351A" w:rsidRPr="00FB351A" w14:paraId="4115320D"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69B9CD4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DEL ESTADO S.A.</w:t>
            </w:r>
          </w:p>
        </w:tc>
        <w:tc>
          <w:tcPr>
            <w:tcW w:w="924" w:type="pct"/>
            <w:tcBorders>
              <w:top w:val="nil"/>
              <w:left w:val="nil"/>
              <w:bottom w:val="single" w:sz="4" w:space="0" w:color="auto"/>
              <w:right w:val="single" w:sz="4" w:space="0" w:color="auto"/>
            </w:tcBorders>
            <w:shd w:val="clear" w:color="000000" w:fill="F2F2F2"/>
            <w:noWrap/>
            <w:vAlign w:val="center"/>
            <w:hideMark/>
          </w:tcPr>
          <w:p w14:paraId="1806346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0.37</w:t>
            </w:r>
          </w:p>
        </w:tc>
      </w:tr>
      <w:tr w:rsidR="00FB351A" w:rsidRPr="00FB351A" w14:paraId="5F6CBADD"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652E065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DEL ESTADO SA</w:t>
            </w:r>
          </w:p>
        </w:tc>
        <w:tc>
          <w:tcPr>
            <w:tcW w:w="924" w:type="pct"/>
            <w:tcBorders>
              <w:top w:val="nil"/>
              <w:left w:val="nil"/>
              <w:bottom w:val="single" w:sz="4" w:space="0" w:color="auto"/>
              <w:right w:val="single" w:sz="4" w:space="0" w:color="auto"/>
            </w:tcBorders>
            <w:shd w:val="clear" w:color="000000" w:fill="F2F2F2"/>
            <w:noWrap/>
            <w:vAlign w:val="center"/>
            <w:hideMark/>
          </w:tcPr>
          <w:p w14:paraId="31B748B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0.17</w:t>
            </w:r>
          </w:p>
        </w:tc>
      </w:tr>
      <w:tr w:rsidR="00FB351A" w:rsidRPr="00FB351A" w14:paraId="1C241D94"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6949A732"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 xml:space="preserve">SEGUROS GENERALES SURAMERICANA </w:t>
            </w:r>
            <w:proofErr w:type="spellStart"/>
            <w:r w:rsidRPr="00FB351A">
              <w:rPr>
                <w:rFonts w:ascii="Arial" w:eastAsia="Arial MT" w:hAnsi="Arial" w:cs="Arial"/>
                <w:sz w:val="20"/>
                <w:szCs w:val="20"/>
              </w:rPr>
              <w:t>S,A</w:t>
            </w:r>
            <w:proofErr w:type="spellEnd"/>
            <w:r w:rsidRPr="00FB351A">
              <w:rPr>
                <w:rFonts w:ascii="Arial" w:eastAsia="Arial MT" w:hAnsi="Arial" w:cs="Arial"/>
                <w:sz w:val="20"/>
                <w:szCs w:val="20"/>
              </w:rPr>
              <w:t>,</w:t>
            </w:r>
          </w:p>
        </w:tc>
        <w:tc>
          <w:tcPr>
            <w:tcW w:w="924" w:type="pct"/>
            <w:tcBorders>
              <w:top w:val="nil"/>
              <w:left w:val="nil"/>
              <w:bottom w:val="single" w:sz="4" w:space="0" w:color="auto"/>
              <w:right w:val="single" w:sz="4" w:space="0" w:color="auto"/>
            </w:tcBorders>
            <w:shd w:val="clear" w:color="000000" w:fill="F2F2F2"/>
            <w:noWrap/>
            <w:vAlign w:val="center"/>
            <w:hideMark/>
          </w:tcPr>
          <w:p w14:paraId="49A00D1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0.26</w:t>
            </w:r>
          </w:p>
        </w:tc>
      </w:tr>
      <w:tr w:rsidR="00FB351A" w:rsidRPr="00FB351A" w14:paraId="149DBC55"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308F7CE6"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POSITIVA SA COMPAÑÍA DE SEGUROS</w:t>
            </w:r>
          </w:p>
        </w:tc>
        <w:tc>
          <w:tcPr>
            <w:tcW w:w="924" w:type="pct"/>
            <w:tcBorders>
              <w:top w:val="nil"/>
              <w:left w:val="nil"/>
              <w:bottom w:val="single" w:sz="4" w:space="0" w:color="auto"/>
              <w:right w:val="single" w:sz="4" w:space="0" w:color="auto"/>
            </w:tcBorders>
            <w:shd w:val="clear" w:color="000000" w:fill="F2F2F2"/>
            <w:noWrap/>
            <w:vAlign w:val="center"/>
            <w:hideMark/>
          </w:tcPr>
          <w:p w14:paraId="0BB75DF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w:t>
            </w:r>
          </w:p>
        </w:tc>
      </w:tr>
      <w:tr w:rsidR="00FB351A" w:rsidRPr="00FB351A" w14:paraId="03C1EC1D"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024EC14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ALLIANZ SEGUROS GENERALES</w:t>
            </w:r>
          </w:p>
        </w:tc>
        <w:tc>
          <w:tcPr>
            <w:tcW w:w="924" w:type="pct"/>
            <w:tcBorders>
              <w:top w:val="nil"/>
              <w:left w:val="nil"/>
              <w:bottom w:val="single" w:sz="4" w:space="0" w:color="auto"/>
              <w:right w:val="single" w:sz="4" w:space="0" w:color="auto"/>
            </w:tcBorders>
            <w:shd w:val="clear" w:color="000000" w:fill="F2F2F2"/>
            <w:noWrap/>
            <w:vAlign w:val="center"/>
            <w:hideMark/>
          </w:tcPr>
          <w:p w14:paraId="225A7832"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0.38</w:t>
            </w:r>
          </w:p>
        </w:tc>
      </w:tr>
      <w:tr w:rsidR="00FB351A" w:rsidRPr="00FB351A" w14:paraId="5C3B6582"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418BC5C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AURORA</w:t>
            </w:r>
          </w:p>
        </w:tc>
        <w:tc>
          <w:tcPr>
            <w:tcW w:w="924" w:type="pct"/>
            <w:tcBorders>
              <w:top w:val="nil"/>
              <w:left w:val="nil"/>
              <w:bottom w:val="single" w:sz="4" w:space="0" w:color="auto"/>
              <w:right w:val="single" w:sz="4" w:space="0" w:color="auto"/>
            </w:tcBorders>
            <w:shd w:val="clear" w:color="000000" w:fill="F2F2F2"/>
            <w:noWrap/>
            <w:vAlign w:val="center"/>
            <w:hideMark/>
          </w:tcPr>
          <w:p w14:paraId="2A2EB0A5"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0.05</w:t>
            </w:r>
          </w:p>
        </w:tc>
      </w:tr>
      <w:tr w:rsidR="00FB351A" w:rsidRPr="00FB351A" w14:paraId="6BB47CA9"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F2F2F2"/>
            <w:noWrap/>
            <w:vAlign w:val="center"/>
            <w:hideMark/>
          </w:tcPr>
          <w:p w14:paraId="6DB2159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ZURICH SEGUROS COLOMBIA SA</w:t>
            </w:r>
          </w:p>
        </w:tc>
        <w:tc>
          <w:tcPr>
            <w:tcW w:w="924" w:type="pct"/>
            <w:tcBorders>
              <w:top w:val="nil"/>
              <w:left w:val="nil"/>
              <w:bottom w:val="single" w:sz="4" w:space="0" w:color="auto"/>
              <w:right w:val="single" w:sz="4" w:space="0" w:color="auto"/>
            </w:tcBorders>
            <w:shd w:val="clear" w:color="000000" w:fill="F2F2F2"/>
            <w:noWrap/>
            <w:vAlign w:val="center"/>
            <w:hideMark/>
          </w:tcPr>
          <w:p w14:paraId="63F2911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-0.58</w:t>
            </w:r>
          </w:p>
        </w:tc>
      </w:tr>
      <w:tr w:rsidR="00FB351A" w:rsidRPr="00FB351A" w14:paraId="262A7895"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E2EFDA"/>
            <w:noWrap/>
            <w:vAlign w:val="center"/>
            <w:hideMark/>
          </w:tcPr>
          <w:p w14:paraId="061F5BC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PROMEDIO</w:t>
            </w:r>
          </w:p>
        </w:tc>
        <w:tc>
          <w:tcPr>
            <w:tcW w:w="924" w:type="pct"/>
            <w:tcBorders>
              <w:top w:val="nil"/>
              <w:left w:val="nil"/>
              <w:bottom w:val="single" w:sz="4" w:space="0" w:color="auto"/>
              <w:right w:val="single" w:sz="4" w:space="0" w:color="auto"/>
            </w:tcBorders>
            <w:shd w:val="clear" w:color="000000" w:fill="E2EFDA"/>
            <w:noWrap/>
            <w:vAlign w:val="center"/>
            <w:hideMark/>
          </w:tcPr>
          <w:p w14:paraId="7C10A8D9"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0.18</w:t>
            </w:r>
          </w:p>
        </w:tc>
      </w:tr>
      <w:tr w:rsidR="00FB351A" w:rsidRPr="00FB351A" w14:paraId="55C75133"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E2EFDA"/>
            <w:noWrap/>
            <w:vAlign w:val="center"/>
            <w:hideMark/>
          </w:tcPr>
          <w:p w14:paraId="4660A766"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MEDIANA</w:t>
            </w:r>
          </w:p>
        </w:tc>
        <w:tc>
          <w:tcPr>
            <w:tcW w:w="924" w:type="pct"/>
            <w:tcBorders>
              <w:top w:val="nil"/>
              <w:left w:val="nil"/>
              <w:bottom w:val="single" w:sz="4" w:space="0" w:color="auto"/>
              <w:right w:val="single" w:sz="4" w:space="0" w:color="auto"/>
            </w:tcBorders>
            <w:shd w:val="clear" w:color="000000" w:fill="E2EFDA"/>
            <w:noWrap/>
            <w:vAlign w:val="center"/>
            <w:hideMark/>
          </w:tcPr>
          <w:p w14:paraId="0502C189"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0.18</w:t>
            </w:r>
          </w:p>
        </w:tc>
      </w:tr>
      <w:tr w:rsidR="00FB351A" w:rsidRPr="00FB351A" w14:paraId="39EAB9C5"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E2EFDA"/>
            <w:noWrap/>
            <w:vAlign w:val="center"/>
            <w:hideMark/>
          </w:tcPr>
          <w:p w14:paraId="5A8306B7" w14:textId="51624856"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DESVIACIÓN ESTÁNDAR</w:t>
            </w:r>
          </w:p>
        </w:tc>
        <w:tc>
          <w:tcPr>
            <w:tcW w:w="924" w:type="pct"/>
            <w:tcBorders>
              <w:top w:val="nil"/>
              <w:left w:val="nil"/>
              <w:bottom w:val="single" w:sz="4" w:space="0" w:color="auto"/>
              <w:right w:val="single" w:sz="4" w:space="0" w:color="auto"/>
            </w:tcBorders>
            <w:shd w:val="clear" w:color="000000" w:fill="E2EFDA"/>
            <w:noWrap/>
            <w:vAlign w:val="center"/>
            <w:hideMark/>
          </w:tcPr>
          <w:p w14:paraId="6FA5779D"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0.24</w:t>
            </w:r>
          </w:p>
        </w:tc>
      </w:tr>
      <w:tr w:rsidR="00FB351A" w:rsidRPr="00FB351A" w14:paraId="3BA71BD0" w14:textId="77777777" w:rsidTr="002C3368">
        <w:trPr>
          <w:trHeight w:val="20"/>
        </w:trPr>
        <w:tc>
          <w:tcPr>
            <w:tcW w:w="4076" w:type="pct"/>
            <w:tcBorders>
              <w:top w:val="nil"/>
              <w:left w:val="single" w:sz="4" w:space="0" w:color="auto"/>
              <w:bottom w:val="single" w:sz="4" w:space="0" w:color="auto"/>
              <w:right w:val="single" w:sz="4" w:space="0" w:color="auto"/>
            </w:tcBorders>
            <w:shd w:val="clear" w:color="000000" w:fill="E2EFDA"/>
            <w:noWrap/>
            <w:vAlign w:val="center"/>
            <w:hideMark/>
          </w:tcPr>
          <w:p w14:paraId="7CE59E9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 ACOTADA</w:t>
            </w:r>
          </w:p>
        </w:tc>
        <w:tc>
          <w:tcPr>
            <w:tcW w:w="924" w:type="pct"/>
            <w:tcBorders>
              <w:top w:val="nil"/>
              <w:left w:val="nil"/>
              <w:bottom w:val="single" w:sz="4" w:space="0" w:color="auto"/>
              <w:right w:val="single" w:sz="4" w:space="0" w:color="auto"/>
            </w:tcBorders>
            <w:shd w:val="clear" w:color="000000" w:fill="E2EFDA"/>
            <w:noWrap/>
            <w:vAlign w:val="center"/>
            <w:hideMark/>
          </w:tcPr>
          <w:p w14:paraId="100219D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0.20</w:t>
            </w:r>
          </w:p>
        </w:tc>
      </w:tr>
    </w:tbl>
    <w:p w14:paraId="14E2BCF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r w:rsidRPr="00FB351A">
        <w:rPr>
          <w:rFonts w:ascii="Arial" w:eastAsia="Arial MT" w:hAnsi="Arial" w:cs="Arial"/>
          <w:sz w:val="20"/>
          <w:szCs w:val="20"/>
          <w:lang w:val="es-ES"/>
        </w:rPr>
        <w:t xml:space="preserve">Cuadro Rentabilidad del patrimonio compañías de seguros que participan en procesos de selección. Corte financiero 31 de diciembre de 2025. Elaborada por el intermediario de seguros de la entidad </w:t>
      </w:r>
    </w:p>
    <w:p w14:paraId="59778D9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5A7EE4F7" w14:textId="77777777" w:rsidR="00FB351A" w:rsidRPr="00FB351A" w:rsidRDefault="00FB351A">
      <w:pPr>
        <w:numPr>
          <w:ilvl w:val="1"/>
          <w:numId w:val="24"/>
        </w:num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b/>
          <w:sz w:val="20"/>
          <w:szCs w:val="20"/>
        </w:rPr>
        <w:lastRenderedPageBreak/>
        <w:t>Índice de rentabilidad del activo:</w:t>
      </w:r>
    </w:p>
    <w:p w14:paraId="5122CA2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sz w:val="20"/>
          <w:szCs w:val="20"/>
        </w:rPr>
      </w:pPr>
    </w:p>
    <w:p w14:paraId="3EB1D54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Con relación a la Rentabilidad sobre activos se calcula mediante la fórmula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w:t>
      </w:r>
    </w:p>
    <w:p w14:paraId="47506EA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3B185F5"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b/>
          <w:sz w:val="20"/>
          <w:szCs w:val="20"/>
        </w:rPr>
      </w:pPr>
      <w:r w:rsidRPr="00FB351A">
        <w:rPr>
          <w:rFonts w:ascii="Arial" w:eastAsia="Arial MT" w:hAnsi="Arial" w:cs="Arial"/>
          <w:sz w:val="20"/>
          <w:szCs w:val="20"/>
        </w:rPr>
        <w:t>El Margen de las Compañías de Seguros, que habitualmente participan en procesos de contratación son los siguientes:</w:t>
      </w:r>
    </w:p>
    <w:p w14:paraId="7C6CF5E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tbl>
      <w:tblPr>
        <w:tblW w:w="5000" w:type="pct"/>
        <w:tblCellMar>
          <w:left w:w="70" w:type="dxa"/>
          <w:right w:w="70" w:type="dxa"/>
        </w:tblCellMar>
        <w:tblLook w:val="04A0" w:firstRow="1" w:lastRow="0" w:firstColumn="1" w:lastColumn="0" w:noHBand="0" w:noVBand="1"/>
      </w:tblPr>
      <w:tblGrid>
        <w:gridCol w:w="7954"/>
        <w:gridCol w:w="1675"/>
      </w:tblGrid>
      <w:tr w:rsidR="00FB351A" w:rsidRPr="00FB351A" w14:paraId="7BF3A4FE" w14:textId="77777777" w:rsidTr="002C3368">
        <w:trPr>
          <w:trHeight w:val="57"/>
        </w:trPr>
        <w:tc>
          <w:tcPr>
            <w:tcW w:w="4130" w:type="pct"/>
            <w:tcBorders>
              <w:top w:val="single" w:sz="4" w:space="0" w:color="auto"/>
              <w:left w:val="single" w:sz="4" w:space="0" w:color="auto"/>
              <w:bottom w:val="single" w:sz="4" w:space="0" w:color="auto"/>
              <w:right w:val="single" w:sz="4" w:space="0" w:color="auto"/>
            </w:tcBorders>
            <w:shd w:val="clear" w:color="000000" w:fill="D5DCE4"/>
            <w:vAlign w:val="center"/>
            <w:hideMark/>
          </w:tcPr>
          <w:p w14:paraId="7B234A8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RENTABILIDAD DEL ACTIVO</w:t>
            </w:r>
          </w:p>
        </w:tc>
        <w:tc>
          <w:tcPr>
            <w:tcW w:w="870" w:type="pct"/>
            <w:tcBorders>
              <w:top w:val="single" w:sz="4" w:space="0" w:color="auto"/>
              <w:left w:val="nil"/>
              <w:bottom w:val="single" w:sz="4" w:space="0" w:color="auto"/>
              <w:right w:val="single" w:sz="4" w:space="0" w:color="auto"/>
            </w:tcBorders>
            <w:shd w:val="clear" w:color="000000" w:fill="D5DCE4"/>
            <w:vAlign w:val="center"/>
            <w:hideMark/>
          </w:tcPr>
          <w:p w14:paraId="13F0121D"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p>
        </w:tc>
      </w:tr>
      <w:tr w:rsidR="00FB351A" w:rsidRPr="00FB351A" w14:paraId="6B3EE9F3"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D5DCE4"/>
            <w:vAlign w:val="center"/>
            <w:hideMark/>
          </w:tcPr>
          <w:p w14:paraId="4D0DA8E5"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 AÑO</w:t>
            </w:r>
          </w:p>
        </w:tc>
        <w:tc>
          <w:tcPr>
            <w:tcW w:w="870" w:type="pct"/>
            <w:tcBorders>
              <w:top w:val="nil"/>
              <w:left w:val="nil"/>
              <w:bottom w:val="single" w:sz="4" w:space="0" w:color="auto"/>
              <w:right w:val="single" w:sz="4" w:space="0" w:color="auto"/>
            </w:tcBorders>
            <w:shd w:val="clear" w:color="000000" w:fill="D5DCE4"/>
            <w:vAlign w:val="center"/>
            <w:hideMark/>
          </w:tcPr>
          <w:p w14:paraId="20154684"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2025</w:t>
            </w:r>
          </w:p>
        </w:tc>
      </w:tr>
      <w:tr w:rsidR="00FB351A" w:rsidRPr="00FB351A" w14:paraId="3988CC0A"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67A211BA"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ASEGURADORA SOLIDARIA DE COLOMBIA EC</w:t>
            </w:r>
          </w:p>
        </w:tc>
        <w:tc>
          <w:tcPr>
            <w:tcW w:w="870" w:type="pct"/>
            <w:tcBorders>
              <w:top w:val="nil"/>
              <w:left w:val="nil"/>
              <w:bottom w:val="single" w:sz="4" w:space="0" w:color="auto"/>
              <w:right w:val="single" w:sz="4" w:space="0" w:color="auto"/>
            </w:tcBorders>
            <w:shd w:val="clear" w:color="000000" w:fill="F2F2F2"/>
            <w:noWrap/>
            <w:vAlign w:val="center"/>
            <w:hideMark/>
          </w:tcPr>
          <w:p w14:paraId="4F8EEF8D"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0.04</w:t>
            </w:r>
          </w:p>
        </w:tc>
      </w:tr>
      <w:tr w:rsidR="00FB351A" w:rsidRPr="00FB351A" w14:paraId="14F94C71"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500870FA" w14:textId="20BBE334"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ASEGURADORA DE FIANZAS S. A</w:t>
            </w:r>
          </w:p>
        </w:tc>
        <w:tc>
          <w:tcPr>
            <w:tcW w:w="870" w:type="pct"/>
            <w:tcBorders>
              <w:top w:val="nil"/>
              <w:left w:val="nil"/>
              <w:bottom w:val="single" w:sz="4" w:space="0" w:color="auto"/>
              <w:right w:val="single" w:sz="4" w:space="0" w:color="auto"/>
            </w:tcBorders>
            <w:shd w:val="clear" w:color="000000" w:fill="F2F2F2"/>
            <w:noWrap/>
            <w:vAlign w:val="center"/>
            <w:hideMark/>
          </w:tcPr>
          <w:p w14:paraId="6EE2FC6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0.04</w:t>
            </w:r>
          </w:p>
        </w:tc>
      </w:tr>
      <w:tr w:rsidR="00FB351A" w:rsidRPr="00FB351A" w14:paraId="33024D88"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3AF642DF"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COLMENA SEGUROS DE VIDA SA</w:t>
            </w:r>
          </w:p>
        </w:tc>
        <w:tc>
          <w:tcPr>
            <w:tcW w:w="870" w:type="pct"/>
            <w:tcBorders>
              <w:top w:val="nil"/>
              <w:left w:val="nil"/>
              <w:bottom w:val="single" w:sz="4" w:space="0" w:color="auto"/>
              <w:right w:val="single" w:sz="4" w:space="0" w:color="auto"/>
            </w:tcBorders>
            <w:shd w:val="clear" w:color="000000" w:fill="F2F2F2"/>
            <w:noWrap/>
            <w:vAlign w:val="center"/>
            <w:hideMark/>
          </w:tcPr>
          <w:p w14:paraId="14704B3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0.06</w:t>
            </w:r>
          </w:p>
        </w:tc>
      </w:tr>
      <w:tr w:rsidR="00FB351A" w:rsidRPr="00FB351A" w14:paraId="772C24A1"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7A6517F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lang w:val="pt-PT"/>
              </w:rPr>
            </w:pPr>
            <w:r w:rsidRPr="00FB351A">
              <w:rPr>
                <w:rFonts w:ascii="Arial" w:eastAsia="Arial MT" w:hAnsi="Arial" w:cs="Arial"/>
                <w:sz w:val="20"/>
                <w:szCs w:val="20"/>
                <w:lang w:val="pt-PT"/>
              </w:rPr>
              <w:t>AXA COLPATRIA SEGUROS S.A.</w:t>
            </w:r>
          </w:p>
        </w:tc>
        <w:tc>
          <w:tcPr>
            <w:tcW w:w="870" w:type="pct"/>
            <w:tcBorders>
              <w:top w:val="nil"/>
              <w:left w:val="nil"/>
              <w:bottom w:val="single" w:sz="4" w:space="0" w:color="auto"/>
              <w:right w:val="single" w:sz="4" w:space="0" w:color="auto"/>
            </w:tcBorders>
            <w:shd w:val="clear" w:color="000000" w:fill="F2F2F2"/>
            <w:noWrap/>
            <w:vAlign w:val="center"/>
            <w:hideMark/>
          </w:tcPr>
          <w:p w14:paraId="1356775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0.03</w:t>
            </w:r>
          </w:p>
        </w:tc>
      </w:tr>
      <w:tr w:rsidR="00FB351A" w:rsidRPr="00FB351A" w14:paraId="65F15FE0"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73863C4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CHUBB DE COLOMBIA S.A.</w:t>
            </w:r>
          </w:p>
        </w:tc>
        <w:tc>
          <w:tcPr>
            <w:tcW w:w="870" w:type="pct"/>
            <w:tcBorders>
              <w:top w:val="nil"/>
              <w:left w:val="nil"/>
              <w:bottom w:val="single" w:sz="4" w:space="0" w:color="auto"/>
              <w:right w:val="single" w:sz="4" w:space="0" w:color="auto"/>
            </w:tcBorders>
            <w:shd w:val="clear" w:color="000000" w:fill="F2F2F2"/>
            <w:noWrap/>
            <w:vAlign w:val="center"/>
            <w:hideMark/>
          </w:tcPr>
          <w:p w14:paraId="7FC28EE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0.04</w:t>
            </w:r>
          </w:p>
        </w:tc>
      </w:tr>
      <w:tr w:rsidR="00FB351A" w:rsidRPr="00FB351A" w14:paraId="2285D8AA"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77F80F7B"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COMPAÑÍA MUNDIAL DE SEGUROS S.A.</w:t>
            </w:r>
          </w:p>
        </w:tc>
        <w:tc>
          <w:tcPr>
            <w:tcW w:w="870" w:type="pct"/>
            <w:tcBorders>
              <w:top w:val="nil"/>
              <w:left w:val="nil"/>
              <w:bottom w:val="single" w:sz="4" w:space="0" w:color="auto"/>
              <w:right w:val="single" w:sz="4" w:space="0" w:color="auto"/>
            </w:tcBorders>
            <w:shd w:val="clear" w:color="000000" w:fill="F2F2F2"/>
            <w:noWrap/>
            <w:vAlign w:val="center"/>
            <w:hideMark/>
          </w:tcPr>
          <w:p w14:paraId="0276CC3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0.04</w:t>
            </w:r>
          </w:p>
        </w:tc>
      </w:tr>
      <w:tr w:rsidR="00FB351A" w:rsidRPr="00FB351A" w14:paraId="7C9D0515"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03D5B47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HDI</w:t>
            </w:r>
            <w:proofErr w:type="spellEnd"/>
            <w:r w:rsidRPr="00FB351A">
              <w:rPr>
                <w:rFonts w:ascii="Arial" w:eastAsia="Arial MT" w:hAnsi="Arial" w:cs="Arial"/>
                <w:sz w:val="20"/>
                <w:szCs w:val="20"/>
              </w:rPr>
              <w:t xml:space="preserve"> SEGUROS COLOMBIA S.A.</w:t>
            </w:r>
          </w:p>
        </w:tc>
        <w:tc>
          <w:tcPr>
            <w:tcW w:w="870" w:type="pct"/>
            <w:tcBorders>
              <w:top w:val="nil"/>
              <w:left w:val="nil"/>
              <w:bottom w:val="single" w:sz="4" w:space="0" w:color="auto"/>
              <w:right w:val="single" w:sz="4" w:space="0" w:color="auto"/>
            </w:tcBorders>
            <w:shd w:val="clear" w:color="000000" w:fill="F2F2F2"/>
            <w:noWrap/>
            <w:vAlign w:val="center"/>
            <w:hideMark/>
          </w:tcPr>
          <w:p w14:paraId="38785D3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0.06</w:t>
            </w:r>
          </w:p>
        </w:tc>
      </w:tr>
      <w:tr w:rsidR="00FB351A" w:rsidRPr="00FB351A" w14:paraId="36451195"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2ED8EB5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proofErr w:type="spellStart"/>
            <w:r w:rsidRPr="00FB351A">
              <w:rPr>
                <w:rFonts w:ascii="Arial" w:eastAsia="Arial MT" w:hAnsi="Arial" w:cs="Arial"/>
                <w:sz w:val="20"/>
                <w:szCs w:val="20"/>
              </w:rPr>
              <w:t>SBS</w:t>
            </w:r>
            <w:proofErr w:type="spellEnd"/>
            <w:r w:rsidRPr="00FB351A">
              <w:rPr>
                <w:rFonts w:ascii="Arial" w:eastAsia="Arial MT" w:hAnsi="Arial" w:cs="Arial"/>
                <w:sz w:val="20"/>
                <w:szCs w:val="20"/>
              </w:rPr>
              <w:t xml:space="preserve"> SEGUROS COLOMBIA SA</w:t>
            </w:r>
          </w:p>
        </w:tc>
        <w:tc>
          <w:tcPr>
            <w:tcW w:w="870" w:type="pct"/>
            <w:tcBorders>
              <w:top w:val="nil"/>
              <w:left w:val="nil"/>
              <w:bottom w:val="single" w:sz="4" w:space="0" w:color="auto"/>
              <w:right w:val="single" w:sz="4" w:space="0" w:color="auto"/>
            </w:tcBorders>
            <w:shd w:val="clear" w:color="000000" w:fill="F2F2F2"/>
            <w:noWrap/>
            <w:vAlign w:val="center"/>
            <w:hideMark/>
          </w:tcPr>
          <w:p w14:paraId="52CA4EFD"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0.01</w:t>
            </w:r>
          </w:p>
        </w:tc>
      </w:tr>
      <w:tr w:rsidR="00FB351A" w:rsidRPr="00FB351A" w14:paraId="33669640"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12C05A85"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LA PREVISORA S.A. COMPAÑÍA DE SEGUROS</w:t>
            </w:r>
          </w:p>
        </w:tc>
        <w:tc>
          <w:tcPr>
            <w:tcW w:w="870" w:type="pct"/>
            <w:tcBorders>
              <w:top w:val="nil"/>
              <w:left w:val="nil"/>
              <w:bottom w:val="single" w:sz="4" w:space="0" w:color="auto"/>
              <w:right w:val="single" w:sz="4" w:space="0" w:color="auto"/>
            </w:tcBorders>
            <w:shd w:val="clear" w:color="000000" w:fill="F2F2F2"/>
            <w:noWrap/>
            <w:vAlign w:val="center"/>
            <w:hideMark/>
          </w:tcPr>
          <w:p w14:paraId="785D6E8A"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0.03</w:t>
            </w:r>
          </w:p>
        </w:tc>
      </w:tr>
      <w:tr w:rsidR="00FB351A" w:rsidRPr="00FB351A" w14:paraId="04AF250E"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019EE14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MAPFRE SEGUROS GENERALES DE COLOMBIA S.A.</w:t>
            </w:r>
          </w:p>
        </w:tc>
        <w:tc>
          <w:tcPr>
            <w:tcW w:w="870" w:type="pct"/>
            <w:tcBorders>
              <w:top w:val="nil"/>
              <w:left w:val="nil"/>
              <w:bottom w:val="single" w:sz="4" w:space="0" w:color="auto"/>
              <w:right w:val="single" w:sz="4" w:space="0" w:color="auto"/>
            </w:tcBorders>
            <w:shd w:val="clear" w:color="000000" w:fill="F2F2F2"/>
            <w:noWrap/>
            <w:vAlign w:val="center"/>
            <w:hideMark/>
          </w:tcPr>
          <w:p w14:paraId="47362ED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0.01</w:t>
            </w:r>
          </w:p>
        </w:tc>
      </w:tr>
      <w:tr w:rsidR="00FB351A" w:rsidRPr="00FB351A" w14:paraId="4C4B63C9"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4E2D4534"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DEL ESTADO S.A.</w:t>
            </w:r>
          </w:p>
        </w:tc>
        <w:tc>
          <w:tcPr>
            <w:tcW w:w="870" w:type="pct"/>
            <w:tcBorders>
              <w:top w:val="nil"/>
              <w:left w:val="nil"/>
              <w:bottom w:val="single" w:sz="4" w:space="0" w:color="auto"/>
              <w:right w:val="single" w:sz="4" w:space="0" w:color="auto"/>
            </w:tcBorders>
            <w:shd w:val="clear" w:color="000000" w:fill="F2F2F2"/>
            <w:noWrap/>
            <w:vAlign w:val="center"/>
            <w:hideMark/>
          </w:tcPr>
          <w:p w14:paraId="39C4C1CB"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0.05</w:t>
            </w:r>
          </w:p>
        </w:tc>
      </w:tr>
      <w:tr w:rsidR="00FB351A" w:rsidRPr="00FB351A" w14:paraId="37125BC7"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033FE419"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DEL ESTADO SA</w:t>
            </w:r>
          </w:p>
        </w:tc>
        <w:tc>
          <w:tcPr>
            <w:tcW w:w="870" w:type="pct"/>
            <w:tcBorders>
              <w:top w:val="nil"/>
              <w:left w:val="nil"/>
              <w:bottom w:val="single" w:sz="4" w:space="0" w:color="auto"/>
              <w:right w:val="single" w:sz="4" w:space="0" w:color="auto"/>
            </w:tcBorders>
            <w:shd w:val="clear" w:color="000000" w:fill="F2F2F2"/>
            <w:noWrap/>
            <w:vAlign w:val="center"/>
            <w:hideMark/>
          </w:tcPr>
          <w:p w14:paraId="451E50E6"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0.04</w:t>
            </w:r>
          </w:p>
        </w:tc>
      </w:tr>
      <w:tr w:rsidR="00FB351A" w:rsidRPr="00FB351A" w14:paraId="0EF487CD"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5657B21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GENERALES SURAMERICANA S, A,</w:t>
            </w:r>
          </w:p>
        </w:tc>
        <w:tc>
          <w:tcPr>
            <w:tcW w:w="870" w:type="pct"/>
            <w:tcBorders>
              <w:top w:val="nil"/>
              <w:left w:val="nil"/>
              <w:bottom w:val="single" w:sz="4" w:space="0" w:color="auto"/>
              <w:right w:val="single" w:sz="4" w:space="0" w:color="auto"/>
            </w:tcBorders>
            <w:shd w:val="clear" w:color="000000" w:fill="F2F2F2"/>
            <w:noWrap/>
            <w:vAlign w:val="center"/>
            <w:hideMark/>
          </w:tcPr>
          <w:p w14:paraId="7D5708AB"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0.05</w:t>
            </w:r>
          </w:p>
        </w:tc>
      </w:tr>
      <w:tr w:rsidR="00FB351A" w:rsidRPr="00FB351A" w14:paraId="54C78BCD"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560A8ABA"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POSITIVA SA COMPAÑÍA DE SEGUROS</w:t>
            </w:r>
          </w:p>
        </w:tc>
        <w:tc>
          <w:tcPr>
            <w:tcW w:w="870" w:type="pct"/>
            <w:tcBorders>
              <w:top w:val="nil"/>
              <w:left w:val="nil"/>
              <w:bottom w:val="single" w:sz="4" w:space="0" w:color="auto"/>
              <w:right w:val="single" w:sz="4" w:space="0" w:color="auto"/>
            </w:tcBorders>
            <w:shd w:val="clear" w:color="000000" w:fill="F2F2F2"/>
            <w:noWrap/>
            <w:vAlign w:val="center"/>
            <w:hideMark/>
          </w:tcPr>
          <w:p w14:paraId="6D78F7C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w:t>
            </w:r>
          </w:p>
        </w:tc>
      </w:tr>
      <w:tr w:rsidR="00FB351A" w:rsidRPr="00FB351A" w14:paraId="584BF129"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064B1BF5"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ALLIANZ SEGUROS GENERALES</w:t>
            </w:r>
          </w:p>
        </w:tc>
        <w:tc>
          <w:tcPr>
            <w:tcW w:w="870" w:type="pct"/>
            <w:tcBorders>
              <w:top w:val="nil"/>
              <w:left w:val="nil"/>
              <w:bottom w:val="single" w:sz="4" w:space="0" w:color="auto"/>
              <w:right w:val="single" w:sz="4" w:space="0" w:color="auto"/>
            </w:tcBorders>
            <w:shd w:val="clear" w:color="000000" w:fill="F2F2F2"/>
            <w:noWrap/>
            <w:vAlign w:val="center"/>
            <w:hideMark/>
          </w:tcPr>
          <w:p w14:paraId="0A7C296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0.05</w:t>
            </w:r>
          </w:p>
        </w:tc>
      </w:tr>
      <w:tr w:rsidR="00FB351A" w:rsidRPr="00FB351A" w14:paraId="0EAAD8DC"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746F8EF4"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SEGUROS DE VIDA AURORA</w:t>
            </w:r>
          </w:p>
        </w:tc>
        <w:tc>
          <w:tcPr>
            <w:tcW w:w="870" w:type="pct"/>
            <w:tcBorders>
              <w:top w:val="nil"/>
              <w:left w:val="nil"/>
              <w:bottom w:val="single" w:sz="4" w:space="0" w:color="auto"/>
              <w:right w:val="single" w:sz="4" w:space="0" w:color="auto"/>
            </w:tcBorders>
            <w:shd w:val="clear" w:color="000000" w:fill="F2F2F2"/>
            <w:noWrap/>
            <w:vAlign w:val="center"/>
            <w:hideMark/>
          </w:tcPr>
          <w:p w14:paraId="76CC176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0.02</w:t>
            </w:r>
          </w:p>
        </w:tc>
      </w:tr>
      <w:tr w:rsidR="00FB351A" w:rsidRPr="00FB351A" w14:paraId="63C6591F"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F2F2F2"/>
            <w:noWrap/>
            <w:vAlign w:val="center"/>
            <w:hideMark/>
          </w:tcPr>
          <w:p w14:paraId="4B4E2EF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ZURICH SEGUROS COLOMBIA SA</w:t>
            </w:r>
          </w:p>
        </w:tc>
        <w:tc>
          <w:tcPr>
            <w:tcW w:w="870" w:type="pct"/>
            <w:tcBorders>
              <w:top w:val="nil"/>
              <w:left w:val="nil"/>
              <w:bottom w:val="single" w:sz="4" w:space="0" w:color="auto"/>
              <w:right w:val="single" w:sz="4" w:space="0" w:color="auto"/>
            </w:tcBorders>
            <w:shd w:val="clear" w:color="000000" w:fill="F2F2F2"/>
            <w:noWrap/>
            <w:vAlign w:val="center"/>
            <w:hideMark/>
          </w:tcPr>
          <w:p w14:paraId="116B7DD0"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-0.06</w:t>
            </w:r>
          </w:p>
        </w:tc>
      </w:tr>
      <w:tr w:rsidR="00FB351A" w:rsidRPr="00FB351A" w14:paraId="7989E206"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E2EFDA"/>
            <w:noWrap/>
            <w:vAlign w:val="center"/>
            <w:hideMark/>
          </w:tcPr>
          <w:p w14:paraId="4B55DBD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PROMEDIO</w:t>
            </w:r>
          </w:p>
        </w:tc>
        <w:tc>
          <w:tcPr>
            <w:tcW w:w="870" w:type="pct"/>
            <w:tcBorders>
              <w:top w:val="nil"/>
              <w:left w:val="nil"/>
              <w:bottom w:val="single" w:sz="4" w:space="0" w:color="auto"/>
              <w:right w:val="single" w:sz="4" w:space="0" w:color="auto"/>
            </w:tcBorders>
            <w:shd w:val="clear" w:color="000000" w:fill="E2EFDA"/>
            <w:noWrap/>
            <w:vAlign w:val="center"/>
            <w:hideMark/>
          </w:tcPr>
          <w:p w14:paraId="37DECDC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0.03</w:t>
            </w:r>
          </w:p>
        </w:tc>
      </w:tr>
      <w:tr w:rsidR="00FB351A" w:rsidRPr="00FB351A" w14:paraId="08683450"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E2EFDA"/>
            <w:noWrap/>
            <w:vAlign w:val="center"/>
            <w:hideMark/>
          </w:tcPr>
          <w:p w14:paraId="39B0F4F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MEDIANA</w:t>
            </w:r>
          </w:p>
        </w:tc>
        <w:tc>
          <w:tcPr>
            <w:tcW w:w="870" w:type="pct"/>
            <w:tcBorders>
              <w:top w:val="nil"/>
              <w:left w:val="nil"/>
              <w:bottom w:val="single" w:sz="4" w:space="0" w:color="auto"/>
              <w:right w:val="single" w:sz="4" w:space="0" w:color="auto"/>
            </w:tcBorders>
            <w:shd w:val="clear" w:color="000000" w:fill="E2EFDA"/>
            <w:noWrap/>
            <w:vAlign w:val="center"/>
            <w:hideMark/>
          </w:tcPr>
          <w:p w14:paraId="54B3950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0.04</w:t>
            </w:r>
          </w:p>
        </w:tc>
      </w:tr>
      <w:tr w:rsidR="00FB351A" w:rsidRPr="00FB351A" w14:paraId="71066552"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E2EFDA"/>
            <w:noWrap/>
            <w:vAlign w:val="center"/>
            <w:hideMark/>
          </w:tcPr>
          <w:p w14:paraId="20AB9896" w14:textId="2F038EED"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DESVIACIÓN ESTÁNDAR</w:t>
            </w:r>
          </w:p>
        </w:tc>
        <w:tc>
          <w:tcPr>
            <w:tcW w:w="870" w:type="pct"/>
            <w:tcBorders>
              <w:top w:val="nil"/>
              <w:left w:val="nil"/>
              <w:bottom w:val="single" w:sz="4" w:space="0" w:color="auto"/>
              <w:right w:val="single" w:sz="4" w:space="0" w:color="auto"/>
            </w:tcBorders>
            <w:shd w:val="clear" w:color="000000" w:fill="E2EFDA"/>
            <w:noWrap/>
            <w:vAlign w:val="center"/>
            <w:hideMark/>
          </w:tcPr>
          <w:p w14:paraId="72097CD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0.03</w:t>
            </w:r>
          </w:p>
        </w:tc>
      </w:tr>
      <w:tr w:rsidR="00FB351A" w:rsidRPr="00FB351A" w14:paraId="50F13779" w14:textId="77777777" w:rsidTr="002C3368">
        <w:trPr>
          <w:trHeight w:val="57"/>
        </w:trPr>
        <w:tc>
          <w:tcPr>
            <w:tcW w:w="4130" w:type="pct"/>
            <w:tcBorders>
              <w:top w:val="nil"/>
              <w:left w:val="single" w:sz="4" w:space="0" w:color="auto"/>
              <w:bottom w:val="single" w:sz="4" w:space="0" w:color="auto"/>
              <w:right w:val="single" w:sz="4" w:space="0" w:color="auto"/>
            </w:tcBorders>
            <w:shd w:val="clear" w:color="000000" w:fill="E2EFDA"/>
            <w:noWrap/>
            <w:vAlign w:val="center"/>
            <w:hideMark/>
          </w:tcPr>
          <w:p w14:paraId="1D69DD52"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MEDIA ACOTADA</w:t>
            </w:r>
          </w:p>
        </w:tc>
        <w:tc>
          <w:tcPr>
            <w:tcW w:w="870" w:type="pct"/>
            <w:tcBorders>
              <w:top w:val="nil"/>
              <w:left w:val="nil"/>
              <w:bottom w:val="single" w:sz="4" w:space="0" w:color="auto"/>
              <w:right w:val="single" w:sz="4" w:space="0" w:color="auto"/>
            </w:tcBorders>
            <w:shd w:val="clear" w:color="000000" w:fill="E2EFDA"/>
            <w:noWrap/>
            <w:vAlign w:val="center"/>
            <w:hideMark/>
          </w:tcPr>
          <w:p w14:paraId="015C673D"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0.03</w:t>
            </w:r>
          </w:p>
        </w:tc>
      </w:tr>
    </w:tbl>
    <w:p w14:paraId="50E9EC28"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lang w:val="es-ES"/>
        </w:rPr>
        <w:t xml:space="preserve">Cuadro Rentabilidad del activo compañías de seguros que participan en procesos de selección. Corte financiero 31 de diciembre de 2025. Elaborada por el intermediario de seguros de la entidad </w:t>
      </w:r>
    </w:p>
    <w:p w14:paraId="39159F9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0D98FEC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Al tomar como referencia los indicadores de rentabilidad del activo y del patrimonio de una muestra de aseguradoras que normalmente presentar términos a procesos de contratación estatal de seguros, se advierte que al tomar el promedio (RP: 0.18 // RA: 0.03) o la mediana (RP: 0.18// RA: 0.04) o la desviación estándar (RP: 0.24// RA: 0.03), o la media acotada (RP: 0.20//RA: 0.03), el resultado del indicador puede descartar de tajo, posibles proveedores con capacidad financiera idónea para ejecutar en términos idóneos el contrato de seguros por suscribir, como, por ejemplo ASEGURADORA SOLIDARIA DE COLOMBIA EC, </w:t>
      </w:r>
      <w:proofErr w:type="spellStart"/>
      <w:r w:rsidRPr="00FB351A">
        <w:rPr>
          <w:rFonts w:ascii="Arial" w:eastAsia="Arial MT" w:hAnsi="Arial" w:cs="Arial"/>
          <w:sz w:val="20"/>
          <w:szCs w:val="20"/>
        </w:rPr>
        <w:t>SBS</w:t>
      </w:r>
      <w:proofErr w:type="spellEnd"/>
      <w:r w:rsidRPr="00FB351A">
        <w:rPr>
          <w:rFonts w:ascii="Arial" w:eastAsia="Arial MT" w:hAnsi="Arial" w:cs="Arial"/>
          <w:sz w:val="20"/>
          <w:szCs w:val="20"/>
        </w:rPr>
        <w:t xml:space="preserve"> SEGUROS COLOMBIA SA, MAPFRE SEGUROS GENERALES DE COLOMBIA S.A.</w:t>
      </w:r>
    </w:p>
    <w:p w14:paraId="41733A1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C8757D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Es de anotar que el sector esta supervigilado y se deben cumplir con normas especiales de carácter financiero, incluidas en el </w:t>
      </w:r>
      <w:proofErr w:type="spellStart"/>
      <w:r w:rsidRPr="00FB351A">
        <w:rPr>
          <w:rFonts w:ascii="Arial" w:eastAsia="Arial MT" w:hAnsi="Arial" w:cs="Arial"/>
          <w:sz w:val="20"/>
          <w:szCs w:val="20"/>
        </w:rPr>
        <w:t>EOSF</w:t>
      </w:r>
      <w:proofErr w:type="spellEnd"/>
      <w:r w:rsidRPr="00FB351A">
        <w:rPr>
          <w:rFonts w:ascii="Arial" w:eastAsia="Arial MT" w:hAnsi="Arial" w:cs="Arial"/>
          <w:sz w:val="20"/>
          <w:szCs w:val="20"/>
        </w:rPr>
        <w:t xml:space="preserve"> y en la Circular básica Jurídica de la Superintendencia Financiera de Colombia.</w:t>
      </w:r>
    </w:p>
    <w:p w14:paraId="6F42DA9A"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2C948FE"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lastRenderedPageBreak/>
        <w:t>En ese orden de ideas, para establecer objetivamente el indicador financiero apropiado como habilitante para el proceso de selección, se acoge el valor mínimo de la muestra.  No se establece el indicador a través de técnicas estadísticas sugeridos por la GUÍA DE ELABORACIÓN DE ESTUDIOS DE SECTOR – GEES como el Promedio o media aritmética o la Mediana o Cuartiles, o m Media Podada o Desviación estándar, toda vez que su aplicación conlleva a descalificar o descartar posibles proveedores cuya capacidad financiera es óptima para la ejecución del objeto contractual (seguros).</w:t>
      </w:r>
    </w:p>
    <w:p w14:paraId="2F022CA3"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0177468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_tradnl"/>
        </w:rPr>
      </w:pPr>
      <w:r w:rsidRPr="00FB351A">
        <w:rPr>
          <w:rFonts w:ascii="Arial" w:eastAsia="Arial MT" w:hAnsi="Arial" w:cs="Arial"/>
          <w:sz w:val="20"/>
          <w:szCs w:val="20"/>
          <w:lang w:val="es-ES_tradnl"/>
        </w:rPr>
        <w:t>En tales consideraciones los indicadores del sector se definen así:</w:t>
      </w:r>
    </w:p>
    <w:p w14:paraId="57D87BC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_tradnl"/>
        </w:rPr>
      </w:pPr>
    </w:p>
    <w:p w14:paraId="27128FD7" w14:textId="77777777" w:rsidR="00FB351A" w:rsidRPr="00FB351A" w:rsidRDefault="00FB351A" w:rsidP="00FB351A">
      <w:pPr>
        <w:numPr>
          <w:ilvl w:val="4"/>
          <w:numId w:val="1"/>
        </w:numPr>
        <w:tabs>
          <w:tab w:val="left" w:pos="318"/>
        </w:tabs>
        <w:overflowPunct w:val="0"/>
        <w:autoSpaceDE w:val="0"/>
        <w:autoSpaceDN w:val="0"/>
        <w:adjustRightInd w:val="0"/>
        <w:jc w:val="both"/>
        <w:textAlignment w:val="baseline"/>
        <w:rPr>
          <w:rFonts w:ascii="Arial" w:eastAsia="Arial MT" w:hAnsi="Arial" w:cs="Arial"/>
          <w:b/>
          <w:sz w:val="20"/>
          <w:szCs w:val="20"/>
          <w:lang w:val="es-MX"/>
        </w:rPr>
      </w:pPr>
      <w:r w:rsidRPr="00FB351A">
        <w:rPr>
          <w:rFonts w:ascii="Arial" w:eastAsia="Arial MT" w:hAnsi="Arial" w:cs="Arial"/>
          <w:b/>
          <w:sz w:val="20"/>
          <w:szCs w:val="20"/>
          <w:lang w:val="es-MX"/>
        </w:rPr>
        <w:t xml:space="preserve">Requisitos Habilitantes de la Capacidad Organizacional: </w:t>
      </w:r>
    </w:p>
    <w:p w14:paraId="0E24EFA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3A0B2E5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Para la verificación organizacional del presente proceso se han determinado dos (2) indicadores en las siguientes condiciones:</w:t>
      </w:r>
    </w:p>
    <w:p w14:paraId="59FC9FEF"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7"/>
        <w:gridCol w:w="3201"/>
        <w:gridCol w:w="3141"/>
      </w:tblGrid>
      <w:tr w:rsidR="00FB351A" w:rsidRPr="00FB351A" w14:paraId="0029F82B" w14:textId="77777777" w:rsidTr="002C3368">
        <w:trPr>
          <w:trHeight w:val="147"/>
          <w:jc w:val="center"/>
        </w:trPr>
        <w:tc>
          <w:tcPr>
            <w:tcW w:w="1707" w:type="pct"/>
            <w:shd w:val="clear" w:color="auto" w:fill="DAE9F7"/>
            <w:vAlign w:val="center"/>
          </w:tcPr>
          <w:p w14:paraId="4B906AB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b/>
                <w:sz w:val="20"/>
                <w:szCs w:val="20"/>
              </w:rPr>
            </w:pPr>
            <w:r w:rsidRPr="00FB351A">
              <w:rPr>
                <w:rFonts w:ascii="Arial" w:eastAsia="Arial MT" w:hAnsi="Arial" w:cs="Arial"/>
                <w:b/>
                <w:sz w:val="20"/>
                <w:szCs w:val="20"/>
              </w:rPr>
              <w:t>INDICADOR</w:t>
            </w:r>
          </w:p>
        </w:tc>
        <w:tc>
          <w:tcPr>
            <w:tcW w:w="1662" w:type="pct"/>
            <w:shd w:val="clear" w:color="auto" w:fill="DAE9F7"/>
            <w:vAlign w:val="center"/>
          </w:tcPr>
          <w:p w14:paraId="7E5BC978"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b/>
                <w:sz w:val="20"/>
                <w:szCs w:val="20"/>
              </w:rPr>
            </w:pPr>
            <w:r w:rsidRPr="00FB351A">
              <w:rPr>
                <w:rFonts w:ascii="Arial" w:eastAsia="Arial MT" w:hAnsi="Arial" w:cs="Arial"/>
                <w:b/>
                <w:sz w:val="20"/>
                <w:szCs w:val="20"/>
              </w:rPr>
              <w:t>FORMULA</w:t>
            </w:r>
          </w:p>
        </w:tc>
        <w:tc>
          <w:tcPr>
            <w:tcW w:w="1631" w:type="pct"/>
            <w:shd w:val="clear" w:color="auto" w:fill="DAE9F7"/>
            <w:vAlign w:val="center"/>
          </w:tcPr>
          <w:p w14:paraId="224D079E"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b/>
                <w:sz w:val="20"/>
                <w:szCs w:val="20"/>
              </w:rPr>
            </w:pPr>
            <w:r w:rsidRPr="00FB351A">
              <w:rPr>
                <w:rFonts w:ascii="Arial" w:eastAsia="Arial MT" w:hAnsi="Arial" w:cs="Arial"/>
                <w:b/>
                <w:sz w:val="20"/>
                <w:szCs w:val="20"/>
              </w:rPr>
              <w:t>MARGEN SOLICITADO</w:t>
            </w:r>
          </w:p>
        </w:tc>
      </w:tr>
      <w:tr w:rsidR="00FB351A" w:rsidRPr="00FB351A" w14:paraId="4DA6E042" w14:textId="77777777" w:rsidTr="002C3368">
        <w:trPr>
          <w:trHeight w:val="357"/>
          <w:jc w:val="center"/>
        </w:trPr>
        <w:tc>
          <w:tcPr>
            <w:tcW w:w="1707" w:type="pct"/>
            <w:vAlign w:val="center"/>
          </w:tcPr>
          <w:p w14:paraId="65222CD6"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RENTABILIDAD DEL PATRIMONIO</w:t>
            </w:r>
          </w:p>
        </w:tc>
        <w:tc>
          <w:tcPr>
            <w:tcW w:w="1662" w:type="pct"/>
            <w:vAlign w:val="center"/>
          </w:tcPr>
          <w:p w14:paraId="6B1EF5D1"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Utilidad Operacional / Patrimonio</w:t>
            </w:r>
          </w:p>
        </w:tc>
        <w:tc>
          <w:tcPr>
            <w:tcW w:w="1631" w:type="pct"/>
            <w:vAlign w:val="center"/>
          </w:tcPr>
          <w:p w14:paraId="1DC9469E" w14:textId="0548BB60"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Mayor o igual a 0.0</w:t>
            </w:r>
            <w:r w:rsidR="008D033D">
              <w:rPr>
                <w:rFonts w:ascii="Arial" w:eastAsia="Arial MT" w:hAnsi="Arial" w:cs="Arial"/>
                <w:sz w:val="20"/>
                <w:szCs w:val="20"/>
              </w:rPr>
              <w:t>5</w:t>
            </w:r>
          </w:p>
        </w:tc>
      </w:tr>
      <w:tr w:rsidR="00FB351A" w:rsidRPr="00FB351A" w14:paraId="7082812D" w14:textId="77777777" w:rsidTr="002C3368">
        <w:trPr>
          <w:trHeight w:val="389"/>
          <w:jc w:val="center"/>
        </w:trPr>
        <w:tc>
          <w:tcPr>
            <w:tcW w:w="1707" w:type="pct"/>
            <w:vAlign w:val="center"/>
          </w:tcPr>
          <w:p w14:paraId="15F61B0C"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RENTABILIDAD DEL ACTIVO</w:t>
            </w:r>
          </w:p>
        </w:tc>
        <w:tc>
          <w:tcPr>
            <w:tcW w:w="1662" w:type="pct"/>
            <w:vAlign w:val="center"/>
          </w:tcPr>
          <w:p w14:paraId="1D785163"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Utilidad Operacional / Activo Total</w:t>
            </w:r>
          </w:p>
        </w:tc>
        <w:tc>
          <w:tcPr>
            <w:tcW w:w="1631" w:type="pct"/>
            <w:vAlign w:val="center"/>
          </w:tcPr>
          <w:p w14:paraId="2BD6F505" w14:textId="77777777" w:rsidR="00FB351A" w:rsidRPr="00FB351A" w:rsidRDefault="00FB351A" w:rsidP="002C3368">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sz w:val="20"/>
                <w:szCs w:val="20"/>
              </w:rPr>
              <w:t>Mayor o igual al 0.00</w:t>
            </w:r>
          </w:p>
        </w:tc>
      </w:tr>
    </w:tbl>
    <w:p w14:paraId="59A29CA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lang w:val="es-ES"/>
        </w:rPr>
        <w:t xml:space="preserve">Cuadro Requisitos habilitantes de la capacidad organizacional. Elaborada por el intermediario de seguros de la entidad </w:t>
      </w:r>
    </w:p>
    <w:p w14:paraId="4E61601B"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08B0BBB0" w14:textId="77777777" w:rsidR="00FB351A" w:rsidRPr="00FB351A" w:rsidRDefault="00FB351A" w:rsidP="00FB351A">
      <w:pPr>
        <w:numPr>
          <w:ilvl w:val="3"/>
          <w:numId w:val="1"/>
        </w:numPr>
        <w:tabs>
          <w:tab w:val="left" w:pos="318"/>
        </w:tabs>
        <w:overflowPunct w:val="0"/>
        <w:autoSpaceDE w:val="0"/>
        <w:autoSpaceDN w:val="0"/>
        <w:adjustRightInd w:val="0"/>
        <w:jc w:val="both"/>
        <w:textAlignment w:val="baseline"/>
        <w:rPr>
          <w:rFonts w:ascii="Arial" w:eastAsia="Arial MT" w:hAnsi="Arial" w:cs="Arial"/>
          <w:b/>
          <w:bCs/>
          <w:sz w:val="20"/>
          <w:szCs w:val="20"/>
        </w:rPr>
      </w:pPr>
      <w:r w:rsidRPr="00FB351A">
        <w:rPr>
          <w:rFonts w:ascii="Arial" w:eastAsia="Arial MT" w:hAnsi="Arial" w:cs="Arial"/>
          <w:b/>
          <w:bCs/>
          <w:sz w:val="20"/>
          <w:szCs w:val="20"/>
        </w:rPr>
        <w:t>Indicadores financieros y de capacidad organizacional de proponentes plurales</w:t>
      </w:r>
    </w:p>
    <w:p w14:paraId="7F1CF42C"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14D046C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Finalmente, frente a la forma de calcular los indicadores financieros para los Consorcios y Uniones Temporales, nos permitimos precisar que, teniendo en cuenta que esta forma de participación también difiere frente a otros procesos en el entendido que las compañías de seguros, al momento de presentarse a un proceso de contratación bajo estas modalidades lo hacen atendiendo el respaldo de sus reaseguradores, la participación en cada ramo corresponderá al porcentaje de respaldo que logren, advirtiendo que, para cada una de las pólizas, existen diferentes porcentajes de participación.</w:t>
      </w:r>
    </w:p>
    <w:p w14:paraId="15371CE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7E5B9124"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Por lo anterior, los indicadores financieros serán calculados tomando la sumatoria simple de cada una de las partidas correspondientes de los estados financieros de cada uno de los integrantes del Consorcio o Unión Temporal y sin tener en cuenta el porcentaje de participación de sus integrantes.</w:t>
      </w:r>
    </w:p>
    <w:p w14:paraId="19DC1521"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B2360FD"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bookmarkStart w:id="23" w:name="_heading=h.1ksv4uv" w:colFirst="0" w:colLast="0"/>
      <w:bookmarkEnd w:id="23"/>
      <w:r w:rsidRPr="00FB351A">
        <w:rPr>
          <w:rFonts w:ascii="Arial" w:eastAsia="Arial MT" w:hAnsi="Arial" w:cs="Arial"/>
          <w:sz w:val="20"/>
          <w:szCs w:val="20"/>
        </w:rPr>
        <w:t xml:space="preserve">Lo anterior de acuerdo con el </w:t>
      </w:r>
      <w:proofErr w:type="spellStart"/>
      <w:r w:rsidRPr="00FB351A">
        <w:rPr>
          <w:rFonts w:ascii="Arial" w:eastAsia="Arial MT" w:hAnsi="Arial" w:cs="Arial"/>
          <w:sz w:val="20"/>
          <w:szCs w:val="20"/>
        </w:rPr>
        <w:t>subnumeral</w:t>
      </w:r>
      <w:proofErr w:type="spellEnd"/>
      <w:r w:rsidRPr="00FB351A">
        <w:rPr>
          <w:rFonts w:ascii="Arial" w:eastAsia="Arial MT" w:hAnsi="Arial" w:cs="Arial"/>
          <w:sz w:val="20"/>
          <w:szCs w:val="20"/>
        </w:rPr>
        <w:t xml:space="preserve"> 2 del numeral 5.4. Metodologías para el cálculo de indicadores de proponentes plurales, del MANUAL PARA DETERMINAR Y VERIFICAR LOS REQUISITOS HABILITANTES EN LOS PROCESOS DE CONTRATACIÓN AGENCIA NACIONAL DE CONTRATACIÓN PÚBLICA -COLOMBIA COMPRA EFICIENTE 2023, aplicando la siguiente fórmula:</w:t>
      </w:r>
    </w:p>
    <w:p w14:paraId="074CA72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p>
    <w:p w14:paraId="22B4289B" w14:textId="77777777" w:rsidR="00FB351A" w:rsidRPr="00FB351A" w:rsidRDefault="00FB351A" w:rsidP="00FB351A">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noProof/>
          <w:sz w:val="20"/>
          <w:szCs w:val="20"/>
        </w:rPr>
        <w:drawing>
          <wp:inline distT="0" distB="0" distL="0" distR="0" wp14:anchorId="2E0D306B" wp14:editId="4B0736D6">
            <wp:extent cx="5509895" cy="451485"/>
            <wp:effectExtent l="0" t="0" r="0" b="5715"/>
            <wp:docPr id="13009977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09895" cy="451485"/>
                    </a:xfrm>
                    <a:prstGeom prst="rect">
                      <a:avLst/>
                    </a:prstGeom>
                    <a:noFill/>
                    <a:ln>
                      <a:noFill/>
                    </a:ln>
                  </pic:spPr>
                </pic:pic>
              </a:graphicData>
            </a:graphic>
          </wp:inline>
        </w:drawing>
      </w:r>
    </w:p>
    <w:p w14:paraId="74867BB3" w14:textId="674403B6"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rPr>
      </w:pPr>
      <w:r w:rsidRPr="00FB351A">
        <w:rPr>
          <w:rFonts w:ascii="Arial" w:eastAsia="Arial MT" w:hAnsi="Arial" w:cs="Arial"/>
          <w:sz w:val="20"/>
          <w:szCs w:val="20"/>
        </w:rPr>
        <w:t xml:space="preserve">Y para el exceso o defecto de patrimonio </w:t>
      </w:r>
    </w:p>
    <w:p w14:paraId="66448779" w14:textId="77777777" w:rsidR="00FB351A" w:rsidRPr="00FB351A" w:rsidRDefault="00FB351A" w:rsidP="00FB351A">
      <w:pPr>
        <w:tabs>
          <w:tab w:val="left" w:pos="318"/>
        </w:tabs>
        <w:overflowPunct w:val="0"/>
        <w:autoSpaceDE w:val="0"/>
        <w:autoSpaceDN w:val="0"/>
        <w:adjustRightInd w:val="0"/>
        <w:jc w:val="center"/>
        <w:textAlignment w:val="baseline"/>
        <w:rPr>
          <w:rFonts w:ascii="Arial" w:eastAsia="Arial MT" w:hAnsi="Arial" w:cs="Arial"/>
          <w:sz w:val="20"/>
          <w:szCs w:val="20"/>
        </w:rPr>
      </w:pPr>
      <w:r w:rsidRPr="00FB351A">
        <w:rPr>
          <w:rFonts w:ascii="Arial" w:eastAsia="Arial MT" w:hAnsi="Arial" w:cs="Arial"/>
          <w:noProof/>
          <w:sz w:val="20"/>
          <w:szCs w:val="20"/>
        </w:rPr>
        <w:lastRenderedPageBreak/>
        <w:drawing>
          <wp:inline distT="0" distB="0" distL="0" distR="0" wp14:anchorId="6ECF91E5" wp14:editId="2C1CFC72">
            <wp:extent cx="4025900" cy="735965"/>
            <wp:effectExtent l="0" t="0" r="0" b="6985"/>
            <wp:docPr id="853736246"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7.png" descr="Imagen que contiene Texto&#10;&#10;Descripción generada automáticament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25900" cy="735965"/>
                    </a:xfrm>
                    <a:prstGeom prst="rect">
                      <a:avLst/>
                    </a:prstGeom>
                    <a:noFill/>
                    <a:ln>
                      <a:noFill/>
                    </a:ln>
                  </pic:spPr>
                </pic:pic>
              </a:graphicData>
            </a:graphic>
          </wp:inline>
        </w:drawing>
      </w:r>
    </w:p>
    <w:p w14:paraId="6E0E1A20" w14:textId="77777777" w:rsidR="00FB351A" w:rsidRPr="00FB351A" w:rsidRDefault="00FB351A" w:rsidP="00FB351A">
      <w:pPr>
        <w:tabs>
          <w:tab w:val="left" w:pos="318"/>
        </w:tabs>
        <w:overflowPunct w:val="0"/>
        <w:autoSpaceDE w:val="0"/>
        <w:autoSpaceDN w:val="0"/>
        <w:adjustRightInd w:val="0"/>
        <w:jc w:val="both"/>
        <w:textAlignment w:val="baseline"/>
        <w:rPr>
          <w:rFonts w:ascii="Arial" w:eastAsia="Arial MT" w:hAnsi="Arial" w:cs="Arial"/>
          <w:sz w:val="20"/>
          <w:szCs w:val="20"/>
          <w:lang w:val="es-ES"/>
        </w:rPr>
      </w:pPr>
      <w:r w:rsidRPr="00FB351A">
        <w:rPr>
          <w:rFonts w:ascii="Arial" w:eastAsia="Arial MT" w:hAnsi="Arial" w:cs="Arial"/>
          <w:sz w:val="20"/>
          <w:szCs w:val="20"/>
          <w:lang w:val="es-ES"/>
        </w:rPr>
        <w:t>Gráfica Formula para calcular indicadores financieros y organizacionales de proponentes plurales. Imagen tomada de: https://www.colombiacompra.gov.co/archivos/manual/manual-para-determinar-y-verificar-los-requisitos-habilitantes-en-los-procesos-de-contratacion</w:t>
      </w:r>
    </w:p>
    <w:p w14:paraId="27076802"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Arial MT" w:hAnsi="Arial" w:cs="Arial"/>
          <w:sz w:val="20"/>
          <w:szCs w:val="20"/>
          <w:lang w:val="es-ES"/>
        </w:rPr>
      </w:pPr>
    </w:p>
    <w:p w14:paraId="622DED5D" w14:textId="5D8C4026" w:rsidR="008322ED" w:rsidRPr="00FB351A" w:rsidRDefault="008322ED" w:rsidP="00803115">
      <w:pPr>
        <w:pStyle w:val="Prrafodelista"/>
        <w:numPr>
          <w:ilvl w:val="1"/>
          <w:numId w:val="1"/>
        </w:numPr>
        <w:tabs>
          <w:tab w:val="left" w:pos="318"/>
        </w:tabs>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Aspecto Regulatorio Del Mercado</w:t>
      </w:r>
    </w:p>
    <w:p w14:paraId="16F8046B"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43CE4B7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En Colombia, al igual que en la mayoría de las jurisdicciones del globo, las entidades aseguradoras están sometidas a la regulación y a la supervisión prudenciales, donde se les exige el cumplimiento de reglas de solvencia que apuntan, entre otros, a que el asegurador no soporte con su propio patrimonio (retención) riesgos cuyo valor exceda un porcentaje determinado de su capital de trabajo.</w:t>
      </w:r>
    </w:p>
    <w:p w14:paraId="5C322930"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0B62F42D"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En nuestro país, este límite de retención por riesgo es del 10% del patrimonio técnico del asegurador, lo cual hace necesario que, para todos los riesgos cuyo valor expuesto esté por encima del 10% del patrimonio técnico de la entidad aseguradora, se deba contar con el apoyo de algún mecanismo de dispersión de riesgos que disminuya la retención del asegurador. De allí que el reaseguro sea el mecanismo más utilizado para dispersar los riesgos y, así, el día del siniestro, sean muchos los que contribuyan a su pago, sin que alguno de ellos afecte sus condiciones patrimoniales o, incluso, su solvencia. Por ello, cuando ocurre un gran siniestro en el planeta, se puede afectar la gran mayoría de entidades aseguradoras y reaseguradoras, dado que el riesgo se ha dispersado de manera exponencial, lo que involucra, así sea poco, a muchos.</w:t>
      </w:r>
    </w:p>
    <w:p w14:paraId="6E3E1EBD"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602E21EF"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Nuestro legislador mercantil aborda en pocos artículos la regulación de dicho contrato, pues al ser un contrato de libre discusión y negociación entre sus partes, por oposición a un contrato por adhesión a condiciones generales, no requiere intervención para proteger a alguna parte débil en el mismo. Los artículos 1134 al 1136 del Código de Comercio regulan el contrato de reaseguro, en donde se definen las siguientes ideas básicas:</w:t>
      </w:r>
    </w:p>
    <w:p w14:paraId="64D8AF9B"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67D5A8B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(i) El objeto del contrato de reaseguro consiste en que el reasegurador contrae con el asegurador las mismas obligaciones que este ha contraído con el tomador o asegurado.</w:t>
      </w:r>
    </w:p>
    <w:p w14:paraId="0AB68BC4"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181C876B"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w:t>
      </w:r>
      <w:proofErr w:type="spellStart"/>
      <w:r w:rsidRPr="00FB351A">
        <w:rPr>
          <w:rFonts w:ascii="Arial" w:hAnsi="Arial" w:cs="Arial"/>
          <w:bCs/>
          <w:color w:val="000000"/>
          <w:sz w:val="20"/>
          <w:szCs w:val="20"/>
        </w:rPr>
        <w:t>ii</w:t>
      </w:r>
      <w:proofErr w:type="spellEnd"/>
      <w:r w:rsidRPr="00FB351A">
        <w:rPr>
          <w:rFonts w:ascii="Arial" w:hAnsi="Arial" w:cs="Arial"/>
          <w:bCs/>
          <w:color w:val="000000"/>
          <w:sz w:val="20"/>
          <w:szCs w:val="20"/>
        </w:rPr>
        <w:t>) Existe comunidad de suerte en el resultado del contrato de seguro entre asegurador y reasegurador, salvo que se compruebe la mala fe del asegurador.</w:t>
      </w:r>
    </w:p>
    <w:p w14:paraId="1983C39A"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6EF3B97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w:t>
      </w:r>
      <w:proofErr w:type="spellStart"/>
      <w:r w:rsidRPr="00FB351A">
        <w:rPr>
          <w:rFonts w:ascii="Arial" w:hAnsi="Arial" w:cs="Arial"/>
          <w:bCs/>
          <w:color w:val="000000"/>
          <w:sz w:val="20"/>
          <w:szCs w:val="20"/>
        </w:rPr>
        <w:t>iii</w:t>
      </w:r>
      <w:proofErr w:type="spellEnd"/>
      <w:r w:rsidRPr="00FB351A">
        <w:rPr>
          <w:rFonts w:ascii="Arial" w:hAnsi="Arial" w:cs="Arial"/>
          <w:bCs/>
          <w:color w:val="000000"/>
          <w:sz w:val="20"/>
          <w:szCs w:val="20"/>
        </w:rPr>
        <w:t>) La responsabilidad del reasegurador acompaña al asegurador hasta que vence el seguro directo o hasta que las acciones derivadas de este prescriban.</w:t>
      </w:r>
    </w:p>
    <w:p w14:paraId="171F183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1EF0FE47"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w:t>
      </w:r>
      <w:proofErr w:type="spellStart"/>
      <w:r w:rsidRPr="00FB351A">
        <w:rPr>
          <w:rFonts w:ascii="Arial" w:hAnsi="Arial" w:cs="Arial"/>
          <w:bCs/>
          <w:color w:val="000000"/>
          <w:sz w:val="20"/>
          <w:szCs w:val="20"/>
        </w:rPr>
        <w:t>iv</w:t>
      </w:r>
      <w:proofErr w:type="spellEnd"/>
      <w:r w:rsidRPr="00FB351A">
        <w:rPr>
          <w:rFonts w:ascii="Arial" w:hAnsi="Arial" w:cs="Arial"/>
          <w:bCs/>
          <w:color w:val="000000"/>
          <w:sz w:val="20"/>
          <w:szCs w:val="20"/>
        </w:rPr>
        <w:t>) El reaseguro no les da derechos a terceros.</w:t>
      </w:r>
    </w:p>
    <w:p w14:paraId="1E57ACC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248C36F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(v) En ausencia de pacto entre las partes, se aplican las normas sobre el contrato de seguros del Código de Comercio.</w:t>
      </w:r>
    </w:p>
    <w:p w14:paraId="3225986B"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p>
    <w:p w14:paraId="67550FEB"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Como se desprende de estos cinco lineamientos normativos, el contrato de reaseguro se rige por la autonomía de la voluntad, dentro de la cual se espera la máxima buena fe de las partes: del asegurador, pues si falla, el contrato de reaseguro no surtirá efecto alguno, y del reasegurador, quien deberá honrar la comunidad de suerte sobre el contrato de seguro del riesgo transferido.</w:t>
      </w:r>
    </w:p>
    <w:p w14:paraId="45509C6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408D5384" w14:textId="584ECBF5" w:rsidR="008322ED" w:rsidRPr="00FB351A" w:rsidRDefault="008322ED" w:rsidP="00803115">
      <w:pPr>
        <w:pStyle w:val="Prrafodelista"/>
        <w:numPr>
          <w:ilvl w:val="2"/>
          <w:numId w:val="1"/>
        </w:numPr>
        <w:tabs>
          <w:tab w:val="left" w:pos="318"/>
        </w:tabs>
        <w:overflowPunct w:val="0"/>
        <w:autoSpaceDE w:val="0"/>
        <w:autoSpaceDN w:val="0"/>
        <w:adjustRightInd w:val="0"/>
        <w:jc w:val="both"/>
        <w:textAlignment w:val="baseline"/>
        <w:rPr>
          <w:rFonts w:ascii="Arial" w:hAnsi="Arial" w:cs="Arial"/>
          <w:b/>
          <w:color w:val="000000"/>
          <w:sz w:val="20"/>
          <w:szCs w:val="20"/>
        </w:rPr>
      </w:pPr>
      <w:r w:rsidRPr="00FB351A">
        <w:rPr>
          <w:rFonts w:ascii="Arial" w:hAnsi="Arial" w:cs="Arial"/>
          <w:b/>
          <w:color w:val="000000"/>
          <w:sz w:val="20"/>
          <w:szCs w:val="20"/>
        </w:rPr>
        <w:lastRenderedPageBreak/>
        <w:t>Evolución normativa</w:t>
      </w:r>
    </w:p>
    <w:p w14:paraId="08C9D3F6"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41D53226"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A través del Decreto 410 de 1971 por medio del cual se expidió nuestro Código de Comercio, se incluyó en el Libro Cuarto: </w:t>
      </w:r>
      <w:r w:rsidRPr="00FB351A">
        <w:rPr>
          <w:rFonts w:ascii="Arial" w:hAnsi="Arial" w:cs="Arial"/>
          <w:i/>
          <w:color w:val="000000"/>
          <w:sz w:val="20"/>
          <w:szCs w:val="20"/>
        </w:rPr>
        <w:t xml:space="preserve">De los contratos y obligaciones mercantiles, </w:t>
      </w:r>
      <w:r w:rsidRPr="00FB351A">
        <w:rPr>
          <w:rFonts w:ascii="Arial" w:hAnsi="Arial" w:cs="Arial"/>
          <w:color w:val="000000"/>
          <w:sz w:val="20"/>
          <w:szCs w:val="20"/>
        </w:rPr>
        <w:t>el Título</w:t>
      </w:r>
      <w:r w:rsidRPr="00FB351A">
        <w:rPr>
          <w:rFonts w:ascii="Arial" w:hAnsi="Arial" w:cs="Arial"/>
          <w:i/>
          <w:color w:val="000000"/>
          <w:sz w:val="20"/>
          <w:szCs w:val="20"/>
        </w:rPr>
        <w:t xml:space="preserve"> </w:t>
      </w:r>
      <w:r w:rsidRPr="00FB351A">
        <w:rPr>
          <w:rFonts w:ascii="Arial" w:hAnsi="Arial" w:cs="Arial"/>
          <w:color w:val="000000"/>
          <w:sz w:val="20"/>
          <w:szCs w:val="20"/>
        </w:rPr>
        <w:t xml:space="preserve">V: </w:t>
      </w:r>
      <w:r w:rsidRPr="00FB351A">
        <w:rPr>
          <w:rFonts w:ascii="Arial" w:hAnsi="Arial" w:cs="Arial"/>
          <w:i/>
          <w:color w:val="000000"/>
          <w:sz w:val="20"/>
          <w:szCs w:val="20"/>
        </w:rPr>
        <w:t xml:space="preserve">Del contrato de seguro, </w:t>
      </w:r>
      <w:r w:rsidRPr="00FB351A">
        <w:rPr>
          <w:rFonts w:ascii="Arial" w:hAnsi="Arial" w:cs="Arial"/>
          <w:color w:val="000000"/>
          <w:sz w:val="20"/>
          <w:szCs w:val="20"/>
        </w:rPr>
        <w:t xml:space="preserve">conformado su vez por el: </w:t>
      </w:r>
      <w:r w:rsidRPr="00FB351A">
        <w:rPr>
          <w:rFonts w:ascii="Arial" w:hAnsi="Arial" w:cs="Arial"/>
          <w:i/>
          <w:color w:val="000000"/>
          <w:sz w:val="20"/>
          <w:szCs w:val="20"/>
        </w:rPr>
        <w:t>Capítulo I- Principios Comunes a los Seguros Terrestres</w:t>
      </w:r>
      <w:r w:rsidRPr="00FB351A">
        <w:rPr>
          <w:rFonts w:ascii="Arial" w:hAnsi="Arial" w:cs="Arial"/>
          <w:color w:val="000000"/>
          <w:sz w:val="20"/>
          <w:szCs w:val="20"/>
        </w:rPr>
        <w:t xml:space="preserve">, </w:t>
      </w:r>
      <w:r w:rsidRPr="00FB351A">
        <w:rPr>
          <w:rFonts w:ascii="Arial" w:hAnsi="Arial" w:cs="Arial"/>
          <w:i/>
          <w:color w:val="000000"/>
          <w:sz w:val="20"/>
          <w:szCs w:val="20"/>
        </w:rPr>
        <w:t>Capítulo II – Principios Comunes a los Seguros de Daños</w:t>
      </w:r>
      <w:r w:rsidRPr="00FB351A">
        <w:rPr>
          <w:rFonts w:ascii="Arial" w:hAnsi="Arial" w:cs="Arial"/>
          <w:color w:val="000000"/>
          <w:sz w:val="20"/>
          <w:szCs w:val="20"/>
        </w:rPr>
        <w:t xml:space="preserve">, y </w:t>
      </w:r>
      <w:r w:rsidRPr="00FB351A">
        <w:rPr>
          <w:rFonts w:ascii="Arial" w:hAnsi="Arial" w:cs="Arial"/>
          <w:i/>
          <w:color w:val="000000"/>
          <w:sz w:val="20"/>
          <w:szCs w:val="20"/>
        </w:rPr>
        <w:t xml:space="preserve">Capítulo III Seguros de Personas, </w:t>
      </w:r>
      <w:r w:rsidRPr="00FB351A">
        <w:rPr>
          <w:rFonts w:ascii="Arial" w:hAnsi="Arial" w:cs="Arial"/>
          <w:color w:val="000000"/>
          <w:sz w:val="20"/>
          <w:szCs w:val="20"/>
        </w:rPr>
        <w:t>cada uno de estos capítulos compuestos por diferentes secciones comprendidas entre los artículos 1036 hasta el 1162.</w:t>
      </w:r>
    </w:p>
    <w:p w14:paraId="2AF1B4F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15B86DC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Posteriormente, el Gobierno Nacional incluyó en la plataforma legislativa del año 90 la reforma al sector asegurador, la cual fue adoptada mediante la Ley 45 de 1990 por la cual se expidieron normas en materia de intermediación financiera y se reguló la actividad aseguradora. </w:t>
      </w:r>
    </w:p>
    <w:p w14:paraId="5F58436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581EDDFF"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Esta norma modificó sustancialmente la regulación de la actividad de los seguros en el país, toda vez que hizo aplicable el principio de la libre competencia, introdujo elementos para fortalecer aún más el patrimonio de las entidades, admitió la inversión extranjera hasta el 100%, eliminó las inversiones forzosas, suprimió el monopolio de los seguros oficiales en favor de La Previsora y abolió el control a priori que ejercía la Superintendencia Bancaria. Otras leyes aprobadas en la misma legislatura incidieron igualmente en la operación aseguradora: La reforma cambiaria (seguros en moneda extranjera, inversiones en el exterior e inversión extranjera) y la reforma laboral (creación de los agentes independientes de seguros).</w:t>
      </w:r>
    </w:p>
    <w:p w14:paraId="33376B16"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7013F09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Cabe anotar que algunas normas reglamentarias expedidas con anterioridad a la Ley 45 de 1990 deben entenderse vigentes en la medida en que no contraríen las nuevas disposiciones legales.</w:t>
      </w:r>
    </w:p>
    <w:p w14:paraId="480213F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12C4EAA3"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vertAlign w:val="superscript"/>
        </w:rPr>
      </w:pPr>
      <w:r w:rsidRPr="00FB351A">
        <w:rPr>
          <w:rFonts w:ascii="Arial" w:hAnsi="Arial" w:cs="Arial"/>
          <w:color w:val="000000"/>
          <w:sz w:val="20"/>
          <w:szCs w:val="20"/>
        </w:rPr>
        <w:t>Posteriormente, se aprueba la Ley 35 de 1993, o ley marco del sector financiero, bursátil y asegurador, por medio de la cual se dictan las normas generales y se señalan los objetivos y criterios a los cuales deberá sujetarse el Gobierno Nacional para regular estas actividades. Además, esta Ley concede al Presidente de la República facultades extraordinarias, con base en las cuales se expidió el Decreto 663 de 1993 por el cual se adopta un nuevo Estatuto Orgánico del Sistema Financiero, modificado por las Leyes 510 de 1999 y 795 de 2003</w:t>
      </w:r>
      <w:r w:rsidRPr="00FB351A">
        <w:rPr>
          <w:rFonts w:ascii="Arial" w:hAnsi="Arial" w:cs="Arial"/>
          <w:color w:val="000000"/>
          <w:sz w:val="20"/>
          <w:szCs w:val="20"/>
          <w:vertAlign w:val="superscript"/>
        </w:rPr>
        <w:t>.</w:t>
      </w:r>
      <w:r w:rsidRPr="00FB351A">
        <w:rPr>
          <w:rFonts w:ascii="Arial" w:hAnsi="Arial" w:cs="Arial"/>
          <w:color w:val="000000"/>
          <w:sz w:val="20"/>
          <w:szCs w:val="20"/>
          <w:vertAlign w:val="superscript"/>
        </w:rPr>
        <w:footnoteReference w:id="13"/>
      </w:r>
    </w:p>
    <w:p w14:paraId="276A2504"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2E1ACDF7"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De igual forma, en 2010, se expide el Decreto 2555, por el cual se recogen y reexpiden las normas en materia del sector financiero, asegurador y del mercado de valores, el cual hasta la fecha ha sido objetivo de diversas modificaciones.</w:t>
      </w:r>
    </w:p>
    <w:p w14:paraId="555C4975"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507AE75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De otro lado, encontramos la circular básica jurídica (CE 029/14), por medio de la cual se le otorga la facultad a la Superintendencia Financiera de Colombia para controlar, vigilar e inspeccionar a las entidades del sector asegurador.</w:t>
      </w:r>
    </w:p>
    <w:p w14:paraId="1609ECA5"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15C828F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En relación con las tarifas de impuestos aplicados a los seguros, es importante resaltar que es a través de los parámetros establecidos en el estatuto tributario sobre lo cual se soporta la fijación de tarifas del impuesto al valor agregado en 19% para los seguros generales, y la tarifa 0 para los seguros de personas.</w:t>
      </w:r>
    </w:p>
    <w:p w14:paraId="3AD88052"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5CA37DCA" w14:textId="77777777" w:rsidR="00676F37"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De acuerdo con lo establecido en el artículo 184 del Estatuto Orgánico del Sistema Financiero -</w:t>
      </w:r>
      <w:proofErr w:type="spellStart"/>
      <w:r w:rsidRPr="00FB351A">
        <w:rPr>
          <w:rFonts w:ascii="Arial" w:hAnsi="Arial" w:cs="Arial"/>
          <w:color w:val="000000"/>
          <w:sz w:val="20"/>
          <w:szCs w:val="20"/>
        </w:rPr>
        <w:t>EOSF</w:t>
      </w:r>
      <w:proofErr w:type="spellEnd"/>
      <w:r w:rsidRPr="00FB351A">
        <w:rPr>
          <w:rFonts w:ascii="Arial" w:hAnsi="Arial" w:cs="Arial"/>
          <w:color w:val="000000"/>
          <w:sz w:val="20"/>
          <w:szCs w:val="20"/>
        </w:rPr>
        <w:t>-, las condiciones de las pólizas y tarifas en el contrato de seguros deben ser autorizadas por parte de la Superintendencia Financiera de Colombia cuando se trate de la autorización inicial a una entidad aseguradora o de la correspondiente para la explotación de un nuevo ramo.</w:t>
      </w:r>
    </w:p>
    <w:p w14:paraId="1452F51F" w14:textId="77777777" w:rsidR="00676F37" w:rsidRPr="00FB351A" w:rsidRDefault="00676F37"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34831FD7" w14:textId="071D9111"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En relación con las tarifas, el Estatuto Orgánico del Sistema Financiero, establece para las tarifas de las pólizas que:</w:t>
      </w:r>
    </w:p>
    <w:p w14:paraId="25694FA0"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542082C4"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i/>
          <w:color w:val="000000"/>
          <w:sz w:val="20"/>
          <w:szCs w:val="20"/>
        </w:rPr>
      </w:pPr>
      <w:r w:rsidRPr="00FB351A">
        <w:rPr>
          <w:rFonts w:ascii="Arial" w:hAnsi="Arial" w:cs="Arial"/>
          <w:i/>
          <w:color w:val="000000"/>
          <w:sz w:val="20"/>
          <w:szCs w:val="20"/>
        </w:rPr>
        <w:t xml:space="preserve">“Requisitos de las tarifas. Las tarifas cumplirán las siguientes reglas: </w:t>
      </w:r>
    </w:p>
    <w:p w14:paraId="7E458AA4"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i/>
          <w:color w:val="000000"/>
          <w:sz w:val="20"/>
          <w:szCs w:val="20"/>
        </w:rPr>
      </w:pPr>
    </w:p>
    <w:p w14:paraId="4CE4B5EE" w14:textId="77777777" w:rsidR="008322ED" w:rsidRPr="00FB351A" w:rsidRDefault="008322ED">
      <w:pPr>
        <w:numPr>
          <w:ilvl w:val="0"/>
          <w:numId w:val="11"/>
        </w:numPr>
        <w:tabs>
          <w:tab w:val="left" w:pos="318"/>
        </w:tabs>
        <w:overflowPunct w:val="0"/>
        <w:autoSpaceDE w:val="0"/>
        <w:autoSpaceDN w:val="0"/>
        <w:adjustRightInd w:val="0"/>
        <w:ind w:left="0" w:firstLine="0"/>
        <w:jc w:val="both"/>
        <w:textAlignment w:val="baseline"/>
        <w:rPr>
          <w:rFonts w:ascii="Arial" w:hAnsi="Arial" w:cs="Arial"/>
          <w:i/>
          <w:color w:val="000000"/>
          <w:sz w:val="20"/>
          <w:szCs w:val="20"/>
        </w:rPr>
      </w:pPr>
      <w:r w:rsidRPr="00FB351A">
        <w:rPr>
          <w:rFonts w:ascii="Arial" w:hAnsi="Arial" w:cs="Arial"/>
          <w:i/>
          <w:color w:val="000000"/>
          <w:sz w:val="20"/>
          <w:szCs w:val="20"/>
        </w:rPr>
        <w:t xml:space="preserve">Deben observar los principios técnicos de equidad y suficiencia; </w:t>
      </w:r>
    </w:p>
    <w:p w14:paraId="7D244B24" w14:textId="77777777" w:rsidR="008322ED" w:rsidRPr="00FB351A" w:rsidRDefault="008322ED">
      <w:pPr>
        <w:numPr>
          <w:ilvl w:val="0"/>
          <w:numId w:val="11"/>
        </w:numPr>
        <w:tabs>
          <w:tab w:val="left" w:pos="318"/>
        </w:tabs>
        <w:overflowPunct w:val="0"/>
        <w:autoSpaceDE w:val="0"/>
        <w:autoSpaceDN w:val="0"/>
        <w:adjustRightInd w:val="0"/>
        <w:ind w:left="0" w:firstLine="0"/>
        <w:jc w:val="both"/>
        <w:textAlignment w:val="baseline"/>
        <w:rPr>
          <w:rFonts w:ascii="Arial" w:hAnsi="Arial" w:cs="Arial"/>
          <w:i/>
          <w:color w:val="000000"/>
          <w:sz w:val="20"/>
          <w:szCs w:val="20"/>
        </w:rPr>
      </w:pPr>
      <w:r w:rsidRPr="00FB351A">
        <w:rPr>
          <w:rFonts w:ascii="Arial" w:hAnsi="Arial" w:cs="Arial"/>
          <w:i/>
          <w:color w:val="000000"/>
          <w:sz w:val="20"/>
          <w:szCs w:val="20"/>
        </w:rPr>
        <w:t xml:space="preserve">Deben ser el producto de la utilización de información estadística que cumpla exigencias de homogeneidad y representatividad, y </w:t>
      </w:r>
    </w:p>
    <w:p w14:paraId="7463A28E" w14:textId="77777777" w:rsidR="008322ED" w:rsidRPr="00FB351A" w:rsidRDefault="008322ED">
      <w:pPr>
        <w:numPr>
          <w:ilvl w:val="0"/>
          <w:numId w:val="11"/>
        </w:numPr>
        <w:tabs>
          <w:tab w:val="left" w:pos="318"/>
        </w:tabs>
        <w:overflowPunct w:val="0"/>
        <w:autoSpaceDE w:val="0"/>
        <w:autoSpaceDN w:val="0"/>
        <w:adjustRightInd w:val="0"/>
        <w:ind w:left="0" w:firstLine="0"/>
        <w:jc w:val="both"/>
        <w:textAlignment w:val="baseline"/>
        <w:rPr>
          <w:rFonts w:ascii="Arial" w:hAnsi="Arial" w:cs="Arial"/>
          <w:i/>
          <w:color w:val="000000"/>
          <w:sz w:val="20"/>
          <w:szCs w:val="20"/>
        </w:rPr>
      </w:pPr>
      <w:r w:rsidRPr="00FB351A">
        <w:rPr>
          <w:rFonts w:ascii="Arial" w:hAnsi="Arial" w:cs="Arial"/>
          <w:i/>
          <w:color w:val="000000"/>
          <w:sz w:val="20"/>
          <w:szCs w:val="20"/>
        </w:rPr>
        <w:t xml:space="preserve">Ser el producto del respaldo de reaseguradores de reconocida solvencia técnica y financiera, en aquellos riesgos que por su naturaleza no resulte viable el cumplimiento de las exigencias contenidas en la letra anterior”. </w:t>
      </w:r>
    </w:p>
    <w:p w14:paraId="2D6012CE"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59BE2DFE"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Finalmente, a este bloque normativo debe sumarse la normatividad, circulares y demás regulación emitida por la Superintendencia Financiera y el Congreso de la República en materia de intermediación financiera, actividad aseguradora y otras disposiciones sobre la actividad de las Compañías Aseguradoras y de los Intermediarios de Seguros. </w:t>
      </w:r>
    </w:p>
    <w:p w14:paraId="2D494887" w14:textId="77777777" w:rsidR="009D3A25" w:rsidRPr="00FB351A" w:rsidRDefault="009D3A25"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5B02B9C6" w14:textId="77777777" w:rsidR="00676F37" w:rsidRPr="00FB351A" w:rsidRDefault="00676F37" w:rsidP="00676F37">
      <w:pPr>
        <w:tabs>
          <w:tab w:val="left" w:pos="318"/>
        </w:tabs>
        <w:overflowPunct w:val="0"/>
        <w:autoSpaceDE w:val="0"/>
        <w:autoSpaceDN w:val="0"/>
        <w:adjustRightInd w:val="0"/>
        <w:jc w:val="center"/>
        <w:textAlignment w:val="baseline"/>
        <w:rPr>
          <w:rFonts w:ascii="Arial" w:hAnsi="Arial" w:cs="Arial"/>
          <w:b/>
          <w:bCs/>
          <w:color w:val="000000"/>
          <w:sz w:val="20"/>
          <w:szCs w:val="20"/>
        </w:rPr>
      </w:pPr>
      <w:r w:rsidRPr="00FB351A">
        <w:rPr>
          <w:rFonts w:ascii="Arial" w:hAnsi="Arial" w:cs="Arial"/>
          <w:b/>
          <w:bCs/>
          <w:color w:val="000000"/>
          <w:sz w:val="20"/>
          <w:szCs w:val="20"/>
        </w:rPr>
        <w:t>Marco Normativo y Operativo de las Entidades Aseguradoras en Colombia</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4"/>
        <w:gridCol w:w="4403"/>
        <w:gridCol w:w="3356"/>
      </w:tblGrid>
      <w:tr w:rsidR="00676F37" w:rsidRPr="00FB351A" w14:paraId="5030746A" w14:textId="77777777" w:rsidTr="009B3AAD">
        <w:trPr>
          <w:trHeight w:val="20"/>
          <w:tblHeader/>
          <w:tblCellSpacing w:w="15" w:type="dxa"/>
        </w:trPr>
        <w:tc>
          <w:tcPr>
            <w:tcW w:w="94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129DC4BD"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Dimensión Regulatoria</w:t>
            </w:r>
          </w:p>
        </w:tc>
        <w:tc>
          <w:tcPr>
            <w:tcW w:w="2273"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991380A"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Requisito / Condición Legal</w:t>
            </w:r>
          </w:p>
        </w:tc>
        <w:tc>
          <w:tcPr>
            <w:tcW w:w="1721"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31FA602"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Marco de Referencia Técnico</w:t>
            </w:r>
          </w:p>
        </w:tc>
      </w:tr>
      <w:tr w:rsidR="00676F37" w:rsidRPr="00FB351A" w14:paraId="7C2B0135" w14:textId="77777777" w:rsidTr="009B3AAD">
        <w:trPr>
          <w:trHeight w:val="20"/>
          <w:tblCellSpacing w:w="15" w:type="dxa"/>
        </w:trPr>
        <w:tc>
          <w:tcPr>
            <w:tcW w:w="94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DEEF09B"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Autoridad de Supervisión</w:t>
            </w:r>
          </w:p>
        </w:tc>
        <w:tc>
          <w:tcPr>
            <w:tcW w:w="227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914BF2"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Superintendencia Financiera de Colombia (</w:t>
            </w:r>
            <w:proofErr w:type="spellStart"/>
            <w:r w:rsidRPr="00FB351A">
              <w:rPr>
                <w:rFonts w:ascii="Arial" w:hAnsi="Arial" w:cs="Arial"/>
                <w:color w:val="000000"/>
                <w:sz w:val="20"/>
                <w:szCs w:val="20"/>
              </w:rPr>
              <w:t>SFC</w:t>
            </w:r>
            <w:proofErr w:type="spellEnd"/>
            <w:r w:rsidRPr="00FB351A">
              <w:rPr>
                <w:rFonts w:ascii="Arial" w:hAnsi="Arial" w:cs="Arial"/>
                <w:color w:val="000000"/>
                <w:sz w:val="20"/>
                <w:szCs w:val="20"/>
              </w:rPr>
              <w:t>)</w:t>
            </w:r>
          </w:p>
        </w:tc>
        <w:tc>
          <w:tcPr>
            <w:tcW w:w="172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1B2A1B"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Control y vigilancia integral del mercado asegurador nacional.</w:t>
            </w:r>
          </w:p>
        </w:tc>
      </w:tr>
      <w:tr w:rsidR="00676F37" w:rsidRPr="00FB351A" w14:paraId="6078112D" w14:textId="77777777" w:rsidTr="009B3AAD">
        <w:trPr>
          <w:trHeight w:val="20"/>
          <w:tblCellSpacing w:w="15" w:type="dxa"/>
        </w:trPr>
        <w:tc>
          <w:tcPr>
            <w:tcW w:w="94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18DA5654"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Actividad de Interés Público</w:t>
            </w:r>
          </w:p>
        </w:tc>
        <w:tc>
          <w:tcPr>
            <w:tcW w:w="227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2E829A"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Requiere autorización previa e indelegable del Estado para su ejercicio.</w:t>
            </w:r>
          </w:p>
        </w:tc>
        <w:tc>
          <w:tcPr>
            <w:tcW w:w="172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54F643"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Implica una alta regulación por la protección del ahorro y los derechos de los asegurados.</w:t>
            </w:r>
          </w:p>
        </w:tc>
      </w:tr>
      <w:tr w:rsidR="00676F37" w:rsidRPr="00FB351A" w14:paraId="02FF84E1" w14:textId="77777777" w:rsidTr="009B3AAD">
        <w:trPr>
          <w:trHeight w:val="20"/>
          <w:tblCellSpacing w:w="15" w:type="dxa"/>
        </w:trPr>
        <w:tc>
          <w:tcPr>
            <w:tcW w:w="94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937C4F5"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Forma de Constitución</w:t>
            </w:r>
          </w:p>
        </w:tc>
        <w:tc>
          <w:tcPr>
            <w:tcW w:w="227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8BF47F"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Sociedades anónimas o asociaciones cooperativas.</w:t>
            </w:r>
          </w:p>
        </w:tc>
        <w:tc>
          <w:tcPr>
            <w:tcW w:w="172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2F91F6"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Estructuras societarias autorizadas bajo el Estatuto Orgánico del Sistema Financiero (</w:t>
            </w:r>
            <w:proofErr w:type="spellStart"/>
            <w:r w:rsidRPr="00FB351A">
              <w:rPr>
                <w:rFonts w:ascii="Arial" w:hAnsi="Arial" w:cs="Arial"/>
                <w:color w:val="000000"/>
                <w:sz w:val="20"/>
                <w:szCs w:val="20"/>
              </w:rPr>
              <w:t>EOSF</w:t>
            </w:r>
            <w:proofErr w:type="spellEnd"/>
            <w:r w:rsidRPr="00FB351A">
              <w:rPr>
                <w:rFonts w:ascii="Arial" w:hAnsi="Arial" w:cs="Arial"/>
                <w:color w:val="000000"/>
                <w:sz w:val="20"/>
                <w:szCs w:val="20"/>
              </w:rPr>
              <w:t>).</w:t>
            </w:r>
          </w:p>
        </w:tc>
      </w:tr>
      <w:tr w:rsidR="00676F37" w:rsidRPr="00FB351A" w14:paraId="3DF4065A" w14:textId="77777777" w:rsidTr="009B3AAD">
        <w:trPr>
          <w:trHeight w:val="20"/>
          <w:tblCellSpacing w:w="15" w:type="dxa"/>
        </w:trPr>
        <w:tc>
          <w:tcPr>
            <w:tcW w:w="94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1F995E9E"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Objeto Social</w:t>
            </w:r>
          </w:p>
        </w:tc>
        <w:tc>
          <w:tcPr>
            <w:tcW w:w="227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F93B0"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Exclusivo para la realización de operaciones de seguros, limitado a los ramos expresamente autorizados.</w:t>
            </w:r>
          </w:p>
        </w:tc>
        <w:tc>
          <w:tcPr>
            <w:tcW w:w="172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61B1F0"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Principio de especialidad en la gestión del riesgo.</w:t>
            </w:r>
          </w:p>
        </w:tc>
      </w:tr>
      <w:tr w:rsidR="00676F37" w:rsidRPr="00FB351A" w14:paraId="2A8BCAD0" w14:textId="77777777" w:rsidTr="009B3AAD">
        <w:trPr>
          <w:trHeight w:val="20"/>
          <w:tblCellSpacing w:w="15" w:type="dxa"/>
        </w:trPr>
        <w:tc>
          <w:tcPr>
            <w:tcW w:w="94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5A46D15"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Reglas sobre Pólizas y Tarifas</w:t>
            </w:r>
          </w:p>
        </w:tc>
        <w:tc>
          <w:tcPr>
            <w:tcW w:w="227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F995EC"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Libertad vigilada; la aprobación previa de la </w:t>
            </w:r>
            <w:proofErr w:type="spellStart"/>
            <w:r w:rsidRPr="00FB351A">
              <w:rPr>
                <w:rFonts w:ascii="Arial" w:hAnsi="Arial" w:cs="Arial"/>
                <w:color w:val="000000"/>
                <w:sz w:val="20"/>
                <w:szCs w:val="20"/>
              </w:rPr>
              <w:t>SFC</w:t>
            </w:r>
            <w:proofErr w:type="spellEnd"/>
            <w:r w:rsidRPr="00FB351A">
              <w:rPr>
                <w:rFonts w:ascii="Arial" w:hAnsi="Arial" w:cs="Arial"/>
                <w:color w:val="000000"/>
                <w:sz w:val="20"/>
                <w:szCs w:val="20"/>
              </w:rPr>
              <w:t xml:space="preserve"> aplica únicamente para autorización inicial o nuevos ramos.</w:t>
            </w:r>
          </w:p>
        </w:tc>
        <w:tc>
          <w:tcPr>
            <w:tcW w:w="172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F949AA"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Inciso 2, numeral 1º, artículo 184 del </w:t>
            </w:r>
            <w:proofErr w:type="spellStart"/>
            <w:r w:rsidRPr="00FB351A">
              <w:rPr>
                <w:rFonts w:ascii="Arial" w:hAnsi="Arial" w:cs="Arial"/>
                <w:color w:val="000000"/>
                <w:sz w:val="20"/>
                <w:szCs w:val="20"/>
              </w:rPr>
              <w:t>EOSF</w:t>
            </w:r>
            <w:proofErr w:type="spellEnd"/>
            <w:r w:rsidRPr="00FB351A">
              <w:rPr>
                <w:rFonts w:ascii="Arial" w:hAnsi="Arial" w:cs="Arial"/>
                <w:color w:val="000000"/>
                <w:sz w:val="20"/>
                <w:szCs w:val="20"/>
              </w:rPr>
              <w:t>.</w:t>
            </w:r>
          </w:p>
        </w:tc>
      </w:tr>
      <w:tr w:rsidR="00676F37" w:rsidRPr="00FB351A" w14:paraId="14AAE6B7" w14:textId="77777777" w:rsidTr="009B3AAD">
        <w:trPr>
          <w:trHeight w:val="20"/>
          <w:tblCellSpacing w:w="15" w:type="dxa"/>
        </w:trPr>
        <w:tc>
          <w:tcPr>
            <w:tcW w:w="945"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FF04F0D"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b/>
                <w:bCs/>
                <w:color w:val="000000"/>
                <w:sz w:val="20"/>
                <w:szCs w:val="20"/>
              </w:rPr>
              <w:t>Depósito de Modelos</w:t>
            </w:r>
          </w:p>
        </w:tc>
        <w:tc>
          <w:tcPr>
            <w:tcW w:w="227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5761F"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Obligación de radicar previamente ante la </w:t>
            </w:r>
            <w:proofErr w:type="spellStart"/>
            <w:r w:rsidRPr="00FB351A">
              <w:rPr>
                <w:rFonts w:ascii="Arial" w:hAnsi="Arial" w:cs="Arial"/>
                <w:color w:val="000000"/>
                <w:sz w:val="20"/>
                <w:szCs w:val="20"/>
              </w:rPr>
              <w:t>SFC</w:t>
            </w:r>
            <w:proofErr w:type="spellEnd"/>
            <w:r w:rsidRPr="00FB351A">
              <w:rPr>
                <w:rFonts w:ascii="Arial" w:hAnsi="Arial" w:cs="Arial"/>
                <w:color w:val="000000"/>
                <w:sz w:val="20"/>
                <w:szCs w:val="20"/>
              </w:rPr>
              <w:t xml:space="preserve"> los modelos de pólizas, anexos y sus modificaciones antes de su comercialización.</w:t>
            </w:r>
          </w:p>
        </w:tc>
        <w:tc>
          <w:tcPr>
            <w:tcW w:w="1721"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15948" w14:textId="77777777" w:rsidR="00676F37" w:rsidRPr="00FB351A" w:rsidRDefault="00676F37" w:rsidP="009B3AAD">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Mecanismo de transparencia y control preventivo de condiciones contractuales.</w:t>
            </w:r>
          </w:p>
        </w:tc>
      </w:tr>
    </w:tbl>
    <w:p w14:paraId="7B61BFDC" w14:textId="77777777" w:rsidR="00676F37" w:rsidRPr="00FB351A" w:rsidRDefault="00676F37" w:rsidP="00676F37">
      <w:pPr>
        <w:tabs>
          <w:tab w:val="left" w:pos="318"/>
        </w:tabs>
        <w:overflowPunct w:val="0"/>
        <w:autoSpaceDE w:val="0"/>
        <w:autoSpaceDN w:val="0"/>
        <w:adjustRightInd w:val="0"/>
        <w:jc w:val="both"/>
        <w:textAlignment w:val="baseline"/>
        <w:rPr>
          <w:rFonts w:ascii="Arial" w:hAnsi="Arial" w:cs="Arial"/>
          <w:color w:val="000000"/>
          <w:sz w:val="20"/>
          <w:szCs w:val="20"/>
        </w:rPr>
      </w:pPr>
    </w:p>
    <w:p w14:paraId="045564A5" w14:textId="77777777" w:rsidR="00676F37" w:rsidRPr="00FB351A" w:rsidRDefault="00676F37"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7F9975E1" w14:textId="1BF89831" w:rsidR="008322ED" w:rsidRPr="00FB351A" w:rsidRDefault="008322ED" w:rsidP="00803115">
      <w:pPr>
        <w:pStyle w:val="Prrafodelista"/>
        <w:numPr>
          <w:ilvl w:val="2"/>
          <w:numId w:val="1"/>
        </w:numPr>
        <w:tabs>
          <w:tab w:val="left" w:pos="318"/>
        </w:tabs>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Análisis Puntaje Para La Promoción De La Industria Nacional En Los Procesos De Contratación De Servicios - Decreto 680 De 2021</w:t>
      </w:r>
    </w:p>
    <w:p w14:paraId="4A15E2C0"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44A8AA9A" w14:textId="77777777" w:rsidR="008322ED" w:rsidRPr="00FB351A" w:rsidRDefault="008322ED" w:rsidP="00803115">
      <w:pPr>
        <w:jc w:val="both"/>
        <w:rPr>
          <w:rFonts w:ascii="Arial" w:hAnsi="Arial" w:cs="Arial"/>
          <w:bCs/>
          <w:sz w:val="20"/>
          <w:szCs w:val="20"/>
          <w:lang w:val="es-ES_tradnl" w:eastAsia="x-none"/>
        </w:rPr>
      </w:pPr>
      <w:r w:rsidRPr="00FB351A">
        <w:rPr>
          <w:rFonts w:ascii="Arial" w:hAnsi="Arial" w:cs="Arial"/>
          <w:bCs/>
          <w:sz w:val="20"/>
          <w:szCs w:val="20"/>
          <w:lang w:val="es-ES_tradnl" w:eastAsia="x-none"/>
        </w:rPr>
        <w:t xml:space="preserve">Ahora bien, para el sector asegurador bajo estudio,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Superintendencia Financiera de Colombia por razones de interés público, para el caso de riesgos respecto de los bienes situados o matriculados en el país. 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15A5C165" w14:textId="77777777" w:rsidR="008322ED" w:rsidRPr="00FB351A" w:rsidRDefault="008322ED" w:rsidP="00803115">
      <w:pPr>
        <w:jc w:val="both"/>
        <w:rPr>
          <w:rFonts w:ascii="Arial" w:hAnsi="Arial" w:cs="Arial"/>
          <w:bCs/>
          <w:sz w:val="20"/>
          <w:szCs w:val="20"/>
          <w:lang w:val="es-ES_tradnl" w:eastAsia="x-none"/>
        </w:rPr>
      </w:pPr>
    </w:p>
    <w:p w14:paraId="12F9054E" w14:textId="77777777" w:rsidR="008322ED" w:rsidRPr="00FB351A" w:rsidRDefault="008322ED" w:rsidP="00803115">
      <w:pPr>
        <w:jc w:val="both"/>
        <w:rPr>
          <w:rFonts w:ascii="Arial" w:hAnsi="Arial" w:cs="Arial"/>
          <w:bCs/>
          <w:sz w:val="20"/>
          <w:szCs w:val="20"/>
          <w:lang w:val="es-ES_tradnl" w:eastAsia="x-none"/>
        </w:rPr>
      </w:pPr>
      <w:r w:rsidRPr="00FB351A">
        <w:rPr>
          <w:rFonts w:ascii="Arial" w:hAnsi="Arial" w:cs="Arial"/>
          <w:bCs/>
          <w:sz w:val="20"/>
          <w:szCs w:val="20"/>
          <w:lang w:val="es-ES_tradnl" w:eastAsia="x-none"/>
        </w:rPr>
        <w:t xml:space="preserve">La Constitución Nacional establece que la actividad aseguradora en Colombia es de interés público, razón por la cual solo puede ser ejercida en el país previa autorización del Estado. (Ver artículo 335 </w:t>
      </w:r>
      <w:proofErr w:type="spellStart"/>
      <w:r w:rsidRPr="00FB351A">
        <w:rPr>
          <w:rFonts w:ascii="Arial" w:hAnsi="Arial" w:cs="Arial"/>
          <w:bCs/>
          <w:sz w:val="20"/>
          <w:szCs w:val="20"/>
          <w:lang w:val="es-ES_tradnl" w:eastAsia="x-none"/>
        </w:rPr>
        <w:t>C.N</w:t>
      </w:r>
      <w:proofErr w:type="spellEnd"/>
      <w:r w:rsidRPr="00FB351A">
        <w:rPr>
          <w:rFonts w:ascii="Arial" w:hAnsi="Arial" w:cs="Arial"/>
          <w:bCs/>
          <w:sz w:val="20"/>
          <w:szCs w:val="20"/>
          <w:lang w:val="es-ES_tradnl" w:eastAsia="x-none"/>
        </w:rPr>
        <w:t xml:space="preserve">.) Por ello, cualquier persona que desee desarrollar el negocio de los seguros en Colombia debe contar con la autorización previa de la Superintendencia Financiera de Colombia. (Ver Artículos 39 y 108, numeral </w:t>
      </w:r>
      <w:proofErr w:type="spellStart"/>
      <w:r w:rsidRPr="00FB351A">
        <w:rPr>
          <w:rFonts w:ascii="Arial" w:hAnsi="Arial" w:cs="Arial"/>
          <w:bCs/>
          <w:sz w:val="20"/>
          <w:szCs w:val="20"/>
          <w:lang w:val="es-ES_tradnl" w:eastAsia="x-none"/>
        </w:rPr>
        <w:t>3o</w:t>
      </w:r>
      <w:proofErr w:type="spellEnd"/>
      <w:r w:rsidRPr="00FB351A">
        <w:rPr>
          <w:rFonts w:ascii="Arial" w:hAnsi="Arial" w:cs="Arial"/>
          <w:bCs/>
          <w:sz w:val="20"/>
          <w:szCs w:val="20"/>
          <w:lang w:val="es-ES_tradnl" w:eastAsia="x-none"/>
        </w:rPr>
        <w:t xml:space="preserve"> </w:t>
      </w:r>
      <w:proofErr w:type="spellStart"/>
      <w:r w:rsidRPr="00FB351A">
        <w:rPr>
          <w:rFonts w:ascii="Arial" w:hAnsi="Arial" w:cs="Arial"/>
          <w:bCs/>
          <w:sz w:val="20"/>
          <w:szCs w:val="20"/>
          <w:lang w:val="es-ES_tradnl" w:eastAsia="x-none"/>
        </w:rPr>
        <w:t>EOSF</w:t>
      </w:r>
      <w:proofErr w:type="spellEnd"/>
      <w:r w:rsidRPr="00FB351A">
        <w:rPr>
          <w:rFonts w:ascii="Arial" w:hAnsi="Arial" w:cs="Arial"/>
          <w:bCs/>
          <w:sz w:val="20"/>
          <w:szCs w:val="20"/>
          <w:lang w:val="es-ES_tradnl" w:eastAsia="x-none"/>
        </w:rPr>
        <w:t xml:space="preserve">). </w:t>
      </w:r>
    </w:p>
    <w:p w14:paraId="764D2AFE" w14:textId="77777777" w:rsidR="008322ED" w:rsidRPr="00FB351A" w:rsidRDefault="008322ED" w:rsidP="00803115">
      <w:pPr>
        <w:jc w:val="both"/>
        <w:rPr>
          <w:rFonts w:ascii="Arial" w:hAnsi="Arial" w:cs="Arial"/>
          <w:bCs/>
          <w:sz w:val="20"/>
          <w:szCs w:val="20"/>
          <w:lang w:val="es-ES_tradnl" w:eastAsia="x-none"/>
        </w:rPr>
      </w:pPr>
    </w:p>
    <w:p w14:paraId="0977522E" w14:textId="77777777" w:rsidR="008322ED" w:rsidRPr="00FB351A" w:rsidRDefault="008322ED" w:rsidP="00803115">
      <w:pPr>
        <w:jc w:val="both"/>
        <w:rPr>
          <w:rFonts w:ascii="Arial" w:hAnsi="Arial" w:cs="Arial"/>
          <w:bCs/>
          <w:sz w:val="20"/>
          <w:szCs w:val="20"/>
          <w:lang w:val="es-ES_tradnl" w:eastAsia="x-none"/>
        </w:rPr>
      </w:pPr>
      <w:r w:rsidRPr="00FB351A">
        <w:rPr>
          <w:rFonts w:ascii="Arial" w:hAnsi="Arial" w:cs="Arial"/>
          <w:bCs/>
          <w:sz w:val="20"/>
          <w:szCs w:val="20"/>
          <w:lang w:val="es-ES_tradnl" w:eastAsia="x-none"/>
        </w:rPr>
        <w:t xml:space="preserve">Siguiendo con el deber de las entidades del estado de promover incentivos para los bienes, servicios y oferentes nacionales o aquellos considerados nacionales con ocasión de la existencia de trato nacional, contemplado en el Artículo 2.2.1.2.4.2.1. del Decreto 1082 de 2015 y el Manual de los Incentivos en los Procesos de Contratación expedido por la Agencia Colombia Compra Eficiente, la Agencia de Desarrollo Rural asignará puntaje en la calificación de ofertas, conforme con lo establecido en el parágrafo del Artículo 1 de la Ley 816 de 2003, modificado por el Artículo 51 del Decreto 19 de 2012, se otorgará tratamiento de servicio de origen nacional a aquellos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w:t>
      </w:r>
    </w:p>
    <w:p w14:paraId="41986496" w14:textId="77777777" w:rsidR="008322ED" w:rsidRPr="00FB351A" w:rsidRDefault="008322ED" w:rsidP="00803115">
      <w:pPr>
        <w:jc w:val="both"/>
        <w:rPr>
          <w:rFonts w:ascii="Arial" w:hAnsi="Arial" w:cs="Arial"/>
          <w:bCs/>
          <w:sz w:val="20"/>
          <w:szCs w:val="20"/>
          <w:lang w:val="es-ES_tradnl" w:eastAsia="x-none"/>
        </w:rPr>
      </w:pPr>
    </w:p>
    <w:p w14:paraId="0E5798F9" w14:textId="77777777" w:rsidR="008322ED" w:rsidRPr="00FB351A" w:rsidRDefault="008322ED" w:rsidP="00803115">
      <w:pPr>
        <w:jc w:val="both"/>
        <w:rPr>
          <w:rFonts w:ascii="Arial" w:hAnsi="Arial" w:cs="Arial"/>
          <w:bCs/>
          <w:sz w:val="20"/>
          <w:szCs w:val="20"/>
          <w:lang w:val="es-ES_tradnl" w:eastAsia="x-none"/>
        </w:rPr>
      </w:pPr>
      <w:r w:rsidRPr="00FB351A">
        <w:rPr>
          <w:rFonts w:ascii="Arial" w:hAnsi="Arial" w:cs="Arial"/>
          <w:bCs/>
          <w:sz w:val="20"/>
          <w:szCs w:val="20"/>
          <w:lang w:val="es-ES_tradnl" w:eastAsia="x-none"/>
        </w:rPr>
        <w:t>En cumplimiento de lo dispuesto por la Ley 816 de 2003, los puntajes que se asignarán en cada uno de los casos, será de acuerdo con los preceptos del decreto 680 de 2021, que modificó el Artículo 2.2.1.1.1.3.1 definición de servicios nacionales y el Artículo 2.2.1.2.4.2.9, Puntaje para la promoción de la industria nacional en los Procesos de Contratación de servicios, del Decreto 1082 de 2015, teniendo en cuenta siempre la siguiente definición de:</w:t>
      </w:r>
    </w:p>
    <w:p w14:paraId="51945110" w14:textId="77777777" w:rsidR="008322ED" w:rsidRPr="00FB351A" w:rsidRDefault="008322ED" w:rsidP="00803115">
      <w:pPr>
        <w:jc w:val="both"/>
        <w:rPr>
          <w:rFonts w:ascii="Arial" w:hAnsi="Arial" w:cs="Arial"/>
          <w:bCs/>
          <w:sz w:val="20"/>
          <w:szCs w:val="20"/>
          <w:lang w:val="es-ES_tradnl" w:eastAsia="x-none"/>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79"/>
        <w:gridCol w:w="1050"/>
      </w:tblGrid>
      <w:tr w:rsidR="008322ED" w:rsidRPr="00FB351A" w14:paraId="78F27872" w14:textId="77777777" w:rsidTr="000D3202">
        <w:trPr>
          <w:trHeight w:val="419"/>
          <w:tblHeader/>
          <w:jc w:val="center"/>
        </w:trPr>
        <w:tc>
          <w:tcPr>
            <w:tcW w:w="4494" w:type="pct"/>
            <w:tcBorders>
              <w:top w:val="single" w:sz="4" w:space="0" w:color="000000"/>
              <w:left w:val="single" w:sz="4" w:space="0" w:color="000000"/>
              <w:bottom w:val="single" w:sz="4" w:space="0" w:color="000000"/>
              <w:right w:val="single" w:sz="4" w:space="0" w:color="000000"/>
            </w:tcBorders>
            <w:shd w:val="clear" w:color="auto" w:fill="DAE9F7"/>
            <w:vAlign w:val="center"/>
            <w:hideMark/>
          </w:tcPr>
          <w:p w14:paraId="41F6AD07" w14:textId="77777777" w:rsidR="008322ED" w:rsidRPr="00FB351A" w:rsidRDefault="008322ED" w:rsidP="000D3202">
            <w:pPr>
              <w:jc w:val="center"/>
              <w:rPr>
                <w:rFonts w:ascii="Arial" w:hAnsi="Arial" w:cs="Arial"/>
                <w:b/>
                <w:bCs/>
                <w:sz w:val="20"/>
                <w:szCs w:val="20"/>
                <w:lang w:val="es-ES_tradnl" w:eastAsia="x-none"/>
              </w:rPr>
            </w:pPr>
            <w:r w:rsidRPr="00FB351A">
              <w:rPr>
                <w:rFonts w:ascii="Arial" w:hAnsi="Arial" w:cs="Arial"/>
                <w:b/>
                <w:bCs/>
                <w:sz w:val="20"/>
                <w:szCs w:val="20"/>
                <w:lang w:val="es-ES_tradnl" w:eastAsia="x-none"/>
              </w:rPr>
              <w:t>PROTECCIÓN A LA INDUSTRIA NACIONAL</w:t>
            </w:r>
          </w:p>
        </w:tc>
        <w:tc>
          <w:tcPr>
            <w:tcW w:w="506" w:type="pct"/>
            <w:tcBorders>
              <w:top w:val="single" w:sz="4" w:space="0" w:color="000000"/>
              <w:left w:val="single" w:sz="4" w:space="0" w:color="000000"/>
              <w:bottom w:val="single" w:sz="4" w:space="0" w:color="000000"/>
              <w:right w:val="single" w:sz="4" w:space="0" w:color="000000"/>
            </w:tcBorders>
            <w:shd w:val="clear" w:color="auto" w:fill="DAE9F7"/>
            <w:vAlign w:val="center"/>
          </w:tcPr>
          <w:p w14:paraId="2F58B3B2" w14:textId="77777777" w:rsidR="008322ED" w:rsidRPr="00FB351A" w:rsidRDefault="008322ED" w:rsidP="000D3202">
            <w:pPr>
              <w:jc w:val="center"/>
              <w:rPr>
                <w:rFonts w:ascii="Arial" w:hAnsi="Arial" w:cs="Arial"/>
                <w:b/>
                <w:bCs/>
                <w:sz w:val="20"/>
                <w:szCs w:val="20"/>
                <w:lang w:val="es-ES_tradnl" w:eastAsia="x-none"/>
              </w:rPr>
            </w:pPr>
            <w:r w:rsidRPr="00FB351A">
              <w:rPr>
                <w:rFonts w:ascii="Arial" w:hAnsi="Arial" w:cs="Arial"/>
                <w:b/>
                <w:bCs/>
                <w:sz w:val="20"/>
                <w:szCs w:val="20"/>
                <w:lang w:val="es-ES_tradnl" w:eastAsia="x-none"/>
              </w:rPr>
              <w:t>PUNTOS</w:t>
            </w:r>
          </w:p>
        </w:tc>
      </w:tr>
      <w:tr w:rsidR="008322ED" w:rsidRPr="00FB351A" w14:paraId="40089E03" w14:textId="77777777" w:rsidTr="000D3202">
        <w:trPr>
          <w:trHeight w:val="674"/>
          <w:jc w:val="center"/>
        </w:trPr>
        <w:tc>
          <w:tcPr>
            <w:tcW w:w="4494" w:type="pct"/>
            <w:tcBorders>
              <w:top w:val="single" w:sz="4" w:space="0" w:color="000000"/>
              <w:left w:val="single" w:sz="4" w:space="0" w:color="000000"/>
              <w:bottom w:val="single" w:sz="4" w:space="0" w:color="000000"/>
              <w:right w:val="single" w:sz="4" w:space="0" w:color="000000"/>
            </w:tcBorders>
            <w:vAlign w:val="center"/>
            <w:hideMark/>
          </w:tcPr>
          <w:p w14:paraId="0903A3E1" w14:textId="660009CA" w:rsidR="008322ED" w:rsidRPr="00FB351A" w:rsidRDefault="008322ED" w:rsidP="000D3202">
            <w:pPr>
              <w:jc w:val="center"/>
              <w:rPr>
                <w:rFonts w:ascii="Arial" w:hAnsi="Arial" w:cs="Arial"/>
                <w:sz w:val="20"/>
                <w:szCs w:val="20"/>
                <w:lang w:val="es-ES_tradnl" w:eastAsia="x-none"/>
              </w:rPr>
            </w:pPr>
            <w:r w:rsidRPr="00FB351A">
              <w:rPr>
                <w:rFonts w:ascii="Arial" w:hAnsi="Arial" w:cs="Arial"/>
                <w:sz w:val="20"/>
                <w:szCs w:val="20"/>
                <w:lang w:val="es-ES_tradnl" w:eastAsia="x-none"/>
              </w:rPr>
              <w:t xml:space="preserve">El oferente nacional colombiano persona jurídica constituida de conformidad con la legislación colombiana o proponente plural conformado por estos que vincule personal mínimo colombiano del </w:t>
            </w:r>
            <w:r w:rsidR="00835A86" w:rsidRPr="00FB351A">
              <w:rPr>
                <w:rFonts w:ascii="Arial" w:hAnsi="Arial" w:cs="Arial"/>
                <w:sz w:val="20"/>
                <w:szCs w:val="20"/>
                <w:lang w:val="es-ES_tradnl" w:eastAsia="x-none"/>
              </w:rPr>
              <w:t>4</w:t>
            </w:r>
            <w:r w:rsidRPr="00FB351A">
              <w:rPr>
                <w:rFonts w:ascii="Arial" w:hAnsi="Arial" w:cs="Arial"/>
                <w:sz w:val="20"/>
                <w:szCs w:val="20"/>
                <w:lang w:val="es-ES_tradnl" w:eastAsia="x-none"/>
              </w:rPr>
              <w:t>0% del total del personal asociado en la operación de la compañía, para el cumplimiento del contrato, a través de empleados o contratistas que presten servicios profesionales, técnicos u operativos.</w:t>
            </w:r>
          </w:p>
        </w:tc>
        <w:tc>
          <w:tcPr>
            <w:tcW w:w="506" w:type="pct"/>
            <w:tcBorders>
              <w:top w:val="single" w:sz="4" w:space="0" w:color="000000"/>
              <w:left w:val="single" w:sz="4" w:space="0" w:color="000000"/>
              <w:bottom w:val="single" w:sz="4" w:space="0" w:color="000000"/>
              <w:right w:val="single" w:sz="4" w:space="0" w:color="000000"/>
            </w:tcBorders>
            <w:vAlign w:val="center"/>
          </w:tcPr>
          <w:p w14:paraId="6BB2A8F5" w14:textId="77777777" w:rsidR="008322ED" w:rsidRPr="00FB351A" w:rsidRDefault="008322ED" w:rsidP="000D3202">
            <w:pPr>
              <w:jc w:val="center"/>
              <w:rPr>
                <w:rFonts w:ascii="Arial" w:hAnsi="Arial" w:cs="Arial"/>
                <w:sz w:val="20"/>
                <w:szCs w:val="20"/>
                <w:lang w:val="es-ES_tradnl" w:eastAsia="x-none"/>
              </w:rPr>
            </w:pPr>
            <w:r w:rsidRPr="00FB351A">
              <w:rPr>
                <w:rFonts w:ascii="Arial" w:hAnsi="Arial" w:cs="Arial"/>
                <w:sz w:val="20"/>
                <w:szCs w:val="20"/>
                <w:lang w:val="es-ES_tradnl" w:eastAsia="x-none"/>
              </w:rPr>
              <w:t>10</w:t>
            </w:r>
          </w:p>
        </w:tc>
      </w:tr>
      <w:tr w:rsidR="008322ED" w:rsidRPr="00FB351A" w14:paraId="4B5A95CF" w14:textId="77777777" w:rsidTr="000D3202">
        <w:trPr>
          <w:trHeight w:val="629"/>
          <w:jc w:val="center"/>
        </w:trPr>
        <w:tc>
          <w:tcPr>
            <w:tcW w:w="4494" w:type="pct"/>
            <w:tcBorders>
              <w:top w:val="single" w:sz="4" w:space="0" w:color="000000"/>
              <w:left w:val="single" w:sz="4" w:space="0" w:color="000000"/>
              <w:bottom w:val="single" w:sz="4" w:space="0" w:color="000000"/>
              <w:right w:val="single" w:sz="4" w:space="0" w:color="000000"/>
            </w:tcBorders>
            <w:vAlign w:val="center"/>
            <w:hideMark/>
          </w:tcPr>
          <w:p w14:paraId="25A2BF38" w14:textId="36786B31" w:rsidR="008322ED" w:rsidRPr="00FB351A" w:rsidRDefault="008322ED" w:rsidP="000D3202">
            <w:pPr>
              <w:jc w:val="center"/>
              <w:rPr>
                <w:rFonts w:ascii="Arial" w:hAnsi="Arial" w:cs="Arial"/>
                <w:sz w:val="20"/>
                <w:szCs w:val="20"/>
                <w:lang w:val="es-ES_tradnl" w:eastAsia="x-none"/>
              </w:rPr>
            </w:pPr>
            <w:r w:rsidRPr="00FB351A">
              <w:rPr>
                <w:rFonts w:ascii="Arial" w:hAnsi="Arial" w:cs="Arial"/>
                <w:sz w:val="20"/>
                <w:szCs w:val="20"/>
                <w:lang w:val="es-ES_tradnl" w:eastAsia="x-none"/>
              </w:rPr>
              <w:lastRenderedPageBreak/>
              <w:t xml:space="preserve">El oferente nacional colombiano persona jurídica constituida de conformidad con la legislación colombiana o proponente plural conformado por estos que vincule personal mínimo colombiano entre el 1% y el </w:t>
            </w:r>
            <w:r w:rsidR="00835A86" w:rsidRPr="00FB351A">
              <w:rPr>
                <w:rFonts w:ascii="Arial" w:hAnsi="Arial" w:cs="Arial"/>
                <w:sz w:val="20"/>
                <w:szCs w:val="20"/>
                <w:lang w:val="es-ES_tradnl" w:eastAsia="x-none"/>
              </w:rPr>
              <w:t>3</w:t>
            </w:r>
            <w:r w:rsidRPr="00FB351A">
              <w:rPr>
                <w:rFonts w:ascii="Arial" w:hAnsi="Arial" w:cs="Arial"/>
                <w:sz w:val="20"/>
                <w:szCs w:val="20"/>
                <w:lang w:val="es-ES_tradnl" w:eastAsia="x-none"/>
              </w:rPr>
              <w:t>9% del total del personal asociado en la operación de la compañía, para el cumplimiento del contrato, a través de empleados o contratistas que presten servicios profesionales, técnicos u operativos.</w:t>
            </w:r>
          </w:p>
        </w:tc>
        <w:tc>
          <w:tcPr>
            <w:tcW w:w="506" w:type="pct"/>
            <w:tcBorders>
              <w:top w:val="single" w:sz="4" w:space="0" w:color="000000"/>
              <w:left w:val="single" w:sz="4" w:space="0" w:color="000000"/>
              <w:bottom w:val="single" w:sz="4" w:space="0" w:color="000000"/>
              <w:right w:val="single" w:sz="4" w:space="0" w:color="000000"/>
            </w:tcBorders>
            <w:vAlign w:val="center"/>
          </w:tcPr>
          <w:p w14:paraId="6F8E90EC" w14:textId="77777777" w:rsidR="008322ED" w:rsidRPr="00FB351A" w:rsidRDefault="008322ED" w:rsidP="000D3202">
            <w:pPr>
              <w:jc w:val="center"/>
              <w:rPr>
                <w:rFonts w:ascii="Arial" w:hAnsi="Arial" w:cs="Arial"/>
                <w:sz w:val="20"/>
                <w:szCs w:val="20"/>
                <w:lang w:val="es-ES_tradnl" w:eastAsia="x-none"/>
              </w:rPr>
            </w:pPr>
            <w:r w:rsidRPr="00FB351A">
              <w:rPr>
                <w:rFonts w:ascii="Arial" w:hAnsi="Arial" w:cs="Arial"/>
                <w:sz w:val="20"/>
                <w:szCs w:val="20"/>
                <w:lang w:val="es-ES_tradnl" w:eastAsia="x-none"/>
              </w:rPr>
              <w:t>5</w:t>
            </w:r>
          </w:p>
        </w:tc>
      </w:tr>
      <w:tr w:rsidR="008322ED" w:rsidRPr="00FB351A" w14:paraId="0BEFA9E4" w14:textId="77777777" w:rsidTr="000D3202">
        <w:trPr>
          <w:trHeight w:val="407"/>
          <w:jc w:val="center"/>
        </w:trPr>
        <w:tc>
          <w:tcPr>
            <w:tcW w:w="4494" w:type="pct"/>
            <w:tcBorders>
              <w:top w:val="single" w:sz="4" w:space="0" w:color="000000"/>
              <w:left w:val="single" w:sz="4" w:space="0" w:color="000000"/>
              <w:bottom w:val="single" w:sz="4" w:space="0" w:color="000000"/>
              <w:right w:val="single" w:sz="4" w:space="0" w:color="000000"/>
            </w:tcBorders>
            <w:vAlign w:val="center"/>
            <w:hideMark/>
          </w:tcPr>
          <w:p w14:paraId="6D320B93" w14:textId="77777777" w:rsidR="008322ED" w:rsidRPr="00FB351A" w:rsidRDefault="008322ED" w:rsidP="000D3202">
            <w:pPr>
              <w:jc w:val="center"/>
              <w:rPr>
                <w:rFonts w:ascii="Arial" w:hAnsi="Arial" w:cs="Arial"/>
                <w:sz w:val="20"/>
                <w:szCs w:val="20"/>
                <w:lang w:val="es-ES_tradnl" w:eastAsia="x-none"/>
              </w:rPr>
            </w:pPr>
            <w:r w:rsidRPr="00FB351A">
              <w:rPr>
                <w:rFonts w:ascii="Arial" w:hAnsi="Arial" w:cs="Arial"/>
                <w:sz w:val="20"/>
                <w:szCs w:val="20"/>
                <w:lang w:val="es-ES_tradnl" w:eastAsia="x-none"/>
              </w:rPr>
              <w:t>En el caso que el proponente no certifique las circunstancias anteriores (Bienes o servicios) que NO realicen la vinculación de personas naturales o jurídicas que presten servicios profesionales, técnicos u operativos, o incorporación de bienes de origen nacional</w:t>
            </w:r>
          </w:p>
        </w:tc>
        <w:tc>
          <w:tcPr>
            <w:tcW w:w="506" w:type="pct"/>
            <w:tcBorders>
              <w:top w:val="single" w:sz="4" w:space="0" w:color="000000"/>
              <w:left w:val="single" w:sz="4" w:space="0" w:color="000000"/>
              <w:bottom w:val="single" w:sz="4" w:space="0" w:color="000000"/>
              <w:right w:val="single" w:sz="4" w:space="0" w:color="000000"/>
            </w:tcBorders>
            <w:vAlign w:val="center"/>
          </w:tcPr>
          <w:p w14:paraId="33F2FD64" w14:textId="77777777" w:rsidR="008322ED" w:rsidRPr="00FB351A" w:rsidRDefault="008322ED" w:rsidP="000D3202">
            <w:pPr>
              <w:jc w:val="center"/>
              <w:rPr>
                <w:rFonts w:ascii="Arial" w:hAnsi="Arial" w:cs="Arial"/>
                <w:sz w:val="20"/>
                <w:szCs w:val="20"/>
                <w:lang w:val="es-ES_tradnl" w:eastAsia="x-none"/>
              </w:rPr>
            </w:pPr>
            <w:r w:rsidRPr="00FB351A">
              <w:rPr>
                <w:rFonts w:ascii="Arial" w:hAnsi="Arial" w:cs="Arial"/>
                <w:sz w:val="20"/>
                <w:szCs w:val="20"/>
                <w:lang w:val="es-ES_tradnl" w:eastAsia="x-none"/>
              </w:rPr>
              <w:t>0</w:t>
            </w:r>
          </w:p>
        </w:tc>
      </w:tr>
    </w:tbl>
    <w:p w14:paraId="04554B07" w14:textId="4A1AF8BB" w:rsidR="008322ED" w:rsidRPr="00FB351A" w:rsidRDefault="008322ED" w:rsidP="00803115">
      <w:pPr>
        <w:pStyle w:val="Descripcin"/>
        <w:jc w:val="both"/>
        <w:rPr>
          <w:rFonts w:ascii="Arial" w:eastAsia="Arial MT" w:hAnsi="Arial" w:cs="Arial"/>
          <w:b w:val="0"/>
          <w:bCs w:val="0"/>
          <w:lang w:val="es-CO"/>
        </w:rPr>
      </w:pPr>
      <w:r w:rsidRPr="00FB351A">
        <w:rPr>
          <w:rFonts w:ascii="Arial" w:hAnsi="Arial" w:cs="Arial"/>
          <w:b w:val="0"/>
          <w:bCs w:val="0"/>
        </w:rPr>
        <w:t xml:space="preserve">Cuadro Puntuación para promoción de la industria nacional. Elaborada por el intermediario de seguros de la entidad </w:t>
      </w:r>
    </w:p>
    <w:p w14:paraId="003B271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78579A42" w14:textId="5C6BCC6F" w:rsidR="008322ED" w:rsidRPr="00FB351A" w:rsidRDefault="008322ED" w:rsidP="00803115">
      <w:pPr>
        <w:pStyle w:val="Prrafodelista"/>
        <w:numPr>
          <w:ilvl w:val="2"/>
          <w:numId w:val="1"/>
        </w:numPr>
        <w:tabs>
          <w:tab w:val="left" w:pos="318"/>
        </w:tabs>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Definición Del Sector En Torno A Acuerdos Marco</w:t>
      </w:r>
    </w:p>
    <w:p w14:paraId="53C5CE50"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
          <w:bCs/>
          <w:color w:val="000000"/>
          <w:sz w:val="20"/>
          <w:szCs w:val="20"/>
        </w:rPr>
      </w:pPr>
    </w:p>
    <w:p w14:paraId="6688B059"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La entidad constató que los seguros que hacen parte integral del alcance del objeto del presente proceso de selección, no se encuentran incluidos en algún catálogo de Acuerdo Marco de Precios (AMP) vigente, publicado en el portal web de Colombia Compra Eficiente</w:t>
      </w:r>
    </w:p>
    <w:p w14:paraId="75ECC8C5" w14:textId="77777777" w:rsidR="00E4089F" w:rsidRPr="00FB351A" w:rsidRDefault="00E4089F" w:rsidP="00803115">
      <w:pPr>
        <w:tabs>
          <w:tab w:val="left" w:pos="318"/>
        </w:tabs>
        <w:overflowPunct w:val="0"/>
        <w:autoSpaceDE w:val="0"/>
        <w:autoSpaceDN w:val="0"/>
        <w:adjustRightInd w:val="0"/>
        <w:jc w:val="both"/>
        <w:textAlignment w:val="baseline"/>
        <w:rPr>
          <w:rFonts w:ascii="Arial" w:hAnsi="Arial" w:cs="Arial"/>
          <w:color w:val="000000"/>
          <w:sz w:val="20"/>
          <w:szCs w:val="20"/>
          <w:lang w:val="es-ES_tradnl"/>
        </w:rPr>
      </w:pPr>
    </w:p>
    <w:p w14:paraId="416521E9" w14:textId="32EDC590" w:rsidR="008322ED" w:rsidRPr="00FB351A" w:rsidRDefault="008322ED" w:rsidP="00803115">
      <w:pPr>
        <w:pStyle w:val="Prrafodelista"/>
        <w:numPr>
          <w:ilvl w:val="2"/>
          <w:numId w:val="1"/>
        </w:numPr>
        <w:tabs>
          <w:tab w:val="left" w:pos="318"/>
        </w:tabs>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Análisis De Fomento A La Ejecución De Contratos Por Parte De Sujetos De Especial Protección Constitucional</w:t>
      </w:r>
    </w:p>
    <w:p w14:paraId="5FD2B7D1"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
          <w:bCs/>
          <w:color w:val="000000"/>
          <w:sz w:val="20"/>
          <w:szCs w:val="20"/>
        </w:rPr>
      </w:pPr>
    </w:p>
    <w:p w14:paraId="6BA4B25B" w14:textId="77777777" w:rsidR="00C5347A" w:rsidRPr="00FB351A" w:rsidRDefault="00C5347A"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De conformidad con el articulo ARTÍCULO 2.2.1.2.4.2.16 del decreto 1082 de 2015, modificado por el decreto 1860 de 2021, teniendo en cuenta las características del contrato de seguro, el objeto contractual y el alcance de las obligaciones del contratista adjudicatario, no será necesario exigir, para la ejecución del contrato que se suscriba, la participación de población en pobreza extrema, desplazados por la violencia, personas en proceso de reintegración o reincorporación y sujetos de especial protección constitucional.</w:t>
      </w:r>
    </w:p>
    <w:p w14:paraId="612FA756"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35C73F62" w14:textId="6A266B9F" w:rsidR="00F41A84" w:rsidRPr="00FB351A" w:rsidRDefault="00F41A84"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Efectuado el análisis correspondiente no se ha encontrado como técnicamente viable la posibilidad de incluir como obligación del contratista, vincular o contratar para la ejecución del respectivo contrato a personas naturales vulnerables, marginadas y/o excluidas de la dinámica productiva de la ciudad, con edad para trabajar, beneficiarias de procesos de formación para el trabajo</w:t>
      </w:r>
      <w:r w:rsidR="000D2A71" w:rsidRPr="00FB351A">
        <w:rPr>
          <w:rFonts w:ascii="Arial" w:hAnsi="Arial" w:cs="Arial"/>
          <w:color w:val="000000"/>
          <w:sz w:val="20"/>
          <w:szCs w:val="20"/>
        </w:rPr>
        <w:t xml:space="preserve">, o la participación de población en pobreza extrema, desplazados por la violencia, personas en proceso de reintegración o reincorporación y sujetos de especial protección constitucional </w:t>
      </w:r>
      <w:r w:rsidRPr="00FB351A">
        <w:rPr>
          <w:rFonts w:ascii="Arial" w:hAnsi="Arial" w:cs="Arial"/>
          <w:color w:val="000000"/>
          <w:sz w:val="20"/>
          <w:szCs w:val="20"/>
        </w:rPr>
        <w:t xml:space="preserve">en razón a que la presente contratación de pólizas de seguros </w:t>
      </w:r>
      <w:r w:rsidR="000D166F" w:rsidRPr="00FB351A">
        <w:rPr>
          <w:rFonts w:ascii="Arial" w:hAnsi="Arial" w:cs="Arial"/>
          <w:color w:val="000000"/>
          <w:sz w:val="20"/>
          <w:szCs w:val="20"/>
        </w:rPr>
        <w:t>tiene como esencia</w:t>
      </w:r>
      <w:r w:rsidRPr="00FB351A">
        <w:rPr>
          <w:rFonts w:ascii="Arial" w:hAnsi="Arial" w:cs="Arial"/>
          <w:color w:val="000000"/>
          <w:sz w:val="20"/>
          <w:szCs w:val="20"/>
        </w:rPr>
        <w:t>: (i) el interés asegurable, (</w:t>
      </w:r>
      <w:proofErr w:type="spellStart"/>
      <w:r w:rsidRPr="00FB351A">
        <w:rPr>
          <w:rFonts w:ascii="Arial" w:hAnsi="Arial" w:cs="Arial"/>
          <w:color w:val="000000"/>
          <w:sz w:val="20"/>
          <w:szCs w:val="20"/>
        </w:rPr>
        <w:t>ii</w:t>
      </w:r>
      <w:proofErr w:type="spellEnd"/>
      <w:r w:rsidRPr="00FB351A">
        <w:rPr>
          <w:rFonts w:ascii="Arial" w:hAnsi="Arial" w:cs="Arial"/>
          <w:color w:val="000000"/>
          <w:sz w:val="20"/>
          <w:szCs w:val="20"/>
        </w:rPr>
        <w:t>) el riesgo asegurable, (</w:t>
      </w:r>
      <w:proofErr w:type="spellStart"/>
      <w:r w:rsidRPr="00FB351A">
        <w:rPr>
          <w:rFonts w:ascii="Arial" w:hAnsi="Arial" w:cs="Arial"/>
          <w:color w:val="000000"/>
          <w:sz w:val="20"/>
          <w:szCs w:val="20"/>
        </w:rPr>
        <w:t>iii</w:t>
      </w:r>
      <w:proofErr w:type="spellEnd"/>
      <w:r w:rsidRPr="00FB351A">
        <w:rPr>
          <w:rFonts w:ascii="Arial" w:hAnsi="Arial" w:cs="Arial"/>
          <w:color w:val="000000"/>
          <w:sz w:val="20"/>
          <w:szCs w:val="20"/>
        </w:rPr>
        <w:t>) la prima o precio del seguro y (</w:t>
      </w:r>
      <w:proofErr w:type="spellStart"/>
      <w:r w:rsidRPr="00FB351A">
        <w:rPr>
          <w:rFonts w:ascii="Arial" w:hAnsi="Arial" w:cs="Arial"/>
          <w:color w:val="000000"/>
          <w:sz w:val="20"/>
          <w:szCs w:val="20"/>
        </w:rPr>
        <w:t>iv</w:t>
      </w:r>
      <w:proofErr w:type="spellEnd"/>
      <w:r w:rsidRPr="00FB351A">
        <w:rPr>
          <w:rFonts w:ascii="Arial" w:hAnsi="Arial" w:cs="Arial"/>
          <w:color w:val="000000"/>
          <w:sz w:val="20"/>
          <w:szCs w:val="20"/>
        </w:rPr>
        <w:t>) la obligación condicional del asegurador. La obligación condicional del asegurador es el deber que tiene la compañía de seguros de pagar una indemnización al asegurado en el caso de que ocurra el riesgo previsto en la póliza de seguro, siempre y cuando dicho riesgo se materialice en los términos y condiciones del contrato. Esta obligación es condicional porque el pago solo se efectúa si se cumplen ciertas condiciones, es decir, la ocurrencia de un hecho futuro e incierto que está cubierto por la póliza</w:t>
      </w:r>
    </w:p>
    <w:p w14:paraId="3DA82E04" w14:textId="77777777" w:rsidR="00F41A84" w:rsidRPr="00FB351A" w:rsidRDefault="00F41A84"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7C3378DD"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bookmarkStart w:id="24" w:name="_Hlk211680375"/>
      <w:r w:rsidRPr="00FB351A">
        <w:rPr>
          <w:rFonts w:ascii="Arial" w:hAnsi="Arial" w:cs="Arial"/>
          <w:color w:val="000000"/>
          <w:sz w:val="20"/>
          <w:szCs w:val="20"/>
        </w:rPr>
        <w:t>No obstante, los proveedores deben proteger a los individuos y comunidades de la violación de derechos humanos. En consecuencia, El futuro proveedor de seguros debe generar mecanismos propios para evaluar el impacto que tienen sus intervenciones en la protección de los derechos humanos de diversos grupos de interés.</w:t>
      </w:r>
    </w:p>
    <w:bookmarkEnd w:id="24"/>
    <w:p w14:paraId="5DB0A255"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5C506E05" w14:textId="7585D494" w:rsidR="008322ED" w:rsidRPr="00FB351A" w:rsidRDefault="008322ED" w:rsidP="00803115">
      <w:pPr>
        <w:pStyle w:val="Prrafodelista"/>
        <w:numPr>
          <w:ilvl w:val="2"/>
          <w:numId w:val="1"/>
        </w:numPr>
        <w:tabs>
          <w:tab w:val="left" w:pos="318"/>
        </w:tabs>
        <w:overflowPunct w:val="0"/>
        <w:autoSpaceDE w:val="0"/>
        <w:autoSpaceDN w:val="0"/>
        <w:adjustRightInd w:val="0"/>
        <w:jc w:val="both"/>
        <w:textAlignment w:val="baseline"/>
        <w:rPr>
          <w:rFonts w:ascii="Arial" w:hAnsi="Arial" w:cs="Arial"/>
          <w:b/>
          <w:bCs/>
          <w:color w:val="000000"/>
          <w:sz w:val="20"/>
          <w:szCs w:val="20"/>
        </w:rPr>
      </w:pPr>
      <w:bookmarkStart w:id="25" w:name="_Hlk212011767"/>
      <w:r w:rsidRPr="00FB351A">
        <w:rPr>
          <w:rFonts w:ascii="Arial" w:hAnsi="Arial" w:cs="Arial"/>
          <w:b/>
          <w:bCs/>
          <w:color w:val="000000"/>
          <w:sz w:val="20"/>
          <w:szCs w:val="20"/>
        </w:rPr>
        <w:t>Criterios Ambientales</w:t>
      </w:r>
    </w:p>
    <w:p w14:paraId="1499992D"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b/>
          <w:bCs/>
          <w:color w:val="000000"/>
          <w:sz w:val="20"/>
          <w:szCs w:val="20"/>
        </w:rPr>
      </w:pPr>
    </w:p>
    <w:bookmarkEnd w:id="25"/>
    <w:p w14:paraId="45DBB9C4" w14:textId="77777777" w:rsidR="00676F37" w:rsidRPr="00FB351A" w:rsidRDefault="00676F37" w:rsidP="00676F37">
      <w:pPr>
        <w:tabs>
          <w:tab w:val="left" w:pos="318"/>
        </w:tabs>
        <w:overflowPunct w:val="0"/>
        <w:autoSpaceDE w:val="0"/>
        <w:autoSpaceDN w:val="0"/>
        <w:adjustRightInd w:val="0"/>
        <w:jc w:val="both"/>
        <w:textAlignment w:val="baseline"/>
        <w:rPr>
          <w:rFonts w:ascii="Arial" w:hAnsi="Arial" w:cs="Arial"/>
          <w:color w:val="000000"/>
          <w:sz w:val="20"/>
          <w:szCs w:val="20"/>
          <w:lang w:val="es-ES"/>
        </w:rPr>
      </w:pPr>
      <w:r w:rsidRPr="00FB351A">
        <w:rPr>
          <w:rFonts w:ascii="Arial" w:hAnsi="Arial" w:cs="Arial"/>
          <w:color w:val="000000"/>
          <w:sz w:val="20"/>
          <w:szCs w:val="20"/>
          <w:lang w:val="es-ES"/>
        </w:rPr>
        <w:lastRenderedPageBreak/>
        <w:t>Teniendo en cuenta el objeto del proceso de selección, las características del contrato de seguros y el análisis del sector y los actores de la oferta, no es apropiado incorporar criterios ambientales de que trata el parágrafo del artículo 2.2.1.1.2.2.2 del Decreto 1082 de 2015 modificado por el Decreto 142 de 2023 y el artículo 2.2.1.1.2.1.1. del Decreto 1082 de 2015 modificado por el Decreto 997 de 2026</w:t>
      </w:r>
    </w:p>
    <w:p w14:paraId="19726714" w14:textId="77777777" w:rsidR="00676F37" w:rsidRPr="00FB351A" w:rsidRDefault="00676F37" w:rsidP="00676F37">
      <w:pPr>
        <w:tabs>
          <w:tab w:val="left" w:pos="318"/>
        </w:tabs>
        <w:overflowPunct w:val="0"/>
        <w:autoSpaceDE w:val="0"/>
        <w:autoSpaceDN w:val="0"/>
        <w:adjustRightInd w:val="0"/>
        <w:jc w:val="both"/>
        <w:textAlignment w:val="baseline"/>
        <w:rPr>
          <w:rFonts w:ascii="Arial" w:hAnsi="Arial" w:cs="Arial"/>
          <w:color w:val="000000"/>
          <w:sz w:val="20"/>
          <w:szCs w:val="20"/>
          <w:lang w:val="es-ES"/>
        </w:rPr>
      </w:pPr>
    </w:p>
    <w:p w14:paraId="54E919B2" w14:textId="77777777" w:rsidR="00676F37" w:rsidRPr="00FB351A" w:rsidRDefault="00676F37" w:rsidP="00676F37">
      <w:pPr>
        <w:tabs>
          <w:tab w:val="left" w:pos="318"/>
        </w:tabs>
        <w:overflowPunct w:val="0"/>
        <w:autoSpaceDE w:val="0"/>
        <w:autoSpaceDN w:val="0"/>
        <w:adjustRightInd w:val="0"/>
        <w:jc w:val="both"/>
        <w:textAlignment w:val="baseline"/>
        <w:rPr>
          <w:rFonts w:ascii="Arial" w:hAnsi="Arial" w:cs="Arial"/>
          <w:color w:val="000000"/>
          <w:sz w:val="20"/>
          <w:szCs w:val="20"/>
          <w:lang w:val="es-ES"/>
        </w:rPr>
      </w:pPr>
      <w:r w:rsidRPr="00FB351A">
        <w:rPr>
          <w:rFonts w:ascii="Arial" w:hAnsi="Arial" w:cs="Arial"/>
          <w:color w:val="000000"/>
          <w:sz w:val="20"/>
          <w:szCs w:val="20"/>
          <w:lang w:val="es-ES"/>
        </w:rPr>
        <w:t>Lo anterior por cuanto la particularidad de las características del contrato de seguros, en el entendido que a cambio de una obligación condicional del asegurador se paga una prima por parte del asegurado, en las distintas etapas de su ciclo de vida, no hay lugar a consumir recursos naturales que generen impactos ambientales específicos en los ecosistemas y la biodiversidad, dado que, en ejecución del contrato, no se consumen recursos como el agua, la energía, el suelo y otros elementos de biodiversidad. En sí, el contrato de seguros no genera emisiones o residuos sólidos o contaminación o degradación del suelo entre otros.</w:t>
      </w:r>
    </w:p>
    <w:p w14:paraId="0D8B9AAF" w14:textId="77777777" w:rsidR="00676F37" w:rsidRPr="00FB351A" w:rsidRDefault="00676F37" w:rsidP="00676F37">
      <w:pPr>
        <w:tabs>
          <w:tab w:val="left" w:pos="318"/>
        </w:tabs>
        <w:overflowPunct w:val="0"/>
        <w:autoSpaceDE w:val="0"/>
        <w:autoSpaceDN w:val="0"/>
        <w:adjustRightInd w:val="0"/>
        <w:jc w:val="both"/>
        <w:textAlignment w:val="baseline"/>
        <w:rPr>
          <w:rFonts w:ascii="Arial" w:hAnsi="Arial" w:cs="Arial"/>
          <w:color w:val="000000"/>
          <w:sz w:val="20"/>
          <w:szCs w:val="20"/>
          <w:lang w:val="es-ES"/>
        </w:rPr>
      </w:pPr>
    </w:p>
    <w:p w14:paraId="3FB9D6F5" w14:textId="77777777" w:rsidR="00676F37" w:rsidRPr="00FB351A" w:rsidRDefault="00676F37" w:rsidP="00676F37">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También, considerando la naturaleza intangible del contrato de seguros, la Entidad determina que la incorporación de puntajes adicionales de ponderación ambiental o social no resulta técnica ni económicamente viable para alterar la selección objetiva en este proceso específico. No obstante, lo anterior, la Entidad incluirá como requisito técnico de obligatoria ejecución la expedición electrónica de las pólizas y su interoperabilidad con sistemas de información oficiales, promoviendo el principio de cero papel y eficiencia administrativa.</w:t>
      </w:r>
    </w:p>
    <w:p w14:paraId="1EE8475F"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5006CBEC" w14:textId="08DC998C" w:rsidR="008322ED" w:rsidRPr="00FB351A" w:rsidRDefault="008322ED" w:rsidP="00803115">
      <w:pPr>
        <w:pStyle w:val="Prrafodelista"/>
        <w:numPr>
          <w:ilvl w:val="2"/>
          <w:numId w:val="1"/>
        </w:numPr>
        <w:tabs>
          <w:tab w:val="left" w:pos="318"/>
        </w:tabs>
        <w:overflowPunct w:val="0"/>
        <w:autoSpaceDE w:val="0"/>
        <w:autoSpaceDN w:val="0"/>
        <w:adjustRightInd w:val="0"/>
        <w:jc w:val="both"/>
        <w:textAlignment w:val="baseline"/>
        <w:rPr>
          <w:rFonts w:ascii="Arial" w:eastAsia="Batang" w:hAnsi="Arial" w:cs="Arial"/>
          <w:b/>
          <w:bCs/>
          <w:sz w:val="20"/>
          <w:szCs w:val="20"/>
        </w:rPr>
      </w:pPr>
      <w:bookmarkStart w:id="26" w:name="_Hlk202519681"/>
      <w:r w:rsidRPr="00FB351A">
        <w:rPr>
          <w:rFonts w:ascii="Arial" w:eastAsia="Batang" w:hAnsi="Arial" w:cs="Arial"/>
          <w:b/>
          <w:bCs/>
          <w:sz w:val="20"/>
          <w:szCs w:val="20"/>
        </w:rPr>
        <w:t xml:space="preserve">Análisis Pertinencia Contratación Mano De Obra Local (Artículo 80 Del </w:t>
      </w:r>
      <w:proofErr w:type="spellStart"/>
      <w:r w:rsidRPr="00FB351A">
        <w:rPr>
          <w:rFonts w:ascii="Arial" w:eastAsia="Batang" w:hAnsi="Arial" w:cs="Arial"/>
          <w:b/>
          <w:bCs/>
          <w:sz w:val="20"/>
          <w:szCs w:val="20"/>
        </w:rPr>
        <w:t>PND</w:t>
      </w:r>
      <w:proofErr w:type="spellEnd"/>
      <w:r w:rsidRPr="00FB351A">
        <w:rPr>
          <w:rFonts w:ascii="Arial" w:eastAsia="Batang" w:hAnsi="Arial" w:cs="Arial"/>
          <w:b/>
          <w:bCs/>
          <w:sz w:val="20"/>
          <w:szCs w:val="20"/>
        </w:rPr>
        <w:t xml:space="preserve"> Ley 2294 De 2023)</w:t>
      </w:r>
    </w:p>
    <w:p w14:paraId="2FC9F05B"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7116A1CE"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El artículo 80 de la ley 2294 de 2023 (Plan nacional de Desarrollo) establece la obligación de la entidad estatal contratante de exigir a sus contratistas la vinculación de, al menos el 50%, de mano de obra local, cuando se trate de inversiones y proyectos a ejecutarse en regiones.</w:t>
      </w:r>
    </w:p>
    <w:p w14:paraId="0C4A585F"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1B2CE3CB"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Los contratos de seguros corresponden a servicios y no a bienes, y son una obligación contraída por el asegurador de pagar al asegurado o al beneficiario, según el caso, la prestación acordada. Está sometida al cumplimiento de una condición suspensiva, cual es la ocurrencia del siniestro, es decir el suceso incierto que no depende exclusivamente de la voluntad del tomador, del asegurado o del beneficiario y cuya realización da origen a la obligación del asegurador. En este acuerdo se define el riesgo amparado, el objeto de aseguramiento, exclusiones y límites pecuniarios temporales pactados, sin que esté permitido interpretar más allá de su contenido.</w:t>
      </w:r>
    </w:p>
    <w:p w14:paraId="242BADD4"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3AB851A4"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La contratación de seguros que amparen los bienes patrimoniales actuales y futuros de la Entidad, en efecto, corresponde a un gasto de funcionamiento a nivel nacional, que le permite a la entidad cumplir con las obligaciones de ley en relación con el aseguramiento de sus bienes, mas no corresponde a un proyecto de inversión regional.</w:t>
      </w:r>
    </w:p>
    <w:p w14:paraId="4C20E030"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24456296" w14:textId="77777777" w:rsidR="008322ED" w:rsidRPr="00FB351A" w:rsidRDefault="008322ED"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Conforme con lo anterior, y teniendo en cuenta las características del contrato de seguro, el objeto contractual y el alcance de las obligaciones del contratista adjudicatario, no será necesario exigir, para la ejecución del contrato que se suscriba, la participación de mano de obra local, por tanto, no será aplicable el mandato legal del artículo 80 de la ley 2294 de 2023.</w:t>
      </w:r>
    </w:p>
    <w:bookmarkEnd w:id="26"/>
    <w:p w14:paraId="14E3E37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6B427760" w14:textId="08D38C18" w:rsidR="000D166F" w:rsidRPr="00FB351A" w:rsidRDefault="000D166F" w:rsidP="00803115">
      <w:pPr>
        <w:pStyle w:val="Prrafodelista"/>
        <w:numPr>
          <w:ilvl w:val="2"/>
          <w:numId w:val="1"/>
        </w:numPr>
        <w:tabs>
          <w:tab w:val="left" w:pos="318"/>
        </w:tabs>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Participación De Las Mujeres En El Sector</w:t>
      </w:r>
    </w:p>
    <w:p w14:paraId="08487478"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71EBA3A3"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Según cifras de la Superintendencia Financiera de Colombia, la composición femenina de la alta gerencia y organismos de control de las entidades supervigiladas, en sociedades cooperativas de seguros es del 18.18%:</w:t>
      </w:r>
    </w:p>
    <w:p w14:paraId="77F1A0AB"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p>
    <w:p w14:paraId="0BADB516" w14:textId="05C1AA0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6408B20D" wp14:editId="051EB2E5">
            <wp:extent cx="5937885" cy="5082540"/>
            <wp:effectExtent l="0" t="0" r="5715" b="3810"/>
            <wp:docPr id="165303869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7885" cy="5082540"/>
                    </a:xfrm>
                    <a:prstGeom prst="rect">
                      <a:avLst/>
                    </a:prstGeom>
                    <a:noFill/>
                    <a:ln>
                      <a:noFill/>
                    </a:ln>
                  </pic:spPr>
                </pic:pic>
              </a:graphicData>
            </a:graphic>
          </wp:inline>
        </w:drawing>
      </w:r>
    </w:p>
    <w:p w14:paraId="2208D54D" w14:textId="22D9B09F"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 </w:t>
      </w:r>
      <w:r w:rsidRPr="00FB351A">
        <w:rPr>
          <w:rFonts w:ascii="Arial" w:hAnsi="Arial" w:cs="Arial"/>
          <w:color w:val="000000"/>
          <w:sz w:val="20"/>
          <w:szCs w:val="20"/>
          <w:lang w:val="es-ES"/>
        </w:rPr>
        <w:t>Gráfica Composición por genero alta gerencia Cooperativas de seguros. Imagen tomada de: https://www.superfinanciera.gov.co/inicio/informes-y-cifras/composicion-por-genero-de-la-alta-gerencia-y-organismos-de-control-en-las-entidades-vigiladas-10112568</w:t>
      </w:r>
    </w:p>
    <w:p w14:paraId="47EBA950"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lang w:val="es-MX"/>
        </w:rPr>
      </w:pPr>
    </w:p>
    <w:p w14:paraId="36CB40B3"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En compañías de seguros generales la composición femenina es del 33.03% para entidades privadas y del 54.55% para entidades públicas:</w:t>
      </w:r>
    </w:p>
    <w:p w14:paraId="2E7DD650"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p>
    <w:p w14:paraId="2C939940" w14:textId="53C1FA62"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3CA37823" wp14:editId="6560F5C9">
            <wp:extent cx="5937885" cy="5153660"/>
            <wp:effectExtent l="0" t="0" r="5715" b="8890"/>
            <wp:docPr id="9117303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7885" cy="5153660"/>
                    </a:xfrm>
                    <a:prstGeom prst="rect">
                      <a:avLst/>
                    </a:prstGeom>
                    <a:noFill/>
                    <a:ln>
                      <a:noFill/>
                    </a:ln>
                  </pic:spPr>
                </pic:pic>
              </a:graphicData>
            </a:graphic>
          </wp:inline>
        </w:drawing>
      </w:r>
    </w:p>
    <w:p w14:paraId="356AEC17" w14:textId="4CB531FB"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lang w:val="es-ES"/>
        </w:rPr>
        <w:t>Gráfica Composición por genero alta gerencia compañías de seguros generales. Imagen tomada de: https://www.superfinanciera.gov.co/inicio/informes-y-cifras/composicion-por-genero-de-la-alta-gerencia-y-organismos-de-control-en-las-entidades-vigiladas-10112568</w:t>
      </w:r>
    </w:p>
    <w:p w14:paraId="61EFFEE7"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p>
    <w:p w14:paraId="4F12C7DF"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En compañías de seguros de vida la composición femenina es del 33.16% para entidades privadas y del 66.67% para entidades públicas:</w:t>
      </w:r>
    </w:p>
    <w:p w14:paraId="1E8A9BB1" w14:textId="7777777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p>
    <w:p w14:paraId="46839B6F" w14:textId="23ED2FA9"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6644A144" wp14:editId="37ED4141">
            <wp:extent cx="5937885" cy="5118100"/>
            <wp:effectExtent l="0" t="0" r="5715" b="6350"/>
            <wp:docPr id="160798240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37885" cy="5118100"/>
                    </a:xfrm>
                    <a:prstGeom prst="rect">
                      <a:avLst/>
                    </a:prstGeom>
                    <a:noFill/>
                    <a:ln>
                      <a:noFill/>
                    </a:ln>
                  </pic:spPr>
                </pic:pic>
              </a:graphicData>
            </a:graphic>
          </wp:inline>
        </w:drawing>
      </w:r>
    </w:p>
    <w:p w14:paraId="41EECBC3" w14:textId="073B7A57" w:rsidR="009400FA" w:rsidRPr="00FB351A" w:rsidRDefault="009400FA" w:rsidP="009400FA">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lang w:val="es-ES"/>
        </w:rPr>
        <w:t>Gráfica Composición por genero alta gerencia compañías de seguros de vida. Imagen tomada de: https://www.superfinanciera.gov.co/inicio/informes-y-cifras/composicion-por-genero-de-la-alta-gerencia-y-organismos-de-control-en-las-entidades-vigiladas-10112568</w:t>
      </w:r>
    </w:p>
    <w:p w14:paraId="67E54EEA" w14:textId="77777777" w:rsidR="00187966" w:rsidRPr="00FB351A" w:rsidRDefault="00187966" w:rsidP="00803115">
      <w:pPr>
        <w:tabs>
          <w:tab w:val="left" w:pos="318"/>
        </w:tabs>
        <w:overflowPunct w:val="0"/>
        <w:autoSpaceDE w:val="0"/>
        <w:autoSpaceDN w:val="0"/>
        <w:adjustRightInd w:val="0"/>
        <w:jc w:val="both"/>
        <w:textAlignment w:val="baseline"/>
        <w:rPr>
          <w:rFonts w:ascii="Arial" w:hAnsi="Arial" w:cs="Arial"/>
          <w:b/>
          <w:color w:val="000000"/>
          <w:sz w:val="20"/>
          <w:szCs w:val="20"/>
        </w:rPr>
      </w:pPr>
    </w:p>
    <w:p w14:paraId="6F5C6205" w14:textId="44FBE735" w:rsidR="00AB5972" w:rsidRPr="00FB351A" w:rsidRDefault="00187966" w:rsidP="00803115">
      <w:pPr>
        <w:tabs>
          <w:tab w:val="left" w:pos="318"/>
        </w:tabs>
        <w:overflowPunct w:val="0"/>
        <w:autoSpaceDE w:val="0"/>
        <w:autoSpaceDN w:val="0"/>
        <w:adjustRightInd w:val="0"/>
        <w:jc w:val="both"/>
        <w:textAlignment w:val="baseline"/>
        <w:rPr>
          <w:rFonts w:ascii="Arial" w:hAnsi="Arial" w:cs="Arial"/>
          <w:b/>
          <w:color w:val="000000"/>
          <w:sz w:val="20"/>
          <w:szCs w:val="20"/>
        </w:rPr>
      </w:pPr>
      <w:r w:rsidRPr="00FB351A">
        <w:rPr>
          <w:rFonts w:ascii="Arial" w:hAnsi="Arial" w:cs="Arial"/>
          <w:b/>
          <w:color w:val="000000"/>
          <w:sz w:val="20"/>
          <w:szCs w:val="20"/>
        </w:rPr>
        <w:t>*</w:t>
      </w:r>
      <w:r w:rsidR="0078334B" w:rsidRPr="00FB351A">
        <w:rPr>
          <w:rFonts w:ascii="Arial" w:hAnsi="Arial" w:cs="Arial"/>
          <w:bCs/>
          <w:color w:val="000000"/>
          <w:sz w:val="20"/>
          <w:szCs w:val="20"/>
        </w:rPr>
        <w:t xml:space="preserve">La presencia femenina en el sector asegurador es cada vez más </w:t>
      </w:r>
      <w:r w:rsidR="00AB5972" w:rsidRPr="00FB351A">
        <w:rPr>
          <w:rFonts w:ascii="Arial" w:hAnsi="Arial" w:cs="Arial"/>
          <w:bCs/>
          <w:color w:val="000000"/>
          <w:sz w:val="20"/>
          <w:szCs w:val="20"/>
        </w:rPr>
        <w:t>notable,</w:t>
      </w:r>
      <w:r w:rsidR="0078334B" w:rsidRPr="00FB351A">
        <w:rPr>
          <w:rFonts w:ascii="Arial" w:hAnsi="Arial" w:cs="Arial"/>
          <w:bCs/>
          <w:color w:val="000000"/>
          <w:sz w:val="20"/>
          <w:szCs w:val="20"/>
        </w:rPr>
        <w:t xml:space="preserve"> Aunque la paridad no ha alcanzado aún a los cargos directivos</w:t>
      </w:r>
    </w:p>
    <w:p w14:paraId="2CA64CAF" w14:textId="77777777" w:rsidR="0078334B" w:rsidRPr="00FB351A" w:rsidRDefault="0078334B" w:rsidP="00803115">
      <w:pPr>
        <w:tabs>
          <w:tab w:val="left" w:pos="318"/>
        </w:tabs>
        <w:overflowPunct w:val="0"/>
        <w:autoSpaceDE w:val="0"/>
        <w:autoSpaceDN w:val="0"/>
        <w:adjustRightInd w:val="0"/>
        <w:jc w:val="both"/>
        <w:textAlignment w:val="baseline"/>
        <w:rPr>
          <w:rFonts w:ascii="Arial" w:hAnsi="Arial" w:cs="Arial"/>
          <w:b/>
          <w:color w:val="000000"/>
          <w:sz w:val="20"/>
          <w:szCs w:val="20"/>
        </w:rPr>
      </w:pPr>
    </w:p>
    <w:p w14:paraId="25B4B7F6" w14:textId="0223504B" w:rsidR="0078334B" w:rsidRPr="00FB351A" w:rsidRDefault="00AB5972" w:rsidP="00803115">
      <w:pPr>
        <w:tabs>
          <w:tab w:val="left" w:pos="318"/>
        </w:tabs>
        <w:overflowPunct w:val="0"/>
        <w:autoSpaceDE w:val="0"/>
        <w:autoSpaceDN w:val="0"/>
        <w:adjustRightInd w:val="0"/>
        <w:jc w:val="both"/>
        <w:textAlignment w:val="baseline"/>
        <w:rPr>
          <w:rFonts w:ascii="Arial" w:hAnsi="Arial" w:cs="Arial"/>
          <w:bCs/>
          <w:color w:val="000000"/>
          <w:sz w:val="20"/>
          <w:szCs w:val="20"/>
        </w:rPr>
      </w:pPr>
      <w:r w:rsidRPr="00FB351A">
        <w:rPr>
          <w:rFonts w:ascii="Arial" w:hAnsi="Arial" w:cs="Arial"/>
          <w:bCs/>
          <w:color w:val="000000"/>
          <w:sz w:val="20"/>
          <w:szCs w:val="20"/>
        </w:rPr>
        <w:t>E</w:t>
      </w:r>
      <w:r w:rsidR="004A4FD9" w:rsidRPr="00FB351A">
        <w:rPr>
          <w:rFonts w:ascii="Arial" w:hAnsi="Arial" w:cs="Arial"/>
          <w:bCs/>
          <w:color w:val="000000"/>
          <w:sz w:val="20"/>
          <w:szCs w:val="20"/>
        </w:rPr>
        <w:t xml:space="preserve">l sector asegurador </w:t>
      </w:r>
      <w:r w:rsidR="00F55FFF" w:rsidRPr="00FB351A">
        <w:rPr>
          <w:rFonts w:ascii="Arial" w:hAnsi="Arial" w:cs="Arial"/>
          <w:bCs/>
          <w:color w:val="000000"/>
          <w:sz w:val="20"/>
          <w:szCs w:val="20"/>
        </w:rPr>
        <w:t xml:space="preserve">no escatima esfuerzos en lograr la </w:t>
      </w:r>
      <w:r w:rsidR="004A4FD9" w:rsidRPr="00FB351A">
        <w:rPr>
          <w:rFonts w:ascii="Arial" w:hAnsi="Arial" w:cs="Arial"/>
          <w:bCs/>
          <w:color w:val="000000"/>
          <w:sz w:val="20"/>
          <w:szCs w:val="20"/>
        </w:rPr>
        <w:t xml:space="preserve">equidad de género y sostenibilidad </w:t>
      </w:r>
      <w:r w:rsidR="00F55FFF" w:rsidRPr="00FB351A">
        <w:rPr>
          <w:rFonts w:ascii="Arial" w:hAnsi="Arial" w:cs="Arial"/>
          <w:bCs/>
          <w:color w:val="000000"/>
          <w:sz w:val="20"/>
          <w:szCs w:val="20"/>
        </w:rPr>
        <w:t xml:space="preserve">en cargos directivos. </w:t>
      </w:r>
      <w:r w:rsidR="004A4FD9" w:rsidRPr="00FB351A">
        <w:rPr>
          <w:rFonts w:ascii="Arial" w:hAnsi="Arial" w:cs="Arial"/>
          <w:bCs/>
          <w:color w:val="000000"/>
          <w:sz w:val="20"/>
          <w:szCs w:val="20"/>
        </w:rPr>
        <w:t xml:space="preserve">Estas cifras confirman que </w:t>
      </w:r>
      <w:r w:rsidR="000C5522" w:rsidRPr="00FB351A">
        <w:rPr>
          <w:rFonts w:ascii="Arial" w:hAnsi="Arial" w:cs="Arial"/>
          <w:bCs/>
          <w:color w:val="000000"/>
          <w:sz w:val="20"/>
          <w:szCs w:val="20"/>
        </w:rPr>
        <w:t xml:space="preserve">para </w:t>
      </w:r>
      <w:r w:rsidR="004A4FD9" w:rsidRPr="00FB351A">
        <w:rPr>
          <w:rFonts w:ascii="Arial" w:hAnsi="Arial" w:cs="Arial"/>
          <w:bCs/>
          <w:color w:val="000000"/>
          <w:sz w:val="20"/>
          <w:szCs w:val="20"/>
        </w:rPr>
        <w:t xml:space="preserve">el sector asegurador es </w:t>
      </w:r>
      <w:r w:rsidR="00EA1054" w:rsidRPr="00FB351A">
        <w:rPr>
          <w:rFonts w:ascii="Arial" w:hAnsi="Arial" w:cs="Arial"/>
          <w:bCs/>
          <w:color w:val="000000"/>
          <w:sz w:val="20"/>
          <w:szCs w:val="20"/>
        </w:rPr>
        <w:t>relevante la apuesta</w:t>
      </w:r>
      <w:r w:rsidR="004A4FD9" w:rsidRPr="00FB351A">
        <w:rPr>
          <w:rFonts w:ascii="Arial" w:hAnsi="Arial" w:cs="Arial"/>
          <w:bCs/>
          <w:color w:val="000000"/>
          <w:sz w:val="20"/>
          <w:szCs w:val="20"/>
        </w:rPr>
        <w:t xml:space="preserve"> a la equidad de género en el contexto laboral</w:t>
      </w:r>
      <w:r w:rsidR="000C5522" w:rsidRPr="00FB351A">
        <w:rPr>
          <w:rFonts w:ascii="Arial" w:hAnsi="Arial" w:cs="Arial"/>
          <w:bCs/>
          <w:color w:val="000000"/>
          <w:sz w:val="20"/>
          <w:szCs w:val="20"/>
        </w:rPr>
        <w:t xml:space="preserve">, y confía en el impacto del talento femenino en la transformación de las organizaciones. </w:t>
      </w:r>
    </w:p>
    <w:p w14:paraId="1600F6C1" w14:textId="77777777" w:rsidR="004A4FD9" w:rsidRPr="00FB351A" w:rsidRDefault="004A4FD9" w:rsidP="00803115">
      <w:pPr>
        <w:tabs>
          <w:tab w:val="left" w:pos="318"/>
        </w:tabs>
        <w:overflowPunct w:val="0"/>
        <w:autoSpaceDE w:val="0"/>
        <w:autoSpaceDN w:val="0"/>
        <w:adjustRightInd w:val="0"/>
        <w:jc w:val="both"/>
        <w:textAlignment w:val="baseline"/>
        <w:rPr>
          <w:rFonts w:ascii="Arial" w:hAnsi="Arial" w:cs="Arial"/>
          <w:b/>
          <w:color w:val="000000"/>
          <w:sz w:val="20"/>
          <w:szCs w:val="20"/>
        </w:rPr>
      </w:pPr>
    </w:p>
    <w:p w14:paraId="27561034" w14:textId="2F13B5B4" w:rsidR="008322ED" w:rsidRPr="00FB351A" w:rsidRDefault="008322ED" w:rsidP="00803115">
      <w:pPr>
        <w:pStyle w:val="Prrafodelista"/>
        <w:numPr>
          <w:ilvl w:val="3"/>
          <w:numId w:val="1"/>
        </w:numPr>
        <w:tabs>
          <w:tab w:val="left" w:pos="318"/>
        </w:tabs>
        <w:overflowPunct w:val="0"/>
        <w:autoSpaceDE w:val="0"/>
        <w:autoSpaceDN w:val="0"/>
        <w:adjustRightInd w:val="0"/>
        <w:jc w:val="both"/>
        <w:textAlignment w:val="baseline"/>
        <w:rPr>
          <w:rFonts w:ascii="Arial" w:hAnsi="Arial" w:cs="Arial"/>
          <w:b/>
          <w:color w:val="000000"/>
          <w:sz w:val="20"/>
          <w:szCs w:val="20"/>
        </w:rPr>
      </w:pPr>
      <w:r w:rsidRPr="00FB351A">
        <w:rPr>
          <w:rFonts w:ascii="Arial" w:hAnsi="Arial" w:cs="Arial"/>
          <w:b/>
          <w:color w:val="000000"/>
          <w:sz w:val="20"/>
          <w:szCs w:val="20"/>
        </w:rPr>
        <w:t xml:space="preserve">Criterios Diferenciales Para Emprendimiento Y Empresas De Mujeres </w:t>
      </w:r>
    </w:p>
    <w:p w14:paraId="588B621E" w14:textId="77777777" w:rsidR="008322ED" w:rsidRPr="00FB351A" w:rsidRDefault="008322ED" w:rsidP="00803115">
      <w:pPr>
        <w:tabs>
          <w:tab w:val="left" w:pos="318"/>
        </w:tabs>
        <w:overflowPunct w:val="0"/>
        <w:autoSpaceDE w:val="0"/>
        <w:autoSpaceDN w:val="0"/>
        <w:adjustRightInd w:val="0"/>
        <w:jc w:val="both"/>
        <w:textAlignment w:val="baseline"/>
        <w:rPr>
          <w:rFonts w:ascii="Arial" w:hAnsi="Arial" w:cs="Arial"/>
          <w:color w:val="000000"/>
          <w:sz w:val="20"/>
          <w:szCs w:val="20"/>
        </w:rPr>
      </w:pPr>
    </w:p>
    <w:p w14:paraId="7D7A284E" w14:textId="77777777" w:rsidR="005D4469" w:rsidRPr="004402A0"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bookmarkStart w:id="27" w:name="_Hlk211677976"/>
      <w:r w:rsidRPr="004402A0">
        <w:rPr>
          <w:rFonts w:ascii="Arial" w:hAnsi="Arial" w:cs="Arial"/>
          <w:color w:val="000000"/>
          <w:sz w:val="20"/>
          <w:szCs w:val="20"/>
        </w:rPr>
        <w:lastRenderedPageBreak/>
        <w:t>Con relación al artículo 32 de la Ley 2069 de 2020, reglamentado por el decreto 1860 de 2021, se incluyen requisitos diferenciales y puntajes adicionales para incentivar la participación de mujeres en los procesos de compra pública para el sector asegurador.</w:t>
      </w:r>
    </w:p>
    <w:p w14:paraId="52692DD3" w14:textId="77777777" w:rsidR="005D4469" w:rsidRPr="004402A0"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p>
    <w:p w14:paraId="280FCA4D" w14:textId="77777777" w:rsidR="005D4469" w:rsidRPr="004402A0"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r w:rsidRPr="004402A0">
        <w:rPr>
          <w:rFonts w:ascii="Arial" w:hAnsi="Arial" w:cs="Arial"/>
          <w:color w:val="000000"/>
          <w:sz w:val="20"/>
          <w:szCs w:val="20"/>
        </w:rPr>
        <w:t>Dentro de los criterios diferenciales a aplicar en los procesos de compras públicas se encuentran los siguientes:</w:t>
      </w:r>
    </w:p>
    <w:p w14:paraId="00D0ACDD" w14:textId="77777777" w:rsidR="005D4469" w:rsidRPr="004402A0"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p>
    <w:bookmarkEnd w:id="27"/>
    <w:p w14:paraId="6084594C" w14:textId="77777777" w:rsidR="005D4469" w:rsidRPr="004402A0" w:rsidRDefault="005D4469">
      <w:pPr>
        <w:numPr>
          <w:ilvl w:val="0"/>
          <w:numId w:val="22"/>
        </w:numPr>
        <w:tabs>
          <w:tab w:val="left" w:pos="567"/>
        </w:tabs>
        <w:overflowPunct w:val="0"/>
        <w:autoSpaceDE w:val="0"/>
        <w:autoSpaceDN w:val="0"/>
        <w:adjustRightInd w:val="0"/>
        <w:ind w:left="567" w:hanging="567"/>
        <w:jc w:val="both"/>
        <w:textAlignment w:val="baseline"/>
        <w:rPr>
          <w:rFonts w:ascii="Arial" w:hAnsi="Arial" w:cs="Arial"/>
          <w:color w:val="000000"/>
          <w:sz w:val="20"/>
          <w:szCs w:val="20"/>
        </w:rPr>
      </w:pPr>
      <w:r w:rsidRPr="004402A0">
        <w:rPr>
          <w:rFonts w:ascii="Arial" w:hAnsi="Arial" w:cs="Arial"/>
          <w:color w:val="000000"/>
          <w:sz w:val="20"/>
          <w:szCs w:val="20"/>
        </w:rPr>
        <w:t>Tiempo de experiencia: Como quiera que la experiencia no se agota con el paso del tiempo y por el contrario los proponentes adquieren mayor experiencia con el paso del tiempo en la medida en que continúen con sus actividades, este criterio será utilizado para promover la participación de mujeres y emprendimientos de mujeres en este proceso de selección.</w:t>
      </w:r>
    </w:p>
    <w:p w14:paraId="5062AF99" w14:textId="77777777" w:rsidR="005D4469" w:rsidRPr="004402A0" w:rsidRDefault="005D4469">
      <w:pPr>
        <w:numPr>
          <w:ilvl w:val="0"/>
          <w:numId w:val="22"/>
        </w:numPr>
        <w:tabs>
          <w:tab w:val="left" w:pos="567"/>
        </w:tabs>
        <w:overflowPunct w:val="0"/>
        <w:autoSpaceDE w:val="0"/>
        <w:autoSpaceDN w:val="0"/>
        <w:adjustRightInd w:val="0"/>
        <w:ind w:left="567" w:hanging="567"/>
        <w:jc w:val="both"/>
        <w:textAlignment w:val="baseline"/>
        <w:rPr>
          <w:rFonts w:ascii="Arial" w:hAnsi="Arial" w:cs="Arial"/>
          <w:color w:val="000000"/>
          <w:sz w:val="20"/>
          <w:szCs w:val="20"/>
        </w:rPr>
      </w:pPr>
      <w:r w:rsidRPr="004402A0">
        <w:rPr>
          <w:rFonts w:ascii="Arial" w:hAnsi="Arial" w:cs="Arial"/>
          <w:color w:val="000000"/>
          <w:sz w:val="20"/>
          <w:szCs w:val="20"/>
        </w:rPr>
        <w:t>Índices de capacidad financiera: La capacidad financiera mínima habilitante para este proceso de selección se ha estructurado sobre límites mínimos y máximos que reflejan los indicadores financieros que se registran en el RUP de una muestra de aseguradoras que comúnmente presentan términos en procesos de contratación estatal, por tanto, no resulta conveniente aplicar este criterio diferencial para promover la participación de mujeres y emprendimientos de mujeres en este proceso de selección.</w:t>
      </w:r>
    </w:p>
    <w:p w14:paraId="74F7509A" w14:textId="77777777" w:rsidR="005D4469" w:rsidRPr="004402A0" w:rsidRDefault="005D4469">
      <w:pPr>
        <w:numPr>
          <w:ilvl w:val="0"/>
          <w:numId w:val="22"/>
        </w:numPr>
        <w:tabs>
          <w:tab w:val="left" w:pos="567"/>
        </w:tabs>
        <w:overflowPunct w:val="0"/>
        <w:autoSpaceDE w:val="0"/>
        <w:autoSpaceDN w:val="0"/>
        <w:adjustRightInd w:val="0"/>
        <w:ind w:left="567" w:hanging="567"/>
        <w:jc w:val="both"/>
        <w:textAlignment w:val="baseline"/>
        <w:rPr>
          <w:rFonts w:ascii="Arial" w:hAnsi="Arial" w:cs="Arial"/>
          <w:color w:val="000000"/>
          <w:sz w:val="20"/>
          <w:szCs w:val="20"/>
        </w:rPr>
      </w:pPr>
      <w:r w:rsidRPr="004402A0">
        <w:rPr>
          <w:rFonts w:ascii="Arial" w:hAnsi="Arial" w:cs="Arial"/>
          <w:color w:val="000000"/>
          <w:sz w:val="20"/>
          <w:szCs w:val="20"/>
        </w:rPr>
        <w:t>Índices de capacidad organizacional: Los indicadores de la capacidad organizacional de las empresas de seguros que operan en Colombia no miden la capacidad real de las compañías de seguros y al presentarse en negativo para algunas compañías de seguros, no significa que las mencionadas sociedades estén pasando por una mala situación organizacional. Estos indicadores se utilizan para observar cual es el real margen de rentabilidad de los accionistas con relación a su inversión. Este valor, es más un indicador para análisis interno de los oferentes, toda vez que éste les permite comparar el valor obtenido con el costo de oportunidad, es decir con otras alternativas de inversión posibles del mercado, Por lo anterior, no se exigirán indicadores de capacidad organizacional como criterio diferencial para promover la participación de mujeres y emprendimientos de mujeres en este proceso de selección.</w:t>
      </w:r>
    </w:p>
    <w:p w14:paraId="4EDC23D9" w14:textId="77777777" w:rsidR="005D4469" w:rsidRPr="008B6733" w:rsidRDefault="005D4469">
      <w:pPr>
        <w:numPr>
          <w:ilvl w:val="0"/>
          <w:numId w:val="22"/>
        </w:numPr>
        <w:tabs>
          <w:tab w:val="left" w:pos="567"/>
        </w:tabs>
        <w:overflowPunct w:val="0"/>
        <w:autoSpaceDE w:val="0"/>
        <w:autoSpaceDN w:val="0"/>
        <w:adjustRightInd w:val="0"/>
        <w:ind w:left="567" w:hanging="567"/>
        <w:jc w:val="both"/>
        <w:textAlignment w:val="baseline"/>
        <w:rPr>
          <w:rFonts w:ascii="Arial" w:hAnsi="Arial" w:cs="Arial"/>
          <w:color w:val="000000"/>
          <w:sz w:val="20"/>
          <w:szCs w:val="20"/>
        </w:rPr>
      </w:pPr>
      <w:r w:rsidRPr="007A604B">
        <w:rPr>
          <w:rFonts w:ascii="Arial" w:hAnsi="Arial" w:cs="Arial"/>
          <w:color w:val="000000"/>
          <w:sz w:val="20"/>
          <w:szCs w:val="20"/>
        </w:rPr>
        <w:t xml:space="preserve">Valor de la garantía de seriedad de la oferta: De acuerdo con el Decreto 1082 de 2015, la garantía de seriedad de la oferta debe estar vigente desde la presentación de la oferta y hasta la aprobación de la garantía de cumplimiento del contrato y su valor debe ser de por lo menos el diez por ciento (10%) del valor de la oferta. Para este proceso de selección ya se ha establecido el porcentaje mínimo que permita la suficiencia de la garantía, razón por la cual, no será un requisito diferencial para promover la participación de mujeres y emprendimientos de mujeres </w:t>
      </w:r>
      <w:r w:rsidRPr="004402A0">
        <w:rPr>
          <w:rFonts w:ascii="Arial" w:hAnsi="Arial" w:cs="Arial"/>
          <w:color w:val="000000"/>
          <w:sz w:val="20"/>
          <w:szCs w:val="20"/>
        </w:rPr>
        <w:t>en este proceso</w:t>
      </w:r>
      <w:r>
        <w:rPr>
          <w:rFonts w:ascii="Arial" w:hAnsi="Arial" w:cs="Arial"/>
          <w:color w:val="000000"/>
          <w:sz w:val="20"/>
          <w:szCs w:val="20"/>
        </w:rPr>
        <w:t xml:space="preserve"> </w:t>
      </w:r>
      <w:r w:rsidRPr="004402A0">
        <w:rPr>
          <w:rFonts w:ascii="Arial" w:hAnsi="Arial" w:cs="Arial"/>
          <w:color w:val="000000"/>
          <w:sz w:val="20"/>
          <w:szCs w:val="20"/>
        </w:rPr>
        <w:t>de selección</w:t>
      </w:r>
    </w:p>
    <w:p w14:paraId="6E581811" w14:textId="77777777" w:rsidR="005D4469" w:rsidRPr="004402A0"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p>
    <w:p w14:paraId="44A03505" w14:textId="77777777" w:rsidR="005D4469"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r w:rsidRPr="004402A0">
        <w:rPr>
          <w:rFonts w:ascii="Arial" w:hAnsi="Arial" w:cs="Arial"/>
          <w:color w:val="000000"/>
          <w:sz w:val="20"/>
          <w:szCs w:val="20"/>
        </w:rPr>
        <w:t>Como criterio diferencial se aplicará el indicado en el numeral 2. Número de contratos para la acreditación de la experiencia</w:t>
      </w:r>
      <w:r>
        <w:rPr>
          <w:rFonts w:ascii="Arial" w:hAnsi="Arial" w:cs="Arial"/>
          <w:color w:val="000000"/>
          <w:sz w:val="20"/>
          <w:szCs w:val="20"/>
        </w:rPr>
        <w:t xml:space="preserve"> </w:t>
      </w:r>
      <w:r w:rsidRPr="004402A0">
        <w:rPr>
          <w:rFonts w:ascii="Arial" w:hAnsi="Arial" w:cs="Arial"/>
          <w:color w:val="000000"/>
          <w:sz w:val="20"/>
          <w:szCs w:val="20"/>
        </w:rPr>
        <w:t>del artículo 2.2.1.2.4.2.15. del decreto 1082 de 2015 adicionado por el artículo 3 del decreto 1860 de 2021 conforme con las definiciones que trae el artículo 2.2.1.2.4.2.14 ídem.</w:t>
      </w:r>
    </w:p>
    <w:p w14:paraId="511EC992" w14:textId="77777777" w:rsidR="005D4469" w:rsidRPr="00A16360"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p>
    <w:p w14:paraId="2527CE31" w14:textId="77777777" w:rsidR="005D4469"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r w:rsidRPr="00A16360">
        <w:rPr>
          <w:rFonts w:ascii="Arial" w:hAnsi="Arial" w:cs="Arial"/>
          <w:color w:val="000000"/>
          <w:sz w:val="20"/>
          <w:szCs w:val="20"/>
        </w:rPr>
        <w:t xml:space="preserve">Teniendo en cuenta que esta experiencia es la derivada del tiempo en que el proponente ha podido ejercer su actividad, la </w:t>
      </w:r>
      <w:r>
        <w:rPr>
          <w:rFonts w:ascii="Arial" w:hAnsi="Arial" w:cs="Arial"/>
          <w:b/>
          <w:bCs/>
          <w:color w:val="000000"/>
          <w:sz w:val="20"/>
          <w:szCs w:val="20"/>
          <w:lang w:val="es-ES"/>
        </w:rPr>
        <w:t>Agencia de Desarrollo Rural - ADR</w:t>
      </w:r>
      <w:r w:rsidRPr="00A16360">
        <w:rPr>
          <w:rFonts w:ascii="Arial" w:hAnsi="Arial" w:cs="Arial"/>
          <w:color w:val="000000"/>
          <w:sz w:val="20"/>
          <w:szCs w:val="20"/>
          <w:lang w:val="es-ES"/>
        </w:rPr>
        <w:t xml:space="preserve"> </w:t>
      </w:r>
      <w:r w:rsidRPr="00A16360">
        <w:rPr>
          <w:rFonts w:ascii="Arial" w:hAnsi="Arial" w:cs="Arial"/>
          <w:color w:val="000000"/>
          <w:sz w:val="20"/>
          <w:szCs w:val="20"/>
        </w:rPr>
        <w:t xml:space="preserve">verificará el cumplimiento del requisito habilitante – experiencia, únicamente en el Registro Único de Proponentes y en las certificaciones de contratos aportados, para lo cual cada proponente que acredite ser una empresa de mujeres o un emprendimiento de mujeres de conformidad con las definiciones del artículo 2.2.1.2.4.2.14 del decreto 1082 de 2015 adicionado por el artículo 3 del decreto 1860 de 2022, podrá acreditar experiencia para cada grupo en el que presente oferta, con hasta seis (6) contratos clasificados en cualquiera de los siguientes códigos </w:t>
      </w:r>
      <w:proofErr w:type="spellStart"/>
      <w:r w:rsidRPr="00A16360">
        <w:rPr>
          <w:rFonts w:ascii="Arial" w:hAnsi="Arial" w:cs="Arial"/>
          <w:color w:val="000000"/>
          <w:sz w:val="20"/>
          <w:szCs w:val="20"/>
        </w:rPr>
        <w:t>UNSPSC</w:t>
      </w:r>
      <w:proofErr w:type="spellEnd"/>
      <w:r w:rsidRPr="00A16360">
        <w:rPr>
          <w:rFonts w:ascii="Arial" w:hAnsi="Arial" w:cs="Arial"/>
          <w:color w:val="000000"/>
          <w:sz w:val="20"/>
          <w:szCs w:val="20"/>
        </w:rPr>
        <w:t>: 84131500 y/o 841316 de acuerdo con los requisitos de experiencia habilitante indicados en el pliego de condiciones</w:t>
      </w:r>
      <w:r>
        <w:rPr>
          <w:rFonts w:ascii="Arial" w:hAnsi="Arial" w:cs="Arial"/>
          <w:color w:val="000000"/>
          <w:sz w:val="20"/>
          <w:szCs w:val="20"/>
        </w:rPr>
        <w:t xml:space="preserve"> y al lote ofertado</w:t>
      </w:r>
      <w:r w:rsidRPr="00A16360">
        <w:rPr>
          <w:rFonts w:ascii="Arial" w:hAnsi="Arial" w:cs="Arial"/>
          <w:color w:val="000000"/>
          <w:sz w:val="20"/>
          <w:szCs w:val="20"/>
        </w:rPr>
        <w:t>.</w:t>
      </w:r>
    </w:p>
    <w:p w14:paraId="031DF3B7" w14:textId="77777777" w:rsidR="005D4469"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p>
    <w:p w14:paraId="2F1B52A7" w14:textId="77777777" w:rsidR="005D4469" w:rsidRDefault="005D4469" w:rsidP="005D4469">
      <w:pPr>
        <w:tabs>
          <w:tab w:val="left" w:pos="318"/>
        </w:tabs>
        <w:overflowPunct w:val="0"/>
        <w:autoSpaceDE w:val="0"/>
        <w:autoSpaceDN w:val="0"/>
        <w:adjustRightInd w:val="0"/>
        <w:jc w:val="both"/>
        <w:textAlignment w:val="baseline"/>
        <w:rPr>
          <w:rFonts w:ascii="Arial" w:hAnsi="Arial" w:cs="Arial"/>
          <w:color w:val="000000"/>
          <w:sz w:val="20"/>
          <w:szCs w:val="20"/>
        </w:rPr>
      </w:pPr>
      <w:r w:rsidRPr="00195906">
        <w:rPr>
          <w:rFonts w:ascii="Arial" w:hAnsi="Arial" w:cs="Arial"/>
          <w:color w:val="000000"/>
          <w:sz w:val="20"/>
          <w:szCs w:val="20"/>
        </w:rPr>
        <w:t xml:space="preserve">Este criterio diferencial, así como la cantidad de contratos establecidos, cumple con el propósito de la Ley de promover y facilitar el acceso de los proveedores que se definan como emprendimientos y empresas de mujeres, al tiempo que refleja las buenas prácticas administrativas de otras entidad que han utilizado similar </w:t>
      </w:r>
      <w:r w:rsidRPr="00195906">
        <w:rPr>
          <w:rFonts w:ascii="Arial" w:hAnsi="Arial" w:cs="Arial"/>
          <w:color w:val="000000"/>
          <w:sz w:val="20"/>
          <w:szCs w:val="20"/>
        </w:rPr>
        <w:lastRenderedPageBreak/>
        <w:t xml:space="preserve">criterio, como es el caso del </w:t>
      </w:r>
      <w:r w:rsidRPr="00195906">
        <w:rPr>
          <w:rFonts w:ascii="Arial" w:hAnsi="Arial" w:cs="Arial"/>
          <w:sz w:val="20"/>
          <w:szCs w:val="20"/>
        </w:rPr>
        <w:t xml:space="preserve">Distrito Especial de Ciencia, Tecnología e Innovación de Medellín que en el proceso de selección abreviada de menor cuantía No 9015860 de 2026 permitió como criterio diferencial que los emprendimientos y empresas de mujeres pudieran acreditar experiencia hasta de un contrato adicional al exigido para los proponentes en general; de igual manera, la Unidad Administrativa Especial Aeronáutica Civil – AEROCIVIL, en el proceso de selección en curso de licitación pública No 26001053 </w:t>
      </w:r>
      <w:proofErr w:type="spellStart"/>
      <w:r w:rsidRPr="00195906">
        <w:rPr>
          <w:rFonts w:ascii="Arial" w:hAnsi="Arial" w:cs="Arial"/>
          <w:sz w:val="20"/>
          <w:szCs w:val="20"/>
        </w:rPr>
        <w:t>H3</w:t>
      </w:r>
      <w:proofErr w:type="spellEnd"/>
      <w:r w:rsidRPr="00195906">
        <w:rPr>
          <w:rFonts w:ascii="Arial" w:hAnsi="Arial" w:cs="Arial"/>
          <w:sz w:val="20"/>
          <w:szCs w:val="20"/>
        </w:rPr>
        <w:t xml:space="preserve"> DE 2026 se </w:t>
      </w:r>
      <w:r>
        <w:rPr>
          <w:rFonts w:ascii="Arial" w:hAnsi="Arial" w:cs="Arial"/>
          <w:sz w:val="20"/>
          <w:szCs w:val="20"/>
        </w:rPr>
        <w:t>fijó</w:t>
      </w:r>
      <w:r w:rsidRPr="00195906">
        <w:rPr>
          <w:rFonts w:ascii="Arial" w:hAnsi="Arial" w:cs="Arial"/>
          <w:sz w:val="20"/>
          <w:szCs w:val="20"/>
        </w:rPr>
        <w:t xml:space="preserve"> un criterio diferencial igual al que se estima para esta contratacion, en el que se permite que los proveedores que se definan como emprendimientos y empresas de mujeres pueda acreditar al experiencia habilitante hasta con seis (6) certificaciones de contratos.</w:t>
      </w:r>
    </w:p>
    <w:p w14:paraId="59FCDBF2" w14:textId="77777777" w:rsidR="008322ED" w:rsidRPr="00FB351A" w:rsidRDefault="008322ED" w:rsidP="00803115">
      <w:pPr>
        <w:contextualSpacing/>
        <w:jc w:val="both"/>
        <w:rPr>
          <w:rFonts w:ascii="Arial" w:hAnsi="Arial" w:cs="Arial"/>
          <w:color w:val="000000"/>
          <w:sz w:val="20"/>
          <w:szCs w:val="20"/>
        </w:rPr>
      </w:pPr>
    </w:p>
    <w:p w14:paraId="7A702C83" w14:textId="77777777" w:rsidR="00195906" w:rsidRPr="00FB351A" w:rsidRDefault="00195906" w:rsidP="00195906">
      <w:pPr>
        <w:numPr>
          <w:ilvl w:val="2"/>
          <w:numId w:val="1"/>
        </w:numPr>
        <w:contextualSpacing/>
        <w:jc w:val="both"/>
        <w:rPr>
          <w:rFonts w:ascii="Arial" w:hAnsi="Arial" w:cs="Arial"/>
          <w:b/>
          <w:bCs/>
          <w:color w:val="000000"/>
          <w:sz w:val="20"/>
          <w:szCs w:val="20"/>
        </w:rPr>
      </w:pPr>
      <w:r w:rsidRPr="00FB351A">
        <w:rPr>
          <w:rFonts w:ascii="Arial" w:hAnsi="Arial" w:cs="Arial"/>
          <w:b/>
          <w:bCs/>
          <w:color w:val="000000"/>
          <w:sz w:val="20"/>
          <w:szCs w:val="20"/>
        </w:rPr>
        <w:t>Participación De Personas en condición de Discapacidad En El Sector</w:t>
      </w:r>
    </w:p>
    <w:p w14:paraId="3C68940D" w14:textId="77777777" w:rsidR="00195906" w:rsidRPr="00FB351A" w:rsidRDefault="00195906" w:rsidP="00195906">
      <w:pPr>
        <w:contextualSpacing/>
        <w:jc w:val="both"/>
        <w:rPr>
          <w:rFonts w:ascii="Arial" w:hAnsi="Arial" w:cs="Arial"/>
          <w:b/>
          <w:bCs/>
          <w:color w:val="000000"/>
          <w:sz w:val="20"/>
          <w:szCs w:val="20"/>
        </w:rPr>
      </w:pPr>
    </w:p>
    <w:p w14:paraId="322D6A59" w14:textId="264147FA" w:rsidR="00195906" w:rsidRPr="00FB351A" w:rsidRDefault="00195906" w:rsidP="00195906">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De acuerdo con lo señalado en el Decreto 287 del 19 de marzo de 2026 y por medio del cual se modifican los artículos 2.2.1.2.4.2.6., 2.2.1.2.4.2.7. y 2.2.1.2.4.2.8., de la Subsección 2 de la Sección 4 del Capítulo 2 del Título 1 de la Parte 2 del Libro 2 del Decreto 1082 de 2015, las Entidades Estatales deben adoptar medidas afirmativas en sus Procesos de Contratación, con el fin de promover condiciones efectivas de igualdad para la</w:t>
      </w:r>
      <w:r w:rsidR="004C5DEA" w:rsidRPr="00FB351A">
        <w:rPr>
          <w:rFonts w:ascii="Arial" w:hAnsi="Arial" w:cs="Arial"/>
          <w:color w:val="000000"/>
          <w:sz w:val="20"/>
          <w:szCs w:val="20"/>
          <w:lang w:val="es-ES"/>
        </w:rPr>
        <w:t xml:space="preserve"> </w:t>
      </w:r>
      <w:r w:rsidRPr="00FB351A">
        <w:rPr>
          <w:rFonts w:ascii="Arial" w:hAnsi="Arial" w:cs="Arial"/>
          <w:color w:val="000000"/>
          <w:sz w:val="20"/>
          <w:szCs w:val="20"/>
          <w:lang w:val="es-ES"/>
        </w:rPr>
        <w:t>población con discapacidad.</w:t>
      </w:r>
    </w:p>
    <w:p w14:paraId="13559819" w14:textId="77777777" w:rsidR="00195906" w:rsidRPr="00FB351A" w:rsidRDefault="00195906" w:rsidP="00195906">
      <w:pPr>
        <w:contextualSpacing/>
        <w:jc w:val="both"/>
        <w:rPr>
          <w:rFonts w:ascii="Arial" w:hAnsi="Arial" w:cs="Arial"/>
          <w:color w:val="000000"/>
          <w:sz w:val="20"/>
          <w:szCs w:val="20"/>
          <w:lang w:val="es-ES"/>
        </w:rPr>
      </w:pPr>
    </w:p>
    <w:p w14:paraId="55B8C0A9" w14:textId="28C5DB20" w:rsidR="00195906" w:rsidRPr="00FB351A" w:rsidRDefault="00195906" w:rsidP="00195906">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 xml:space="preserve">Conforme la anterior normativa y en cumplimiento de la misma, la </w:t>
      </w:r>
      <w:r w:rsidRPr="00FB351A">
        <w:rPr>
          <w:rFonts w:ascii="Arial" w:hAnsi="Arial" w:cs="Arial"/>
          <w:b/>
          <w:bCs/>
          <w:color w:val="000000"/>
          <w:sz w:val="20"/>
          <w:szCs w:val="20"/>
          <w:lang w:val="es-ES"/>
        </w:rPr>
        <w:t xml:space="preserve">Agencia de Desarrollo Rural - ADR </w:t>
      </w:r>
      <w:r w:rsidRPr="00FB351A">
        <w:rPr>
          <w:rFonts w:ascii="Arial" w:hAnsi="Arial" w:cs="Arial"/>
          <w:color w:val="000000"/>
          <w:sz w:val="20"/>
          <w:szCs w:val="20"/>
          <w:lang w:val="es-ES"/>
        </w:rPr>
        <w:t>hace constar que ha realizado el análisis del sector con la finalidad de identificar la aplicabilidad de dicha norma en el presente proceso de selección.</w:t>
      </w:r>
    </w:p>
    <w:p w14:paraId="2BC3FB79" w14:textId="77777777" w:rsidR="00195906" w:rsidRPr="00FB351A" w:rsidRDefault="00195906" w:rsidP="00195906">
      <w:pPr>
        <w:contextualSpacing/>
        <w:jc w:val="both"/>
        <w:rPr>
          <w:rFonts w:ascii="Arial" w:hAnsi="Arial" w:cs="Arial"/>
          <w:color w:val="000000"/>
          <w:sz w:val="20"/>
          <w:szCs w:val="20"/>
          <w:lang w:val="es-ES"/>
        </w:rPr>
      </w:pPr>
    </w:p>
    <w:p w14:paraId="743FE814" w14:textId="1E6D61D7" w:rsidR="00DD5932" w:rsidRPr="00FB351A" w:rsidRDefault="0036634D" w:rsidP="00DD5932">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 xml:space="preserve">Por ello y de conformidad con el boletín técnico del </w:t>
      </w:r>
      <w:r w:rsidR="001B19EB" w:rsidRPr="00FB351A">
        <w:rPr>
          <w:rFonts w:ascii="Arial" w:hAnsi="Arial" w:cs="Arial"/>
          <w:color w:val="000000"/>
          <w:sz w:val="20"/>
          <w:szCs w:val="20"/>
          <w:lang w:val="es-ES"/>
        </w:rPr>
        <w:t>11</w:t>
      </w:r>
      <w:r w:rsidRPr="00FB351A">
        <w:rPr>
          <w:rFonts w:ascii="Arial" w:hAnsi="Arial" w:cs="Arial"/>
          <w:color w:val="000000"/>
          <w:sz w:val="20"/>
          <w:szCs w:val="20"/>
          <w:lang w:val="es-ES"/>
        </w:rPr>
        <w:t xml:space="preserve"> de </w:t>
      </w:r>
      <w:r w:rsidR="001B19EB" w:rsidRPr="00FB351A">
        <w:rPr>
          <w:rFonts w:ascii="Arial" w:hAnsi="Arial" w:cs="Arial"/>
          <w:color w:val="000000"/>
          <w:sz w:val="20"/>
          <w:szCs w:val="20"/>
          <w:lang w:val="es-ES"/>
        </w:rPr>
        <w:t>septiembre</w:t>
      </w:r>
      <w:r w:rsidRPr="00FB351A">
        <w:rPr>
          <w:rFonts w:ascii="Arial" w:hAnsi="Arial" w:cs="Arial"/>
          <w:color w:val="000000"/>
          <w:sz w:val="20"/>
          <w:szCs w:val="20"/>
          <w:lang w:val="es-ES"/>
        </w:rPr>
        <w:t xml:space="preserve"> de 2016 del Departamento Administrativo Nacional de Estadística (DANE) para el Mercado laboral de la población con discapacidad</w:t>
      </w:r>
      <w:r w:rsidR="00DD5932" w:rsidRPr="00FB351A">
        <w:rPr>
          <w:rFonts w:ascii="Arial" w:hAnsi="Arial" w:cs="Arial"/>
          <w:color w:val="000000"/>
          <w:sz w:val="20"/>
          <w:szCs w:val="20"/>
          <w:lang w:val="es-ES"/>
        </w:rPr>
        <w:t xml:space="preserve">, durante el </w:t>
      </w:r>
      <w:r w:rsidRPr="00FB351A">
        <w:rPr>
          <w:rFonts w:ascii="Arial" w:hAnsi="Arial" w:cs="Arial"/>
          <w:color w:val="000000"/>
          <w:sz w:val="20"/>
          <w:szCs w:val="20"/>
          <w:lang w:val="es-ES"/>
        </w:rPr>
        <w:t xml:space="preserve">Trimestre móvil </w:t>
      </w:r>
      <w:r w:rsidR="00DD5932" w:rsidRPr="00FB351A">
        <w:rPr>
          <w:rFonts w:ascii="Arial" w:hAnsi="Arial" w:cs="Arial"/>
          <w:color w:val="000000"/>
          <w:sz w:val="20"/>
          <w:szCs w:val="20"/>
          <w:lang w:val="es-ES"/>
        </w:rPr>
        <w:t>mayo</w:t>
      </w:r>
      <w:r w:rsidRPr="00FB351A">
        <w:rPr>
          <w:rFonts w:ascii="Arial" w:hAnsi="Arial" w:cs="Arial"/>
          <w:color w:val="000000"/>
          <w:sz w:val="20"/>
          <w:szCs w:val="20"/>
          <w:lang w:val="es-ES"/>
        </w:rPr>
        <w:t xml:space="preserve"> – </w:t>
      </w:r>
      <w:r w:rsidR="00DD5932" w:rsidRPr="00FB351A">
        <w:rPr>
          <w:rFonts w:ascii="Arial" w:hAnsi="Arial" w:cs="Arial"/>
          <w:color w:val="000000"/>
          <w:sz w:val="20"/>
          <w:szCs w:val="20"/>
          <w:lang w:val="es-ES"/>
        </w:rPr>
        <w:t>julio</w:t>
      </w:r>
      <w:r w:rsidRPr="00FB351A">
        <w:rPr>
          <w:rFonts w:ascii="Arial" w:hAnsi="Arial" w:cs="Arial"/>
          <w:color w:val="000000"/>
          <w:sz w:val="20"/>
          <w:szCs w:val="20"/>
          <w:lang w:val="es-ES"/>
        </w:rPr>
        <w:t xml:space="preserve"> 2026, </w:t>
      </w:r>
      <w:r w:rsidR="00DD5932" w:rsidRPr="00FB351A">
        <w:rPr>
          <w:rFonts w:ascii="Arial" w:hAnsi="Arial" w:cs="Arial"/>
          <w:color w:val="000000"/>
          <w:sz w:val="20"/>
          <w:szCs w:val="20"/>
          <w:lang w:val="es-ES"/>
        </w:rPr>
        <w:t>la tasa global de participación (</w:t>
      </w:r>
      <w:proofErr w:type="spellStart"/>
      <w:r w:rsidR="00DD5932" w:rsidRPr="00FB351A">
        <w:rPr>
          <w:rFonts w:ascii="Arial" w:hAnsi="Arial" w:cs="Arial"/>
          <w:color w:val="000000"/>
          <w:sz w:val="20"/>
          <w:szCs w:val="20"/>
          <w:lang w:val="es-ES"/>
        </w:rPr>
        <w:t>TGP</w:t>
      </w:r>
      <w:proofErr w:type="spellEnd"/>
      <w:r w:rsidR="00DD5932" w:rsidRPr="00FB351A">
        <w:rPr>
          <w:rFonts w:ascii="Arial" w:hAnsi="Arial" w:cs="Arial"/>
          <w:color w:val="000000"/>
          <w:sz w:val="20"/>
          <w:szCs w:val="20"/>
          <w:lang w:val="es-ES"/>
        </w:rPr>
        <w:t xml:space="preserve">) de la población con discapacidad fue de 21,2%, en comparación con la </w:t>
      </w:r>
      <w:proofErr w:type="spellStart"/>
      <w:r w:rsidR="00DD5932" w:rsidRPr="00FB351A">
        <w:rPr>
          <w:rFonts w:ascii="Arial" w:hAnsi="Arial" w:cs="Arial"/>
          <w:color w:val="000000"/>
          <w:sz w:val="20"/>
          <w:szCs w:val="20"/>
          <w:lang w:val="es-ES"/>
        </w:rPr>
        <w:t>TGP</w:t>
      </w:r>
      <w:proofErr w:type="spellEnd"/>
      <w:r w:rsidR="00DD5932" w:rsidRPr="00FB351A">
        <w:rPr>
          <w:rFonts w:ascii="Arial" w:hAnsi="Arial" w:cs="Arial"/>
          <w:color w:val="000000"/>
          <w:sz w:val="20"/>
          <w:szCs w:val="20"/>
          <w:lang w:val="es-ES"/>
        </w:rPr>
        <w:t xml:space="preserve"> de la población sin discapacidad de 67,1%, lo que significa una diferencia negativa de 45,9 puntos porcentuales (p.p.) entre ambas poblaciones.</w:t>
      </w:r>
    </w:p>
    <w:p w14:paraId="28DA6D8B" w14:textId="77777777" w:rsidR="00DD5932" w:rsidRPr="00FB351A" w:rsidRDefault="00DD5932" w:rsidP="00DD5932">
      <w:pPr>
        <w:contextualSpacing/>
        <w:jc w:val="both"/>
        <w:rPr>
          <w:rFonts w:ascii="Arial" w:hAnsi="Arial" w:cs="Arial"/>
          <w:color w:val="000000"/>
          <w:sz w:val="20"/>
          <w:szCs w:val="20"/>
          <w:lang w:val="es-ES"/>
        </w:rPr>
      </w:pPr>
    </w:p>
    <w:p w14:paraId="08CE7D6D" w14:textId="448478C2" w:rsidR="00DD5932" w:rsidRPr="00FB351A" w:rsidRDefault="00DD5932" w:rsidP="00DD5932">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En cuanto a la tasa de ocupación, se evidencia que hay una diferencia negativa de 42,4 p.p. entre la población con discapacidad y sin discapacidad, para la primera, esta tasa fue de 19,4% y para la segunda de 61,7%.</w:t>
      </w:r>
    </w:p>
    <w:p w14:paraId="5493D679" w14:textId="77777777" w:rsidR="00DD5932" w:rsidRPr="00FB351A" w:rsidRDefault="00DD5932" w:rsidP="00DD5932">
      <w:pPr>
        <w:contextualSpacing/>
        <w:jc w:val="both"/>
        <w:rPr>
          <w:rFonts w:ascii="Arial" w:hAnsi="Arial" w:cs="Arial"/>
          <w:color w:val="000000"/>
          <w:sz w:val="20"/>
          <w:szCs w:val="20"/>
          <w:lang w:val="es-ES"/>
        </w:rPr>
      </w:pPr>
    </w:p>
    <w:p w14:paraId="08C34690" w14:textId="60BA9285" w:rsidR="00DD5932" w:rsidRPr="00FB351A" w:rsidRDefault="00DD5932" w:rsidP="00DD5932">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Por otro lado, al observar la tasa de desocupación se evidencia que existe una diferencia de 0,6 p.p. dada por una tasa de 8,7% para la población con discapacidad y 8,0% para las personas sin discapacidad.</w:t>
      </w:r>
    </w:p>
    <w:p w14:paraId="53933345" w14:textId="77777777" w:rsidR="00DD5932" w:rsidRPr="00FB351A" w:rsidRDefault="00DD5932" w:rsidP="00DD5932">
      <w:pPr>
        <w:contextualSpacing/>
        <w:jc w:val="both"/>
        <w:rPr>
          <w:rFonts w:ascii="Arial" w:hAnsi="Arial" w:cs="Arial"/>
          <w:color w:val="000000"/>
          <w:sz w:val="20"/>
          <w:szCs w:val="20"/>
          <w:lang w:val="es-ES"/>
        </w:rPr>
      </w:pPr>
    </w:p>
    <w:p w14:paraId="3C0A300C" w14:textId="461B85C4" w:rsidR="00DD5932" w:rsidRPr="00FB351A" w:rsidRDefault="00DD5932" w:rsidP="00DD5932">
      <w:pPr>
        <w:contextualSpacing/>
        <w:jc w:val="both"/>
        <w:rPr>
          <w:rFonts w:ascii="Arial" w:hAnsi="Arial" w:cs="Arial"/>
          <w:color w:val="000000"/>
          <w:sz w:val="20"/>
          <w:szCs w:val="20"/>
          <w:lang w:val="es-ES"/>
        </w:rPr>
      </w:pPr>
      <w:r w:rsidRPr="00FB351A">
        <w:rPr>
          <w:rFonts w:ascii="Arial" w:hAnsi="Arial" w:cs="Arial"/>
          <w:noProof/>
          <w:color w:val="000000"/>
          <w:sz w:val="20"/>
          <w:szCs w:val="20"/>
          <w:lang w:val="es-ES"/>
        </w:rPr>
        <w:lastRenderedPageBreak/>
        <w:drawing>
          <wp:inline distT="0" distB="0" distL="0" distR="0" wp14:anchorId="28E79A14" wp14:editId="690CC32A">
            <wp:extent cx="6120765" cy="3749675"/>
            <wp:effectExtent l="0" t="0" r="0" b="3175"/>
            <wp:docPr id="7211867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86704" name=""/>
                    <pic:cNvPicPr/>
                  </pic:nvPicPr>
                  <pic:blipFill>
                    <a:blip r:embed="rId42"/>
                    <a:stretch>
                      <a:fillRect/>
                    </a:stretch>
                  </pic:blipFill>
                  <pic:spPr>
                    <a:xfrm>
                      <a:off x="0" y="0"/>
                      <a:ext cx="6120765" cy="3749675"/>
                    </a:xfrm>
                    <a:prstGeom prst="rect">
                      <a:avLst/>
                    </a:prstGeom>
                  </pic:spPr>
                </pic:pic>
              </a:graphicData>
            </a:graphic>
          </wp:inline>
        </w:drawing>
      </w:r>
    </w:p>
    <w:p w14:paraId="652146CE" w14:textId="6DE21F43" w:rsidR="0036634D" w:rsidRPr="00FB351A" w:rsidRDefault="0036634D" w:rsidP="00DD5932">
      <w:pPr>
        <w:contextualSpacing/>
        <w:jc w:val="both"/>
        <w:rPr>
          <w:rFonts w:ascii="Arial" w:hAnsi="Arial" w:cs="Arial"/>
          <w:b/>
          <w:bCs/>
          <w:color w:val="000000"/>
          <w:sz w:val="20"/>
          <w:szCs w:val="20"/>
          <w:lang w:val="es-ES"/>
        </w:rPr>
      </w:pPr>
    </w:p>
    <w:p w14:paraId="38604E68" w14:textId="77777777" w:rsidR="00DD5932" w:rsidRPr="00FB351A" w:rsidRDefault="00DD5932" w:rsidP="00DD5932">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Para el trimestre móvil mayo – julio 2026, las ramas de actividad donde más se concentró la</w:t>
      </w:r>
    </w:p>
    <w:p w14:paraId="61ACC9D1" w14:textId="77777777" w:rsidR="00DD5932" w:rsidRPr="00FB351A" w:rsidRDefault="00DD5932" w:rsidP="00DD5932">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población ocupada con discapacidad fueron Agricultura, ganadería, caza, silvicultura y pesca</w:t>
      </w:r>
    </w:p>
    <w:p w14:paraId="47AFDB0F" w14:textId="77777777" w:rsidR="00DD5932" w:rsidRPr="00FB351A" w:rsidRDefault="00DD5932" w:rsidP="00DD5932">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(21,7%), seguida de Comercio y reparación de vehículos (19,2%).</w:t>
      </w:r>
    </w:p>
    <w:p w14:paraId="32E04FF7" w14:textId="77777777" w:rsidR="00DD5932" w:rsidRPr="00FB351A" w:rsidRDefault="00DD5932" w:rsidP="00DD5932">
      <w:pPr>
        <w:contextualSpacing/>
        <w:jc w:val="both"/>
        <w:rPr>
          <w:rFonts w:ascii="Arial" w:hAnsi="Arial" w:cs="Arial"/>
          <w:color w:val="000000"/>
          <w:sz w:val="20"/>
          <w:szCs w:val="20"/>
          <w:lang w:val="es-ES"/>
        </w:rPr>
      </w:pPr>
    </w:p>
    <w:p w14:paraId="60064824" w14:textId="77777777" w:rsidR="00DD5932" w:rsidRPr="00FB351A" w:rsidRDefault="00DD5932" w:rsidP="00DD5932">
      <w:pPr>
        <w:contextualSpacing/>
        <w:jc w:val="both"/>
        <w:rPr>
          <w:rFonts w:ascii="Arial" w:hAnsi="Arial" w:cs="Arial"/>
          <w:color w:val="000000"/>
          <w:sz w:val="20"/>
          <w:szCs w:val="20"/>
          <w:lang w:val="es-ES"/>
        </w:rPr>
      </w:pPr>
    </w:p>
    <w:p w14:paraId="68FAF5EF" w14:textId="77777777" w:rsidR="00DD5932" w:rsidRPr="00FB351A" w:rsidRDefault="00DD5932" w:rsidP="00DD5932">
      <w:pPr>
        <w:contextualSpacing/>
        <w:jc w:val="both"/>
        <w:rPr>
          <w:rFonts w:ascii="Arial" w:hAnsi="Arial" w:cs="Arial"/>
          <w:color w:val="000000"/>
          <w:sz w:val="20"/>
          <w:szCs w:val="20"/>
          <w:lang w:val="es-ES"/>
        </w:rPr>
      </w:pPr>
    </w:p>
    <w:p w14:paraId="05EB4B29" w14:textId="364FD2D5" w:rsidR="0036634D" w:rsidRPr="00FB351A" w:rsidRDefault="004E74C3" w:rsidP="00DD5932">
      <w:pPr>
        <w:contextualSpacing/>
        <w:jc w:val="both"/>
        <w:rPr>
          <w:rFonts w:ascii="Arial" w:hAnsi="Arial" w:cs="Arial"/>
          <w:b/>
          <w:bCs/>
          <w:color w:val="000000"/>
          <w:sz w:val="20"/>
          <w:szCs w:val="20"/>
          <w:lang w:val="es-ES"/>
        </w:rPr>
      </w:pPr>
      <w:r w:rsidRPr="00FB351A">
        <w:rPr>
          <w:rFonts w:ascii="Arial" w:hAnsi="Arial" w:cs="Arial"/>
          <w:b/>
          <w:bCs/>
          <w:noProof/>
          <w:color w:val="000000"/>
          <w:sz w:val="20"/>
          <w:szCs w:val="20"/>
          <w:lang w:val="es-ES"/>
        </w:rPr>
        <w:lastRenderedPageBreak/>
        <w:drawing>
          <wp:inline distT="0" distB="0" distL="0" distR="0" wp14:anchorId="2F58033B" wp14:editId="2D355AD2">
            <wp:extent cx="6120765" cy="5604510"/>
            <wp:effectExtent l="0" t="0" r="0" b="0"/>
            <wp:docPr id="18685171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17115" name=""/>
                    <pic:cNvPicPr/>
                  </pic:nvPicPr>
                  <pic:blipFill>
                    <a:blip r:embed="rId43"/>
                    <a:stretch>
                      <a:fillRect/>
                    </a:stretch>
                  </pic:blipFill>
                  <pic:spPr>
                    <a:xfrm>
                      <a:off x="0" y="0"/>
                      <a:ext cx="6120765" cy="5604510"/>
                    </a:xfrm>
                    <a:prstGeom prst="rect">
                      <a:avLst/>
                    </a:prstGeom>
                  </pic:spPr>
                </pic:pic>
              </a:graphicData>
            </a:graphic>
          </wp:inline>
        </w:drawing>
      </w:r>
    </w:p>
    <w:p w14:paraId="2EAF08C3" w14:textId="77777777" w:rsidR="0036634D" w:rsidRPr="00FB351A" w:rsidRDefault="0036634D" w:rsidP="0036634D">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Tabla. Participación de la población ocupada con y sin discapacidad según ramas de actividad Total nacional</w:t>
      </w:r>
    </w:p>
    <w:p w14:paraId="21202B0B" w14:textId="59F85E23" w:rsidR="00195906" w:rsidRPr="00FB351A" w:rsidRDefault="00195906" w:rsidP="00195906">
      <w:pPr>
        <w:contextualSpacing/>
        <w:jc w:val="both"/>
        <w:rPr>
          <w:rFonts w:ascii="Arial" w:hAnsi="Arial" w:cs="Arial"/>
          <w:bCs/>
          <w:color w:val="000000"/>
          <w:sz w:val="20"/>
          <w:szCs w:val="20"/>
          <w:lang w:val="es-ES"/>
        </w:rPr>
      </w:pPr>
    </w:p>
    <w:p w14:paraId="6B4C206F" w14:textId="77777777" w:rsidR="00195906" w:rsidRPr="00FB351A" w:rsidRDefault="00195906" w:rsidP="00195906">
      <w:pPr>
        <w:contextualSpacing/>
        <w:jc w:val="both"/>
        <w:rPr>
          <w:rFonts w:ascii="Arial" w:hAnsi="Arial" w:cs="Arial"/>
          <w:color w:val="000000"/>
          <w:sz w:val="20"/>
          <w:szCs w:val="20"/>
          <w:lang w:val="es-ES"/>
        </w:rPr>
      </w:pPr>
      <w:r w:rsidRPr="00FB351A">
        <w:rPr>
          <w:rFonts w:ascii="Arial" w:hAnsi="Arial" w:cs="Arial"/>
          <w:color w:val="000000"/>
          <w:sz w:val="20"/>
          <w:szCs w:val="20"/>
          <w:lang w:val="es-ES"/>
        </w:rPr>
        <w:t xml:space="preserve">Corolario de lo anterior y teniendo en cuenta la tipología contractual, las características propias del contrato de seguro, el objeto contractual, el alcance de las obligaciones del contratista adjudicatario y la especialidad del sector, se precisa que las Compañías de Seguros de conformidad con sus políticas pueden vincular para el desarrollo contractual personas con discapacidad, toda vez que durante la ejecución del contrato de seguros existe entre otras, la obligación condicional del asegurador de pagar una indemnización al asegurado en el caso de que ocurra el riesgo previsto en la póliza de seguro, siempre y cuando dicho riesgo se materialice en los términos y condiciones del contrato y en ese sentido se evidencia que esta población puede llegar a ejecutar las actividades relacionadas con el cumplimiento de las obligaciones del contrato de seguros y por </w:t>
      </w:r>
      <w:r w:rsidRPr="00FB351A">
        <w:rPr>
          <w:rFonts w:ascii="Arial" w:hAnsi="Arial" w:cs="Arial"/>
          <w:color w:val="000000"/>
          <w:sz w:val="20"/>
          <w:szCs w:val="20"/>
          <w:lang w:val="es-ES"/>
        </w:rPr>
        <w:lastRenderedPageBreak/>
        <w:t>ende se encuentra técnicamente viable incluir medidas afirmativas para que se incentive la participación de las personas con discapacidad en el sistema de compras y contratación pública.</w:t>
      </w:r>
    </w:p>
    <w:p w14:paraId="6285205C" w14:textId="77777777" w:rsidR="00195906" w:rsidRPr="00FB351A" w:rsidRDefault="00195906" w:rsidP="00195906">
      <w:pPr>
        <w:contextualSpacing/>
        <w:jc w:val="both"/>
        <w:rPr>
          <w:rFonts w:ascii="Arial" w:hAnsi="Arial" w:cs="Arial"/>
          <w:b/>
          <w:color w:val="000000"/>
          <w:sz w:val="20"/>
          <w:szCs w:val="20"/>
        </w:rPr>
      </w:pPr>
    </w:p>
    <w:p w14:paraId="283741C4" w14:textId="72E9EC00" w:rsidR="00195906" w:rsidRPr="00FB351A" w:rsidRDefault="00195906" w:rsidP="004C5DEA">
      <w:pPr>
        <w:pStyle w:val="Prrafodelista"/>
        <w:numPr>
          <w:ilvl w:val="3"/>
          <w:numId w:val="1"/>
        </w:numPr>
        <w:contextualSpacing/>
        <w:jc w:val="both"/>
        <w:rPr>
          <w:rFonts w:ascii="Arial" w:hAnsi="Arial" w:cs="Arial"/>
          <w:b/>
          <w:bCs/>
          <w:color w:val="000000"/>
          <w:sz w:val="20"/>
          <w:szCs w:val="20"/>
          <w:lang w:val="es-ES"/>
        </w:rPr>
      </w:pPr>
      <w:r w:rsidRPr="00FB351A">
        <w:rPr>
          <w:rFonts w:ascii="Arial" w:hAnsi="Arial" w:cs="Arial"/>
          <w:b/>
          <w:bCs/>
          <w:color w:val="000000"/>
          <w:sz w:val="20"/>
          <w:szCs w:val="20"/>
          <w:lang w:val="es-ES"/>
        </w:rPr>
        <w:t xml:space="preserve">Criterios diferenciales </w:t>
      </w:r>
      <w:r w:rsidRPr="00FB351A">
        <w:rPr>
          <w:rFonts w:ascii="Arial" w:hAnsi="Arial" w:cs="Arial"/>
          <w:b/>
          <w:bCs/>
          <w:color w:val="000000"/>
          <w:sz w:val="20"/>
          <w:szCs w:val="20"/>
        </w:rPr>
        <w:t xml:space="preserve">en favor de los </w:t>
      </w:r>
      <w:r w:rsidRPr="00FB351A">
        <w:rPr>
          <w:rFonts w:ascii="Arial" w:hAnsi="Arial" w:cs="Arial"/>
          <w:b/>
          <w:bCs/>
          <w:color w:val="000000"/>
          <w:sz w:val="20"/>
          <w:szCs w:val="20"/>
          <w:lang w:val="es-ES"/>
        </w:rPr>
        <w:t>emprendimientos y empresas personas con discapacidad</w:t>
      </w:r>
    </w:p>
    <w:p w14:paraId="6AE2B599" w14:textId="77777777" w:rsidR="00195906" w:rsidRPr="00FB351A" w:rsidRDefault="00195906" w:rsidP="00195906">
      <w:pPr>
        <w:contextualSpacing/>
        <w:jc w:val="both"/>
        <w:rPr>
          <w:rFonts w:ascii="Arial" w:hAnsi="Arial" w:cs="Arial"/>
          <w:b/>
          <w:color w:val="000000"/>
          <w:sz w:val="20"/>
          <w:szCs w:val="20"/>
        </w:rPr>
      </w:pPr>
    </w:p>
    <w:p w14:paraId="165D8DAB" w14:textId="39D7DBAF" w:rsidR="00195906" w:rsidRPr="00FB351A" w:rsidRDefault="00195906" w:rsidP="00195906">
      <w:pPr>
        <w:contextualSpacing/>
        <w:jc w:val="both"/>
        <w:rPr>
          <w:rFonts w:ascii="Arial" w:hAnsi="Arial" w:cs="Arial"/>
          <w:bCs/>
          <w:color w:val="000000"/>
          <w:sz w:val="20"/>
          <w:szCs w:val="20"/>
        </w:rPr>
      </w:pPr>
      <w:r w:rsidRPr="00FB351A">
        <w:rPr>
          <w:rFonts w:ascii="Arial" w:hAnsi="Arial" w:cs="Arial"/>
          <w:bCs/>
          <w:color w:val="000000"/>
          <w:sz w:val="20"/>
          <w:szCs w:val="20"/>
        </w:rPr>
        <w:t xml:space="preserve">Con relación al artículo 2.2.1.2.4.2.7.3 del Decreto 1082 de 2015 que fue modificado pro el Decreto 287 de 2026, se incluyen requisitos diferenciales y puntajes adicionales para incentivar la participación de </w:t>
      </w:r>
      <w:r w:rsidR="004E74C3" w:rsidRPr="00FB351A">
        <w:rPr>
          <w:rFonts w:ascii="Arial" w:hAnsi="Arial" w:cs="Arial"/>
          <w:bCs/>
          <w:color w:val="000000"/>
          <w:sz w:val="20"/>
          <w:szCs w:val="20"/>
        </w:rPr>
        <w:t xml:space="preserve">los </w:t>
      </w:r>
      <w:r w:rsidRPr="00FB351A">
        <w:rPr>
          <w:rFonts w:ascii="Arial" w:hAnsi="Arial" w:cs="Arial"/>
          <w:bCs/>
          <w:color w:val="000000"/>
          <w:sz w:val="20"/>
          <w:szCs w:val="20"/>
        </w:rPr>
        <w:t xml:space="preserve">emprendimientos y empresas personas con discapacidad en los procesos de compra pública para el sector asegurador. </w:t>
      </w:r>
    </w:p>
    <w:p w14:paraId="1E109FEE" w14:textId="77777777" w:rsidR="00195906" w:rsidRPr="00FB351A" w:rsidRDefault="00195906" w:rsidP="00195906">
      <w:pPr>
        <w:contextualSpacing/>
        <w:jc w:val="both"/>
        <w:rPr>
          <w:rFonts w:ascii="Arial" w:hAnsi="Arial" w:cs="Arial"/>
          <w:bCs/>
          <w:color w:val="000000"/>
          <w:sz w:val="20"/>
          <w:szCs w:val="20"/>
        </w:rPr>
      </w:pPr>
    </w:p>
    <w:p w14:paraId="254344E1" w14:textId="77777777" w:rsidR="005D4469" w:rsidRPr="00195906" w:rsidRDefault="005D4469" w:rsidP="005D4469">
      <w:pPr>
        <w:contextualSpacing/>
        <w:jc w:val="both"/>
        <w:rPr>
          <w:rFonts w:ascii="Arial" w:hAnsi="Arial" w:cs="Arial"/>
          <w:bCs/>
          <w:color w:val="000000"/>
          <w:sz w:val="20"/>
          <w:szCs w:val="20"/>
        </w:rPr>
      </w:pPr>
      <w:r w:rsidRPr="00195906">
        <w:rPr>
          <w:rFonts w:ascii="Arial" w:hAnsi="Arial" w:cs="Arial"/>
          <w:bCs/>
          <w:color w:val="000000"/>
          <w:sz w:val="20"/>
          <w:szCs w:val="20"/>
        </w:rPr>
        <w:t>Dentro de los criterios diferenciales a aplicar en los procesos de compras públicas se encuentran los siguientes:</w:t>
      </w:r>
    </w:p>
    <w:p w14:paraId="20B63253" w14:textId="77777777" w:rsidR="005D4469" w:rsidRPr="00195906" w:rsidRDefault="005D4469" w:rsidP="005D4469">
      <w:pPr>
        <w:contextualSpacing/>
        <w:jc w:val="both"/>
        <w:rPr>
          <w:rFonts w:ascii="Arial" w:hAnsi="Arial" w:cs="Arial"/>
          <w:bCs/>
          <w:color w:val="000000"/>
          <w:sz w:val="20"/>
          <w:szCs w:val="20"/>
        </w:rPr>
      </w:pPr>
    </w:p>
    <w:p w14:paraId="08B551AE" w14:textId="77777777" w:rsidR="005D4469" w:rsidRPr="00195906" w:rsidRDefault="005D4469">
      <w:pPr>
        <w:numPr>
          <w:ilvl w:val="0"/>
          <w:numId w:val="22"/>
        </w:numPr>
        <w:contextualSpacing/>
        <w:jc w:val="both"/>
        <w:rPr>
          <w:rFonts w:ascii="Arial" w:hAnsi="Arial" w:cs="Arial"/>
          <w:bCs/>
          <w:color w:val="000000"/>
          <w:sz w:val="20"/>
          <w:szCs w:val="20"/>
        </w:rPr>
      </w:pPr>
      <w:r w:rsidRPr="00195906">
        <w:rPr>
          <w:rFonts w:ascii="Arial" w:hAnsi="Arial" w:cs="Arial"/>
          <w:bCs/>
          <w:color w:val="000000"/>
          <w:sz w:val="20"/>
          <w:szCs w:val="20"/>
        </w:rPr>
        <w:t>Capacidad financiera: La capacidad financiera mínima habilitante para este proceso de selección se ha estructurado sobre límites mínimos y máximos que reflejan los indicadores financieros que se registran en el RUP de una muestra de aseguradoras que comúnmente presentan términos en procesos de contratación estatal, por tanto, no resulta conveniente aplicar este criterio diferencial para promover la participación de mujeres y emprendimientos de mujeres en este proceso de selección.</w:t>
      </w:r>
    </w:p>
    <w:p w14:paraId="2F0B242E" w14:textId="77777777" w:rsidR="005D4469" w:rsidRPr="00195906" w:rsidRDefault="005D4469">
      <w:pPr>
        <w:numPr>
          <w:ilvl w:val="0"/>
          <w:numId w:val="22"/>
        </w:numPr>
        <w:contextualSpacing/>
        <w:jc w:val="both"/>
        <w:rPr>
          <w:rFonts w:ascii="Arial" w:hAnsi="Arial" w:cs="Arial"/>
          <w:bCs/>
          <w:color w:val="000000"/>
          <w:sz w:val="20"/>
          <w:szCs w:val="20"/>
        </w:rPr>
      </w:pPr>
      <w:r w:rsidRPr="00195906">
        <w:rPr>
          <w:rFonts w:ascii="Arial" w:hAnsi="Arial" w:cs="Arial"/>
          <w:bCs/>
          <w:color w:val="000000"/>
          <w:sz w:val="20"/>
          <w:szCs w:val="20"/>
        </w:rPr>
        <w:t>Capacidad organizacional: Los indicadores de la capacidad organizacional de las empresas de seguros que operan en Colombia no miden la capacidad real de las compañías de seguros y al presentarse en negativo para algunas compañías de seguros, no significa que las mencionadas sociedades estén pasando por una mala situación organizacional. Estos indicadores se utilizan para observar cual es el real margen de rentabilidad de los accionistas con relación a su inversión. Este valor, es más un indicador para análisis interno de los oferentes, toda vez que éste les permite comparar el valor obtenido con el costo de oportunidad, es decir con otras alternativas de inversión posibles del mercado, Por lo anterior, no se exigirán indicadores de capacidad organizacional de los oferentes para el presente proceso de selección, corolario, no se establece como criterio diferencial para promover la participación de mujeres y emprendimientos de mujeres en este proceso de selección.</w:t>
      </w:r>
    </w:p>
    <w:p w14:paraId="5977B361" w14:textId="77777777" w:rsidR="005D4469" w:rsidRPr="00195906" w:rsidRDefault="005D4469">
      <w:pPr>
        <w:numPr>
          <w:ilvl w:val="0"/>
          <w:numId w:val="22"/>
        </w:numPr>
        <w:contextualSpacing/>
        <w:jc w:val="both"/>
        <w:rPr>
          <w:rFonts w:ascii="Arial" w:hAnsi="Arial" w:cs="Arial"/>
          <w:bCs/>
          <w:color w:val="000000"/>
          <w:sz w:val="20"/>
          <w:szCs w:val="20"/>
        </w:rPr>
      </w:pPr>
      <w:r w:rsidRPr="00195906">
        <w:rPr>
          <w:rFonts w:ascii="Arial" w:hAnsi="Arial" w:cs="Arial"/>
          <w:bCs/>
          <w:color w:val="000000"/>
          <w:sz w:val="20"/>
          <w:szCs w:val="20"/>
        </w:rPr>
        <w:t>Valor de la garantía de seriedad de la oferta: De acuerdo con el Decreto 1082 de 2015, la garantía de seriedad de la oferta debe estar vigente desde la presentación de la oferta y hasta la aprobación de la garantía de cumplimiento del contrato y su valor debe ser de por lo menos el diez por ciento (10%) del valor de la oferta. Para este proceso de selección ya se ha establecido el porcentaje mínimo que permita la suficiencia de la garantía, razón por la cual, no será un requisito diferencial para promover la participación de mujeres y emprendimientos de mujeres en este proceso de selección</w:t>
      </w:r>
    </w:p>
    <w:p w14:paraId="602972B1" w14:textId="77777777" w:rsidR="005D4469" w:rsidRPr="00195906" w:rsidRDefault="005D4469" w:rsidP="005D4469">
      <w:pPr>
        <w:contextualSpacing/>
        <w:jc w:val="both"/>
        <w:rPr>
          <w:rFonts w:ascii="Arial" w:hAnsi="Arial" w:cs="Arial"/>
          <w:bCs/>
          <w:color w:val="000000"/>
          <w:sz w:val="20"/>
          <w:szCs w:val="20"/>
        </w:rPr>
      </w:pPr>
    </w:p>
    <w:p w14:paraId="669C0A7C" w14:textId="160FB69F" w:rsidR="00195906" w:rsidRPr="00FB351A" w:rsidRDefault="005D4469" w:rsidP="00195906">
      <w:pPr>
        <w:contextualSpacing/>
        <w:jc w:val="both"/>
        <w:rPr>
          <w:rFonts w:ascii="Arial" w:hAnsi="Arial" w:cs="Arial"/>
          <w:bCs/>
          <w:color w:val="000000"/>
          <w:sz w:val="20"/>
          <w:szCs w:val="20"/>
        </w:rPr>
      </w:pPr>
      <w:r w:rsidRPr="00195906">
        <w:rPr>
          <w:rFonts w:ascii="Arial" w:hAnsi="Arial" w:cs="Arial"/>
          <w:bCs/>
          <w:color w:val="000000"/>
          <w:sz w:val="20"/>
          <w:szCs w:val="20"/>
        </w:rPr>
        <w:t>Como criterio diferencial se aplicará el criterio de Experiencia del proponente reflejado en el número de contratos que se exigirá, como mínimo, para su acreditación, garantizando el cumplimiento adecuado del objeto contractual y considerando las obligaciones del contratista adjudicatario y el principio de proporcionalidad</w:t>
      </w:r>
      <w:r w:rsidR="00195906" w:rsidRPr="00FB351A">
        <w:rPr>
          <w:rFonts w:ascii="Arial" w:hAnsi="Arial" w:cs="Arial"/>
          <w:bCs/>
          <w:color w:val="000000"/>
          <w:sz w:val="20"/>
          <w:szCs w:val="20"/>
        </w:rPr>
        <w:t xml:space="preserve">. </w:t>
      </w:r>
    </w:p>
    <w:p w14:paraId="045FCB81" w14:textId="77777777" w:rsidR="00D243E6" w:rsidRPr="00FB351A" w:rsidRDefault="00D243E6" w:rsidP="00D243E6">
      <w:pPr>
        <w:tabs>
          <w:tab w:val="left" w:pos="318"/>
        </w:tabs>
        <w:overflowPunct w:val="0"/>
        <w:autoSpaceDE w:val="0"/>
        <w:autoSpaceDN w:val="0"/>
        <w:adjustRightInd w:val="0"/>
        <w:jc w:val="both"/>
        <w:textAlignment w:val="baseline"/>
        <w:rPr>
          <w:rFonts w:ascii="Arial" w:hAnsi="Arial" w:cs="Arial"/>
          <w:color w:val="000000"/>
          <w:sz w:val="20"/>
          <w:szCs w:val="20"/>
        </w:rPr>
      </w:pPr>
    </w:p>
    <w:p w14:paraId="6A0ECE3B" w14:textId="29138DBC" w:rsidR="00D243E6" w:rsidRPr="00FB351A" w:rsidRDefault="00D243E6" w:rsidP="00D243E6">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Teniendo en cuenta que esta experiencia es la derivada del tiempo en que el proponente ha podido ejercer su actividad, la </w:t>
      </w:r>
      <w:r w:rsidRPr="00FB351A">
        <w:rPr>
          <w:rFonts w:ascii="Arial" w:hAnsi="Arial" w:cs="Arial"/>
          <w:b/>
          <w:bCs/>
          <w:color w:val="000000"/>
          <w:sz w:val="20"/>
          <w:szCs w:val="20"/>
          <w:lang w:val="es-ES"/>
        </w:rPr>
        <w:t>Agencia de Desarrollo Rural - ADR</w:t>
      </w:r>
      <w:r w:rsidRPr="00FB351A">
        <w:rPr>
          <w:rFonts w:ascii="Arial" w:hAnsi="Arial" w:cs="Arial"/>
          <w:color w:val="000000"/>
          <w:sz w:val="20"/>
          <w:szCs w:val="20"/>
          <w:lang w:val="es-ES"/>
        </w:rPr>
        <w:t xml:space="preserve"> </w:t>
      </w:r>
      <w:r w:rsidRPr="00FB351A">
        <w:rPr>
          <w:rFonts w:ascii="Arial" w:hAnsi="Arial" w:cs="Arial"/>
          <w:color w:val="000000"/>
          <w:sz w:val="20"/>
          <w:szCs w:val="20"/>
        </w:rPr>
        <w:t xml:space="preserve">verificará el cumplimiento del requisito habilitante – experiencia, únicamente en el Registro Único de Proponentes y en las certificaciones de contratos aportados, para lo cual cada proponente que acredite ser una empresa de personas en condición de discapacidad con las definiciones del artículo </w:t>
      </w:r>
      <w:r w:rsidRPr="00FB351A">
        <w:rPr>
          <w:rFonts w:ascii="Arial" w:hAnsi="Arial" w:cs="Arial"/>
          <w:bCs/>
          <w:color w:val="000000"/>
          <w:sz w:val="20"/>
          <w:szCs w:val="20"/>
        </w:rPr>
        <w:t>2.2.1.2.4.2.7.3 del Decreto 1082 de 2015 que fue modificado pro el Decreto 287 de 2026</w:t>
      </w:r>
      <w:r w:rsidRPr="00FB351A">
        <w:rPr>
          <w:rFonts w:ascii="Arial" w:hAnsi="Arial" w:cs="Arial"/>
          <w:color w:val="000000"/>
          <w:sz w:val="20"/>
          <w:szCs w:val="20"/>
        </w:rPr>
        <w:t xml:space="preserve">, podrá acreditar experiencia para cada grupo en el que presente oferta, con hasta seis (6) contratos </w:t>
      </w:r>
      <w:r w:rsidRPr="00FB351A">
        <w:rPr>
          <w:rFonts w:ascii="Arial" w:hAnsi="Arial" w:cs="Arial"/>
          <w:color w:val="000000"/>
          <w:sz w:val="20"/>
          <w:szCs w:val="20"/>
        </w:rPr>
        <w:lastRenderedPageBreak/>
        <w:t xml:space="preserve">clasificados en cualquiera de los siguientes códigos </w:t>
      </w:r>
      <w:proofErr w:type="spellStart"/>
      <w:r w:rsidRPr="00FB351A">
        <w:rPr>
          <w:rFonts w:ascii="Arial" w:hAnsi="Arial" w:cs="Arial"/>
          <w:color w:val="000000"/>
          <w:sz w:val="20"/>
          <w:szCs w:val="20"/>
        </w:rPr>
        <w:t>UNSPSC</w:t>
      </w:r>
      <w:proofErr w:type="spellEnd"/>
      <w:r w:rsidRPr="00FB351A">
        <w:rPr>
          <w:rFonts w:ascii="Arial" w:hAnsi="Arial" w:cs="Arial"/>
          <w:color w:val="000000"/>
          <w:sz w:val="20"/>
          <w:szCs w:val="20"/>
        </w:rPr>
        <w:t>: 84131500 y/o 841316 de acuerdo con los requisitos de experiencia habilitante indicados en el pliego de condiciones y al lote ofertado.</w:t>
      </w:r>
    </w:p>
    <w:p w14:paraId="550A9A61" w14:textId="77777777" w:rsidR="00D243E6" w:rsidRPr="00FB351A" w:rsidRDefault="00D243E6" w:rsidP="00D243E6">
      <w:pPr>
        <w:tabs>
          <w:tab w:val="left" w:pos="318"/>
        </w:tabs>
        <w:overflowPunct w:val="0"/>
        <w:autoSpaceDE w:val="0"/>
        <w:autoSpaceDN w:val="0"/>
        <w:adjustRightInd w:val="0"/>
        <w:jc w:val="both"/>
        <w:textAlignment w:val="baseline"/>
        <w:rPr>
          <w:rFonts w:ascii="Arial" w:hAnsi="Arial" w:cs="Arial"/>
          <w:color w:val="000000"/>
          <w:sz w:val="20"/>
          <w:szCs w:val="20"/>
        </w:rPr>
      </w:pPr>
    </w:p>
    <w:p w14:paraId="12D15920" w14:textId="7D9FBEBA" w:rsidR="00D243E6" w:rsidRPr="00FB351A" w:rsidRDefault="00D243E6" w:rsidP="00D243E6">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 xml:space="preserve">Este criterio diferencial, así como la cantidad de contratos establecidos, cumple con el propósito de la Ley de promover y facilitar el acceso de los proveedores que se definan como </w:t>
      </w:r>
      <w:r w:rsidR="00415871" w:rsidRPr="00FB351A">
        <w:rPr>
          <w:rFonts w:ascii="Arial" w:hAnsi="Arial" w:cs="Arial"/>
          <w:color w:val="000000"/>
          <w:sz w:val="20"/>
          <w:szCs w:val="20"/>
        </w:rPr>
        <w:t>empresa de personas en condición de discapacidad o empleadores de personas con discapacidad</w:t>
      </w:r>
      <w:r w:rsidRPr="00FB351A">
        <w:rPr>
          <w:rFonts w:ascii="Arial" w:hAnsi="Arial" w:cs="Arial"/>
          <w:color w:val="000000"/>
          <w:sz w:val="20"/>
          <w:szCs w:val="20"/>
        </w:rPr>
        <w:t xml:space="preserve">, al tiempo que refleja las buenas prácticas administrativas de otras entidad que han utilizado similar criterio, como es el caso del </w:t>
      </w:r>
      <w:r w:rsidRPr="00FB351A">
        <w:rPr>
          <w:rFonts w:ascii="Arial" w:hAnsi="Arial" w:cs="Arial"/>
          <w:sz w:val="20"/>
          <w:szCs w:val="20"/>
        </w:rPr>
        <w:t xml:space="preserve">Distrito Especial de Ciencia, Tecnología e Innovación de Medellín que en el proceso de selección abreviada de menor cuantía No 9015860 de 2026 permitió como criterio diferencial que los emprendimientos y empresas de mujeres pudieran acreditar experiencia hasta de un contrato adicional al exigido para los proponentes en general; de igual manera, la Unidad Administrativa Especial Aeronáutica Civil – AEROCIVIL, en el proceso de selección en curso de licitación pública No 26001053 </w:t>
      </w:r>
      <w:proofErr w:type="spellStart"/>
      <w:r w:rsidRPr="00FB351A">
        <w:rPr>
          <w:rFonts w:ascii="Arial" w:hAnsi="Arial" w:cs="Arial"/>
          <w:sz w:val="20"/>
          <w:szCs w:val="20"/>
        </w:rPr>
        <w:t>H3</w:t>
      </w:r>
      <w:proofErr w:type="spellEnd"/>
      <w:r w:rsidRPr="00FB351A">
        <w:rPr>
          <w:rFonts w:ascii="Arial" w:hAnsi="Arial" w:cs="Arial"/>
          <w:sz w:val="20"/>
          <w:szCs w:val="20"/>
        </w:rPr>
        <w:t xml:space="preserve"> DE 2026 se fijó un criterio diferencial igual al que se estima para esta contratacion, en el que se permite que los proveedores que se definan como emprendimientos y empresas de mujeres pueda acreditar al experiencia habilitante hasta con seis (6) certificaciones de contratos.</w:t>
      </w:r>
    </w:p>
    <w:p w14:paraId="21D996B5" w14:textId="77777777" w:rsidR="00D243E6" w:rsidRPr="00FB351A" w:rsidRDefault="00D243E6" w:rsidP="00195906">
      <w:pPr>
        <w:contextualSpacing/>
        <w:jc w:val="both"/>
        <w:rPr>
          <w:rFonts w:ascii="Arial" w:hAnsi="Arial" w:cs="Arial"/>
          <w:color w:val="000000"/>
          <w:sz w:val="20"/>
          <w:szCs w:val="20"/>
        </w:rPr>
      </w:pPr>
    </w:p>
    <w:p w14:paraId="5C99A631" w14:textId="2C7F598E" w:rsidR="00195906" w:rsidRPr="00FB351A" w:rsidRDefault="00195906" w:rsidP="004C5DEA">
      <w:pPr>
        <w:pStyle w:val="Prrafodelista"/>
        <w:numPr>
          <w:ilvl w:val="3"/>
          <w:numId w:val="1"/>
        </w:numPr>
        <w:contextualSpacing/>
        <w:jc w:val="both"/>
        <w:rPr>
          <w:rFonts w:ascii="Arial" w:hAnsi="Arial" w:cs="Arial"/>
          <w:b/>
          <w:bCs/>
          <w:color w:val="000000"/>
          <w:sz w:val="20"/>
          <w:szCs w:val="20"/>
          <w:lang w:val="es-ES"/>
        </w:rPr>
      </w:pPr>
      <w:r w:rsidRPr="00FB351A">
        <w:rPr>
          <w:rFonts w:ascii="Arial" w:hAnsi="Arial" w:cs="Arial"/>
          <w:b/>
          <w:bCs/>
          <w:color w:val="000000"/>
          <w:sz w:val="20"/>
          <w:szCs w:val="20"/>
          <w:lang w:val="es-ES"/>
        </w:rPr>
        <w:t>Condiciones especiales de ejecución en favor de personas con discapacidad</w:t>
      </w:r>
    </w:p>
    <w:p w14:paraId="0D89911A" w14:textId="77777777" w:rsidR="00195906" w:rsidRPr="00FB351A" w:rsidRDefault="00195906" w:rsidP="00195906">
      <w:pPr>
        <w:contextualSpacing/>
        <w:jc w:val="both"/>
        <w:rPr>
          <w:rFonts w:ascii="Arial" w:hAnsi="Arial" w:cs="Arial"/>
          <w:color w:val="000000"/>
          <w:sz w:val="20"/>
          <w:szCs w:val="20"/>
        </w:rPr>
      </w:pPr>
    </w:p>
    <w:p w14:paraId="71904A1D" w14:textId="77777777" w:rsidR="00195906" w:rsidRPr="00FB351A" w:rsidRDefault="00195906" w:rsidP="00195906">
      <w:pPr>
        <w:contextualSpacing/>
        <w:jc w:val="both"/>
        <w:rPr>
          <w:rFonts w:ascii="Arial" w:hAnsi="Arial" w:cs="Arial"/>
          <w:color w:val="000000"/>
          <w:sz w:val="20"/>
          <w:szCs w:val="20"/>
          <w:lang w:val="es-ES_tradnl"/>
        </w:rPr>
      </w:pPr>
      <w:r w:rsidRPr="00FB351A">
        <w:rPr>
          <w:rFonts w:ascii="Arial" w:hAnsi="Arial" w:cs="Arial"/>
          <w:color w:val="000000"/>
          <w:sz w:val="20"/>
          <w:szCs w:val="20"/>
          <w:lang w:val="es-ES_tradnl"/>
        </w:rPr>
        <w:t>Efectuado el análisis correspondiente no se ha encontrado como técnicamente viable la posibilidad de incluir como obligación del contratista reglas especiales para la subcontratación inclusiva o para la integración del equipo de trabajo, de conformidad con el artículo 2.2.1.2.4.2.7.5 del Decreto 1082 de 2015 que fuera modificado por el artículo 1 del Decreto 287 de 2026.</w:t>
      </w:r>
    </w:p>
    <w:p w14:paraId="4778392A" w14:textId="77777777" w:rsidR="00195906" w:rsidRPr="00FB351A" w:rsidRDefault="00195906" w:rsidP="00195906">
      <w:pPr>
        <w:contextualSpacing/>
        <w:jc w:val="both"/>
        <w:rPr>
          <w:rFonts w:ascii="Arial" w:hAnsi="Arial" w:cs="Arial"/>
          <w:color w:val="000000"/>
          <w:sz w:val="20"/>
          <w:szCs w:val="20"/>
          <w:lang w:val="es-ES_tradnl"/>
        </w:rPr>
      </w:pPr>
    </w:p>
    <w:p w14:paraId="6A35D932" w14:textId="77777777" w:rsidR="00195906" w:rsidRPr="00FB351A" w:rsidRDefault="00195906" w:rsidP="00195906">
      <w:pPr>
        <w:contextualSpacing/>
        <w:jc w:val="both"/>
        <w:rPr>
          <w:rFonts w:ascii="Arial" w:hAnsi="Arial" w:cs="Arial"/>
          <w:color w:val="000000"/>
          <w:sz w:val="20"/>
          <w:szCs w:val="20"/>
          <w:lang w:val="es-ES_tradnl"/>
        </w:rPr>
      </w:pPr>
      <w:r w:rsidRPr="00FB351A">
        <w:rPr>
          <w:rFonts w:ascii="Arial" w:hAnsi="Arial" w:cs="Arial"/>
          <w:color w:val="000000"/>
          <w:sz w:val="20"/>
          <w:szCs w:val="20"/>
          <w:lang w:val="es-ES_tradnl"/>
        </w:rPr>
        <w:t xml:space="preserve">Lo anterior en razón a que de acuerdo con el alcance del decreto la presente contratación de pólizas de seguros no requiere de la vinculación o contratación por parte del contratista para el desarrollo contractual, de personas con discapacidad, toda vez que esta modalidad se enmarca dentro de un contrato de seguros, cuya esencial se enmarca en: </w:t>
      </w:r>
      <w:r w:rsidRPr="00FB351A">
        <w:rPr>
          <w:rFonts w:ascii="Arial" w:hAnsi="Arial" w:cs="Arial"/>
          <w:color w:val="000000"/>
          <w:sz w:val="20"/>
          <w:szCs w:val="20"/>
          <w:lang w:val="es-ES"/>
        </w:rPr>
        <w:t>(i) el interés asegurable, (</w:t>
      </w:r>
      <w:proofErr w:type="spellStart"/>
      <w:r w:rsidRPr="00FB351A">
        <w:rPr>
          <w:rFonts w:ascii="Arial" w:hAnsi="Arial" w:cs="Arial"/>
          <w:color w:val="000000"/>
          <w:sz w:val="20"/>
          <w:szCs w:val="20"/>
          <w:lang w:val="es-ES"/>
        </w:rPr>
        <w:t>ii</w:t>
      </w:r>
      <w:proofErr w:type="spellEnd"/>
      <w:r w:rsidRPr="00FB351A">
        <w:rPr>
          <w:rFonts w:ascii="Arial" w:hAnsi="Arial" w:cs="Arial"/>
          <w:color w:val="000000"/>
          <w:sz w:val="20"/>
          <w:szCs w:val="20"/>
          <w:lang w:val="es-ES"/>
        </w:rPr>
        <w:t>) el riesgo asegurable, (</w:t>
      </w:r>
      <w:proofErr w:type="spellStart"/>
      <w:r w:rsidRPr="00FB351A">
        <w:rPr>
          <w:rFonts w:ascii="Arial" w:hAnsi="Arial" w:cs="Arial"/>
          <w:color w:val="000000"/>
          <w:sz w:val="20"/>
          <w:szCs w:val="20"/>
          <w:lang w:val="es-ES"/>
        </w:rPr>
        <w:t>iii</w:t>
      </w:r>
      <w:proofErr w:type="spellEnd"/>
      <w:r w:rsidRPr="00FB351A">
        <w:rPr>
          <w:rFonts w:ascii="Arial" w:hAnsi="Arial" w:cs="Arial"/>
          <w:color w:val="000000"/>
          <w:sz w:val="20"/>
          <w:szCs w:val="20"/>
          <w:lang w:val="es-ES"/>
        </w:rPr>
        <w:t>) la prima o precio del seguro y (</w:t>
      </w:r>
      <w:proofErr w:type="spellStart"/>
      <w:r w:rsidRPr="00FB351A">
        <w:rPr>
          <w:rFonts w:ascii="Arial" w:hAnsi="Arial" w:cs="Arial"/>
          <w:color w:val="000000"/>
          <w:sz w:val="20"/>
          <w:szCs w:val="20"/>
          <w:lang w:val="es-ES"/>
        </w:rPr>
        <w:t>iv</w:t>
      </w:r>
      <w:proofErr w:type="spellEnd"/>
      <w:r w:rsidRPr="00FB351A">
        <w:rPr>
          <w:rFonts w:ascii="Arial" w:hAnsi="Arial" w:cs="Arial"/>
          <w:color w:val="000000"/>
          <w:sz w:val="20"/>
          <w:szCs w:val="20"/>
          <w:lang w:val="es-ES"/>
        </w:rPr>
        <w:t>) la obligación condicional del asegurador. La obligación condicional del asegurador es el deber que tiene la compañía de seguros de pagar una indemnización al asegurado en el caso de que ocurra el riesgo previsto en la póliza de seguro, siempre y cuando dicho riesgo se materialice en los términos y condiciones del contrato. Esta obligación es condicional porque el pago solo se efectúa si se cumplen ciertas condiciones, es decir, la ocurrencia de un hecho futuro e incierto que está cubierto por la póliza.</w:t>
      </w:r>
    </w:p>
    <w:p w14:paraId="5F488821" w14:textId="77777777" w:rsidR="004935D2" w:rsidRPr="00FB351A" w:rsidRDefault="004935D2" w:rsidP="00803115">
      <w:pPr>
        <w:contextualSpacing/>
        <w:jc w:val="both"/>
        <w:rPr>
          <w:rFonts w:ascii="Arial" w:hAnsi="Arial" w:cs="Arial"/>
          <w:color w:val="000000"/>
          <w:sz w:val="20"/>
          <w:szCs w:val="20"/>
        </w:rPr>
      </w:pPr>
    </w:p>
    <w:p w14:paraId="548EBB70" w14:textId="26F96011" w:rsidR="008322ED" w:rsidRPr="00FB351A" w:rsidRDefault="008322ED" w:rsidP="00803115">
      <w:pPr>
        <w:pStyle w:val="Prrafodelista"/>
        <w:numPr>
          <w:ilvl w:val="2"/>
          <w:numId w:val="1"/>
        </w:numPr>
        <w:contextualSpacing/>
        <w:jc w:val="both"/>
        <w:rPr>
          <w:rFonts w:ascii="Arial" w:hAnsi="Arial" w:cs="Arial"/>
          <w:b/>
          <w:bCs/>
          <w:color w:val="000000"/>
          <w:sz w:val="20"/>
          <w:szCs w:val="20"/>
          <w:lang w:val="es-ES_tradnl"/>
        </w:rPr>
      </w:pPr>
      <w:r w:rsidRPr="00FB351A">
        <w:rPr>
          <w:rFonts w:ascii="Arial" w:hAnsi="Arial" w:cs="Arial"/>
          <w:b/>
          <w:bCs/>
          <w:color w:val="000000"/>
          <w:sz w:val="20"/>
          <w:szCs w:val="20"/>
          <w:lang w:val="es-ES_tradnl"/>
        </w:rPr>
        <w:t>Indicación De Si La Contratación Respectiva Está Cobijada Por Un Acuerdo Comercial</w:t>
      </w:r>
    </w:p>
    <w:p w14:paraId="02B9A071" w14:textId="77777777" w:rsidR="008322ED" w:rsidRPr="00FB351A" w:rsidRDefault="008322ED" w:rsidP="00803115">
      <w:pPr>
        <w:contextualSpacing/>
        <w:jc w:val="both"/>
        <w:rPr>
          <w:rFonts w:ascii="Arial" w:hAnsi="Arial" w:cs="Arial"/>
          <w:bCs/>
          <w:color w:val="000000"/>
          <w:sz w:val="20"/>
          <w:szCs w:val="20"/>
        </w:rPr>
      </w:pPr>
    </w:p>
    <w:p w14:paraId="264CBFFB" w14:textId="77777777" w:rsidR="008322ED" w:rsidRPr="00FB351A" w:rsidRDefault="008322ED" w:rsidP="00803115">
      <w:pPr>
        <w:contextualSpacing/>
        <w:jc w:val="both"/>
        <w:rPr>
          <w:rFonts w:ascii="Arial" w:hAnsi="Arial" w:cs="Arial"/>
          <w:color w:val="000000"/>
          <w:sz w:val="20"/>
          <w:szCs w:val="20"/>
        </w:rPr>
      </w:pPr>
      <w:r w:rsidRPr="00FB351A">
        <w:rPr>
          <w:rFonts w:ascii="Arial" w:hAnsi="Arial" w:cs="Arial"/>
          <w:color w:val="000000"/>
          <w:sz w:val="20"/>
          <w:szCs w:val="20"/>
        </w:rPr>
        <w:t>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w:t>
      </w:r>
    </w:p>
    <w:p w14:paraId="696DCB1D" w14:textId="77777777" w:rsidR="008322ED" w:rsidRPr="00FB351A" w:rsidRDefault="008322ED" w:rsidP="00803115">
      <w:pPr>
        <w:jc w:val="both"/>
        <w:rPr>
          <w:rFonts w:ascii="Arial" w:hAnsi="Arial" w:cs="Arial"/>
          <w:color w:val="000000"/>
          <w:sz w:val="20"/>
          <w:szCs w:val="20"/>
        </w:rPr>
      </w:pPr>
    </w:p>
    <w:p w14:paraId="3415FA97" w14:textId="77777777" w:rsidR="008322ED" w:rsidRPr="00FB351A" w:rsidRDefault="008322ED" w:rsidP="00803115">
      <w:pPr>
        <w:jc w:val="both"/>
        <w:rPr>
          <w:rFonts w:ascii="Arial" w:hAnsi="Arial" w:cs="Arial"/>
          <w:sz w:val="20"/>
          <w:szCs w:val="20"/>
        </w:rPr>
      </w:pPr>
      <w:r w:rsidRPr="00FB351A">
        <w:rPr>
          <w:rFonts w:ascii="Arial" w:hAnsi="Arial" w:cs="Arial"/>
          <w:sz w:val="20"/>
          <w:szCs w:val="20"/>
        </w:rPr>
        <w:t>Los seguros se equiparán a servicios financieros de interés público, para los cuales es necesario ser una sociedad comercial constituida en Colombia y contar con la autorización de la Superintendencia Financiera de Colombia, tal y como lo establece el Decreto 663 de 1993, el cual en su momento actualizó el Estatuto Orgánico del Sistema Financiero, y que el artículo 39 reza a la letra:</w:t>
      </w:r>
    </w:p>
    <w:p w14:paraId="4A3B51A4" w14:textId="77777777" w:rsidR="008322ED" w:rsidRPr="00FB351A" w:rsidRDefault="008322ED" w:rsidP="00803115">
      <w:pPr>
        <w:jc w:val="both"/>
        <w:rPr>
          <w:rFonts w:ascii="Arial" w:hAnsi="Arial" w:cs="Arial"/>
          <w:sz w:val="20"/>
          <w:szCs w:val="20"/>
          <w:lang w:val="es-ES_tradnl"/>
        </w:rPr>
      </w:pPr>
    </w:p>
    <w:p w14:paraId="60B7D1CC" w14:textId="77777777" w:rsidR="008322ED" w:rsidRPr="00FB351A" w:rsidRDefault="008322ED" w:rsidP="00803115">
      <w:pPr>
        <w:jc w:val="both"/>
        <w:rPr>
          <w:rFonts w:ascii="Arial" w:hAnsi="Arial" w:cs="Arial"/>
          <w:sz w:val="20"/>
          <w:szCs w:val="20"/>
        </w:rPr>
      </w:pPr>
      <w:r w:rsidRPr="00FB351A">
        <w:rPr>
          <w:rFonts w:ascii="Arial" w:hAnsi="Arial" w:cs="Arial"/>
          <w:sz w:val="20"/>
          <w:szCs w:val="20"/>
        </w:rPr>
        <w:t xml:space="preserve">“ARTICULO 39. PERSONAS NO AUTORIZADAS. Queda prohibido celebrar en el territorio nacional operaciones de seguros con entidades extranjeras no autorizadas para desarrollar la actividad aseguradora en Colombia o hacerlo con agentes o representantes que trabajen para las mismas. </w:t>
      </w:r>
    </w:p>
    <w:p w14:paraId="06F87B6B" w14:textId="77777777" w:rsidR="008322ED" w:rsidRPr="00FB351A" w:rsidRDefault="008322ED" w:rsidP="00803115">
      <w:pPr>
        <w:jc w:val="both"/>
        <w:rPr>
          <w:rFonts w:ascii="Arial" w:hAnsi="Arial" w:cs="Arial"/>
          <w:sz w:val="20"/>
          <w:szCs w:val="20"/>
        </w:rPr>
      </w:pPr>
    </w:p>
    <w:p w14:paraId="05A37877" w14:textId="77777777" w:rsidR="008322ED" w:rsidRPr="00FB351A" w:rsidRDefault="008322ED" w:rsidP="00803115">
      <w:pPr>
        <w:jc w:val="both"/>
        <w:rPr>
          <w:rFonts w:ascii="Arial" w:hAnsi="Arial" w:cs="Arial"/>
          <w:sz w:val="20"/>
          <w:szCs w:val="20"/>
        </w:rPr>
      </w:pPr>
      <w:r w:rsidRPr="00FB351A">
        <w:rPr>
          <w:rFonts w:ascii="Arial" w:hAnsi="Arial" w:cs="Arial"/>
          <w:sz w:val="20"/>
          <w:szCs w:val="20"/>
        </w:rPr>
        <w:t>Las personas naturales o jurídicas que contravengan lo dispuesto en el presente artículo quedarán sujetas a las sanciones previstas en los artículos 208 del presente Estatuto.”</w:t>
      </w:r>
    </w:p>
    <w:p w14:paraId="6B51105F" w14:textId="77777777" w:rsidR="008322ED" w:rsidRPr="00FB351A" w:rsidRDefault="008322ED" w:rsidP="00803115">
      <w:pPr>
        <w:jc w:val="both"/>
        <w:rPr>
          <w:rFonts w:ascii="Arial" w:hAnsi="Arial" w:cs="Arial"/>
          <w:sz w:val="20"/>
          <w:szCs w:val="20"/>
        </w:rPr>
      </w:pPr>
    </w:p>
    <w:p w14:paraId="1FEDED9F" w14:textId="77777777" w:rsidR="008322ED" w:rsidRPr="00FB351A" w:rsidRDefault="008322ED" w:rsidP="00803115">
      <w:pPr>
        <w:jc w:val="both"/>
        <w:rPr>
          <w:rFonts w:ascii="Arial" w:hAnsi="Arial" w:cs="Arial"/>
          <w:sz w:val="20"/>
          <w:szCs w:val="20"/>
        </w:rPr>
      </w:pPr>
      <w:r w:rsidRPr="00FB351A">
        <w:rPr>
          <w:rFonts w:ascii="Arial" w:hAnsi="Arial" w:cs="Arial"/>
          <w:sz w:val="20"/>
          <w:szCs w:val="20"/>
        </w:rPr>
        <w:t>Por lo tanto, el proponente y futuro contratista deberá tener autorización para operar los distintos ramos de seguros que se requieren para la oferta de seguros del presente proceso de selección, por parte de la Superintendencia Financiera de Colombia.</w:t>
      </w:r>
    </w:p>
    <w:p w14:paraId="05C1AFD4" w14:textId="77777777" w:rsidR="008322ED" w:rsidRPr="00FB351A" w:rsidRDefault="008322ED" w:rsidP="00803115">
      <w:pPr>
        <w:contextualSpacing/>
        <w:jc w:val="both"/>
        <w:rPr>
          <w:rFonts w:ascii="Arial" w:hAnsi="Arial" w:cs="Arial"/>
          <w:color w:val="000000"/>
          <w:sz w:val="20"/>
          <w:szCs w:val="20"/>
        </w:rPr>
      </w:pPr>
    </w:p>
    <w:p w14:paraId="7282FAEE" w14:textId="77777777" w:rsidR="008322ED" w:rsidRPr="00FB351A" w:rsidRDefault="008322ED" w:rsidP="00803115">
      <w:pPr>
        <w:contextualSpacing/>
        <w:jc w:val="both"/>
        <w:rPr>
          <w:rFonts w:ascii="Arial" w:hAnsi="Arial" w:cs="Arial"/>
          <w:bCs/>
          <w:color w:val="000000"/>
          <w:sz w:val="20"/>
          <w:szCs w:val="20"/>
        </w:rPr>
      </w:pPr>
      <w:r w:rsidRPr="00FB351A">
        <w:rPr>
          <w:rFonts w:ascii="Arial" w:hAnsi="Arial" w:cs="Arial"/>
          <w:bCs/>
          <w:color w:val="000000"/>
          <w:sz w:val="20"/>
          <w:szCs w:val="20"/>
        </w:rPr>
        <w:t xml:space="preserve">Lo anterior, atendiendo a las disposiciones del Decreto 663 de 1993, Capitulo XI, Artículo 39, modificado por el Artículo 61 de la Ley 1328 de 2009 y teniendo en cuenta que, conforme a lo dispuesto por el Estatuto Orgánico del Sistema Financiero, los seguros deben ser contrata-dos con compañías de seguros debidamente autorizadas por la Superintendencia Financiera de Colombia - </w:t>
      </w:r>
      <w:proofErr w:type="spellStart"/>
      <w:r w:rsidRPr="00FB351A">
        <w:rPr>
          <w:rFonts w:ascii="Arial" w:hAnsi="Arial" w:cs="Arial"/>
          <w:bCs/>
          <w:color w:val="000000"/>
          <w:sz w:val="20"/>
          <w:szCs w:val="20"/>
        </w:rPr>
        <w:t>SFC</w:t>
      </w:r>
      <w:proofErr w:type="spellEnd"/>
      <w:r w:rsidRPr="00FB351A">
        <w:rPr>
          <w:rFonts w:ascii="Arial" w:hAnsi="Arial" w:cs="Arial"/>
          <w:bCs/>
          <w:color w:val="000000"/>
          <w:sz w:val="20"/>
          <w:szCs w:val="20"/>
        </w:rPr>
        <w:t>.</w:t>
      </w:r>
    </w:p>
    <w:p w14:paraId="25E16F07" w14:textId="77777777" w:rsidR="008322ED" w:rsidRPr="00FB351A" w:rsidRDefault="008322ED" w:rsidP="00803115">
      <w:pPr>
        <w:contextualSpacing/>
        <w:jc w:val="both"/>
        <w:rPr>
          <w:rFonts w:ascii="Arial" w:hAnsi="Arial" w:cs="Arial"/>
          <w:bCs/>
          <w:color w:val="000000"/>
          <w:sz w:val="20"/>
          <w:szCs w:val="20"/>
          <w:lang w:val="es-ES_tradnl"/>
        </w:rPr>
      </w:pPr>
    </w:p>
    <w:p w14:paraId="546D2F0A" w14:textId="77777777" w:rsidR="008322ED" w:rsidRPr="00FB351A" w:rsidRDefault="008322ED" w:rsidP="00803115">
      <w:pPr>
        <w:contextualSpacing/>
        <w:jc w:val="both"/>
        <w:rPr>
          <w:rFonts w:ascii="Arial" w:hAnsi="Arial" w:cs="Arial"/>
          <w:bCs/>
          <w:i/>
          <w:iCs/>
          <w:color w:val="000000"/>
          <w:sz w:val="20"/>
          <w:szCs w:val="20"/>
        </w:rPr>
      </w:pPr>
      <w:r w:rsidRPr="00FB351A">
        <w:rPr>
          <w:rFonts w:ascii="Arial" w:hAnsi="Arial" w:cs="Arial"/>
          <w:bCs/>
          <w:color w:val="000000"/>
          <w:sz w:val="20"/>
          <w:szCs w:val="20"/>
          <w:lang w:val="es-ES_tradnl"/>
        </w:rPr>
        <w:t>L</w:t>
      </w:r>
      <w:r w:rsidRPr="00FB351A">
        <w:rPr>
          <w:rFonts w:ascii="Arial" w:hAnsi="Arial" w:cs="Arial"/>
          <w:bCs/>
          <w:color w:val="000000"/>
          <w:sz w:val="20"/>
          <w:szCs w:val="20"/>
        </w:rPr>
        <w:t>os seguros se equiparán a servicios financieros para los cuales es necesario ser una sociedad comercial constituida en Colombia o una persona jurídica extranjera con sucursal en Colombia y contar con la autorización de la Superintendencia Financiera de Colombia, tal y como lo establece el Decreto 663 de 1993, el cual en su momento actualizó el Estatuto Orgánico del Sistema Financiero.</w:t>
      </w:r>
    </w:p>
    <w:p w14:paraId="7BB2881E" w14:textId="77777777" w:rsidR="008322ED" w:rsidRPr="00FB351A" w:rsidRDefault="008322ED" w:rsidP="00803115">
      <w:pPr>
        <w:contextualSpacing/>
        <w:jc w:val="both"/>
        <w:rPr>
          <w:rFonts w:ascii="Arial" w:hAnsi="Arial" w:cs="Arial"/>
          <w:bCs/>
          <w:color w:val="000000"/>
          <w:sz w:val="20"/>
          <w:szCs w:val="20"/>
        </w:rPr>
      </w:pPr>
    </w:p>
    <w:p w14:paraId="0B1CDFE9" w14:textId="77777777" w:rsidR="008322ED" w:rsidRPr="00FB351A" w:rsidRDefault="008322ED" w:rsidP="00803115">
      <w:pPr>
        <w:contextualSpacing/>
        <w:jc w:val="both"/>
        <w:rPr>
          <w:rFonts w:ascii="Arial" w:hAnsi="Arial" w:cs="Arial"/>
          <w:color w:val="000000"/>
          <w:sz w:val="20"/>
          <w:szCs w:val="20"/>
        </w:rPr>
      </w:pPr>
      <w:r w:rsidRPr="00FB351A">
        <w:rPr>
          <w:rFonts w:ascii="Arial" w:hAnsi="Arial" w:cs="Arial"/>
          <w:bCs/>
          <w:color w:val="000000"/>
          <w:sz w:val="20"/>
          <w:szCs w:val="20"/>
        </w:rPr>
        <w:t xml:space="preserve">De acuerdo con lo anterior, los seguros que las entidades estatales contraten deberán regirse por las normas previamente establecidas por la Superintendencia Financiera de Colombia, es decir, deberán estar contratadas con Aseguradoras autorizadas para tal efecto y que </w:t>
      </w:r>
      <w:r w:rsidRPr="00FB351A">
        <w:rPr>
          <w:rFonts w:ascii="Arial" w:hAnsi="Arial" w:cs="Arial"/>
          <w:sz w:val="20"/>
          <w:szCs w:val="20"/>
        </w:rPr>
        <w:t>a las entidades estatales les está prohibido contratar seguros con compañías de seguros del exterior, de conformidad con el Decreto 1082 de 2015 en armonía con el inciso segundo del artículo 2.2.1.2.4.2.9</w:t>
      </w:r>
      <w:r w:rsidRPr="00FB351A">
        <w:rPr>
          <w:rFonts w:ascii="Arial" w:hAnsi="Arial" w:cs="Arial"/>
          <w:color w:val="000000"/>
          <w:sz w:val="20"/>
          <w:szCs w:val="20"/>
        </w:rPr>
        <w:t xml:space="preserve">, </w:t>
      </w:r>
      <w:r w:rsidRPr="00FB351A">
        <w:rPr>
          <w:rFonts w:ascii="Arial" w:hAnsi="Arial" w:cs="Arial"/>
          <w:bCs/>
          <w:color w:val="000000"/>
          <w:sz w:val="20"/>
          <w:szCs w:val="20"/>
        </w:rPr>
        <w:t>para el presente proceso no aplican tratados internacionales ni existen acuerdos comerciales vigentes que apliquen.</w:t>
      </w:r>
    </w:p>
    <w:p w14:paraId="1C3FDD78" w14:textId="77777777" w:rsidR="00473A02" w:rsidRPr="00FB351A" w:rsidRDefault="00473A02" w:rsidP="00803115">
      <w:pPr>
        <w:jc w:val="both"/>
        <w:rPr>
          <w:rFonts w:ascii="Arial" w:hAnsi="Arial" w:cs="Arial"/>
          <w:sz w:val="20"/>
          <w:szCs w:val="20"/>
        </w:rPr>
      </w:pPr>
    </w:p>
    <w:p w14:paraId="3C4CEC9E" w14:textId="77777777" w:rsidR="00581EF6" w:rsidRPr="00FB351A" w:rsidRDefault="00581EF6" w:rsidP="00803115">
      <w:pPr>
        <w:widowControl w:val="0"/>
        <w:autoSpaceDE w:val="0"/>
        <w:autoSpaceDN w:val="0"/>
        <w:jc w:val="both"/>
        <w:rPr>
          <w:rFonts w:ascii="Arial" w:hAnsi="Arial" w:cs="Arial"/>
          <w:b/>
          <w:color w:val="000000"/>
          <w:sz w:val="20"/>
          <w:szCs w:val="20"/>
        </w:rPr>
      </w:pPr>
      <w:r w:rsidRPr="00FB351A">
        <w:rPr>
          <w:rFonts w:ascii="Arial" w:hAnsi="Arial" w:cs="Arial"/>
          <w:b/>
          <w:color w:val="000000"/>
          <w:sz w:val="20"/>
          <w:szCs w:val="20"/>
        </w:rPr>
        <w:br w:type="page"/>
      </w:r>
    </w:p>
    <w:p w14:paraId="036FE2A0" w14:textId="037FFAAF" w:rsidR="006630C2" w:rsidRPr="00FB351A" w:rsidRDefault="006630C2" w:rsidP="00803115">
      <w:pPr>
        <w:pStyle w:val="Prrafodelista"/>
        <w:widowControl w:val="0"/>
        <w:numPr>
          <w:ilvl w:val="0"/>
          <w:numId w:val="1"/>
        </w:numPr>
        <w:suppressAutoHyphens/>
        <w:autoSpaceDE w:val="0"/>
        <w:contextualSpacing/>
        <w:jc w:val="both"/>
        <w:rPr>
          <w:rFonts w:ascii="Arial" w:hAnsi="Arial" w:cs="Arial"/>
          <w:b/>
          <w:color w:val="000000"/>
          <w:sz w:val="20"/>
          <w:szCs w:val="20"/>
        </w:rPr>
      </w:pPr>
      <w:r w:rsidRPr="00FB351A">
        <w:rPr>
          <w:rFonts w:ascii="Arial" w:hAnsi="Arial" w:cs="Arial"/>
          <w:b/>
          <w:color w:val="000000"/>
          <w:sz w:val="20"/>
          <w:szCs w:val="20"/>
        </w:rPr>
        <w:lastRenderedPageBreak/>
        <w:t>COMPORTAMIENTO HISTÓRICO DEL GASTO:</w:t>
      </w:r>
    </w:p>
    <w:p w14:paraId="7BDB4167" w14:textId="77777777" w:rsidR="00B7202D" w:rsidRPr="00FB351A" w:rsidRDefault="00B7202D" w:rsidP="00803115">
      <w:pPr>
        <w:contextualSpacing/>
        <w:jc w:val="both"/>
        <w:rPr>
          <w:rFonts w:ascii="Arial" w:hAnsi="Arial" w:cs="Arial"/>
          <w:b/>
          <w:bCs/>
          <w:sz w:val="20"/>
          <w:szCs w:val="20"/>
        </w:rPr>
      </w:pPr>
    </w:p>
    <w:p w14:paraId="2F6A478F" w14:textId="55ACDA1C"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Es obligación de las Entidades del Estado asegurar sus bienes e intereses patrimoniales, es por eso </w:t>
      </w:r>
      <w:r w:rsidR="002E49EB" w:rsidRPr="00FB351A">
        <w:rPr>
          <w:rFonts w:ascii="Arial" w:eastAsia="Batang" w:hAnsi="Arial" w:cs="Arial"/>
          <w:sz w:val="20"/>
          <w:szCs w:val="20"/>
        </w:rPr>
        <w:t>por lo que</w:t>
      </w:r>
      <w:r w:rsidRPr="00FB351A">
        <w:rPr>
          <w:rFonts w:ascii="Arial" w:eastAsia="Batang" w:hAnsi="Arial" w:cs="Arial"/>
          <w:sz w:val="20"/>
          <w:szCs w:val="20"/>
        </w:rPr>
        <w:t>, a través de la celebración de contratos de seguros, las Entidades Estatales buscan proteger su patrimonio contra la mayor cantidad de riesgos a los cuales se encuentra expuesto.</w:t>
      </w:r>
    </w:p>
    <w:p w14:paraId="1B47FC03" w14:textId="77777777" w:rsidR="00B7202D" w:rsidRPr="00FB351A" w:rsidRDefault="00B7202D" w:rsidP="00803115">
      <w:pPr>
        <w:jc w:val="both"/>
        <w:rPr>
          <w:rFonts w:ascii="Arial" w:hAnsi="Arial" w:cs="Arial"/>
          <w:sz w:val="20"/>
          <w:szCs w:val="20"/>
        </w:rPr>
      </w:pPr>
    </w:p>
    <w:p w14:paraId="339BC85F" w14:textId="064D26B1" w:rsidR="00B7202D" w:rsidRPr="00FB351A" w:rsidRDefault="00127C0C" w:rsidP="00803115">
      <w:pPr>
        <w:pStyle w:val="Prrafodelista"/>
        <w:numPr>
          <w:ilvl w:val="1"/>
          <w:numId w:val="1"/>
        </w:numPr>
        <w:tabs>
          <w:tab w:val="left" w:pos="0"/>
        </w:tabs>
        <w:overflowPunct w:val="0"/>
        <w:autoSpaceDE w:val="0"/>
        <w:autoSpaceDN w:val="0"/>
        <w:adjustRightInd w:val="0"/>
        <w:jc w:val="both"/>
        <w:textAlignment w:val="baseline"/>
        <w:rPr>
          <w:rFonts w:ascii="Arial" w:hAnsi="Arial" w:cs="Arial"/>
          <w:b/>
          <w:bCs/>
          <w:color w:val="000000"/>
          <w:sz w:val="20"/>
          <w:szCs w:val="20"/>
        </w:rPr>
      </w:pPr>
      <w:r w:rsidRPr="00FB351A">
        <w:rPr>
          <w:rFonts w:ascii="Arial" w:hAnsi="Arial" w:cs="Arial"/>
          <w:b/>
          <w:bCs/>
          <w:color w:val="000000"/>
          <w:sz w:val="20"/>
          <w:szCs w:val="20"/>
        </w:rPr>
        <w:t>Adquisiciones Previas De La Entidad:</w:t>
      </w:r>
    </w:p>
    <w:p w14:paraId="7A62B0B6" w14:textId="77777777" w:rsidR="00B7202D" w:rsidRPr="00FB351A" w:rsidRDefault="00B7202D" w:rsidP="00803115">
      <w:pPr>
        <w:tabs>
          <w:tab w:val="left" w:pos="318"/>
        </w:tabs>
        <w:jc w:val="both"/>
        <w:rPr>
          <w:rFonts w:ascii="Arial" w:hAnsi="Arial" w:cs="Arial"/>
          <w:bCs/>
          <w:color w:val="000000"/>
          <w:sz w:val="20"/>
          <w:szCs w:val="20"/>
        </w:rPr>
      </w:pPr>
    </w:p>
    <w:p w14:paraId="37222BE8"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De conformidad con los principios que rigen la contratación pública desarrollados por los Instructivos y Manuales de la Agencia de Contratación Pública Colombia Compra Eficiente, es importante para la entidad conocer las ofertas que existen en el mercado de provisión de los servicios que se pretenden contratar, para hacer efectiva la participación plural de oferentes en igualdad de condiciones y así seleccionar la oferta más favorable acudiendo a la apropiada conforme con la ley 1150 de 2007 </w:t>
      </w:r>
    </w:p>
    <w:p w14:paraId="34FB2B70" w14:textId="77777777" w:rsidR="00B7202D" w:rsidRPr="00FB351A" w:rsidRDefault="00B7202D" w:rsidP="00803115">
      <w:pPr>
        <w:jc w:val="both"/>
        <w:rPr>
          <w:rFonts w:ascii="Arial" w:eastAsia="Batang" w:hAnsi="Arial" w:cs="Arial"/>
          <w:sz w:val="20"/>
          <w:szCs w:val="20"/>
        </w:rPr>
      </w:pPr>
    </w:p>
    <w:p w14:paraId="22BE3E7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Por tanto, fue realizada la revisión de algunos contratos de este tipo para el análisis de la demanda, observando que se han adelantado procesos de este tipo de servicio requerido en el presente proceso, teniendo como resultado: </w:t>
      </w:r>
    </w:p>
    <w:p w14:paraId="28FF90AE" w14:textId="77777777" w:rsidR="00BE15D0" w:rsidRPr="00FB351A" w:rsidRDefault="00BE15D0" w:rsidP="00803115">
      <w:pPr>
        <w:jc w:val="both"/>
        <w:rPr>
          <w:rFonts w:ascii="Arial" w:eastAsia="Batang"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BE15D0" w:rsidRPr="00FB351A" w14:paraId="7D99AE24" w14:textId="77777777" w:rsidTr="009B3AAD">
        <w:trPr>
          <w:jc w:val="center"/>
        </w:trPr>
        <w:tc>
          <w:tcPr>
            <w:tcW w:w="1523" w:type="pct"/>
            <w:shd w:val="clear" w:color="auto" w:fill="C1E4F5"/>
          </w:tcPr>
          <w:p w14:paraId="0A2FEAD2" w14:textId="77777777" w:rsidR="00BE15D0" w:rsidRPr="00FB351A" w:rsidRDefault="00BE15D0" w:rsidP="009B3AAD">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6B502B4A" w14:textId="0B0BA7E9" w:rsidR="00BE15D0" w:rsidRPr="00FB351A" w:rsidRDefault="00BE15D0" w:rsidP="009B3AAD">
            <w:pPr>
              <w:jc w:val="both"/>
              <w:rPr>
                <w:rFonts w:ascii="Arial" w:eastAsia="Batang" w:hAnsi="Arial" w:cs="Arial"/>
                <w:sz w:val="20"/>
                <w:szCs w:val="20"/>
              </w:rPr>
            </w:pPr>
            <w:r w:rsidRPr="00FB351A">
              <w:rPr>
                <w:rFonts w:ascii="Arial" w:eastAsia="Batang" w:hAnsi="Arial" w:cs="Arial"/>
                <w:sz w:val="20"/>
                <w:szCs w:val="20"/>
              </w:rPr>
              <w:t>SAMC-03-2026</w:t>
            </w:r>
          </w:p>
        </w:tc>
      </w:tr>
      <w:tr w:rsidR="00BE15D0" w:rsidRPr="00FB351A" w14:paraId="0D410E4D" w14:textId="77777777" w:rsidTr="009B3AAD">
        <w:trPr>
          <w:jc w:val="center"/>
        </w:trPr>
        <w:tc>
          <w:tcPr>
            <w:tcW w:w="1523" w:type="pct"/>
            <w:shd w:val="clear" w:color="auto" w:fill="C1E4F5"/>
          </w:tcPr>
          <w:p w14:paraId="0BBA8973" w14:textId="77777777" w:rsidR="00BE15D0" w:rsidRPr="00FB351A" w:rsidRDefault="00BE15D0" w:rsidP="009B3AAD">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0E37C9B0" w14:textId="77777777" w:rsidR="00BE15D0" w:rsidRPr="00FB351A" w:rsidRDefault="00BE15D0" w:rsidP="009B3AAD">
            <w:pPr>
              <w:jc w:val="both"/>
              <w:rPr>
                <w:rFonts w:ascii="Arial" w:eastAsia="Batang" w:hAnsi="Arial" w:cs="Arial"/>
                <w:sz w:val="20"/>
                <w:szCs w:val="20"/>
              </w:rPr>
            </w:pPr>
            <w:r w:rsidRPr="00FB351A">
              <w:rPr>
                <w:rFonts w:ascii="Arial" w:eastAsia="Batang" w:hAnsi="Arial" w:cs="Arial"/>
                <w:sz w:val="20"/>
                <w:szCs w:val="20"/>
              </w:rPr>
              <w:t>Selección Abreviada de Menor Cuantía</w:t>
            </w:r>
          </w:p>
        </w:tc>
      </w:tr>
      <w:tr w:rsidR="00BE15D0" w:rsidRPr="00FB351A" w14:paraId="4DA53A4C" w14:textId="77777777" w:rsidTr="009B3AAD">
        <w:trPr>
          <w:jc w:val="center"/>
        </w:trPr>
        <w:tc>
          <w:tcPr>
            <w:tcW w:w="1523" w:type="pct"/>
            <w:shd w:val="clear" w:color="auto" w:fill="C1E4F5"/>
          </w:tcPr>
          <w:p w14:paraId="13CE5DA4" w14:textId="77777777" w:rsidR="00BE15D0" w:rsidRPr="00FB351A" w:rsidRDefault="00BE15D0" w:rsidP="009B3AAD">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6EEB22DC" w14:textId="77777777" w:rsidR="00BE15D0" w:rsidRPr="00FB351A" w:rsidRDefault="00BE15D0" w:rsidP="009B3AAD">
            <w:pPr>
              <w:jc w:val="both"/>
              <w:rPr>
                <w:rFonts w:ascii="Arial" w:eastAsia="Batang" w:hAnsi="Arial" w:cs="Arial"/>
                <w:sz w:val="20"/>
                <w:szCs w:val="20"/>
              </w:rPr>
            </w:pPr>
            <w:r w:rsidRPr="00FB351A">
              <w:rPr>
                <w:rFonts w:ascii="Arial" w:eastAsia="Batang" w:hAnsi="Arial" w:cs="Arial"/>
                <w:sz w:val="20"/>
                <w:szCs w:val="20"/>
              </w:rPr>
              <w:t>Contratar el programa de seguros de la AGENCIA DE DESARROLLO RURAL-ADR,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p>
        </w:tc>
      </w:tr>
      <w:tr w:rsidR="00DD41DD" w:rsidRPr="00FB351A" w14:paraId="086B9FA4" w14:textId="77777777" w:rsidTr="009B3AAD">
        <w:trPr>
          <w:jc w:val="center"/>
        </w:trPr>
        <w:tc>
          <w:tcPr>
            <w:tcW w:w="1523" w:type="pct"/>
            <w:shd w:val="clear" w:color="auto" w:fill="C1E4F5"/>
          </w:tcPr>
          <w:p w14:paraId="56BA507F" w14:textId="77777777"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44AEFEA3" w14:textId="47706FB3" w:rsidR="00DD41DD" w:rsidRPr="00DD41DD" w:rsidRDefault="00DD41DD" w:rsidP="00DD41DD">
            <w:pPr>
              <w:jc w:val="both"/>
              <w:rPr>
                <w:rFonts w:ascii="Arial" w:eastAsia="Batang" w:hAnsi="Arial" w:cs="Arial"/>
                <w:sz w:val="20"/>
                <w:szCs w:val="20"/>
              </w:rPr>
            </w:pPr>
            <w:r w:rsidRPr="00DD41DD">
              <w:rPr>
                <w:rFonts w:ascii="Arial" w:eastAsia="Batang" w:hAnsi="Arial" w:cs="Arial"/>
                <w:sz w:val="20"/>
                <w:szCs w:val="20"/>
              </w:rPr>
              <w:t>90 días</w:t>
            </w:r>
          </w:p>
        </w:tc>
      </w:tr>
      <w:tr w:rsidR="00DD41DD" w:rsidRPr="00FB351A" w14:paraId="0D4F54EC" w14:textId="77777777" w:rsidTr="009B3AAD">
        <w:trPr>
          <w:jc w:val="center"/>
        </w:trPr>
        <w:tc>
          <w:tcPr>
            <w:tcW w:w="1523" w:type="pct"/>
            <w:shd w:val="clear" w:color="auto" w:fill="C1E4F5"/>
          </w:tcPr>
          <w:p w14:paraId="23D803B0" w14:textId="77777777"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311237C0" w14:textId="5AF9DCFC"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GRUPO UNO: $ 91.205.293</w:t>
            </w:r>
          </w:p>
          <w:p w14:paraId="22F19F29" w14:textId="009F3D3D"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GRUPO DOS: $ 132.239.267</w:t>
            </w:r>
          </w:p>
          <w:p w14:paraId="3518A3C4" w14:textId="213A0A7B"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GRUPO TRES: $ 564.106.785</w:t>
            </w:r>
          </w:p>
        </w:tc>
      </w:tr>
      <w:tr w:rsidR="00DD41DD" w:rsidRPr="00FB351A" w14:paraId="71FD3167" w14:textId="77777777" w:rsidTr="009B3AAD">
        <w:trPr>
          <w:jc w:val="center"/>
        </w:trPr>
        <w:tc>
          <w:tcPr>
            <w:tcW w:w="1523" w:type="pct"/>
            <w:shd w:val="clear" w:color="auto" w:fill="C1E4F5"/>
          </w:tcPr>
          <w:p w14:paraId="3779967C" w14:textId="77777777"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Adjudicatario</w:t>
            </w:r>
          </w:p>
        </w:tc>
        <w:tc>
          <w:tcPr>
            <w:tcW w:w="3477" w:type="pct"/>
          </w:tcPr>
          <w:p w14:paraId="4E8EE817" w14:textId="77777777"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GRUPO UNO: ASEGURADORA SOLIDARIA DE COLOMBIA ENTIDAD COOPERATIVA</w:t>
            </w:r>
          </w:p>
          <w:p w14:paraId="5B6A9A6A" w14:textId="77777777" w:rsidR="00DD41DD" w:rsidRPr="00FB351A" w:rsidRDefault="00DD41DD" w:rsidP="00DD41DD">
            <w:pPr>
              <w:jc w:val="both"/>
              <w:rPr>
                <w:rFonts w:ascii="Arial" w:eastAsia="Batang" w:hAnsi="Arial" w:cs="Arial"/>
                <w:sz w:val="20"/>
                <w:szCs w:val="20"/>
                <w:lang w:val="pt-PT"/>
              </w:rPr>
            </w:pPr>
            <w:r w:rsidRPr="00FB351A">
              <w:rPr>
                <w:rFonts w:ascii="Arial" w:eastAsia="Batang" w:hAnsi="Arial" w:cs="Arial"/>
                <w:sz w:val="20"/>
                <w:szCs w:val="20"/>
                <w:lang w:val="pt-PT"/>
              </w:rPr>
              <w:t>GRUPO DOS: UT AXA-MAPFRE-SAMC-01-2026.</w:t>
            </w:r>
          </w:p>
          <w:p w14:paraId="23B2A91B" w14:textId="77777777"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GRUPO TRES: LA PREVISORA SA COMPAÑÍA DE SEGUROS</w:t>
            </w:r>
          </w:p>
          <w:p w14:paraId="180E270F" w14:textId="77777777" w:rsidR="00DD41DD" w:rsidRPr="00FB351A" w:rsidRDefault="00DD41DD" w:rsidP="00DD41DD">
            <w:pPr>
              <w:jc w:val="both"/>
              <w:rPr>
                <w:rFonts w:ascii="Arial" w:eastAsia="Batang" w:hAnsi="Arial" w:cs="Arial"/>
                <w:sz w:val="20"/>
                <w:szCs w:val="20"/>
              </w:rPr>
            </w:pPr>
            <w:r w:rsidRPr="00FB351A">
              <w:rPr>
                <w:rFonts w:ascii="Arial" w:eastAsia="Batang" w:hAnsi="Arial" w:cs="Arial"/>
                <w:sz w:val="20"/>
                <w:szCs w:val="20"/>
              </w:rPr>
              <w:t>GRUPO CUATRO: ASEGURADORA SOLIDARIA DE COLOMBIA ENTIDAD COOPERATIVA</w:t>
            </w:r>
          </w:p>
        </w:tc>
      </w:tr>
    </w:tbl>
    <w:p w14:paraId="0C649835" w14:textId="77777777" w:rsidR="00BE15D0" w:rsidRPr="00FB351A" w:rsidRDefault="00BE15D0" w:rsidP="00803115">
      <w:pPr>
        <w:jc w:val="both"/>
        <w:rPr>
          <w:rFonts w:ascii="Arial" w:eastAsia="Batang"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D63D8D" w:rsidRPr="00FB351A" w14:paraId="6593CE57" w14:textId="77777777" w:rsidTr="008C0B1C">
        <w:trPr>
          <w:jc w:val="center"/>
        </w:trPr>
        <w:tc>
          <w:tcPr>
            <w:tcW w:w="1523" w:type="pct"/>
            <w:shd w:val="clear" w:color="auto" w:fill="C1E4F5"/>
          </w:tcPr>
          <w:p w14:paraId="7239383B" w14:textId="77777777" w:rsidR="00D63D8D" w:rsidRPr="00FB351A" w:rsidRDefault="00D63D8D" w:rsidP="008C0B1C">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182F31BD" w14:textId="3623574D" w:rsidR="00D63D8D" w:rsidRPr="00FB351A" w:rsidRDefault="00301322" w:rsidP="008C0B1C">
            <w:pPr>
              <w:jc w:val="both"/>
              <w:rPr>
                <w:rFonts w:ascii="Arial" w:eastAsia="Batang" w:hAnsi="Arial" w:cs="Arial"/>
                <w:sz w:val="20"/>
                <w:szCs w:val="20"/>
              </w:rPr>
            </w:pPr>
            <w:r w:rsidRPr="00FB351A">
              <w:rPr>
                <w:rFonts w:ascii="Arial" w:eastAsia="Batang" w:hAnsi="Arial" w:cs="Arial"/>
                <w:sz w:val="20"/>
                <w:szCs w:val="20"/>
              </w:rPr>
              <w:t>SAMC-01-2026</w:t>
            </w:r>
          </w:p>
        </w:tc>
      </w:tr>
      <w:tr w:rsidR="00D63D8D" w:rsidRPr="00FB351A" w14:paraId="25C8A662" w14:textId="77777777" w:rsidTr="008C0B1C">
        <w:trPr>
          <w:jc w:val="center"/>
        </w:trPr>
        <w:tc>
          <w:tcPr>
            <w:tcW w:w="1523" w:type="pct"/>
            <w:shd w:val="clear" w:color="auto" w:fill="C1E4F5"/>
          </w:tcPr>
          <w:p w14:paraId="725FBFA9" w14:textId="77777777" w:rsidR="00D63D8D" w:rsidRPr="00FB351A" w:rsidRDefault="00D63D8D" w:rsidP="008C0B1C">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5E48B15A" w14:textId="4782E9B7" w:rsidR="00D63D8D" w:rsidRPr="00FB351A" w:rsidRDefault="00301322" w:rsidP="008C0B1C">
            <w:pPr>
              <w:jc w:val="both"/>
              <w:rPr>
                <w:rFonts w:ascii="Arial" w:eastAsia="Batang" w:hAnsi="Arial" w:cs="Arial"/>
                <w:sz w:val="20"/>
                <w:szCs w:val="20"/>
              </w:rPr>
            </w:pPr>
            <w:r w:rsidRPr="00FB351A">
              <w:rPr>
                <w:rFonts w:ascii="Arial" w:eastAsia="Batang" w:hAnsi="Arial" w:cs="Arial"/>
                <w:sz w:val="20"/>
                <w:szCs w:val="20"/>
              </w:rPr>
              <w:t>Selección Abreviada de Menor Cuantía</w:t>
            </w:r>
          </w:p>
        </w:tc>
      </w:tr>
      <w:tr w:rsidR="00D63D8D" w:rsidRPr="00FB351A" w14:paraId="061A5CFC" w14:textId="77777777" w:rsidTr="008C0B1C">
        <w:trPr>
          <w:jc w:val="center"/>
        </w:trPr>
        <w:tc>
          <w:tcPr>
            <w:tcW w:w="1523" w:type="pct"/>
            <w:shd w:val="clear" w:color="auto" w:fill="C1E4F5"/>
          </w:tcPr>
          <w:p w14:paraId="1DA3CB88" w14:textId="77777777" w:rsidR="00D63D8D" w:rsidRPr="00FB351A" w:rsidRDefault="00D63D8D" w:rsidP="008C0B1C">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2FC3D049" w14:textId="34429F39" w:rsidR="00D63D8D" w:rsidRPr="00FB351A" w:rsidRDefault="00301322" w:rsidP="008C0B1C">
            <w:pPr>
              <w:jc w:val="both"/>
              <w:rPr>
                <w:rFonts w:ascii="Arial" w:eastAsia="Batang" w:hAnsi="Arial" w:cs="Arial"/>
                <w:sz w:val="20"/>
                <w:szCs w:val="20"/>
              </w:rPr>
            </w:pPr>
            <w:r w:rsidRPr="00FB351A">
              <w:rPr>
                <w:rFonts w:ascii="Arial" w:eastAsia="Batang" w:hAnsi="Arial" w:cs="Arial"/>
                <w:sz w:val="20"/>
                <w:szCs w:val="20"/>
              </w:rPr>
              <w:t>Contratar el programa de seguros de la AGENCIA DE DESARROLLO RURAL-ADR,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p>
        </w:tc>
      </w:tr>
      <w:tr w:rsidR="00D63D8D" w:rsidRPr="00FB351A" w14:paraId="488BD67E" w14:textId="77777777" w:rsidTr="008C0B1C">
        <w:trPr>
          <w:jc w:val="center"/>
        </w:trPr>
        <w:tc>
          <w:tcPr>
            <w:tcW w:w="1523" w:type="pct"/>
            <w:shd w:val="clear" w:color="auto" w:fill="C1E4F5"/>
          </w:tcPr>
          <w:p w14:paraId="3C6DE891" w14:textId="77777777" w:rsidR="00D63D8D" w:rsidRPr="00FB351A" w:rsidRDefault="00D63D8D" w:rsidP="008C0B1C">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5F7FE548" w14:textId="0824FA4F" w:rsidR="00D63D8D" w:rsidRPr="00FB351A" w:rsidRDefault="00D63D8D" w:rsidP="008C0B1C">
            <w:pPr>
              <w:jc w:val="both"/>
              <w:rPr>
                <w:rFonts w:ascii="Arial" w:eastAsia="Batang" w:hAnsi="Arial" w:cs="Arial"/>
                <w:sz w:val="20"/>
                <w:szCs w:val="20"/>
              </w:rPr>
            </w:pPr>
            <w:r w:rsidRPr="00FB351A">
              <w:rPr>
                <w:rFonts w:ascii="Arial" w:eastAsia="Batang" w:hAnsi="Arial" w:cs="Arial"/>
                <w:sz w:val="20"/>
                <w:szCs w:val="20"/>
              </w:rPr>
              <w:t>9</w:t>
            </w:r>
            <w:r w:rsidR="006D6480" w:rsidRPr="00FB351A">
              <w:rPr>
                <w:rFonts w:ascii="Arial" w:eastAsia="Batang" w:hAnsi="Arial" w:cs="Arial"/>
                <w:sz w:val="20"/>
                <w:szCs w:val="20"/>
              </w:rPr>
              <w:t>0</w:t>
            </w:r>
            <w:r w:rsidRPr="00FB351A">
              <w:rPr>
                <w:rFonts w:ascii="Arial" w:eastAsia="Batang" w:hAnsi="Arial" w:cs="Arial"/>
                <w:sz w:val="20"/>
                <w:szCs w:val="20"/>
              </w:rPr>
              <w:t xml:space="preserve"> días</w:t>
            </w:r>
          </w:p>
        </w:tc>
      </w:tr>
      <w:tr w:rsidR="00D63D8D" w:rsidRPr="00FB351A" w14:paraId="4372E0A3" w14:textId="77777777" w:rsidTr="008C0B1C">
        <w:trPr>
          <w:jc w:val="center"/>
        </w:trPr>
        <w:tc>
          <w:tcPr>
            <w:tcW w:w="1523" w:type="pct"/>
            <w:shd w:val="clear" w:color="auto" w:fill="C1E4F5"/>
          </w:tcPr>
          <w:p w14:paraId="37B089B9" w14:textId="77777777" w:rsidR="00D63D8D" w:rsidRPr="00FB351A" w:rsidRDefault="00D63D8D" w:rsidP="008C0B1C">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6F2A417D" w14:textId="77777777" w:rsidR="00D63D8D" w:rsidRPr="00FB351A" w:rsidRDefault="006D6480" w:rsidP="008C0B1C">
            <w:pPr>
              <w:jc w:val="both"/>
              <w:rPr>
                <w:rFonts w:ascii="Arial" w:eastAsia="Batang" w:hAnsi="Arial" w:cs="Arial"/>
                <w:sz w:val="20"/>
                <w:szCs w:val="20"/>
              </w:rPr>
            </w:pPr>
            <w:r w:rsidRPr="00FB351A">
              <w:rPr>
                <w:rFonts w:ascii="Arial" w:eastAsia="Batang" w:hAnsi="Arial" w:cs="Arial"/>
                <w:sz w:val="20"/>
                <w:szCs w:val="20"/>
              </w:rPr>
              <w:t xml:space="preserve">GRUPO UNO: </w:t>
            </w:r>
            <w:r w:rsidR="00D63D8D" w:rsidRPr="00FB351A">
              <w:rPr>
                <w:rFonts w:ascii="Arial" w:eastAsia="Batang" w:hAnsi="Arial" w:cs="Arial"/>
                <w:sz w:val="20"/>
                <w:szCs w:val="20"/>
              </w:rPr>
              <w:t xml:space="preserve">$ </w:t>
            </w:r>
            <w:r w:rsidRPr="00FB351A">
              <w:rPr>
                <w:rFonts w:ascii="Arial" w:eastAsia="Batang" w:hAnsi="Arial" w:cs="Arial"/>
                <w:sz w:val="20"/>
                <w:szCs w:val="20"/>
              </w:rPr>
              <w:t>108.887.648</w:t>
            </w:r>
          </w:p>
          <w:p w14:paraId="3A97B93D" w14:textId="77777777" w:rsidR="006D6480" w:rsidRPr="00FB351A" w:rsidRDefault="006D6480" w:rsidP="008C0B1C">
            <w:pPr>
              <w:jc w:val="both"/>
              <w:rPr>
                <w:rFonts w:ascii="Arial" w:eastAsia="Batang" w:hAnsi="Arial" w:cs="Arial"/>
                <w:sz w:val="20"/>
                <w:szCs w:val="20"/>
              </w:rPr>
            </w:pPr>
            <w:r w:rsidRPr="00FB351A">
              <w:rPr>
                <w:rFonts w:ascii="Arial" w:eastAsia="Batang" w:hAnsi="Arial" w:cs="Arial"/>
                <w:sz w:val="20"/>
                <w:szCs w:val="20"/>
              </w:rPr>
              <w:t>GRUPO DOS: $ 131.869.757</w:t>
            </w:r>
          </w:p>
          <w:p w14:paraId="7735CB9B" w14:textId="77777777" w:rsidR="006D6480" w:rsidRPr="00FB351A" w:rsidRDefault="006D6480" w:rsidP="008C0B1C">
            <w:pPr>
              <w:jc w:val="both"/>
              <w:rPr>
                <w:rFonts w:ascii="Arial" w:eastAsia="Batang" w:hAnsi="Arial" w:cs="Arial"/>
                <w:sz w:val="20"/>
                <w:szCs w:val="20"/>
              </w:rPr>
            </w:pPr>
            <w:r w:rsidRPr="00FB351A">
              <w:rPr>
                <w:rFonts w:ascii="Arial" w:eastAsia="Batang" w:hAnsi="Arial" w:cs="Arial"/>
                <w:sz w:val="20"/>
                <w:szCs w:val="20"/>
              </w:rPr>
              <w:lastRenderedPageBreak/>
              <w:t>GRUPO TRES: $ 542.409.168</w:t>
            </w:r>
          </w:p>
          <w:p w14:paraId="0AA051E8" w14:textId="584809BE" w:rsidR="006D6480" w:rsidRPr="00FB351A" w:rsidRDefault="006D6480" w:rsidP="008C0B1C">
            <w:pPr>
              <w:jc w:val="both"/>
              <w:rPr>
                <w:rFonts w:ascii="Arial" w:eastAsia="Batang" w:hAnsi="Arial" w:cs="Arial"/>
                <w:sz w:val="20"/>
                <w:szCs w:val="20"/>
              </w:rPr>
            </w:pPr>
            <w:r w:rsidRPr="00FB351A">
              <w:rPr>
                <w:rFonts w:ascii="Arial" w:eastAsia="Batang" w:hAnsi="Arial" w:cs="Arial"/>
                <w:sz w:val="20"/>
                <w:szCs w:val="20"/>
              </w:rPr>
              <w:t>GRUPO CUATRO: $ 2.068.000</w:t>
            </w:r>
          </w:p>
        </w:tc>
      </w:tr>
      <w:tr w:rsidR="00D63D8D" w:rsidRPr="00FB351A" w14:paraId="58A4083C" w14:textId="77777777" w:rsidTr="008C0B1C">
        <w:trPr>
          <w:jc w:val="center"/>
        </w:trPr>
        <w:tc>
          <w:tcPr>
            <w:tcW w:w="1523" w:type="pct"/>
            <w:shd w:val="clear" w:color="auto" w:fill="C1E4F5"/>
          </w:tcPr>
          <w:p w14:paraId="29209F43" w14:textId="77777777" w:rsidR="00D63D8D" w:rsidRPr="00FB351A" w:rsidRDefault="00D63D8D" w:rsidP="008C0B1C">
            <w:pPr>
              <w:jc w:val="both"/>
              <w:rPr>
                <w:rFonts w:ascii="Arial" w:eastAsia="Batang" w:hAnsi="Arial" w:cs="Arial"/>
                <w:sz w:val="20"/>
                <w:szCs w:val="20"/>
              </w:rPr>
            </w:pPr>
            <w:r w:rsidRPr="00FB351A">
              <w:rPr>
                <w:rFonts w:ascii="Arial" w:eastAsia="Batang" w:hAnsi="Arial" w:cs="Arial"/>
                <w:sz w:val="20"/>
                <w:szCs w:val="20"/>
              </w:rPr>
              <w:lastRenderedPageBreak/>
              <w:t>Adjudicatario</w:t>
            </w:r>
          </w:p>
        </w:tc>
        <w:tc>
          <w:tcPr>
            <w:tcW w:w="3477" w:type="pct"/>
          </w:tcPr>
          <w:p w14:paraId="3F31DF56" w14:textId="4A079150" w:rsidR="006D6480" w:rsidRPr="00FB351A" w:rsidRDefault="006D6480" w:rsidP="006D6480">
            <w:pPr>
              <w:jc w:val="both"/>
              <w:rPr>
                <w:rFonts w:ascii="Arial" w:eastAsia="Batang" w:hAnsi="Arial" w:cs="Arial"/>
                <w:sz w:val="20"/>
                <w:szCs w:val="20"/>
              </w:rPr>
            </w:pPr>
            <w:r w:rsidRPr="00FB351A">
              <w:rPr>
                <w:rFonts w:ascii="Arial" w:eastAsia="Batang" w:hAnsi="Arial" w:cs="Arial"/>
                <w:sz w:val="20"/>
                <w:szCs w:val="20"/>
              </w:rPr>
              <w:t xml:space="preserve">GRUPO UNO: </w:t>
            </w:r>
            <w:r w:rsidR="00E04550" w:rsidRPr="00FB351A">
              <w:rPr>
                <w:rFonts w:ascii="Arial" w:eastAsia="Batang" w:hAnsi="Arial" w:cs="Arial"/>
                <w:sz w:val="20"/>
                <w:szCs w:val="20"/>
              </w:rPr>
              <w:t>ASEGURADORA SOLIDARIA DE COLOMBIA ENTIDAD COOPERATIVA</w:t>
            </w:r>
          </w:p>
          <w:p w14:paraId="7751B763" w14:textId="69ACCA22" w:rsidR="006D6480" w:rsidRPr="00FB351A" w:rsidRDefault="006D6480" w:rsidP="006D6480">
            <w:pPr>
              <w:jc w:val="both"/>
              <w:rPr>
                <w:rFonts w:ascii="Arial" w:eastAsia="Batang" w:hAnsi="Arial" w:cs="Arial"/>
                <w:sz w:val="20"/>
                <w:szCs w:val="20"/>
                <w:lang w:val="pt-PT"/>
              </w:rPr>
            </w:pPr>
            <w:r w:rsidRPr="00FB351A">
              <w:rPr>
                <w:rFonts w:ascii="Arial" w:eastAsia="Batang" w:hAnsi="Arial" w:cs="Arial"/>
                <w:sz w:val="20"/>
                <w:szCs w:val="20"/>
                <w:lang w:val="pt-PT"/>
              </w:rPr>
              <w:t xml:space="preserve">GRUPO DOS: </w:t>
            </w:r>
            <w:r w:rsidR="00E04550" w:rsidRPr="00FB351A">
              <w:rPr>
                <w:rFonts w:ascii="Arial" w:eastAsia="Batang" w:hAnsi="Arial" w:cs="Arial"/>
                <w:sz w:val="20"/>
                <w:szCs w:val="20"/>
                <w:lang w:val="pt-PT"/>
              </w:rPr>
              <w:t>UT AXA-MAPFRE-SAMC-01-2026.</w:t>
            </w:r>
          </w:p>
          <w:p w14:paraId="14F5464E" w14:textId="64D6E7C1" w:rsidR="006D6480" w:rsidRPr="00FB351A" w:rsidRDefault="006D6480" w:rsidP="006D6480">
            <w:pPr>
              <w:jc w:val="both"/>
              <w:rPr>
                <w:rFonts w:ascii="Arial" w:eastAsia="Batang" w:hAnsi="Arial" w:cs="Arial"/>
                <w:sz w:val="20"/>
                <w:szCs w:val="20"/>
              </w:rPr>
            </w:pPr>
            <w:r w:rsidRPr="00FB351A">
              <w:rPr>
                <w:rFonts w:ascii="Arial" w:eastAsia="Batang" w:hAnsi="Arial" w:cs="Arial"/>
                <w:sz w:val="20"/>
                <w:szCs w:val="20"/>
              </w:rPr>
              <w:t xml:space="preserve">GRUPO TRES: </w:t>
            </w:r>
            <w:r w:rsidR="00E04550" w:rsidRPr="00FB351A">
              <w:rPr>
                <w:rFonts w:ascii="Arial" w:eastAsia="Batang" w:hAnsi="Arial" w:cs="Arial"/>
                <w:sz w:val="20"/>
                <w:szCs w:val="20"/>
              </w:rPr>
              <w:t>LA PREVISORA SA COMPAÑÍA DE SEGUROS</w:t>
            </w:r>
          </w:p>
          <w:p w14:paraId="638AA335" w14:textId="5EC8D867" w:rsidR="00D63D8D" w:rsidRPr="00FB351A" w:rsidRDefault="006D6480" w:rsidP="006D6480">
            <w:pPr>
              <w:jc w:val="both"/>
              <w:rPr>
                <w:rFonts w:ascii="Arial" w:eastAsia="Batang" w:hAnsi="Arial" w:cs="Arial"/>
                <w:sz w:val="20"/>
                <w:szCs w:val="20"/>
              </w:rPr>
            </w:pPr>
            <w:r w:rsidRPr="00FB351A">
              <w:rPr>
                <w:rFonts w:ascii="Arial" w:eastAsia="Batang" w:hAnsi="Arial" w:cs="Arial"/>
                <w:sz w:val="20"/>
                <w:szCs w:val="20"/>
              </w:rPr>
              <w:t xml:space="preserve">GRUPO CUATRO: </w:t>
            </w:r>
            <w:r w:rsidR="00E04550" w:rsidRPr="00FB351A">
              <w:rPr>
                <w:rFonts w:ascii="Arial" w:eastAsia="Batang" w:hAnsi="Arial" w:cs="Arial"/>
                <w:sz w:val="20"/>
                <w:szCs w:val="20"/>
              </w:rPr>
              <w:t>ASEGURADORA SOLIDARIA DE COLOMBIA ENTIDAD COOPERATIVA</w:t>
            </w:r>
          </w:p>
        </w:tc>
      </w:tr>
    </w:tbl>
    <w:p w14:paraId="422A778D" w14:textId="77777777" w:rsidR="00D63D8D" w:rsidRPr="00FB351A" w:rsidRDefault="00D63D8D" w:rsidP="00803115">
      <w:pPr>
        <w:jc w:val="both"/>
        <w:rPr>
          <w:rFonts w:ascii="Arial" w:eastAsia="Batang"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1869ED" w:rsidRPr="00FB351A" w14:paraId="5592026A" w14:textId="77777777" w:rsidTr="000B315C">
        <w:trPr>
          <w:jc w:val="center"/>
        </w:trPr>
        <w:tc>
          <w:tcPr>
            <w:tcW w:w="1523" w:type="pct"/>
            <w:shd w:val="clear" w:color="auto" w:fill="C1E4F5"/>
          </w:tcPr>
          <w:p w14:paraId="3C319F84" w14:textId="77777777"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56C16D7C" w14:textId="52296FE9" w:rsidR="001869ED" w:rsidRPr="00FB351A" w:rsidRDefault="00741F4A" w:rsidP="00803115">
            <w:pPr>
              <w:jc w:val="both"/>
              <w:rPr>
                <w:rFonts w:ascii="Arial" w:eastAsia="Batang" w:hAnsi="Arial" w:cs="Arial"/>
                <w:sz w:val="20"/>
                <w:szCs w:val="20"/>
              </w:rPr>
            </w:pPr>
            <w:r w:rsidRPr="00FB351A">
              <w:rPr>
                <w:rFonts w:ascii="Arial" w:eastAsia="Batang" w:hAnsi="Arial" w:cs="Arial"/>
                <w:sz w:val="20"/>
                <w:szCs w:val="20"/>
              </w:rPr>
              <w:t>SMC-014- 2025</w:t>
            </w:r>
          </w:p>
        </w:tc>
      </w:tr>
      <w:tr w:rsidR="001869ED" w:rsidRPr="00FB351A" w14:paraId="4B86DC3B" w14:textId="77777777" w:rsidTr="000B315C">
        <w:trPr>
          <w:jc w:val="center"/>
        </w:trPr>
        <w:tc>
          <w:tcPr>
            <w:tcW w:w="1523" w:type="pct"/>
            <w:shd w:val="clear" w:color="auto" w:fill="C1E4F5"/>
          </w:tcPr>
          <w:p w14:paraId="5D738A93" w14:textId="77777777"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34982316" w14:textId="1F173C61" w:rsidR="001869ED" w:rsidRPr="00FB351A" w:rsidRDefault="00741F4A" w:rsidP="00803115">
            <w:pPr>
              <w:jc w:val="both"/>
              <w:rPr>
                <w:rFonts w:ascii="Arial" w:eastAsia="Batang" w:hAnsi="Arial" w:cs="Arial"/>
                <w:sz w:val="20"/>
                <w:szCs w:val="20"/>
              </w:rPr>
            </w:pPr>
            <w:r w:rsidRPr="00FB351A">
              <w:rPr>
                <w:rFonts w:ascii="Arial" w:eastAsia="Batang" w:hAnsi="Arial" w:cs="Arial"/>
                <w:sz w:val="20"/>
                <w:szCs w:val="20"/>
              </w:rPr>
              <w:t>Mínima Cuantía</w:t>
            </w:r>
          </w:p>
        </w:tc>
      </w:tr>
      <w:tr w:rsidR="001869ED" w:rsidRPr="00FB351A" w14:paraId="11827224" w14:textId="77777777" w:rsidTr="000B315C">
        <w:trPr>
          <w:jc w:val="center"/>
        </w:trPr>
        <w:tc>
          <w:tcPr>
            <w:tcW w:w="1523" w:type="pct"/>
            <w:shd w:val="clear" w:color="auto" w:fill="C1E4F5"/>
          </w:tcPr>
          <w:p w14:paraId="0FBBAA17" w14:textId="77777777"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2D78E1FD" w14:textId="77777777"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Contratar parte del programa de seguros de la Agencia De Desarrollo Rural – 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p>
        </w:tc>
      </w:tr>
      <w:tr w:rsidR="001869ED" w:rsidRPr="00FB351A" w14:paraId="3D6EA7D0" w14:textId="77777777" w:rsidTr="000B315C">
        <w:trPr>
          <w:jc w:val="center"/>
        </w:trPr>
        <w:tc>
          <w:tcPr>
            <w:tcW w:w="1523" w:type="pct"/>
            <w:shd w:val="clear" w:color="auto" w:fill="C1E4F5"/>
          </w:tcPr>
          <w:p w14:paraId="546190A4" w14:textId="77777777"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3DF6BAF2" w14:textId="597409C3"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94 días</w:t>
            </w:r>
          </w:p>
        </w:tc>
      </w:tr>
      <w:tr w:rsidR="001869ED" w:rsidRPr="00FB351A" w14:paraId="0D1F3CE1" w14:textId="77777777" w:rsidTr="000B315C">
        <w:trPr>
          <w:jc w:val="center"/>
        </w:trPr>
        <w:tc>
          <w:tcPr>
            <w:tcW w:w="1523" w:type="pct"/>
            <w:shd w:val="clear" w:color="auto" w:fill="C1E4F5"/>
          </w:tcPr>
          <w:p w14:paraId="59289E7E" w14:textId="77777777"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06553001" w14:textId="7F9F998C" w:rsidR="001869ED" w:rsidRPr="00FB351A" w:rsidRDefault="00741F4A" w:rsidP="00803115">
            <w:pPr>
              <w:jc w:val="both"/>
              <w:rPr>
                <w:rFonts w:ascii="Arial" w:eastAsia="Batang" w:hAnsi="Arial" w:cs="Arial"/>
                <w:sz w:val="20"/>
                <w:szCs w:val="20"/>
              </w:rPr>
            </w:pPr>
            <w:r w:rsidRPr="00FB351A">
              <w:rPr>
                <w:rFonts w:ascii="Arial" w:eastAsia="Batang" w:hAnsi="Arial" w:cs="Arial"/>
                <w:sz w:val="20"/>
                <w:szCs w:val="20"/>
              </w:rPr>
              <w:t>$ 84.802.988</w:t>
            </w:r>
          </w:p>
        </w:tc>
      </w:tr>
      <w:tr w:rsidR="001869ED" w:rsidRPr="00FB351A" w14:paraId="3F1C71B9" w14:textId="77777777" w:rsidTr="000B315C">
        <w:trPr>
          <w:jc w:val="center"/>
        </w:trPr>
        <w:tc>
          <w:tcPr>
            <w:tcW w:w="1523" w:type="pct"/>
            <w:shd w:val="clear" w:color="auto" w:fill="C1E4F5"/>
          </w:tcPr>
          <w:p w14:paraId="026F4528" w14:textId="77777777" w:rsidR="001869ED" w:rsidRPr="00FB351A" w:rsidRDefault="001869ED" w:rsidP="00803115">
            <w:pPr>
              <w:jc w:val="both"/>
              <w:rPr>
                <w:rFonts w:ascii="Arial" w:eastAsia="Batang" w:hAnsi="Arial" w:cs="Arial"/>
                <w:sz w:val="20"/>
                <w:szCs w:val="20"/>
              </w:rPr>
            </w:pPr>
            <w:r w:rsidRPr="00FB351A">
              <w:rPr>
                <w:rFonts w:ascii="Arial" w:eastAsia="Batang" w:hAnsi="Arial" w:cs="Arial"/>
                <w:sz w:val="20"/>
                <w:szCs w:val="20"/>
              </w:rPr>
              <w:t>Adjudicatario</w:t>
            </w:r>
          </w:p>
        </w:tc>
        <w:tc>
          <w:tcPr>
            <w:tcW w:w="3477" w:type="pct"/>
          </w:tcPr>
          <w:p w14:paraId="01BCB29A" w14:textId="5F156CAF" w:rsidR="001869ED" w:rsidRPr="00FB351A" w:rsidRDefault="00741F4A" w:rsidP="00803115">
            <w:pPr>
              <w:jc w:val="both"/>
              <w:rPr>
                <w:rFonts w:ascii="Arial" w:eastAsia="Batang" w:hAnsi="Arial" w:cs="Arial"/>
                <w:sz w:val="20"/>
                <w:szCs w:val="20"/>
              </w:rPr>
            </w:pPr>
            <w:r w:rsidRPr="00FB351A">
              <w:rPr>
                <w:rFonts w:ascii="Arial" w:eastAsia="Batang" w:hAnsi="Arial" w:cs="Arial"/>
                <w:sz w:val="20"/>
                <w:szCs w:val="20"/>
              </w:rPr>
              <w:t>ASEGURADORA SOLIDARIA DE COLOMBIA ENTIDAD COOPERATIVA</w:t>
            </w:r>
          </w:p>
        </w:tc>
      </w:tr>
    </w:tbl>
    <w:p w14:paraId="32C1499B" w14:textId="77777777" w:rsidR="001869ED" w:rsidRPr="00FB351A" w:rsidRDefault="001869ED" w:rsidP="00803115">
      <w:pPr>
        <w:jc w:val="both"/>
        <w:rPr>
          <w:rFonts w:ascii="Arial" w:eastAsia="Batang"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141AC8" w:rsidRPr="00FB351A" w14:paraId="4C268DA2" w14:textId="77777777" w:rsidTr="000B315C">
        <w:trPr>
          <w:jc w:val="center"/>
        </w:trPr>
        <w:tc>
          <w:tcPr>
            <w:tcW w:w="1523" w:type="pct"/>
            <w:shd w:val="clear" w:color="auto" w:fill="C1E4F5"/>
          </w:tcPr>
          <w:p w14:paraId="0545C874" w14:textId="77777777"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6127BA65" w14:textId="37956040" w:rsidR="00141AC8" w:rsidRPr="00FB351A" w:rsidRDefault="00AD58FF" w:rsidP="00803115">
            <w:pPr>
              <w:jc w:val="both"/>
              <w:rPr>
                <w:rFonts w:ascii="Arial" w:eastAsia="Batang" w:hAnsi="Arial" w:cs="Arial"/>
                <w:sz w:val="20"/>
                <w:szCs w:val="20"/>
              </w:rPr>
            </w:pPr>
            <w:r w:rsidRPr="00FB351A">
              <w:rPr>
                <w:rFonts w:ascii="Arial" w:eastAsia="Batang" w:hAnsi="Arial" w:cs="Arial"/>
                <w:sz w:val="20"/>
                <w:szCs w:val="20"/>
              </w:rPr>
              <w:t>SAMC-02-2025</w:t>
            </w:r>
          </w:p>
        </w:tc>
      </w:tr>
      <w:tr w:rsidR="00141AC8" w:rsidRPr="00FB351A" w14:paraId="24CC81E6" w14:textId="77777777" w:rsidTr="000B315C">
        <w:trPr>
          <w:jc w:val="center"/>
        </w:trPr>
        <w:tc>
          <w:tcPr>
            <w:tcW w:w="1523" w:type="pct"/>
            <w:shd w:val="clear" w:color="auto" w:fill="C1E4F5"/>
          </w:tcPr>
          <w:p w14:paraId="7E144AA0" w14:textId="77777777"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6B7FE6F7" w14:textId="64B45B90" w:rsidR="00141AC8" w:rsidRPr="00FB351A" w:rsidRDefault="00AD58FF" w:rsidP="00803115">
            <w:pPr>
              <w:jc w:val="both"/>
              <w:rPr>
                <w:rFonts w:ascii="Arial" w:eastAsia="Batang" w:hAnsi="Arial" w:cs="Arial"/>
                <w:sz w:val="20"/>
                <w:szCs w:val="20"/>
              </w:rPr>
            </w:pPr>
            <w:r w:rsidRPr="00FB351A">
              <w:rPr>
                <w:rFonts w:ascii="Arial" w:eastAsia="Batang" w:hAnsi="Arial" w:cs="Arial"/>
                <w:sz w:val="20"/>
                <w:szCs w:val="20"/>
              </w:rPr>
              <w:t>Selección Abreviada de menor Cuantía</w:t>
            </w:r>
          </w:p>
        </w:tc>
      </w:tr>
      <w:tr w:rsidR="00141AC8" w:rsidRPr="00FB351A" w14:paraId="08A72BC5" w14:textId="77777777" w:rsidTr="000B315C">
        <w:trPr>
          <w:jc w:val="center"/>
        </w:trPr>
        <w:tc>
          <w:tcPr>
            <w:tcW w:w="1523" w:type="pct"/>
            <w:shd w:val="clear" w:color="auto" w:fill="C1E4F5"/>
          </w:tcPr>
          <w:p w14:paraId="54A02B3F" w14:textId="77777777"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1FA7EFCC" w14:textId="59E5E9ED" w:rsidR="00141AC8" w:rsidRPr="00FB351A" w:rsidRDefault="00AD58FF" w:rsidP="00803115">
            <w:pPr>
              <w:jc w:val="both"/>
              <w:rPr>
                <w:rFonts w:ascii="Arial" w:eastAsia="Batang" w:hAnsi="Arial" w:cs="Arial"/>
                <w:sz w:val="20"/>
                <w:szCs w:val="20"/>
              </w:rPr>
            </w:pPr>
            <w:r w:rsidRPr="00FB351A">
              <w:rPr>
                <w:rFonts w:ascii="Arial" w:eastAsia="Batang" w:hAnsi="Arial" w:cs="Arial"/>
                <w:sz w:val="20"/>
                <w:szCs w:val="20"/>
              </w:rPr>
              <w:t>Contratar parte del programa de seguros de la Agencia De Desarrollo Rural – 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p>
        </w:tc>
      </w:tr>
      <w:tr w:rsidR="00141AC8" w:rsidRPr="00FB351A" w14:paraId="7A3B199E" w14:textId="77777777" w:rsidTr="000B315C">
        <w:trPr>
          <w:jc w:val="center"/>
        </w:trPr>
        <w:tc>
          <w:tcPr>
            <w:tcW w:w="1523" w:type="pct"/>
            <w:shd w:val="clear" w:color="auto" w:fill="C1E4F5"/>
          </w:tcPr>
          <w:p w14:paraId="1046E30F" w14:textId="77777777"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035DBE01" w14:textId="0B9531A9" w:rsidR="009D2CEB" w:rsidRPr="00FB351A" w:rsidRDefault="009D2CEB" w:rsidP="00803115">
            <w:pPr>
              <w:jc w:val="both"/>
              <w:rPr>
                <w:rFonts w:ascii="Arial" w:eastAsia="Batang" w:hAnsi="Arial" w:cs="Arial"/>
                <w:sz w:val="20"/>
                <w:szCs w:val="20"/>
              </w:rPr>
            </w:pPr>
            <w:r w:rsidRPr="00FB351A">
              <w:rPr>
                <w:rFonts w:ascii="Arial" w:eastAsia="Batang" w:hAnsi="Arial" w:cs="Arial"/>
                <w:sz w:val="20"/>
                <w:szCs w:val="20"/>
              </w:rPr>
              <w:t>Lote Dos: 365 días</w:t>
            </w:r>
          </w:p>
          <w:p w14:paraId="24981A71" w14:textId="69B5ED4E"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 xml:space="preserve">Lote </w:t>
            </w:r>
            <w:r w:rsidR="00AD58FF" w:rsidRPr="00FB351A">
              <w:rPr>
                <w:rFonts w:ascii="Arial" w:eastAsia="Batang" w:hAnsi="Arial" w:cs="Arial"/>
                <w:sz w:val="20"/>
                <w:szCs w:val="20"/>
              </w:rPr>
              <w:t>Tres</w:t>
            </w:r>
            <w:r w:rsidRPr="00FB351A">
              <w:rPr>
                <w:rFonts w:ascii="Arial" w:eastAsia="Batang" w:hAnsi="Arial" w:cs="Arial"/>
                <w:sz w:val="20"/>
                <w:szCs w:val="20"/>
              </w:rPr>
              <w:t xml:space="preserve">: </w:t>
            </w:r>
            <w:r w:rsidR="00577CAA" w:rsidRPr="00FB351A">
              <w:rPr>
                <w:rFonts w:ascii="Arial" w:eastAsia="Batang" w:hAnsi="Arial" w:cs="Arial"/>
                <w:sz w:val="20"/>
                <w:szCs w:val="20"/>
              </w:rPr>
              <w:t>94</w:t>
            </w:r>
            <w:r w:rsidRPr="00FB351A">
              <w:rPr>
                <w:rFonts w:ascii="Arial" w:eastAsia="Batang" w:hAnsi="Arial" w:cs="Arial"/>
                <w:sz w:val="20"/>
                <w:szCs w:val="20"/>
              </w:rPr>
              <w:t xml:space="preserve"> días</w:t>
            </w:r>
          </w:p>
        </w:tc>
      </w:tr>
      <w:tr w:rsidR="00141AC8" w:rsidRPr="00564F9B" w14:paraId="4B786AC9" w14:textId="77777777" w:rsidTr="000B315C">
        <w:trPr>
          <w:jc w:val="center"/>
        </w:trPr>
        <w:tc>
          <w:tcPr>
            <w:tcW w:w="1523" w:type="pct"/>
            <w:shd w:val="clear" w:color="auto" w:fill="C1E4F5"/>
          </w:tcPr>
          <w:p w14:paraId="4852C7EC" w14:textId="77777777"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11361E7E" w14:textId="77777777" w:rsidR="009D2CEB" w:rsidRPr="00FB351A" w:rsidRDefault="009D2CEB" w:rsidP="00803115">
            <w:pPr>
              <w:jc w:val="both"/>
              <w:rPr>
                <w:rFonts w:ascii="Arial" w:eastAsia="Batang" w:hAnsi="Arial" w:cs="Arial"/>
                <w:sz w:val="20"/>
                <w:szCs w:val="20"/>
                <w:lang w:val="pt-PT"/>
              </w:rPr>
            </w:pPr>
            <w:r w:rsidRPr="00FB351A">
              <w:rPr>
                <w:rFonts w:ascii="Arial" w:eastAsia="Batang" w:hAnsi="Arial" w:cs="Arial"/>
                <w:sz w:val="20"/>
                <w:szCs w:val="20"/>
                <w:lang w:val="pt-PT"/>
              </w:rPr>
              <w:t>Lote Dos: SOAT: $ 7.334.900</w:t>
            </w:r>
          </w:p>
          <w:p w14:paraId="00EE27C5" w14:textId="6E781E7A" w:rsidR="00141AC8" w:rsidRPr="00FB351A" w:rsidRDefault="00141AC8" w:rsidP="00803115">
            <w:pPr>
              <w:jc w:val="both"/>
              <w:rPr>
                <w:rFonts w:ascii="Arial" w:eastAsia="Batang" w:hAnsi="Arial" w:cs="Arial"/>
                <w:sz w:val="20"/>
                <w:szCs w:val="20"/>
                <w:lang w:val="pt-PT"/>
              </w:rPr>
            </w:pPr>
            <w:r w:rsidRPr="00FB351A">
              <w:rPr>
                <w:rFonts w:ascii="Arial" w:eastAsia="Batang" w:hAnsi="Arial" w:cs="Arial"/>
                <w:sz w:val="20"/>
                <w:szCs w:val="20"/>
                <w:lang w:val="pt-PT"/>
              </w:rPr>
              <w:t xml:space="preserve">Lote </w:t>
            </w:r>
            <w:r w:rsidR="00577CAA" w:rsidRPr="00FB351A">
              <w:rPr>
                <w:rFonts w:ascii="Arial" w:eastAsia="Batang" w:hAnsi="Arial" w:cs="Arial"/>
                <w:sz w:val="20"/>
                <w:szCs w:val="20"/>
                <w:lang w:val="pt-PT"/>
              </w:rPr>
              <w:t>Tres</w:t>
            </w:r>
            <w:r w:rsidRPr="00FB351A">
              <w:rPr>
                <w:rFonts w:ascii="Arial" w:eastAsia="Batang" w:hAnsi="Arial" w:cs="Arial"/>
                <w:sz w:val="20"/>
                <w:szCs w:val="20"/>
                <w:lang w:val="pt-PT"/>
              </w:rPr>
              <w:t>:</w:t>
            </w:r>
            <w:r w:rsidR="009D2CEB" w:rsidRPr="00FB351A">
              <w:rPr>
                <w:rFonts w:ascii="Arial" w:eastAsia="Batang" w:hAnsi="Arial" w:cs="Arial"/>
                <w:sz w:val="20"/>
                <w:szCs w:val="20"/>
                <w:lang w:val="pt-PT"/>
              </w:rPr>
              <w:t xml:space="preserve"> </w:t>
            </w:r>
            <w:r w:rsidR="00577CAA" w:rsidRPr="00FB351A">
              <w:rPr>
                <w:rFonts w:ascii="Arial" w:eastAsia="Batang" w:hAnsi="Arial" w:cs="Arial"/>
                <w:sz w:val="20"/>
                <w:szCs w:val="20"/>
                <w:lang w:val="pt-PT"/>
              </w:rPr>
              <w:t>TRDM Obras civiles terminadas – Casco Barco: $ 568.611.513</w:t>
            </w:r>
            <w:r w:rsidRPr="00FB351A">
              <w:rPr>
                <w:rFonts w:ascii="Arial" w:eastAsia="Batang" w:hAnsi="Arial" w:cs="Arial"/>
                <w:sz w:val="20"/>
                <w:szCs w:val="20"/>
                <w:lang w:val="pt-PT"/>
              </w:rPr>
              <w:t xml:space="preserve"> </w:t>
            </w:r>
          </w:p>
        </w:tc>
      </w:tr>
      <w:tr w:rsidR="00141AC8" w:rsidRPr="00FB351A" w14:paraId="014CC648" w14:textId="77777777" w:rsidTr="000B315C">
        <w:trPr>
          <w:jc w:val="center"/>
        </w:trPr>
        <w:tc>
          <w:tcPr>
            <w:tcW w:w="1523" w:type="pct"/>
            <w:shd w:val="clear" w:color="auto" w:fill="C1E4F5"/>
          </w:tcPr>
          <w:p w14:paraId="65A58007" w14:textId="77777777"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Adjudicatario</w:t>
            </w:r>
          </w:p>
        </w:tc>
        <w:tc>
          <w:tcPr>
            <w:tcW w:w="3477" w:type="pct"/>
          </w:tcPr>
          <w:p w14:paraId="2BAEDAEF" w14:textId="77777777" w:rsidR="00492700" w:rsidRPr="00FB351A" w:rsidRDefault="009D2CEB" w:rsidP="00803115">
            <w:pPr>
              <w:jc w:val="both"/>
              <w:rPr>
                <w:rFonts w:ascii="Arial" w:eastAsia="Batang" w:hAnsi="Arial" w:cs="Arial"/>
                <w:sz w:val="20"/>
                <w:szCs w:val="20"/>
              </w:rPr>
            </w:pPr>
            <w:r w:rsidRPr="00FB351A">
              <w:rPr>
                <w:rFonts w:ascii="Arial" w:eastAsia="Batang" w:hAnsi="Arial" w:cs="Arial"/>
                <w:sz w:val="20"/>
                <w:szCs w:val="20"/>
              </w:rPr>
              <w:t xml:space="preserve">Lote Dos: SOAT: </w:t>
            </w:r>
            <w:r w:rsidR="00492700" w:rsidRPr="00FB351A">
              <w:rPr>
                <w:rFonts w:ascii="Arial" w:eastAsia="Batang" w:hAnsi="Arial" w:cs="Arial"/>
                <w:sz w:val="20"/>
                <w:szCs w:val="20"/>
              </w:rPr>
              <w:t>La Previsora SA Compañía de seguros</w:t>
            </w:r>
          </w:p>
          <w:p w14:paraId="192D7E23" w14:textId="43A1A7CA" w:rsidR="00141AC8" w:rsidRPr="00FB351A" w:rsidRDefault="00141AC8" w:rsidP="00803115">
            <w:pPr>
              <w:jc w:val="both"/>
              <w:rPr>
                <w:rFonts w:ascii="Arial" w:eastAsia="Batang" w:hAnsi="Arial" w:cs="Arial"/>
                <w:sz w:val="20"/>
                <w:szCs w:val="20"/>
              </w:rPr>
            </w:pPr>
            <w:r w:rsidRPr="00FB351A">
              <w:rPr>
                <w:rFonts w:ascii="Arial" w:eastAsia="Batang" w:hAnsi="Arial" w:cs="Arial"/>
                <w:sz w:val="20"/>
                <w:szCs w:val="20"/>
              </w:rPr>
              <w:t xml:space="preserve">Lote </w:t>
            </w:r>
            <w:r w:rsidR="00577CAA" w:rsidRPr="00FB351A">
              <w:rPr>
                <w:rFonts w:ascii="Arial" w:eastAsia="Batang" w:hAnsi="Arial" w:cs="Arial"/>
                <w:sz w:val="20"/>
                <w:szCs w:val="20"/>
              </w:rPr>
              <w:t>Tres</w:t>
            </w:r>
            <w:r w:rsidRPr="00FB351A">
              <w:rPr>
                <w:rFonts w:ascii="Arial" w:eastAsia="Batang" w:hAnsi="Arial" w:cs="Arial"/>
                <w:sz w:val="20"/>
                <w:szCs w:val="20"/>
              </w:rPr>
              <w:t xml:space="preserve">: </w:t>
            </w:r>
            <w:r w:rsidR="00577CAA" w:rsidRPr="00FB351A">
              <w:rPr>
                <w:rFonts w:ascii="Arial" w:eastAsia="Batang" w:hAnsi="Arial" w:cs="Arial"/>
                <w:sz w:val="20"/>
                <w:szCs w:val="20"/>
              </w:rPr>
              <w:t>La Previsora SA compañía de seguros</w:t>
            </w:r>
          </w:p>
        </w:tc>
      </w:tr>
    </w:tbl>
    <w:p w14:paraId="776ECF04" w14:textId="77777777" w:rsidR="00B7202D" w:rsidRPr="00FB351A" w:rsidRDefault="00B7202D" w:rsidP="00803115">
      <w:pPr>
        <w:jc w:val="both"/>
        <w:rPr>
          <w:rFonts w:ascii="Arial" w:eastAsia="Batang"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B7202D" w:rsidRPr="00FB351A" w14:paraId="16A2A0DD" w14:textId="77777777" w:rsidTr="00393D60">
        <w:trPr>
          <w:jc w:val="center"/>
        </w:trPr>
        <w:tc>
          <w:tcPr>
            <w:tcW w:w="1523" w:type="pct"/>
            <w:shd w:val="clear" w:color="auto" w:fill="C1E4F5"/>
          </w:tcPr>
          <w:p w14:paraId="7108B55A"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762222EC" w14:textId="77777777" w:rsidR="00B7202D" w:rsidRPr="00FB351A" w:rsidRDefault="00B7202D" w:rsidP="00803115">
            <w:pPr>
              <w:jc w:val="both"/>
              <w:rPr>
                <w:rFonts w:ascii="Arial" w:eastAsia="Batang" w:hAnsi="Arial" w:cs="Arial"/>
                <w:sz w:val="20"/>
                <w:szCs w:val="20"/>
              </w:rPr>
            </w:pPr>
            <w:proofErr w:type="spellStart"/>
            <w:r w:rsidRPr="00FB351A">
              <w:rPr>
                <w:rFonts w:ascii="Arial" w:eastAsia="Batang" w:hAnsi="Arial" w:cs="Arial"/>
                <w:sz w:val="20"/>
                <w:szCs w:val="20"/>
              </w:rPr>
              <w:t>LP022024</w:t>
            </w:r>
            <w:proofErr w:type="spellEnd"/>
          </w:p>
        </w:tc>
      </w:tr>
      <w:tr w:rsidR="00B7202D" w:rsidRPr="00FB351A" w14:paraId="38543EE0" w14:textId="77777777" w:rsidTr="003259E1">
        <w:trPr>
          <w:jc w:val="center"/>
        </w:trPr>
        <w:tc>
          <w:tcPr>
            <w:tcW w:w="1523" w:type="pct"/>
            <w:shd w:val="clear" w:color="auto" w:fill="C1E4F5"/>
          </w:tcPr>
          <w:p w14:paraId="7801EBC3"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7CBEA1DB"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Licitación Pública</w:t>
            </w:r>
          </w:p>
        </w:tc>
      </w:tr>
      <w:tr w:rsidR="00B7202D" w:rsidRPr="00FB351A" w14:paraId="0F281C51" w14:textId="77777777" w:rsidTr="00393D60">
        <w:trPr>
          <w:jc w:val="center"/>
        </w:trPr>
        <w:tc>
          <w:tcPr>
            <w:tcW w:w="1523" w:type="pct"/>
            <w:shd w:val="clear" w:color="auto" w:fill="C1E4F5"/>
          </w:tcPr>
          <w:p w14:paraId="12FCFC02"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0E5C8A08"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Contratar, con una o varias aseguradoras legalmente autorizadas por la Superintendencia Financiera de Colombia para funcionar en el país, las pólizas seguras de responsabilidad civil extracontractual asociada al Proyecto de Triángulo del Tolima y de Responsabilidad Civil Servidores Públicos, que harán parte del programa de seguros de la Agencia de Desarrollo Rural ADR, para la adecuada protección de los bienes e intereses patrimoniales de su propiedad</w:t>
            </w:r>
          </w:p>
        </w:tc>
      </w:tr>
      <w:tr w:rsidR="00B7202D" w:rsidRPr="00FB351A" w14:paraId="6BC25CDB" w14:textId="77777777" w:rsidTr="00393D60">
        <w:trPr>
          <w:jc w:val="center"/>
        </w:trPr>
        <w:tc>
          <w:tcPr>
            <w:tcW w:w="1523" w:type="pct"/>
            <w:shd w:val="clear" w:color="auto" w:fill="C1E4F5"/>
          </w:tcPr>
          <w:p w14:paraId="10D306E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0ABB82BD"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Uno: 365 días</w:t>
            </w:r>
          </w:p>
          <w:p w14:paraId="56934B73"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Dos: 365 días</w:t>
            </w:r>
          </w:p>
        </w:tc>
      </w:tr>
      <w:tr w:rsidR="00B7202D" w:rsidRPr="00FB351A" w14:paraId="55E38047" w14:textId="77777777" w:rsidTr="00393D60">
        <w:trPr>
          <w:jc w:val="center"/>
        </w:trPr>
        <w:tc>
          <w:tcPr>
            <w:tcW w:w="1523" w:type="pct"/>
            <w:shd w:val="clear" w:color="auto" w:fill="C1E4F5"/>
          </w:tcPr>
          <w:p w14:paraId="1A7134D9"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lastRenderedPageBreak/>
              <w:t xml:space="preserve">Valor: </w:t>
            </w:r>
          </w:p>
        </w:tc>
        <w:tc>
          <w:tcPr>
            <w:tcW w:w="3477" w:type="pct"/>
          </w:tcPr>
          <w:p w14:paraId="040522E8"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Uno: Responsabilidad civil servidores públicos: $204.105.825,00</w:t>
            </w:r>
          </w:p>
          <w:p w14:paraId="5418C8FD"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Lote Dos: Responsabilidad civil extracontractual asociada al Proyecto Triángulo del Tolima: $249.900.000,00 </w:t>
            </w:r>
          </w:p>
        </w:tc>
      </w:tr>
      <w:tr w:rsidR="00B7202D" w:rsidRPr="00FB351A" w14:paraId="06BA2DE9" w14:textId="77777777" w:rsidTr="00393D60">
        <w:trPr>
          <w:jc w:val="center"/>
        </w:trPr>
        <w:tc>
          <w:tcPr>
            <w:tcW w:w="1523" w:type="pct"/>
            <w:shd w:val="clear" w:color="auto" w:fill="C1E4F5"/>
          </w:tcPr>
          <w:p w14:paraId="13BD12FD"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Adjudicatario</w:t>
            </w:r>
          </w:p>
        </w:tc>
        <w:tc>
          <w:tcPr>
            <w:tcW w:w="3477" w:type="pct"/>
          </w:tcPr>
          <w:p w14:paraId="578E3CAA"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Lote Uno y Dos: UT AXA COLPATRIA SEGUROS S.A-MAPFRE SEGUROS GENERALES DE COLOMBIA S.A.- </w:t>
            </w:r>
            <w:proofErr w:type="spellStart"/>
            <w:r w:rsidRPr="00FB351A">
              <w:rPr>
                <w:rFonts w:ascii="Arial" w:eastAsia="Batang" w:hAnsi="Arial" w:cs="Arial"/>
                <w:sz w:val="20"/>
                <w:szCs w:val="20"/>
              </w:rPr>
              <w:t>ADR2024</w:t>
            </w:r>
            <w:proofErr w:type="spellEnd"/>
            <w:r w:rsidRPr="00FB351A">
              <w:rPr>
                <w:rFonts w:ascii="Arial" w:eastAsia="Batang" w:hAnsi="Arial" w:cs="Arial"/>
                <w:sz w:val="20"/>
                <w:szCs w:val="20"/>
              </w:rPr>
              <w:t xml:space="preserve"> (AXA COLPATRIA SEGUROS S.A, y MAPFRE SEGUROS GENERALES DE COLOMBIA S.A.)</w:t>
            </w:r>
          </w:p>
        </w:tc>
      </w:tr>
    </w:tbl>
    <w:p w14:paraId="5DFB521E" w14:textId="77777777" w:rsidR="00B7202D" w:rsidRPr="00FB351A" w:rsidRDefault="00B7202D" w:rsidP="00803115">
      <w:pPr>
        <w:jc w:val="both"/>
        <w:rPr>
          <w:rFonts w:ascii="Arial" w:eastAsia="Batang"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B7202D" w:rsidRPr="00FB351A" w14:paraId="1E297CC8" w14:textId="77777777" w:rsidTr="00393D60">
        <w:tc>
          <w:tcPr>
            <w:tcW w:w="1523" w:type="pct"/>
            <w:shd w:val="clear" w:color="auto" w:fill="C1E4F5"/>
          </w:tcPr>
          <w:p w14:paraId="0D8A3852"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0A9F5917" w14:textId="77777777" w:rsidR="00B7202D" w:rsidRPr="00FB351A" w:rsidRDefault="00B7202D" w:rsidP="00803115">
            <w:pPr>
              <w:jc w:val="both"/>
              <w:rPr>
                <w:rFonts w:ascii="Arial" w:eastAsia="Batang" w:hAnsi="Arial" w:cs="Arial"/>
                <w:sz w:val="20"/>
                <w:szCs w:val="20"/>
              </w:rPr>
            </w:pPr>
            <w:proofErr w:type="spellStart"/>
            <w:r w:rsidRPr="00FB351A">
              <w:rPr>
                <w:rFonts w:ascii="Arial" w:eastAsia="Batang" w:hAnsi="Arial" w:cs="Arial"/>
                <w:sz w:val="20"/>
                <w:szCs w:val="20"/>
              </w:rPr>
              <w:t>LP072023</w:t>
            </w:r>
            <w:proofErr w:type="spellEnd"/>
            <w:r w:rsidRPr="00FB351A">
              <w:rPr>
                <w:rFonts w:ascii="Arial" w:eastAsia="Batang" w:hAnsi="Arial" w:cs="Arial"/>
                <w:sz w:val="20"/>
                <w:szCs w:val="20"/>
              </w:rPr>
              <w:t xml:space="preserve"> (Presentación de oferta)</w:t>
            </w:r>
          </w:p>
        </w:tc>
      </w:tr>
      <w:tr w:rsidR="00B7202D" w:rsidRPr="00FB351A" w14:paraId="64422F08" w14:textId="77777777" w:rsidTr="003259E1">
        <w:tc>
          <w:tcPr>
            <w:tcW w:w="1523" w:type="pct"/>
            <w:shd w:val="clear" w:color="auto" w:fill="C1E4F5"/>
          </w:tcPr>
          <w:p w14:paraId="38A4CBB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2527004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Licitación Pública</w:t>
            </w:r>
          </w:p>
        </w:tc>
      </w:tr>
      <w:tr w:rsidR="00B7202D" w:rsidRPr="00FB351A" w14:paraId="5E719B10" w14:textId="77777777" w:rsidTr="00393D60">
        <w:tc>
          <w:tcPr>
            <w:tcW w:w="1523" w:type="pct"/>
            <w:shd w:val="clear" w:color="auto" w:fill="C1E4F5"/>
          </w:tcPr>
          <w:p w14:paraId="5A13292F"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2C1FE3C4"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Contratar el programa de seguros de la AGENCIA DE DESARROLLO RURAL "ADR",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r w:rsidRPr="00FB351A">
              <w:rPr>
                <w:rFonts w:ascii="Arial" w:eastAsia="Batang" w:hAnsi="Arial" w:cs="Arial"/>
                <w:sz w:val="20"/>
                <w:szCs w:val="20"/>
              </w:rPr>
              <w:tab/>
            </w:r>
            <w:r w:rsidRPr="00FB351A">
              <w:rPr>
                <w:rFonts w:ascii="Arial" w:eastAsia="Batang" w:hAnsi="Arial" w:cs="Arial"/>
                <w:sz w:val="20"/>
                <w:szCs w:val="20"/>
              </w:rPr>
              <w:tab/>
            </w:r>
          </w:p>
        </w:tc>
      </w:tr>
      <w:tr w:rsidR="00B7202D" w:rsidRPr="00FB351A" w14:paraId="5EFB0989" w14:textId="77777777" w:rsidTr="00393D60">
        <w:tc>
          <w:tcPr>
            <w:tcW w:w="1523" w:type="pct"/>
            <w:shd w:val="clear" w:color="auto" w:fill="C1E4F5"/>
          </w:tcPr>
          <w:p w14:paraId="47568BE1"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5E41132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Uno: 529 días</w:t>
            </w:r>
          </w:p>
          <w:p w14:paraId="01878B0B"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Dos: 366 días</w:t>
            </w:r>
          </w:p>
          <w:p w14:paraId="47EDE55C"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Tres: 670 Días</w:t>
            </w:r>
          </w:p>
          <w:p w14:paraId="0C84D564"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cuatro: 366 días</w:t>
            </w:r>
          </w:p>
        </w:tc>
      </w:tr>
      <w:tr w:rsidR="00B7202D" w:rsidRPr="00FB351A" w14:paraId="30283D75" w14:textId="77777777" w:rsidTr="00393D60">
        <w:tc>
          <w:tcPr>
            <w:tcW w:w="1523" w:type="pct"/>
            <w:shd w:val="clear" w:color="auto" w:fill="C1E4F5"/>
          </w:tcPr>
          <w:p w14:paraId="5FA9AD0D"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0B60B53A"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1 - Todo Riesgo Daños Materiales – Manejo Global, Responsabilidad Civil Extracontractual, Transporte de Mercancías, Transporte de Valores – 351476.133 COP</w:t>
            </w:r>
          </w:p>
          <w:p w14:paraId="18151BF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2 - Responsabilidad Civil Servidores Públicos – 206.732.342 COP</w:t>
            </w:r>
          </w:p>
          <w:p w14:paraId="7CDE4E1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Lote 3 – Infidelidad y Riesgos Financieros: - 157.275.616 COP </w:t>
            </w:r>
          </w:p>
          <w:p w14:paraId="776671CA"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4 – Todo Riesgo Obras Civiles Casco Barco, Responsabilidad extracontractual asociada al proyecto: 3.385.960.051</w:t>
            </w:r>
          </w:p>
        </w:tc>
      </w:tr>
      <w:tr w:rsidR="00B7202D" w:rsidRPr="00FB351A" w14:paraId="349BFA23" w14:textId="77777777" w:rsidTr="00393D60">
        <w:tc>
          <w:tcPr>
            <w:tcW w:w="1523" w:type="pct"/>
            <w:shd w:val="clear" w:color="auto" w:fill="C1E4F5"/>
          </w:tcPr>
          <w:p w14:paraId="12CA7AB6"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Adjudicatario</w:t>
            </w:r>
          </w:p>
        </w:tc>
        <w:tc>
          <w:tcPr>
            <w:tcW w:w="3477" w:type="pct"/>
          </w:tcPr>
          <w:p w14:paraId="7CD25D59"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Uno: ASEGURADORA SOLIDARIA DE COLOMBIA EC</w:t>
            </w:r>
          </w:p>
          <w:p w14:paraId="2D54193E"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Dos: UNIÓN TEMPORAL AXA COLPATRIA SEGUROS S.A. – LA PREVISORA S.A. COMPAÑÍA DE SEGUROS–MAPFRE SEGUROS GENERALES DE COLOMBIA S.A.–</w:t>
            </w:r>
            <w:proofErr w:type="spellStart"/>
            <w:r w:rsidRPr="00FB351A">
              <w:rPr>
                <w:rFonts w:ascii="Arial" w:eastAsia="Batang" w:hAnsi="Arial" w:cs="Arial"/>
                <w:sz w:val="20"/>
                <w:szCs w:val="20"/>
              </w:rPr>
              <w:t>ADR2023</w:t>
            </w:r>
            <w:proofErr w:type="spellEnd"/>
          </w:p>
          <w:p w14:paraId="0E592762"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Tres: UNIÓN TEMPORAL AXA COLPATRIA SEGUROS S.A. – LA PREVISORA S.A. COMPAÑÍA DE SEGUROS–MAPFRE SEGUROS GENERALES DE COLOMBIA S.A.–</w:t>
            </w:r>
            <w:proofErr w:type="spellStart"/>
            <w:r w:rsidRPr="00FB351A">
              <w:rPr>
                <w:rFonts w:ascii="Arial" w:eastAsia="Batang" w:hAnsi="Arial" w:cs="Arial"/>
                <w:sz w:val="20"/>
                <w:szCs w:val="20"/>
              </w:rPr>
              <w:t>ADR2023</w:t>
            </w:r>
            <w:proofErr w:type="spellEnd"/>
          </w:p>
          <w:p w14:paraId="0D48958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cuatro: La Previsora SA Compañía de seguros</w:t>
            </w:r>
          </w:p>
        </w:tc>
      </w:tr>
    </w:tbl>
    <w:p w14:paraId="1896A611" w14:textId="77777777" w:rsidR="00B7202D" w:rsidRPr="00FB351A" w:rsidRDefault="00B7202D" w:rsidP="00803115">
      <w:pPr>
        <w:jc w:val="both"/>
        <w:rPr>
          <w:rFonts w:ascii="Arial" w:eastAsia="Batang"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B7202D" w:rsidRPr="00FB351A" w14:paraId="44C3777D" w14:textId="77777777" w:rsidTr="00393D60">
        <w:tc>
          <w:tcPr>
            <w:tcW w:w="1523" w:type="pct"/>
            <w:shd w:val="clear" w:color="auto" w:fill="C1E4F5"/>
          </w:tcPr>
          <w:p w14:paraId="666DA28E"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17020D43" w14:textId="77777777" w:rsidR="00B7202D" w:rsidRPr="00FB351A" w:rsidRDefault="00B7202D" w:rsidP="00803115">
            <w:pPr>
              <w:jc w:val="both"/>
              <w:rPr>
                <w:rFonts w:ascii="Arial" w:eastAsia="Batang" w:hAnsi="Arial" w:cs="Arial"/>
                <w:sz w:val="20"/>
                <w:szCs w:val="20"/>
              </w:rPr>
            </w:pPr>
            <w:proofErr w:type="spellStart"/>
            <w:r w:rsidRPr="00FB351A">
              <w:rPr>
                <w:rFonts w:ascii="Arial" w:eastAsia="Batang" w:hAnsi="Arial" w:cs="Arial"/>
                <w:sz w:val="20"/>
                <w:szCs w:val="20"/>
              </w:rPr>
              <w:t>LP112022</w:t>
            </w:r>
            <w:proofErr w:type="spellEnd"/>
          </w:p>
        </w:tc>
      </w:tr>
      <w:tr w:rsidR="00B7202D" w:rsidRPr="00FB351A" w14:paraId="3AC3A782" w14:textId="77777777" w:rsidTr="003259E1">
        <w:tc>
          <w:tcPr>
            <w:tcW w:w="1523" w:type="pct"/>
            <w:shd w:val="clear" w:color="auto" w:fill="C1E4F5"/>
          </w:tcPr>
          <w:p w14:paraId="19CBE07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3D6DDCFD"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Licitación Pública</w:t>
            </w:r>
          </w:p>
        </w:tc>
      </w:tr>
      <w:tr w:rsidR="00B7202D" w:rsidRPr="00FB351A" w14:paraId="4DC3341F" w14:textId="77777777" w:rsidTr="00393D60">
        <w:tc>
          <w:tcPr>
            <w:tcW w:w="1523" w:type="pct"/>
            <w:shd w:val="clear" w:color="auto" w:fill="C1E4F5"/>
          </w:tcPr>
          <w:p w14:paraId="7EFDF8A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7038CAA6" w14:textId="6270D79D"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Contratar, con una o varias aseguradoras legalmente autorizadas por la superintendencia financiera de Colombia para funcionar en el país, las pólizas de seguros de Obras Civiles Terminadas, Responsabilidad Civil Extracontractual Asociada Al Proyecto, Casco Barco Y SOAT, que harán parte del programa de seguros de la AGENCIA DE DESARROLLO RURAL "ADR", para la adecuada protección de los bienes e intereses patrimoniales de su propiedad</w:t>
            </w:r>
            <w:r w:rsidRPr="00FB351A">
              <w:rPr>
                <w:rFonts w:ascii="Arial" w:eastAsia="Batang" w:hAnsi="Arial" w:cs="Arial"/>
                <w:sz w:val="20"/>
                <w:szCs w:val="20"/>
              </w:rPr>
              <w:tab/>
            </w:r>
            <w:r w:rsidRPr="00FB351A">
              <w:rPr>
                <w:rFonts w:ascii="Arial" w:eastAsia="Batang" w:hAnsi="Arial" w:cs="Arial"/>
                <w:sz w:val="20"/>
                <w:szCs w:val="20"/>
              </w:rPr>
              <w:tab/>
            </w:r>
          </w:p>
        </w:tc>
      </w:tr>
      <w:tr w:rsidR="00B7202D" w:rsidRPr="00FB351A" w14:paraId="45235B19" w14:textId="77777777" w:rsidTr="00393D60">
        <w:tc>
          <w:tcPr>
            <w:tcW w:w="1523" w:type="pct"/>
            <w:shd w:val="clear" w:color="auto" w:fill="C1E4F5"/>
          </w:tcPr>
          <w:p w14:paraId="54B35FCE"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006F33D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236 días</w:t>
            </w:r>
          </w:p>
        </w:tc>
      </w:tr>
      <w:tr w:rsidR="00B7202D" w:rsidRPr="00F624B7" w14:paraId="07820024" w14:textId="77777777" w:rsidTr="00393D60">
        <w:tc>
          <w:tcPr>
            <w:tcW w:w="1523" w:type="pct"/>
            <w:shd w:val="clear" w:color="auto" w:fill="C1E4F5"/>
          </w:tcPr>
          <w:p w14:paraId="786AB22F"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3042B427"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TOTAL: $ 1.381.375.786 COP.</w:t>
            </w:r>
          </w:p>
          <w:p w14:paraId="0A061869"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lastRenderedPageBreak/>
              <w:t>Lote 1 - Todo Riesgo Daños Materiales - Obras Civiles Terminadas: $1.116.070.550 COP</w:t>
            </w:r>
          </w:p>
          <w:p w14:paraId="26E31843"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2 - Responsabilidad Civil Extracontractual Asociada al Proyecto: $260.834.959 COP</w:t>
            </w:r>
          </w:p>
          <w:p w14:paraId="71268AF1" w14:textId="77777777" w:rsidR="00B7202D" w:rsidRPr="00F624B7" w:rsidRDefault="00B7202D" w:rsidP="00803115">
            <w:pPr>
              <w:jc w:val="both"/>
              <w:rPr>
                <w:rFonts w:ascii="Arial" w:eastAsia="Batang" w:hAnsi="Arial" w:cs="Arial"/>
                <w:sz w:val="20"/>
                <w:szCs w:val="20"/>
                <w:lang w:val="en-US"/>
              </w:rPr>
            </w:pPr>
            <w:r w:rsidRPr="00F624B7">
              <w:rPr>
                <w:rFonts w:ascii="Arial" w:eastAsia="Batang" w:hAnsi="Arial" w:cs="Arial"/>
                <w:sz w:val="20"/>
                <w:szCs w:val="20"/>
                <w:lang w:val="en-US"/>
              </w:rPr>
              <w:t>Lote 3 - Casco Barco: $2.630.377 COP</w:t>
            </w:r>
          </w:p>
          <w:p w14:paraId="6EAD4020" w14:textId="77777777" w:rsidR="00B7202D" w:rsidRPr="00FB351A" w:rsidRDefault="00B7202D" w:rsidP="00803115">
            <w:pPr>
              <w:jc w:val="both"/>
              <w:rPr>
                <w:rFonts w:ascii="Arial" w:eastAsia="Batang" w:hAnsi="Arial" w:cs="Arial"/>
                <w:sz w:val="20"/>
                <w:szCs w:val="20"/>
                <w:lang w:val="it-IT"/>
              </w:rPr>
            </w:pPr>
            <w:r w:rsidRPr="00FB351A">
              <w:rPr>
                <w:rFonts w:ascii="Arial" w:eastAsia="Batang" w:hAnsi="Arial" w:cs="Arial"/>
                <w:sz w:val="20"/>
                <w:szCs w:val="20"/>
                <w:lang w:val="it-IT"/>
              </w:rPr>
              <w:t>Lote 4 - SOAT: $1.839.900 COP</w:t>
            </w:r>
          </w:p>
        </w:tc>
      </w:tr>
      <w:tr w:rsidR="00B7202D" w:rsidRPr="00FB351A" w14:paraId="3076A100" w14:textId="77777777" w:rsidTr="00393D60">
        <w:tc>
          <w:tcPr>
            <w:tcW w:w="1523" w:type="pct"/>
            <w:shd w:val="clear" w:color="auto" w:fill="C1E4F5"/>
          </w:tcPr>
          <w:p w14:paraId="214C29F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lastRenderedPageBreak/>
              <w:t>Adjudicatario</w:t>
            </w:r>
          </w:p>
        </w:tc>
        <w:tc>
          <w:tcPr>
            <w:tcW w:w="3477" w:type="pct"/>
          </w:tcPr>
          <w:p w14:paraId="01F1B342"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La Previsora SA Compañía de Seguros</w:t>
            </w:r>
          </w:p>
        </w:tc>
      </w:tr>
    </w:tbl>
    <w:p w14:paraId="520B556B" w14:textId="77777777" w:rsidR="00B7202D" w:rsidRPr="00FB351A" w:rsidRDefault="00B7202D" w:rsidP="00803115">
      <w:pPr>
        <w:jc w:val="both"/>
        <w:rPr>
          <w:rFonts w:ascii="Arial" w:eastAsia="Batang"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B7202D" w:rsidRPr="00FB351A" w14:paraId="107AE777" w14:textId="77777777" w:rsidTr="00393D60">
        <w:tc>
          <w:tcPr>
            <w:tcW w:w="1523" w:type="pct"/>
            <w:shd w:val="clear" w:color="auto" w:fill="C1E4F5"/>
          </w:tcPr>
          <w:p w14:paraId="717A130E"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7339EE61" w14:textId="77777777" w:rsidR="00B7202D" w:rsidRPr="00FB351A" w:rsidRDefault="00B7202D" w:rsidP="00803115">
            <w:pPr>
              <w:jc w:val="both"/>
              <w:rPr>
                <w:rFonts w:ascii="Arial" w:eastAsia="Batang" w:hAnsi="Arial" w:cs="Arial"/>
                <w:sz w:val="20"/>
                <w:szCs w:val="20"/>
              </w:rPr>
            </w:pPr>
            <w:proofErr w:type="spellStart"/>
            <w:r w:rsidRPr="00FB351A">
              <w:rPr>
                <w:rFonts w:ascii="Arial" w:eastAsia="Batang" w:hAnsi="Arial" w:cs="Arial"/>
                <w:sz w:val="20"/>
                <w:szCs w:val="20"/>
              </w:rPr>
              <w:t>SAMC012022</w:t>
            </w:r>
            <w:proofErr w:type="spellEnd"/>
          </w:p>
        </w:tc>
      </w:tr>
      <w:tr w:rsidR="00B7202D" w:rsidRPr="00FB351A" w14:paraId="6529A9D0" w14:textId="77777777" w:rsidTr="00393D60">
        <w:tc>
          <w:tcPr>
            <w:tcW w:w="1523" w:type="pct"/>
            <w:shd w:val="clear" w:color="auto" w:fill="C1E4F5"/>
          </w:tcPr>
          <w:p w14:paraId="560E8D2E"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tcPr>
          <w:p w14:paraId="074B0C7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Selección Abreviada de Menor Cuantía sin Manifestación de Interés</w:t>
            </w:r>
          </w:p>
        </w:tc>
      </w:tr>
      <w:tr w:rsidR="00B7202D" w:rsidRPr="00FB351A" w14:paraId="678CDBC2" w14:textId="77777777" w:rsidTr="00393D60">
        <w:tc>
          <w:tcPr>
            <w:tcW w:w="1523" w:type="pct"/>
            <w:shd w:val="clear" w:color="auto" w:fill="C1E4F5"/>
          </w:tcPr>
          <w:p w14:paraId="0A646B14"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496CA1ED"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Contratar el programa de seguros de la AGENCIA DE DESARROLLO RURAL "ADR",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r w:rsidRPr="00FB351A">
              <w:rPr>
                <w:rFonts w:ascii="Arial" w:eastAsia="Batang" w:hAnsi="Arial" w:cs="Arial"/>
                <w:sz w:val="20"/>
                <w:szCs w:val="20"/>
              </w:rPr>
              <w:tab/>
            </w:r>
            <w:r w:rsidRPr="00FB351A">
              <w:rPr>
                <w:rFonts w:ascii="Arial" w:eastAsia="Batang" w:hAnsi="Arial" w:cs="Arial"/>
                <w:sz w:val="20"/>
                <w:szCs w:val="20"/>
              </w:rPr>
              <w:tab/>
            </w:r>
          </w:p>
        </w:tc>
      </w:tr>
      <w:tr w:rsidR="00B7202D" w:rsidRPr="00FB351A" w14:paraId="3F107485" w14:textId="77777777" w:rsidTr="00393D60">
        <w:tc>
          <w:tcPr>
            <w:tcW w:w="1523" w:type="pct"/>
            <w:shd w:val="clear" w:color="auto" w:fill="C1E4F5"/>
          </w:tcPr>
          <w:p w14:paraId="21D79970"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6726301B"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236 días</w:t>
            </w:r>
          </w:p>
        </w:tc>
      </w:tr>
      <w:tr w:rsidR="00B7202D" w:rsidRPr="00FB351A" w14:paraId="030BAB76" w14:textId="77777777" w:rsidTr="00393D60">
        <w:tc>
          <w:tcPr>
            <w:tcW w:w="1523" w:type="pct"/>
            <w:shd w:val="clear" w:color="auto" w:fill="C1E4F5"/>
          </w:tcPr>
          <w:p w14:paraId="7552DDB1"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070FC52B"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Lote 3: Casco Aviación (Drones) $12.745.199 COP</w:t>
            </w:r>
          </w:p>
        </w:tc>
      </w:tr>
      <w:tr w:rsidR="00B7202D" w:rsidRPr="00FB351A" w14:paraId="79F1EC4C" w14:textId="77777777" w:rsidTr="00393D60">
        <w:tc>
          <w:tcPr>
            <w:tcW w:w="1523" w:type="pct"/>
            <w:shd w:val="clear" w:color="auto" w:fill="C1E4F5"/>
          </w:tcPr>
          <w:p w14:paraId="71BD811E"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Adjudicatario</w:t>
            </w:r>
          </w:p>
        </w:tc>
        <w:tc>
          <w:tcPr>
            <w:tcW w:w="3477" w:type="pct"/>
          </w:tcPr>
          <w:p w14:paraId="0E0F3F09"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Zurich Colombia Seguros SA</w:t>
            </w:r>
          </w:p>
        </w:tc>
      </w:tr>
    </w:tbl>
    <w:p w14:paraId="51030A02" w14:textId="77777777" w:rsidR="00B7202D" w:rsidRPr="00FB351A" w:rsidRDefault="00B7202D" w:rsidP="00803115">
      <w:pPr>
        <w:jc w:val="both"/>
        <w:rPr>
          <w:rFonts w:ascii="Arial" w:eastAsia="Batang"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6696"/>
      </w:tblGrid>
      <w:tr w:rsidR="00B7202D" w:rsidRPr="00FB351A" w14:paraId="14C82FCF" w14:textId="77777777" w:rsidTr="00393D60">
        <w:tc>
          <w:tcPr>
            <w:tcW w:w="1523" w:type="pct"/>
            <w:shd w:val="clear" w:color="auto" w:fill="C1E4F5"/>
          </w:tcPr>
          <w:p w14:paraId="7CA3C5DD"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Numero de Proceso</w:t>
            </w:r>
          </w:p>
        </w:tc>
        <w:tc>
          <w:tcPr>
            <w:tcW w:w="3477" w:type="pct"/>
          </w:tcPr>
          <w:p w14:paraId="31EAB901" w14:textId="77777777" w:rsidR="00B7202D" w:rsidRPr="00FB351A" w:rsidRDefault="00B7202D" w:rsidP="00803115">
            <w:pPr>
              <w:jc w:val="both"/>
              <w:rPr>
                <w:rFonts w:ascii="Arial" w:eastAsia="Batang" w:hAnsi="Arial" w:cs="Arial"/>
                <w:sz w:val="20"/>
                <w:szCs w:val="20"/>
              </w:rPr>
            </w:pPr>
            <w:proofErr w:type="spellStart"/>
            <w:r w:rsidRPr="00FB351A">
              <w:rPr>
                <w:rFonts w:ascii="Arial" w:eastAsia="Batang" w:hAnsi="Arial" w:cs="Arial"/>
                <w:sz w:val="20"/>
                <w:szCs w:val="20"/>
              </w:rPr>
              <w:t>LP052021</w:t>
            </w:r>
            <w:proofErr w:type="spellEnd"/>
          </w:p>
        </w:tc>
      </w:tr>
      <w:tr w:rsidR="00B7202D" w:rsidRPr="00FB351A" w14:paraId="040C5705" w14:textId="77777777" w:rsidTr="003259E1">
        <w:tc>
          <w:tcPr>
            <w:tcW w:w="1523" w:type="pct"/>
            <w:shd w:val="clear" w:color="auto" w:fill="C1E4F5"/>
          </w:tcPr>
          <w:p w14:paraId="5EDEE6DF"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Modalidad de Contratación</w:t>
            </w:r>
          </w:p>
        </w:tc>
        <w:tc>
          <w:tcPr>
            <w:tcW w:w="3477" w:type="pct"/>
            <w:vAlign w:val="center"/>
          </w:tcPr>
          <w:p w14:paraId="284BEE93"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Licitación Pública </w:t>
            </w:r>
          </w:p>
        </w:tc>
      </w:tr>
      <w:tr w:rsidR="00B7202D" w:rsidRPr="00FB351A" w14:paraId="54C86F34" w14:textId="77777777" w:rsidTr="00393D60">
        <w:tc>
          <w:tcPr>
            <w:tcW w:w="1523" w:type="pct"/>
            <w:shd w:val="clear" w:color="auto" w:fill="C1E4F5"/>
          </w:tcPr>
          <w:p w14:paraId="6873179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Objeto</w:t>
            </w:r>
          </w:p>
        </w:tc>
        <w:tc>
          <w:tcPr>
            <w:tcW w:w="3477" w:type="pct"/>
          </w:tcPr>
          <w:p w14:paraId="225C94E2"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Contratar el programa de seguros de la AGENCIA DE DESARROLLO RURAL “ADR”,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r w:rsidRPr="00FB351A">
              <w:rPr>
                <w:rFonts w:ascii="Arial" w:eastAsia="Batang" w:hAnsi="Arial" w:cs="Arial"/>
                <w:sz w:val="20"/>
                <w:szCs w:val="20"/>
              </w:rPr>
              <w:tab/>
            </w:r>
            <w:r w:rsidRPr="00FB351A">
              <w:rPr>
                <w:rFonts w:ascii="Arial" w:eastAsia="Batang" w:hAnsi="Arial" w:cs="Arial"/>
                <w:sz w:val="20"/>
                <w:szCs w:val="20"/>
              </w:rPr>
              <w:tab/>
            </w:r>
            <w:r w:rsidRPr="00FB351A">
              <w:rPr>
                <w:rFonts w:ascii="Arial" w:eastAsia="Batang" w:hAnsi="Arial" w:cs="Arial"/>
                <w:sz w:val="20"/>
                <w:szCs w:val="20"/>
              </w:rPr>
              <w:tab/>
            </w:r>
          </w:p>
        </w:tc>
      </w:tr>
      <w:tr w:rsidR="00B7202D" w:rsidRPr="00FB351A" w14:paraId="61E1ACD6" w14:textId="77777777" w:rsidTr="00393D60">
        <w:tc>
          <w:tcPr>
            <w:tcW w:w="1523" w:type="pct"/>
            <w:shd w:val="clear" w:color="auto" w:fill="C1E4F5"/>
          </w:tcPr>
          <w:p w14:paraId="285EF436"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Vigencia</w:t>
            </w:r>
          </w:p>
        </w:tc>
        <w:tc>
          <w:tcPr>
            <w:tcW w:w="3477" w:type="pct"/>
          </w:tcPr>
          <w:p w14:paraId="5DCB78AF"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249 días</w:t>
            </w:r>
          </w:p>
        </w:tc>
      </w:tr>
      <w:tr w:rsidR="00B7202D" w:rsidRPr="00FB351A" w14:paraId="0C885887" w14:textId="77777777" w:rsidTr="00393D60">
        <w:tc>
          <w:tcPr>
            <w:tcW w:w="1523" w:type="pct"/>
            <w:shd w:val="clear" w:color="auto" w:fill="C1E4F5"/>
          </w:tcPr>
          <w:p w14:paraId="29B070B9"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Valor: </w:t>
            </w:r>
          </w:p>
        </w:tc>
        <w:tc>
          <w:tcPr>
            <w:tcW w:w="3477" w:type="pct"/>
          </w:tcPr>
          <w:p w14:paraId="70E14105"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Todo Riesgo Daños Materiales, Todo Riesgo Equipo y Maquinaria, Manejo Global, Responsabilidad Civil Extracontractual, Transporte de Valores, Transporte de Mercancías, Responsabilidad Civil Servidores públicos., Infidelidad y Riesgos Financieros$ 785.519.745</w:t>
            </w:r>
          </w:p>
        </w:tc>
      </w:tr>
      <w:tr w:rsidR="00B7202D" w:rsidRPr="00FB351A" w14:paraId="2D05926D" w14:textId="77777777" w:rsidTr="00393D60">
        <w:tc>
          <w:tcPr>
            <w:tcW w:w="1523" w:type="pct"/>
            <w:shd w:val="clear" w:color="auto" w:fill="C1E4F5"/>
          </w:tcPr>
          <w:p w14:paraId="65B8E252"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Adjudicatario</w:t>
            </w:r>
          </w:p>
        </w:tc>
        <w:tc>
          <w:tcPr>
            <w:tcW w:w="3477" w:type="pct"/>
          </w:tcPr>
          <w:p w14:paraId="00CF553C"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UT AXA Colpatria Seguros S.A. – La Previsora S.A. – ADR 2021.</w:t>
            </w:r>
          </w:p>
        </w:tc>
      </w:tr>
    </w:tbl>
    <w:p w14:paraId="643ED538" w14:textId="669A5160" w:rsidR="00A427EE" w:rsidRPr="00FB351A" w:rsidRDefault="00A427EE" w:rsidP="00803115">
      <w:pPr>
        <w:pStyle w:val="Descripcin"/>
        <w:jc w:val="both"/>
        <w:rPr>
          <w:rFonts w:ascii="Arial" w:hAnsi="Arial" w:cs="Arial"/>
          <w:b w:val="0"/>
          <w:bCs w:val="0"/>
        </w:rPr>
      </w:pPr>
      <w:r w:rsidRPr="00FB351A">
        <w:rPr>
          <w:rFonts w:ascii="Arial" w:hAnsi="Arial" w:cs="Arial"/>
          <w:b w:val="0"/>
          <w:bCs w:val="0"/>
        </w:rPr>
        <w:t xml:space="preserve">Cuadro Adquisiciones previas de la entidad. Elaborada por el intermediario de seguros de la entidad </w:t>
      </w:r>
    </w:p>
    <w:p w14:paraId="2548FBD5" w14:textId="35725CE6" w:rsidR="009A752E" w:rsidRPr="00FB351A" w:rsidRDefault="009A752E" w:rsidP="00803115">
      <w:pPr>
        <w:tabs>
          <w:tab w:val="left" w:pos="318"/>
        </w:tabs>
        <w:jc w:val="both"/>
        <w:rPr>
          <w:rFonts w:ascii="Arial" w:hAnsi="Arial" w:cs="Arial"/>
          <w:bCs/>
          <w:color w:val="000000"/>
          <w:sz w:val="20"/>
          <w:szCs w:val="20"/>
          <w:lang w:val="es-ES"/>
        </w:rPr>
      </w:pPr>
    </w:p>
    <w:p w14:paraId="07DD4BF0" w14:textId="0803D886" w:rsidR="009A752E" w:rsidRPr="00FB351A" w:rsidRDefault="009A752E" w:rsidP="00803115">
      <w:pPr>
        <w:tabs>
          <w:tab w:val="left" w:pos="318"/>
        </w:tabs>
        <w:jc w:val="both"/>
        <w:rPr>
          <w:rFonts w:ascii="Arial" w:hAnsi="Arial" w:cs="Arial"/>
          <w:bCs/>
          <w:color w:val="000000"/>
          <w:sz w:val="20"/>
          <w:szCs w:val="20"/>
          <w:lang w:val="es-ES"/>
        </w:rPr>
      </w:pPr>
      <w:r w:rsidRPr="00FB351A">
        <w:rPr>
          <w:rFonts w:ascii="Arial" w:hAnsi="Arial" w:cs="Arial"/>
          <w:bCs/>
          <w:color w:val="000000"/>
          <w:sz w:val="20"/>
          <w:szCs w:val="20"/>
          <w:lang w:val="es-ES"/>
        </w:rPr>
        <w:t xml:space="preserve">Lo anterior muestra </w:t>
      </w:r>
      <w:r w:rsidR="00B934B2" w:rsidRPr="00FB351A">
        <w:rPr>
          <w:rFonts w:ascii="Arial" w:hAnsi="Arial" w:cs="Arial"/>
          <w:bCs/>
          <w:color w:val="000000"/>
          <w:sz w:val="20"/>
          <w:szCs w:val="20"/>
          <w:lang w:val="es-ES"/>
        </w:rPr>
        <w:t>que,</w:t>
      </w:r>
      <w:r w:rsidRPr="00FB351A">
        <w:rPr>
          <w:rFonts w:ascii="Arial" w:hAnsi="Arial" w:cs="Arial"/>
          <w:bCs/>
          <w:color w:val="000000"/>
          <w:sz w:val="20"/>
          <w:szCs w:val="20"/>
          <w:lang w:val="es-ES"/>
        </w:rPr>
        <w:t xml:space="preserve"> para l</w:t>
      </w:r>
      <w:r w:rsidR="00AB5A53" w:rsidRPr="00FB351A">
        <w:rPr>
          <w:rFonts w:ascii="Arial" w:hAnsi="Arial" w:cs="Arial"/>
          <w:bCs/>
          <w:color w:val="000000"/>
          <w:sz w:val="20"/>
          <w:szCs w:val="20"/>
          <w:lang w:val="es-ES"/>
        </w:rPr>
        <w:t>a</w:t>
      </w:r>
      <w:r w:rsidRPr="00FB351A">
        <w:rPr>
          <w:rFonts w:ascii="Arial" w:hAnsi="Arial" w:cs="Arial"/>
          <w:bCs/>
          <w:color w:val="000000"/>
          <w:sz w:val="20"/>
          <w:szCs w:val="20"/>
          <w:lang w:val="es-ES"/>
        </w:rPr>
        <w:t xml:space="preserve"> contrataci</w:t>
      </w:r>
      <w:r w:rsidR="00AB5A53" w:rsidRPr="00FB351A">
        <w:rPr>
          <w:rFonts w:ascii="Arial" w:hAnsi="Arial" w:cs="Arial"/>
          <w:bCs/>
          <w:color w:val="000000"/>
          <w:sz w:val="20"/>
          <w:szCs w:val="20"/>
          <w:lang w:val="es-ES"/>
        </w:rPr>
        <w:t>ó</w:t>
      </w:r>
      <w:r w:rsidRPr="00FB351A">
        <w:rPr>
          <w:rFonts w:ascii="Arial" w:hAnsi="Arial" w:cs="Arial"/>
          <w:bCs/>
          <w:color w:val="000000"/>
          <w:sz w:val="20"/>
          <w:szCs w:val="20"/>
          <w:lang w:val="es-ES"/>
        </w:rPr>
        <w:t xml:space="preserve">n de seguros, la modalidad de selección escogida </w:t>
      </w:r>
      <w:r w:rsidR="00AB5A53" w:rsidRPr="00FB351A">
        <w:rPr>
          <w:rFonts w:ascii="Arial" w:hAnsi="Arial" w:cs="Arial"/>
          <w:bCs/>
          <w:color w:val="000000"/>
          <w:sz w:val="20"/>
          <w:szCs w:val="20"/>
          <w:lang w:val="es-ES"/>
        </w:rPr>
        <w:t xml:space="preserve">por la Agencia </w:t>
      </w:r>
      <w:r w:rsidRPr="00FB351A">
        <w:rPr>
          <w:rFonts w:ascii="Arial" w:hAnsi="Arial" w:cs="Arial"/>
          <w:bCs/>
          <w:color w:val="000000"/>
          <w:sz w:val="20"/>
          <w:szCs w:val="20"/>
          <w:lang w:val="es-ES"/>
        </w:rPr>
        <w:t>var</w:t>
      </w:r>
      <w:r w:rsidR="00AB5A53" w:rsidRPr="00FB351A">
        <w:rPr>
          <w:rFonts w:ascii="Arial" w:hAnsi="Arial" w:cs="Arial"/>
          <w:bCs/>
          <w:color w:val="000000"/>
          <w:sz w:val="20"/>
          <w:szCs w:val="20"/>
          <w:lang w:val="es-ES"/>
        </w:rPr>
        <w:t>í</w:t>
      </w:r>
      <w:r w:rsidRPr="00FB351A">
        <w:rPr>
          <w:rFonts w:ascii="Arial" w:hAnsi="Arial" w:cs="Arial"/>
          <w:bCs/>
          <w:color w:val="000000"/>
          <w:sz w:val="20"/>
          <w:szCs w:val="20"/>
          <w:lang w:val="es-ES"/>
        </w:rPr>
        <w:t>a de acuerdo con el valor proyectado de presupuesto en cada proceso de selección</w:t>
      </w:r>
    </w:p>
    <w:p w14:paraId="754CBC1B" w14:textId="77777777" w:rsidR="009A752E" w:rsidRPr="00FB351A" w:rsidRDefault="009A752E" w:rsidP="00803115">
      <w:pPr>
        <w:tabs>
          <w:tab w:val="left" w:pos="318"/>
        </w:tabs>
        <w:jc w:val="both"/>
        <w:rPr>
          <w:rFonts w:ascii="Arial" w:hAnsi="Arial" w:cs="Arial"/>
          <w:bCs/>
          <w:color w:val="000000"/>
          <w:sz w:val="20"/>
          <w:szCs w:val="20"/>
          <w:lang w:val="es-ES"/>
        </w:rPr>
      </w:pPr>
    </w:p>
    <w:p w14:paraId="52C6C5EB" w14:textId="2069F572" w:rsidR="009A752E" w:rsidRPr="00FB351A" w:rsidRDefault="00B934B2" w:rsidP="00803115">
      <w:pPr>
        <w:tabs>
          <w:tab w:val="left" w:pos="318"/>
        </w:tabs>
        <w:jc w:val="both"/>
        <w:rPr>
          <w:rFonts w:ascii="Arial" w:hAnsi="Arial" w:cs="Arial"/>
          <w:bCs/>
          <w:color w:val="000000"/>
          <w:sz w:val="20"/>
          <w:szCs w:val="20"/>
          <w:lang w:val="es-ES"/>
        </w:rPr>
      </w:pPr>
      <w:r w:rsidRPr="00FB351A">
        <w:rPr>
          <w:rFonts w:ascii="Arial" w:hAnsi="Arial" w:cs="Arial"/>
          <w:bCs/>
          <w:color w:val="000000"/>
          <w:sz w:val="20"/>
          <w:szCs w:val="20"/>
          <w:lang w:val="es-ES"/>
        </w:rPr>
        <w:t>Así mismo, estructurar procesos de selección en lotes o grupos de pólizas de seguro</w:t>
      </w:r>
      <w:r w:rsidR="005B7878" w:rsidRPr="00FB351A">
        <w:rPr>
          <w:rFonts w:ascii="Arial" w:hAnsi="Arial" w:cs="Arial"/>
          <w:bCs/>
          <w:color w:val="000000"/>
          <w:sz w:val="20"/>
          <w:szCs w:val="20"/>
          <w:lang w:val="es-ES"/>
        </w:rPr>
        <w:t xml:space="preserve"> con notas </w:t>
      </w:r>
      <w:r w:rsidR="00C46814" w:rsidRPr="00FB351A">
        <w:rPr>
          <w:rFonts w:ascii="Arial" w:hAnsi="Arial" w:cs="Arial"/>
          <w:bCs/>
          <w:color w:val="000000"/>
          <w:sz w:val="20"/>
          <w:szCs w:val="20"/>
          <w:lang w:val="es-ES"/>
        </w:rPr>
        <w:t>vinculantes ha</w:t>
      </w:r>
      <w:r w:rsidRPr="00FB351A">
        <w:rPr>
          <w:rFonts w:ascii="Arial" w:hAnsi="Arial" w:cs="Arial"/>
          <w:bCs/>
          <w:color w:val="000000"/>
          <w:sz w:val="20"/>
          <w:szCs w:val="20"/>
          <w:lang w:val="es-ES"/>
        </w:rPr>
        <w:t xml:space="preserve"> permito la adjudicación de las pólizas objeto de contratacion, reduciendo las posibilidades de desierta, garantizando la participación plural de oferentes y garantizando l</w:t>
      </w:r>
      <w:r w:rsidR="00287E93" w:rsidRPr="00FB351A">
        <w:rPr>
          <w:rFonts w:ascii="Arial" w:hAnsi="Arial" w:cs="Arial"/>
          <w:bCs/>
          <w:color w:val="000000"/>
          <w:sz w:val="20"/>
          <w:szCs w:val="20"/>
          <w:lang w:val="es-ES"/>
        </w:rPr>
        <w:t>a</w:t>
      </w:r>
      <w:r w:rsidRPr="00FB351A">
        <w:rPr>
          <w:rFonts w:ascii="Arial" w:hAnsi="Arial" w:cs="Arial"/>
          <w:bCs/>
          <w:color w:val="000000"/>
          <w:sz w:val="20"/>
          <w:szCs w:val="20"/>
          <w:lang w:val="es-ES"/>
        </w:rPr>
        <w:t xml:space="preserve"> selección objetiva.</w:t>
      </w:r>
    </w:p>
    <w:p w14:paraId="2EA9CB65" w14:textId="77777777" w:rsidR="009A752E" w:rsidRPr="00FB351A" w:rsidRDefault="009A752E" w:rsidP="00803115">
      <w:pPr>
        <w:tabs>
          <w:tab w:val="left" w:pos="318"/>
        </w:tabs>
        <w:jc w:val="both"/>
        <w:rPr>
          <w:rFonts w:ascii="Arial" w:hAnsi="Arial" w:cs="Arial"/>
          <w:bCs/>
          <w:color w:val="000000"/>
          <w:sz w:val="20"/>
          <w:szCs w:val="20"/>
          <w:lang w:val="es-ES"/>
        </w:rPr>
      </w:pPr>
    </w:p>
    <w:p w14:paraId="28F8F31F" w14:textId="34F2B4AD" w:rsidR="00B7202D" w:rsidRPr="00FB351A" w:rsidRDefault="00B7202D" w:rsidP="00803115">
      <w:pPr>
        <w:pStyle w:val="Prrafodelista"/>
        <w:numPr>
          <w:ilvl w:val="1"/>
          <w:numId w:val="1"/>
        </w:numPr>
        <w:tabs>
          <w:tab w:val="left" w:pos="318"/>
        </w:tabs>
        <w:jc w:val="both"/>
        <w:rPr>
          <w:rFonts w:ascii="Arial" w:hAnsi="Arial" w:cs="Arial"/>
          <w:b/>
          <w:color w:val="000000"/>
          <w:sz w:val="20"/>
          <w:szCs w:val="20"/>
        </w:rPr>
      </w:pPr>
      <w:r w:rsidRPr="00FB351A">
        <w:rPr>
          <w:rFonts w:ascii="Arial" w:hAnsi="Arial" w:cs="Arial"/>
          <w:b/>
          <w:color w:val="000000"/>
          <w:sz w:val="20"/>
          <w:szCs w:val="20"/>
        </w:rPr>
        <w:t xml:space="preserve">Verificación de Contratación de Otras Entidades Estatales y Empresa Privada: </w:t>
      </w:r>
    </w:p>
    <w:p w14:paraId="7193A38E" w14:textId="77777777" w:rsidR="00B7202D" w:rsidRPr="00FB351A" w:rsidRDefault="00B7202D" w:rsidP="00803115">
      <w:pPr>
        <w:tabs>
          <w:tab w:val="left" w:pos="318"/>
        </w:tabs>
        <w:jc w:val="both"/>
        <w:rPr>
          <w:rFonts w:ascii="Arial" w:hAnsi="Arial" w:cs="Arial"/>
          <w:color w:val="000000"/>
          <w:sz w:val="20"/>
          <w:szCs w:val="20"/>
        </w:rPr>
      </w:pPr>
    </w:p>
    <w:p w14:paraId="47F680BC" w14:textId="77777777"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Las condiciones de contratación de las entidades estatales están dadas, de conformidad con el interés asegurable de cada una de ellas y su necesidad de aseguramiento, por las siguientes variables:</w:t>
      </w:r>
    </w:p>
    <w:p w14:paraId="56B599C4" w14:textId="77777777" w:rsidR="00B7202D" w:rsidRPr="00FB351A" w:rsidRDefault="00B7202D" w:rsidP="00803115">
      <w:pPr>
        <w:jc w:val="both"/>
        <w:rPr>
          <w:rFonts w:ascii="Arial" w:eastAsia="Batang" w:hAnsi="Arial" w:cs="Arial"/>
          <w:sz w:val="20"/>
          <w:szCs w:val="20"/>
        </w:rPr>
      </w:pPr>
    </w:p>
    <w:p w14:paraId="0FD8DC82"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lastRenderedPageBreak/>
        <w:t>Exigencias de requisitos habilitantes</w:t>
      </w:r>
    </w:p>
    <w:p w14:paraId="0D9014B6"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t>Condiciones Técnicas Obligatorias que no generan asignación de puntajes y deben mantener las coberturas vigentes del programa de seguros.</w:t>
      </w:r>
    </w:p>
    <w:p w14:paraId="6B774768"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t>Calificación de condiciones técnicas complementarias que tienen por objeto mejorar las condiciones obligatorias pero que no son objeto de obligatoriedad de ser presentadas por las aseguradoras</w:t>
      </w:r>
    </w:p>
    <w:p w14:paraId="59FB50F3"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t>Evaluación de condiciones de deducibles</w:t>
      </w:r>
    </w:p>
    <w:p w14:paraId="195D50F9"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t>Calificación de oferta nacional (Ley 816 de 2003).</w:t>
      </w:r>
    </w:p>
    <w:p w14:paraId="2BF81A01"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t>Incentivo a favor de las personas con discapacidad (Decreto 392 de 2018)</w:t>
      </w:r>
    </w:p>
    <w:p w14:paraId="680A5F05"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t>Puntaje para empresas de mujeres (Decreto 1860 de 2021)</w:t>
      </w:r>
    </w:p>
    <w:p w14:paraId="70EC27AB" w14:textId="77777777" w:rsidR="00B7202D" w:rsidRPr="00FB351A" w:rsidRDefault="00B7202D" w:rsidP="00803115">
      <w:pPr>
        <w:pStyle w:val="Prrafodelista"/>
        <w:numPr>
          <w:ilvl w:val="0"/>
          <w:numId w:val="9"/>
        </w:numPr>
        <w:ind w:left="567" w:hanging="567"/>
        <w:jc w:val="both"/>
        <w:rPr>
          <w:rFonts w:ascii="Arial" w:eastAsia="Batang" w:hAnsi="Arial" w:cs="Arial"/>
          <w:sz w:val="20"/>
          <w:szCs w:val="20"/>
        </w:rPr>
      </w:pPr>
      <w:r w:rsidRPr="00FB351A">
        <w:rPr>
          <w:rFonts w:ascii="Arial" w:eastAsia="Batang" w:hAnsi="Arial" w:cs="Arial"/>
          <w:sz w:val="20"/>
          <w:szCs w:val="20"/>
        </w:rPr>
        <w:t>Menor prima o mayor vigencia</w:t>
      </w:r>
    </w:p>
    <w:p w14:paraId="2EBAB7B2" w14:textId="77777777" w:rsidR="00B7202D" w:rsidRPr="00FB351A" w:rsidRDefault="00B7202D" w:rsidP="00803115">
      <w:pPr>
        <w:jc w:val="both"/>
        <w:rPr>
          <w:rFonts w:ascii="Arial" w:eastAsia="Batang" w:hAnsi="Arial" w:cs="Arial"/>
          <w:sz w:val="20"/>
          <w:szCs w:val="20"/>
        </w:rPr>
      </w:pPr>
    </w:p>
    <w:p w14:paraId="4C25E2C8" w14:textId="65D7D273" w:rsidR="00B7202D" w:rsidRPr="00FB351A" w:rsidRDefault="00B7202D" w:rsidP="00803115">
      <w:pPr>
        <w:jc w:val="both"/>
        <w:rPr>
          <w:rFonts w:ascii="Arial" w:eastAsia="Batang" w:hAnsi="Arial" w:cs="Arial"/>
          <w:sz w:val="20"/>
          <w:szCs w:val="20"/>
        </w:rPr>
      </w:pPr>
      <w:r w:rsidRPr="00FB351A">
        <w:rPr>
          <w:rFonts w:ascii="Arial" w:eastAsia="Batang" w:hAnsi="Arial" w:cs="Arial"/>
          <w:sz w:val="20"/>
          <w:szCs w:val="20"/>
        </w:rPr>
        <w:t xml:space="preserve">Por otra parte, y consultado el Sistema Electrónico de Contratación Pública - </w:t>
      </w:r>
      <w:proofErr w:type="spellStart"/>
      <w:r w:rsidRPr="00FB351A">
        <w:rPr>
          <w:rFonts w:ascii="Arial" w:eastAsia="Batang" w:hAnsi="Arial" w:cs="Arial"/>
          <w:sz w:val="20"/>
          <w:szCs w:val="20"/>
        </w:rPr>
        <w:t>SECOP</w:t>
      </w:r>
      <w:proofErr w:type="spellEnd"/>
      <w:r w:rsidRPr="00FB351A">
        <w:rPr>
          <w:rFonts w:ascii="Arial" w:eastAsia="Batang" w:hAnsi="Arial" w:cs="Arial"/>
          <w:sz w:val="20"/>
          <w:szCs w:val="20"/>
        </w:rPr>
        <w:t xml:space="preserve">, diferentes Entidades Públicas han adelantado procesos de selección concernientes al objeto que la </w:t>
      </w:r>
      <w:r w:rsidR="00AA2917" w:rsidRPr="00FB351A">
        <w:rPr>
          <w:rFonts w:ascii="Arial" w:hAnsi="Arial" w:cs="Arial"/>
          <w:sz w:val="20"/>
          <w:szCs w:val="20"/>
        </w:rPr>
        <w:t xml:space="preserve">AGENCIA DE DESARROLLO RURAL </w:t>
      </w:r>
      <w:r w:rsidRPr="00FB351A">
        <w:rPr>
          <w:rFonts w:ascii="Arial" w:hAnsi="Arial" w:cs="Arial"/>
          <w:sz w:val="20"/>
          <w:szCs w:val="20"/>
        </w:rPr>
        <w:t>- ADR</w:t>
      </w:r>
      <w:r w:rsidRPr="00FB351A">
        <w:rPr>
          <w:rFonts w:ascii="Arial" w:eastAsia="Batang" w:hAnsi="Arial" w:cs="Arial"/>
          <w:sz w:val="20"/>
          <w:szCs w:val="20"/>
        </w:rPr>
        <w:t xml:space="preserve">, pretende contratar, en virtud de lo anterior se presentan algunos procesos: </w:t>
      </w:r>
    </w:p>
    <w:p w14:paraId="501975EA" w14:textId="77777777" w:rsidR="0083122F" w:rsidRPr="00FB351A" w:rsidRDefault="0083122F" w:rsidP="00803115">
      <w:pPr>
        <w:contextualSpacing/>
        <w:jc w:val="both"/>
        <w:rPr>
          <w:rFonts w:ascii="Arial" w:hAnsi="Arial" w:cs="Arial"/>
          <w:b/>
          <w:bCs/>
          <w:sz w:val="20"/>
          <w:szCs w:val="20"/>
          <w:lang w:val="es-ES"/>
        </w:rPr>
      </w:pPr>
    </w:p>
    <w:tbl>
      <w:tblPr>
        <w:tblW w:w="5000" w:type="pct"/>
        <w:tblCellMar>
          <w:left w:w="70" w:type="dxa"/>
          <w:right w:w="70" w:type="dxa"/>
        </w:tblCellMar>
        <w:tblLook w:val="04A0" w:firstRow="1" w:lastRow="0" w:firstColumn="1" w:lastColumn="0" w:noHBand="0" w:noVBand="1"/>
      </w:tblPr>
      <w:tblGrid>
        <w:gridCol w:w="1033"/>
        <w:gridCol w:w="1018"/>
        <w:gridCol w:w="1578"/>
        <w:gridCol w:w="1115"/>
        <w:gridCol w:w="1157"/>
        <w:gridCol w:w="1432"/>
        <w:gridCol w:w="1278"/>
        <w:gridCol w:w="1018"/>
      </w:tblGrid>
      <w:tr w:rsidR="004A49D5" w:rsidRPr="00FB351A" w14:paraId="3FD16C89" w14:textId="77777777" w:rsidTr="004A49D5">
        <w:trPr>
          <w:trHeight w:val="20"/>
        </w:trPr>
        <w:tc>
          <w:tcPr>
            <w:tcW w:w="536"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7A685938"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MODALIDAD</w:t>
            </w:r>
          </w:p>
        </w:tc>
        <w:tc>
          <w:tcPr>
            <w:tcW w:w="529"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1033B0EF"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NUMERO PROCESO</w:t>
            </w:r>
          </w:p>
        </w:tc>
        <w:tc>
          <w:tcPr>
            <w:tcW w:w="819"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2A177068"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ENTIDAD</w:t>
            </w:r>
          </w:p>
        </w:tc>
        <w:tc>
          <w:tcPr>
            <w:tcW w:w="579"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0CF75ECA"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FECHA DE ADJUDICADO</w:t>
            </w:r>
          </w:p>
        </w:tc>
        <w:tc>
          <w:tcPr>
            <w:tcW w:w="601"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08FC2E5F"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 xml:space="preserve"> VALOR DEL CONTRATO ADJUDICADO </w:t>
            </w:r>
          </w:p>
        </w:tc>
        <w:tc>
          <w:tcPr>
            <w:tcW w:w="744"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4D8BB4D3"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COMPAÑÍA ADJUDICATARIA</w:t>
            </w:r>
          </w:p>
        </w:tc>
        <w:tc>
          <w:tcPr>
            <w:tcW w:w="664"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03A4D2FB"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OFERENTES</w:t>
            </w:r>
          </w:p>
        </w:tc>
        <w:tc>
          <w:tcPr>
            <w:tcW w:w="529" w:type="pct"/>
            <w:tcBorders>
              <w:top w:val="single" w:sz="4" w:space="0" w:color="8EA9DB"/>
              <w:left w:val="single" w:sz="4" w:space="0" w:color="FFFFFF"/>
              <w:bottom w:val="single" w:sz="12" w:space="0" w:color="FFFFFF"/>
              <w:right w:val="single" w:sz="4" w:space="0" w:color="FFFFFF"/>
            </w:tcBorders>
            <w:shd w:val="clear" w:color="5B9BD5" w:fill="5B9BD5"/>
            <w:vAlign w:val="center"/>
            <w:hideMark/>
          </w:tcPr>
          <w:p w14:paraId="653E8FDE" w14:textId="77777777" w:rsidR="004A49D5" w:rsidRPr="00FB351A" w:rsidRDefault="004A49D5" w:rsidP="004A49D5">
            <w:pPr>
              <w:jc w:val="center"/>
              <w:rPr>
                <w:rFonts w:ascii="Arial" w:hAnsi="Arial" w:cs="Arial"/>
                <w:b/>
                <w:bCs/>
                <w:color w:val="FFFFFF"/>
                <w:sz w:val="16"/>
                <w:szCs w:val="16"/>
              </w:rPr>
            </w:pPr>
            <w:r w:rsidRPr="00FB351A">
              <w:rPr>
                <w:rFonts w:ascii="Arial" w:hAnsi="Arial" w:cs="Arial"/>
                <w:b/>
                <w:bCs/>
                <w:color w:val="FFFFFF"/>
                <w:sz w:val="16"/>
                <w:szCs w:val="16"/>
              </w:rPr>
              <w:t>VIGENCIA OFRECIDA EN DÍAS</w:t>
            </w:r>
          </w:p>
        </w:tc>
      </w:tr>
      <w:tr w:rsidR="004A49D5" w:rsidRPr="00FB351A" w14:paraId="676502D8" w14:textId="77777777" w:rsidTr="004A49D5">
        <w:trPr>
          <w:trHeight w:val="20"/>
        </w:trPr>
        <w:tc>
          <w:tcPr>
            <w:tcW w:w="536" w:type="pct"/>
            <w:tcBorders>
              <w:top w:val="single" w:sz="4" w:space="0" w:color="8EA9DB"/>
              <w:left w:val="nil"/>
              <w:bottom w:val="single" w:sz="4" w:space="0" w:color="8EA9DB"/>
              <w:right w:val="nil"/>
            </w:tcBorders>
            <w:vAlign w:val="center"/>
            <w:hideMark/>
          </w:tcPr>
          <w:p w14:paraId="01DB63AA"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MÍNIMA CUANTÍA</w:t>
            </w:r>
          </w:p>
        </w:tc>
        <w:tc>
          <w:tcPr>
            <w:tcW w:w="529" w:type="pct"/>
            <w:tcBorders>
              <w:top w:val="single" w:sz="4" w:space="0" w:color="8EA9DB"/>
              <w:left w:val="nil"/>
              <w:bottom w:val="single" w:sz="4" w:space="0" w:color="8EA9DB"/>
              <w:right w:val="nil"/>
            </w:tcBorders>
            <w:vAlign w:val="center"/>
            <w:hideMark/>
          </w:tcPr>
          <w:p w14:paraId="588B2BF3"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MC-01-2026-SC</w:t>
            </w:r>
          </w:p>
        </w:tc>
        <w:tc>
          <w:tcPr>
            <w:tcW w:w="819" w:type="pct"/>
            <w:tcBorders>
              <w:top w:val="single" w:sz="4" w:space="0" w:color="8EA9DB"/>
              <w:left w:val="nil"/>
              <w:bottom w:val="single" w:sz="4" w:space="0" w:color="8EA9DB"/>
              <w:right w:val="nil"/>
            </w:tcBorders>
            <w:vAlign w:val="center"/>
            <w:hideMark/>
          </w:tcPr>
          <w:p w14:paraId="6E21F626"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INSTITUTO GEOGRÁFICO AGUSTÍN CODAZZI - </w:t>
            </w:r>
            <w:proofErr w:type="spellStart"/>
            <w:r w:rsidRPr="00FB351A">
              <w:rPr>
                <w:rFonts w:ascii="Arial" w:hAnsi="Arial" w:cs="Arial"/>
                <w:color w:val="000000"/>
                <w:sz w:val="16"/>
                <w:szCs w:val="16"/>
              </w:rPr>
              <w:t>IGAC</w:t>
            </w:r>
            <w:proofErr w:type="spellEnd"/>
          </w:p>
        </w:tc>
        <w:tc>
          <w:tcPr>
            <w:tcW w:w="579" w:type="pct"/>
            <w:tcBorders>
              <w:top w:val="single" w:sz="4" w:space="0" w:color="8EA9DB"/>
              <w:left w:val="nil"/>
              <w:bottom w:val="single" w:sz="4" w:space="0" w:color="8EA9DB"/>
              <w:right w:val="nil"/>
            </w:tcBorders>
            <w:vAlign w:val="center"/>
            <w:hideMark/>
          </w:tcPr>
          <w:p w14:paraId="29D3F1DB"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29/01/2026</w:t>
            </w:r>
          </w:p>
        </w:tc>
        <w:tc>
          <w:tcPr>
            <w:tcW w:w="601" w:type="pct"/>
            <w:tcBorders>
              <w:top w:val="single" w:sz="4" w:space="0" w:color="8EA9DB"/>
              <w:left w:val="nil"/>
              <w:bottom w:val="single" w:sz="4" w:space="0" w:color="8EA9DB"/>
              <w:right w:val="nil"/>
            </w:tcBorders>
            <w:vAlign w:val="center"/>
            <w:hideMark/>
          </w:tcPr>
          <w:p w14:paraId="42F22D9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                                                       65,047,700.00 </w:t>
            </w:r>
          </w:p>
        </w:tc>
        <w:tc>
          <w:tcPr>
            <w:tcW w:w="744" w:type="pct"/>
            <w:tcBorders>
              <w:top w:val="single" w:sz="4" w:space="0" w:color="8EA9DB"/>
              <w:left w:val="nil"/>
              <w:bottom w:val="single" w:sz="4" w:space="0" w:color="8EA9DB"/>
              <w:right w:val="nil"/>
            </w:tcBorders>
            <w:vAlign w:val="center"/>
            <w:hideMark/>
          </w:tcPr>
          <w:p w14:paraId="5FCC855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ASEGURADORA SOLIDARIA DE COLOMBIA</w:t>
            </w:r>
          </w:p>
        </w:tc>
        <w:tc>
          <w:tcPr>
            <w:tcW w:w="664" w:type="pct"/>
            <w:tcBorders>
              <w:top w:val="single" w:sz="4" w:space="0" w:color="8EA9DB"/>
              <w:left w:val="nil"/>
              <w:bottom w:val="single" w:sz="4" w:space="0" w:color="8EA9DB"/>
              <w:right w:val="nil"/>
            </w:tcBorders>
            <w:vAlign w:val="center"/>
            <w:hideMark/>
          </w:tcPr>
          <w:p w14:paraId="442492B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PREVISORA - SOLIDARIA - ESTADO</w:t>
            </w:r>
          </w:p>
        </w:tc>
        <w:tc>
          <w:tcPr>
            <w:tcW w:w="529" w:type="pct"/>
            <w:tcBorders>
              <w:top w:val="single" w:sz="4" w:space="0" w:color="8EA9DB"/>
              <w:left w:val="nil"/>
              <w:bottom w:val="single" w:sz="4" w:space="0" w:color="8EA9DB"/>
              <w:right w:val="nil"/>
            </w:tcBorders>
            <w:vAlign w:val="center"/>
            <w:hideMark/>
          </w:tcPr>
          <w:p w14:paraId="4A1CE865"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ANUALIDAD </w:t>
            </w:r>
          </w:p>
        </w:tc>
      </w:tr>
      <w:tr w:rsidR="004A49D5" w:rsidRPr="00FB351A" w14:paraId="4D9EDDC1" w14:textId="77777777" w:rsidTr="004A49D5">
        <w:trPr>
          <w:trHeight w:val="20"/>
        </w:trPr>
        <w:tc>
          <w:tcPr>
            <w:tcW w:w="536" w:type="pct"/>
            <w:tcBorders>
              <w:top w:val="single" w:sz="4" w:space="0" w:color="8EA9DB"/>
              <w:left w:val="nil"/>
              <w:bottom w:val="single" w:sz="4" w:space="0" w:color="8EA9DB"/>
              <w:right w:val="nil"/>
            </w:tcBorders>
            <w:shd w:val="clear" w:color="D9E1F2" w:fill="D9E1F2"/>
            <w:vAlign w:val="center"/>
            <w:hideMark/>
          </w:tcPr>
          <w:p w14:paraId="731F6A05"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RÉGIMEN ESPECIAL</w:t>
            </w:r>
          </w:p>
        </w:tc>
        <w:tc>
          <w:tcPr>
            <w:tcW w:w="529" w:type="pct"/>
            <w:tcBorders>
              <w:top w:val="single" w:sz="4" w:space="0" w:color="8EA9DB"/>
              <w:left w:val="nil"/>
              <w:bottom w:val="single" w:sz="4" w:space="0" w:color="8EA9DB"/>
              <w:right w:val="nil"/>
            </w:tcBorders>
            <w:shd w:val="clear" w:color="D9E1F2" w:fill="D9E1F2"/>
            <w:vAlign w:val="center"/>
            <w:hideMark/>
          </w:tcPr>
          <w:p w14:paraId="17332DCA"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EDRU-IS-0001-2026</w:t>
            </w:r>
          </w:p>
        </w:tc>
        <w:tc>
          <w:tcPr>
            <w:tcW w:w="819" w:type="pct"/>
            <w:tcBorders>
              <w:top w:val="single" w:sz="4" w:space="0" w:color="8EA9DB"/>
              <w:left w:val="nil"/>
              <w:bottom w:val="single" w:sz="4" w:space="0" w:color="8EA9DB"/>
              <w:right w:val="nil"/>
            </w:tcBorders>
            <w:shd w:val="clear" w:color="D9E1F2" w:fill="D9E1F2"/>
            <w:vAlign w:val="center"/>
            <w:hideMark/>
          </w:tcPr>
          <w:p w14:paraId="21706E7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EMPRESA DE DESARROLLO Y RENOVACIÓN URBANA - EDRU - DE CALI</w:t>
            </w:r>
          </w:p>
        </w:tc>
        <w:tc>
          <w:tcPr>
            <w:tcW w:w="579" w:type="pct"/>
            <w:tcBorders>
              <w:top w:val="single" w:sz="4" w:space="0" w:color="8EA9DB"/>
              <w:left w:val="nil"/>
              <w:bottom w:val="single" w:sz="4" w:space="0" w:color="8EA9DB"/>
              <w:right w:val="nil"/>
            </w:tcBorders>
            <w:shd w:val="clear" w:color="D9E1F2" w:fill="D9E1F2"/>
            <w:vAlign w:val="center"/>
            <w:hideMark/>
          </w:tcPr>
          <w:p w14:paraId="14840BC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06/03/2026</w:t>
            </w:r>
          </w:p>
        </w:tc>
        <w:tc>
          <w:tcPr>
            <w:tcW w:w="601" w:type="pct"/>
            <w:tcBorders>
              <w:top w:val="single" w:sz="4" w:space="0" w:color="8EA9DB"/>
              <w:left w:val="nil"/>
              <w:bottom w:val="single" w:sz="4" w:space="0" w:color="8EA9DB"/>
              <w:right w:val="nil"/>
            </w:tcBorders>
            <w:shd w:val="clear" w:color="D9E1F2" w:fill="D9E1F2"/>
            <w:vAlign w:val="center"/>
            <w:hideMark/>
          </w:tcPr>
          <w:p w14:paraId="28C410A2"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                                                       95,902,660.00 </w:t>
            </w:r>
          </w:p>
        </w:tc>
        <w:tc>
          <w:tcPr>
            <w:tcW w:w="744" w:type="pct"/>
            <w:tcBorders>
              <w:top w:val="single" w:sz="4" w:space="0" w:color="8EA9DB"/>
              <w:left w:val="nil"/>
              <w:bottom w:val="single" w:sz="4" w:space="0" w:color="8EA9DB"/>
              <w:right w:val="nil"/>
            </w:tcBorders>
            <w:shd w:val="clear" w:color="D9E1F2" w:fill="D9E1F2"/>
            <w:vAlign w:val="center"/>
            <w:hideMark/>
          </w:tcPr>
          <w:p w14:paraId="04BED3B3"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LA PREVISORA SA COMPAÑÍA DE SEGUROS</w:t>
            </w:r>
          </w:p>
        </w:tc>
        <w:tc>
          <w:tcPr>
            <w:tcW w:w="664" w:type="pct"/>
            <w:tcBorders>
              <w:top w:val="single" w:sz="4" w:space="0" w:color="8EA9DB"/>
              <w:left w:val="nil"/>
              <w:bottom w:val="single" w:sz="4" w:space="0" w:color="8EA9DB"/>
              <w:right w:val="nil"/>
            </w:tcBorders>
            <w:shd w:val="clear" w:color="D9E1F2" w:fill="D9E1F2"/>
            <w:vAlign w:val="center"/>
            <w:hideMark/>
          </w:tcPr>
          <w:p w14:paraId="27CC1A06"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SOLIDARIA - PREVISORA</w:t>
            </w:r>
          </w:p>
        </w:tc>
        <w:tc>
          <w:tcPr>
            <w:tcW w:w="529" w:type="pct"/>
            <w:tcBorders>
              <w:top w:val="single" w:sz="4" w:space="0" w:color="8EA9DB"/>
              <w:left w:val="nil"/>
              <w:bottom w:val="single" w:sz="4" w:space="0" w:color="8EA9DB"/>
              <w:right w:val="nil"/>
            </w:tcBorders>
            <w:shd w:val="clear" w:color="D9E1F2" w:fill="D9E1F2"/>
            <w:vAlign w:val="center"/>
            <w:hideMark/>
          </w:tcPr>
          <w:p w14:paraId="5C0F2129" w14:textId="77777777" w:rsidR="004A49D5" w:rsidRPr="00FB351A" w:rsidRDefault="004A49D5" w:rsidP="004A49D5">
            <w:pPr>
              <w:jc w:val="center"/>
              <w:rPr>
                <w:rFonts w:ascii="Arial" w:hAnsi="Arial" w:cs="Arial"/>
                <w:color w:val="000000"/>
                <w:sz w:val="16"/>
                <w:szCs w:val="16"/>
              </w:rPr>
            </w:pPr>
          </w:p>
        </w:tc>
      </w:tr>
      <w:tr w:rsidR="004A49D5" w:rsidRPr="00FB351A" w14:paraId="1E066641" w14:textId="77777777" w:rsidTr="004A49D5">
        <w:trPr>
          <w:trHeight w:val="20"/>
        </w:trPr>
        <w:tc>
          <w:tcPr>
            <w:tcW w:w="536" w:type="pct"/>
            <w:tcBorders>
              <w:top w:val="single" w:sz="4" w:space="0" w:color="8EA9DB"/>
              <w:left w:val="nil"/>
              <w:bottom w:val="single" w:sz="4" w:space="0" w:color="8EA9DB"/>
              <w:right w:val="nil"/>
            </w:tcBorders>
            <w:vAlign w:val="center"/>
            <w:hideMark/>
          </w:tcPr>
          <w:p w14:paraId="4D4F17FB"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SELECCIÓN ABREVIADA DE MENOR CUANTÍA</w:t>
            </w:r>
          </w:p>
        </w:tc>
        <w:tc>
          <w:tcPr>
            <w:tcW w:w="529" w:type="pct"/>
            <w:tcBorders>
              <w:top w:val="single" w:sz="4" w:space="0" w:color="8EA9DB"/>
              <w:left w:val="nil"/>
              <w:bottom w:val="single" w:sz="4" w:space="0" w:color="8EA9DB"/>
              <w:right w:val="nil"/>
            </w:tcBorders>
            <w:vAlign w:val="center"/>
            <w:hideMark/>
          </w:tcPr>
          <w:p w14:paraId="6E57D71E" w14:textId="77777777" w:rsidR="004A49D5" w:rsidRPr="00FB351A" w:rsidRDefault="004A49D5" w:rsidP="004A49D5">
            <w:pPr>
              <w:jc w:val="center"/>
              <w:rPr>
                <w:rFonts w:ascii="Arial" w:hAnsi="Arial" w:cs="Arial"/>
                <w:color w:val="000000"/>
                <w:sz w:val="16"/>
                <w:szCs w:val="16"/>
              </w:rPr>
            </w:pPr>
            <w:proofErr w:type="spellStart"/>
            <w:r w:rsidRPr="00FB351A">
              <w:rPr>
                <w:rFonts w:ascii="Arial" w:hAnsi="Arial" w:cs="Arial"/>
                <w:color w:val="000000"/>
                <w:sz w:val="16"/>
                <w:szCs w:val="16"/>
              </w:rPr>
              <w:t>FDLC</w:t>
            </w:r>
            <w:proofErr w:type="spellEnd"/>
            <w:r w:rsidRPr="00FB351A">
              <w:rPr>
                <w:rFonts w:ascii="Arial" w:hAnsi="Arial" w:cs="Arial"/>
                <w:color w:val="000000"/>
                <w:sz w:val="16"/>
                <w:szCs w:val="16"/>
              </w:rPr>
              <w:t>-SAMC-001-2026</w:t>
            </w:r>
          </w:p>
        </w:tc>
        <w:tc>
          <w:tcPr>
            <w:tcW w:w="819" w:type="pct"/>
            <w:tcBorders>
              <w:top w:val="single" w:sz="4" w:space="0" w:color="8EA9DB"/>
              <w:left w:val="nil"/>
              <w:bottom w:val="single" w:sz="4" w:space="0" w:color="8EA9DB"/>
              <w:right w:val="nil"/>
            </w:tcBorders>
            <w:vAlign w:val="center"/>
            <w:hideMark/>
          </w:tcPr>
          <w:p w14:paraId="3AE4790F"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FONDO DE DESARROLLO LOCAL DE LA CANDELARIA</w:t>
            </w:r>
          </w:p>
        </w:tc>
        <w:tc>
          <w:tcPr>
            <w:tcW w:w="579" w:type="pct"/>
            <w:tcBorders>
              <w:top w:val="single" w:sz="4" w:space="0" w:color="8EA9DB"/>
              <w:left w:val="nil"/>
              <w:bottom w:val="single" w:sz="4" w:space="0" w:color="8EA9DB"/>
              <w:right w:val="nil"/>
            </w:tcBorders>
            <w:vAlign w:val="center"/>
            <w:hideMark/>
          </w:tcPr>
          <w:p w14:paraId="5FD1382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12/03/2026</w:t>
            </w:r>
          </w:p>
        </w:tc>
        <w:tc>
          <w:tcPr>
            <w:tcW w:w="601" w:type="pct"/>
            <w:tcBorders>
              <w:top w:val="single" w:sz="4" w:space="0" w:color="8EA9DB"/>
              <w:left w:val="nil"/>
              <w:bottom w:val="single" w:sz="4" w:space="0" w:color="8EA9DB"/>
              <w:right w:val="nil"/>
            </w:tcBorders>
            <w:vAlign w:val="center"/>
            <w:hideMark/>
          </w:tcPr>
          <w:p w14:paraId="78644B7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$ 73.357.949 </w:t>
            </w:r>
            <w:r w:rsidRPr="00FB351A">
              <w:rPr>
                <w:rFonts w:ascii="Arial" w:hAnsi="Arial" w:cs="Arial"/>
                <w:color w:val="000000"/>
                <w:sz w:val="16"/>
                <w:szCs w:val="16"/>
              </w:rPr>
              <w:br/>
              <w:t xml:space="preserve">GRUPO DOS: $ 2.242.800 </w:t>
            </w:r>
          </w:p>
        </w:tc>
        <w:tc>
          <w:tcPr>
            <w:tcW w:w="744" w:type="pct"/>
            <w:tcBorders>
              <w:top w:val="single" w:sz="4" w:space="0" w:color="8EA9DB"/>
              <w:left w:val="nil"/>
              <w:bottom w:val="single" w:sz="4" w:space="0" w:color="8EA9DB"/>
              <w:right w:val="nil"/>
            </w:tcBorders>
            <w:vAlign w:val="center"/>
            <w:hideMark/>
          </w:tcPr>
          <w:p w14:paraId="3AB10F5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LA PREVISORA SA COMPAÑÍA DE SEGUROS</w:t>
            </w:r>
            <w:r w:rsidRPr="00FB351A">
              <w:rPr>
                <w:rFonts w:ascii="Arial" w:hAnsi="Arial" w:cs="Arial"/>
                <w:color w:val="000000"/>
                <w:sz w:val="16"/>
                <w:szCs w:val="16"/>
              </w:rPr>
              <w:br/>
              <w:t xml:space="preserve">GRUPO DOS: AXA COLPATRIA SEGUROS SA </w:t>
            </w:r>
          </w:p>
        </w:tc>
        <w:tc>
          <w:tcPr>
            <w:tcW w:w="664" w:type="pct"/>
            <w:tcBorders>
              <w:top w:val="single" w:sz="4" w:space="0" w:color="8EA9DB"/>
              <w:left w:val="nil"/>
              <w:bottom w:val="single" w:sz="4" w:space="0" w:color="8EA9DB"/>
              <w:right w:val="nil"/>
            </w:tcBorders>
            <w:vAlign w:val="center"/>
            <w:hideMark/>
          </w:tcPr>
          <w:p w14:paraId="35A766E2"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PREVISORA - AXA - SOLIDARIA</w:t>
            </w:r>
            <w:r w:rsidRPr="00FB351A">
              <w:rPr>
                <w:rFonts w:ascii="Arial" w:hAnsi="Arial" w:cs="Arial"/>
                <w:color w:val="000000"/>
                <w:sz w:val="16"/>
                <w:szCs w:val="16"/>
              </w:rPr>
              <w:br/>
              <w:t xml:space="preserve">GRUPO DOS: PREVISORA - AXA - SOLIDARIA </w:t>
            </w:r>
          </w:p>
        </w:tc>
        <w:tc>
          <w:tcPr>
            <w:tcW w:w="529" w:type="pct"/>
            <w:tcBorders>
              <w:top w:val="single" w:sz="4" w:space="0" w:color="8EA9DB"/>
              <w:left w:val="nil"/>
              <w:bottom w:val="single" w:sz="4" w:space="0" w:color="8EA9DB"/>
              <w:right w:val="nil"/>
            </w:tcBorders>
            <w:vAlign w:val="center"/>
            <w:hideMark/>
          </w:tcPr>
          <w:p w14:paraId="7222CEDB"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335 DÍAS</w:t>
            </w:r>
            <w:r w:rsidRPr="00FB351A">
              <w:rPr>
                <w:rFonts w:ascii="Arial" w:hAnsi="Arial" w:cs="Arial"/>
                <w:color w:val="000000"/>
                <w:sz w:val="16"/>
                <w:szCs w:val="16"/>
              </w:rPr>
              <w:br/>
              <w:t xml:space="preserve">GRUPO DOS: ANUALIDAD </w:t>
            </w:r>
          </w:p>
        </w:tc>
      </w:tr>
      <w:tr w:rsidR="004A49D5" w:rsidRPr="00FB351A" w14:paraId="169FD6EF" w14:textId="77777777" w:rsidTr="004A49D5">
        <w:trPr>
          <w:trHeight w:val="20"/>
        </w:trPr>
        <w:tc>
          <w:tcPr>
            <w:tcW w:w="536" w:type="pct"/>
            <w:tcBorders>
              <w:top w:val="single" w:sz="4" w:space="0" w:color="8EA9DB"/>
              <w:left w:val="nil"/>
              <w:bottom w:val="single" w:sz="4" w:space="0" w:color="8EA9DB"/>
              <w:right w:val="nil"/>
            </w:tcBorders>
            <w:shd w:val="clear" w:color="D9E1F2" w:fill="D9E1F2"/>
            <w:vAlign w:val="center"/>
            <w:hideMark/>
          </w:tcPr>
          <w:p w14:paraId="3187568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MÍNIMA CUANTÍA</w:t>
            </w:r>
          </w:p>
        </w:tc>
        <w:tc>
          <w:tcPr>
            <w:tcW w:w="529" w:type="pct"/>
            <w:tcBorders>
              <w:top w:val="single" w:sz="4" w:space="0" w:color="8EA9DB"/>
              <w:left w:val="nil"/>
              <w:bottom w:val="single" w:sz="4" w:space="0" w:color="8EA9DB"/>
              <w:right w:val="nil"/>
            </w:tcBorders>
            <w:shd w:val="clear" w:color="D9E1F2" w:fill="D9E1F2"/>
            <w:vAlign w:val="center"/>
            <w:hideMark/>
          </w:tcPr>
          <w:p w14:paraId="300F6E02" w14:textId="77777777" w:rsidR="004A49D5" w:rsidRPr="00FB351A" w:rsidRDefault="004A49D5" w:rsidP="004A49D5">
            <w:pPr>
              <w:jc w:val="center"/>
              <w:rPr>
                <w:rFonts w:ascii="Arial" w:hAnsi="Arial" w:cs="Arial"/>
                <w:color w:val="000000"/>
                <w:sz w:val="16"/>
                <w:szCs w:val="16"/>
              </w:rPr>
            </w:pPr>
            <w:proofErr w:type="spellStart"/>
            <w:r w:rsidRPr="00FB351A">
              <w:rPr>
                <w:rFonts w:ascii="Arial" w:hAnsi="Arial" w:cs="Arial"/>
                <w:color w:val="000000"/>
                <w:sz w:val="16"/>
                <w:szCs w:val="16"/>
              </w:rPr>
              <w:t>IPMC</w:t>
            </w:r>
            <w:proofErr w:type="spellEnd"/>
            <w:r w:rsidRPr="00FB351A">
              <w:rPr>
                <w:rFonts w:ascii="Arial" w:hAnsi="Arial" w:cs="Arial"/>
                <w:color w:val="000000"/>
                <w:sz w:val="16"/>
                <w:szCs w:val="16"/>
              </w:rPr>
              <w:t>-ASO-001-2026</w:t>
            </w:r>
          </w:p>
        </w:tc>
        <w:tc>
          <w:tcPr>
            <w:tcW w:w="819" w:type="pct"/>
            <w:tcBorders>
              <w:top w:val="single" w:sz="4" w:space="0" w:color="8EA9DB"/>
              <w:left w:val="nil"/>
              <w:bottom w:val="single" w:sz="4" w:space="0" w:color="8EA9DB"/>
              <w:right w:val="nil"/>
            </w:tcBorders>
            <w:shd w:val="clear" w:color="D9E1F2" w:fill="D9E1F2"/>
            <w:vAlign w:val="center"/>
            <w:hideMark/>
          </w:tcPr>
          <w:p w14:paraId="5AFC0AF5"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ASOCIACIÓN COLOMBIANA DE CIUDADES CAPITALES - ASOCAPITALES</w:t>
            </w:r>
          </w:p>
        </w:tc>
        <w:tc>
          <w:tcPr>
            <w:tcW w:w="579" w:type="pct"/>
            <w:tcBorders>
              <w:top w:val="single" w:sz="4" w:space="0" w:color="8EA9DB"/>
              <w:left w:val="nil"/>
              <w:bottom w:val="single" w:sz="4" w:space="0" w:color="8EA9DB"/>
              <w:right w:val="nil"/>
            </w:tcBorders>
            <w:shd w:val="clear" w:color="D9E1F2" w:fill="D9E1F2"/>
            <w:vAlign w:val="center"/>
            <w:hideMark/>
          </w:tcPr>
          <w:p w14:paraId="262D3692"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13/03/2026</w:t>
            </w:r>
          </w:p>
        </w:tc>
        <w:tc>
          <w:tcPr>
            <w:tcW w:w="601" w:type="pct"/>
            <w:tcBorders>
              <w:top w:val="single" w:sz="4" w:space="0" w:color="8EA9DB"/>
              <w:left w:val="nil"/>
              <w:bottom w:val="single" w:sz="4" w:space="0" w:color="8EA9DB"/>
              <w:right w:val="nil"/>
            </w:tcBorders>
            <w:shd w:val="clear" w:color="D9E1F2" w:fill="D9E1F2"/>
            <w:vAlign w:val="center"/>
            <w:hideMark/>
          </w:tcPr>
          <w:p w14:paraId="2F93475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$ 40.583.276</w:t>
            </w:r>
            <w:r w:rsidRPr="00FB351A">
              <w:rPr>
                <w:rFonts w:ascii="Arial" w:hAnsi="Arial" w:cs="Arial"/>
                <w:color w:val="000000"/>
                <w:sz w:val="16"/>
                <w:szCs w:val="16"/>
              </w:rPr>
              <w:br/>
              <w:t xml:space="preserve">GRUPO DOS: $ 3.982.500  </w:t>
            </w:r>
          </w:p>
        </w:tc>
        <w:tc>
          <w:tcPr>
            <w:tcW w:w="744" w:type="pct"/>
            <w:tcBorders>
              <w:top w:val="single" w:sz="4" w:space="0" w:color="8EA9DB"/>
              <w:left w:val="nil"/>
              <w:bottom w:val="single" w:sz="4" w:space="0" w:color="8EA9DB"/>
              <w:right w:val="nil"/>
            </w:tcBorders>
            <w:shd w:val="clear" w:color="D9E1F2" w:fill="D9E1F2"/>
            <w:vAlign w:val="center"/>
            <w:hideMark/>
          </w:tcPr>
          <w:p w14:paraId="4024DFAC" w14:textId="6F78059C"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ASEGURADORA SOLIDARIA DE COLOMBIA</w:t>
            </w:r>
            <w:r w:rsidRPr="00FB351A">
              <w:rPr>
                <w:rFonts w:ascii="Arial" w:hAnsi="Arial" w:cs="Arial"/>
                <w:color w:val="000000"/>
                <w:sz w:val="16"/>
                <w:szCs w:val="16"/>
              </w:rPr>
              <w:br/>
              <w:t xml:space="preserve">GRUPO DOS: SEGUROS DEL ESTADO </w:t>
            </w:r>
          </w:p>
        </w:tc>
        <w:tc>
          <w:tcPr>
            <w:tcW w:w="664" w:type="pct"/>
            <w:tcBorders>
              <w:top w:val="single" w:sz="4" w:space="0" w:color="8EA9DB"/>
              <w:left w:val="nil"/>
              <w:bottom w:val="single" w:sz="4" w:space="0" w:color="8EA9DB"/>
              <w:right w:val="nil"/>
            </w:tcBorders>
            <w:shd w:val="clear" w:color="D9E1F2" w:fill="D9E1F2"/>
            <w:vAlign w:val="center"/>
            <w:hideMark/>
          </w:tcPr>
          <w:p w14:paraId="61A5A81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ASEGURADORA SOLIDARIA DE COLOMBIA</w:t>
            </w:r>
            <w:r w:rsidRPr="00FB351A">
              <w:rPr>
                <w:rFonts w:ascii="Arial" w:hAnsi="Arial" w:cs="Arial"/>
                <w:color w:val="000000"/>
                <w:sz w:val="16"/>
                <w:szCs w:val="16"/>
              </w:rPr>
              <w:br/>
              <w:t xml:space="preserve">GRUPO DOS: ESTADO - AURORA </w:t>
            </w:r>
          </w:p>
        </w:tc>
        <w:tc>
          <w:tcPr>
            <w:tcW w:w="529" w:type="pct"/>
            <w:tcBorders>
              <w:top w:val="single" w:sz="4" w:space="0" w:color="8EA9DB"/>
              <w:left w:val="nil"/>
              <w:bottom w:val="single" w:sz="4" w:space="0" w:color="8EA9DB"/>
              <w:right w:val="nil"/>
            </w:tcBorders>
            <w:shd w:val="clear" w:color="D9E1F2" w:fill="D9E1F2"/>
            <w:vAlign w:val="center"/>
            <w:hideMark/>
          </w:tcPr>
          <w:p w14:paraId="2B2F708D"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365 DÍAS</w:t>
            </w:r>
            <w:r w:rsidRPr="00FB351A">
              <w:rPr>
                <w:rFonts w:ascii="Arial" w:hAnsi="Arial" w:cs="Arial"/>
                <w:color w:val="000000"/>
                <w:sz w:val="16"/>
                <w:szCs w:val="16"/>
              </w:rPr>
              <w:br/>
              <w:t xml:space="preserve">GRUPO DOS: 365 DÍAS </w:t>
            </w:r>
          </w:p>
        </w:tc>
      </w:tr>
      <w:tr w:rsidR="004A49D5" w:rsidRPr="00FB351A" w14:paraId="5A2669B6" w14:textId="77777777" w:rsidTr="004A49D5">
        <w:trPr>
          <w:trHeight w:val="20"/>
        </w:trPr>
        <w:tc>
          <w:tcPr>
            <w:tcW w:w="536" w:type="pct"/>
            <w:tcBorders>
              <w:top w:val="single" w:sz="4" w:space="0" w:color="8EA9DB"/>
              <w:left w:val="nil"/>
              <w:bottom w:val="single" w:sz="4" w:space="0" w:color="8EA9DB"/>
              <w:right w:val="nil"/>
            </w:tcBorders>
            <w:shd w:val="clear" w:color="D9E1F2" w:fill="D9E1F2"/>
            <w:vAlign w:val="center"/>
            <w:hideMark/>
          </w:tcPr>
          <w:p w14:paraId="014AE4C5"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MÍNIMA CUANTÍA</w:t>
            </w:r>
          </w:p>
        </w:tc>
        <w:tc>
          <w:tcPr>
            <w:tcW w:w="529" w:type="pct"/>
            <w:tcBorders>
              <w:top w:val="single" w:sz="4" w:space="0" w:color="8EA9DB"/>
              <w:left w:val="nil"/>
              <w:bottom w:val="single" w:sz="4" w:space="0" w:color="8EA9DB"/>
              <w:right w:val="nil"/>
            </w:tcBorders>
            <w:shd w:val="clear" w:color="D9E1F2" w:fill="D9E1F2"/>
            <w:vAlign w:val="center"/>
            <w:hideMark/>
          </w:tcPr>
          <w:p w14:paraId="31371AE8" w14:textId="77777777" w:rsidR="004A49D5" w:rsidRPr="00FB351A" w:rsidRDefault="004A49D5" w:rsidP="004A49D5">
            <w:pPr>
              <w:jc w:val="center"/>
              <w:rPr>
                <w:rFonts w:ascii="Arial" w:hAnsi="Arial" w:cs="Arial"/>
                <w:color w:val="000000"/>
                <w:sz w:val="16"/>
                <w:szCs w:val="16"/>
              </w:rPr>
            </w:pPr>
            <w:proofErr w:type="spellStart"/>
            <w:r w:rsidRPr="00FB351A">
              <w:rPr>
                <w:rFonts w:ascii="Arial" w:hAnsi="Arial" w:cs="Arial"/>
                <w:color w:val="000000"/>
                <w:sz w:val="16"/>
                <w:szCs w:val="16"/>
              </w:rPr>
              <w:t>FDLC</w:t>
            </w:r>
            <w:proofErr w:type="spellEnd"/>
            <w:r w:rsidRPr="00FB351A">
              <w:rPr>
                <w:rFonts w:ascii="Arial" w:hAnsi="Arial" w:cs="Arial"/>
                <w:color w:val="000000"/>
                <w:sz w:val="16"/>
                <w:szCs w:val="16"/>
              </w:rPr>
              <w:t>-IMC-002-2026</w:t>
            </w:r>
          </w:p>
        </w:tc>
        <w:tc>
          <w:tcPr>
            <w:tcW w:w="819" w:type="pct"/>
            <w:tcBorders>
              <w:top w:val="single" w:sz="4" w:space="0" w:color="8EA9DB"/>
              <w:left w:val="nil"/>
              <w:bottom w:val="single" w:sz="4" w:space="0" w:color="8EA9DB"/>
              <w:right w:val="nil"/>
            </w:tcBorders>
            <w:shd w:val="clear" w:color="D9E1F2" w:fill="D9E1F2"/>
            <w:vAlign w:val="center"/>
            <w:hideMark/>
          </w:tcPr>
          <w:p w14:paraId="2A0FF8BF"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FONDO DE DESARROLLO LOCAL DE LA CANDELARIA</w:t>
            </w:r>
          </w:p>
        </w:tc>
        <w:tc>
          <w:tcPr>
            <w:tcW w:w="579" w:type="pct"/>
            <w:tcBorders>
              <w:top w:val="single" w:sz="4" w:space="0" w:color="8EA9DB"/>
              <w:left w:val="nil"/>
              <w:bottom w:val="single" w:sz="4" w:space="0" w:color="8EA9DB"/>
              <w:right w:val="nil"/>
            </w:tcBorders>
            <w:shd w:val="clear" w:color="D9E1F2" w:fill="D9E1F2"/>
            <w:vAlign w:val="center"/>
            <w:hideMark/>
          </w:tcPr>
          <w:p w14:paraId="7AB330F2"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24/04/2026</w:t>
            </w:r>
          </w:p>
        </w:tc>
        <w:tc>
          <w:tcPr>
            <w:tcW w:w="601" w:type="pct"/>
            <w:tcBorders>
              <w:top w:val="single" w:sz="4" w:space="0" w:color="8EA9DB"/>
              <w:left w:val="nil"/>
              <w:bottom w:val="single" w:sz="4" w:space="0" w:color="8EA9DB"/>
              <w:right w:val="nil"/>
            </w:tcBorders>
            <w:shd w:val="clear" w:color="D9E1F2" w:fill="D9E1F2"/>
            <w:vAlign w:val="center"/>
            <w:hideMark/>
          </w:tcPr>
          <w:p w14:paraId="4769ACA0"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                                                       11,870,042.00 </w:t>
            </w:r>
          </w:p>
        </w:tc>
        <w:tc>
          <w:tcPr>
            <w:tcW w:w="744" w:type="pct"/>
            <w:tcBorders>
              <w:top w:val="single" w:sz="4" w:space="0" w:color="8EA9DB"/>
              <w:left w:val="nil"/>
              <w:bottom w:val="single" w:sz="4" w:space="0" w:color="8EA9DB"/>
              <w:right w:val="nil"/>
            </w:tcBorders>
            <w:shd w:val="clear" w:color="D9E1F2" w:fill="D9E1F2"/>
            <w:vAlign w:val="center"/>
            <w:hideMark/>
          </w:tcPr>
          <w:p w14:paraId="3C10419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COMPAÑÍA DE SEGUROS DE VIDA AURORA</w:t>
            </w:r>
          </w:p>
        </w:tc>
        <w:tc>
          <w:tcPr>
            <w:tcW w:w="664" w:type="pct"/>
            <w:tcBorders>
              <w:top w:val="single" w:sz="4" w:space="0" w:color="8EA9DB"/>
              <w:left w:val="nil"/>
              <w:bottom w:val="single" w:sz="4" w:space="0" w:color="8EA9DB"/>
              <w:right w:val="nil"/>
            </w:tcBorders>
            <w:shd w:val="clear" w:color="D9E1F2" w:fill="D9E1F2"/>
            <w:vAlign w:val="center"/>
            <w:hideMark/>
          </w:tcPr>
          <w:p w14:paraId="56B0A13B"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AURORA - MUNDIAL</w:t>
            </w:r>
          </w:p>
        </w:tc>
        <w:tc>
          <w:tcPr>
            <w:tcW w:w="529" w:type="pct"/>
            <w:tcBorders>
              <w:top w:val="single" w:sz="4" w:space="0" w:color="8EA9DB"/>
              <w:left w:val="nil"/>
              <w:bottom w:val="single" w:sz="4" w:space="0" w:color="8EA9DB"/>
              <w:right w:val="nil"/>
            </w:tcBorders>
            <w:shd w:val="clear" w:color="D9E1F2" w:fill="D9E1F2"/>
            <w:vAlign w:val="center"/>
            <w:hideMark/>
          </w:tcPr>
          <w:p w14:paraId="512645CD"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412 DÍAS</w:t>
            </w:r>
          </w:p>
        </w:tc>
      </w:tr>
      <w:tr w:rsidR="004A49D5" w:rsidRPr="00FB351A" w14:paraId="7C07B3C0" w14:textId="77777777" w:rsidTr="004A49D5">
        <w:trPr>
          <w:trHeight w:val="20"/>
        </w:trPr>
        <w:tc>
          <w:tcPr>
            <w:tcW w:w="536" w:type="pct"/>
            <w:tcBorders>
              <w:top w:val="single" w:sz="4" w:space="0" w:color="8EA9DB"/>
              <w:left w:val="nil"/>
              <w:bottom w:val="single" w:sz="4" w:space="0" w:color="8EA9DB"/>
              <w:right w:val="nil"/>
            </w:tcBorders>
            <w:vAlign w:val="center"/>
            <w:hideMark/>
          </w:tcPr>
          <w:p w14:paraId="67F81D9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RÉGIMEN ESPECIAL</w:t>
            </w:r>
          </w:p>
        </w:tc>
        <w:tc>
          <w:tcPr>
            <w:tcW w:w="529" w:type="pct"/>
            <w:tcBorders>
              <w:top w:val="single" w:sz="4" w:space="0" w:color="8EA9DB"/>
              <w:left w:val="nil"/>
              <w:bottom w:val="single" w:sz="4" w:space="0" w:color="8EA9DB"/>
              <w:right w:val="nil"/>
            </w:tcBorders>
            <w:vAlign w:val="center"/>
            <w:hideMark/>
          </w:tcPr>
          <w:p w14:paraId="3493AD01" w14:textId="77777777" w:rsidR="004A49D5" w:rsidRPr="00FB351A" w:rsidRDefault="004A49D5" w:rsidP="004A49D5">
            <w:pPr>
              <w:jc w:val="center"/>
              <w:rPr>
                <w:rFonts w:ascii="Arial" w:hAnsi="Arial" w:cs="Arial"/>
                <w:color w:val="000000"/>
                <w:sz w:val="16"/>
                <w:szCs w:val="16"/>
              </w:rPr>
            </w:pPr>
            <w:proofErr w:type="spellStart"/>
            <w:r w:rsidRPr="00FB351A">
              <w:rPr>
                <w:rFonts w:ascii="Arial" w:hAnsi="Arial" w:cs="Arial"/>
                <w:color w:val="000000"/>
                <w:sz w:val="16"/>
                <w:szCs w:val="16"/>
              </w:rPr>
              <w:t>UPIT</w:t>
            </w:r>
            <w:proofErr w:type="spellEnd"/>
            <w:r w:rsidRPr="00FB351A">
              <w:rPr>
                <w:rFonts w:ascii="Arial" w:hAnsi="Arial" w:cs="Arial"/>
                <w:color w:val="000000"/>
                <w:sz w:val="16"/>
                <w:szCs w:val="16"/>
              </w:rPr>
              <w:t>-CA-002-2026</w:t>
            </w:r>
          </w:p>
        </w:tc>
        <w:tc>
          <w:tcPr>
            <w:tcW w:w="819" w:type="pct"/>
            <w:tcBorders>
              <w:top w:val="single" w:sz="4" w:space="0" w:color="8EA9DB"/>
              <w:left w:val="nil"/>
              <w:bottom w:val="single" w:sz="4" w:space="0" w:color="8EA9DB"/>
              <w:right w:val="nil"/>
            </w:tcBorders>
            <w:vAlign w:val="center"/>
            <w:hideMark/>
          </w:tcPr>
          <w:p w14:paraId="2060CAF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UNIDAD DE PLANEACIÓN DE INFRAESTRUCTURA DE TRANSPORTE - </w:t>
            </w:r>
            <w:proofErr w:type="spellStart"/>
            <w:r w:rsidRPr="00FB351A">
              <w:rPr>
                <w:rFonts w:ascii="Arial" w:hAnsi="Arial" w:cs="Arial"/>
                <w:color w:val="000000"/>
                <w:sz w:val="16"/>
                <w:szCs w:val="16"/>
              </w:rPr>
              <w:t>UPIT</w:t>
            </w:r>
            <w:proofErr w:type="spellEnd"/>
          </w:p>
        </w:tc>
        <w:tc>
          <w:tcPr>
            <w:tcW w:w="579" w:type="pct"/>
            <w:tcBorders>
              <w:top w:val="single" w:sz="4" w:space="0" w:color="8EA9DB"/>
              <w:left w:val="nil"/>
              <w:bottom w:val="single" w:sz="4" w:space="0" w:color="8EA9DB"/>
              <w:right w:val="nil"/>
            </w:tcBorders>
            <w:vAlign w:val="center"/>
            <w:hideMark/>
          </w:tcPr>
          <w:p w14:paraId="04BC3996"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27/04/2026</w:t>
            </w:r>
          </w:p>
        </w:tc>
        <w:tc>
          <w:tcPr>
            <w:tcW w:w="601" w:type="pct"/>
            <w:tcBorders>
              <w:top w:val="single" w:sz="4" w:space="0" w:color="8EA9DB"/>
              <w:left w:val="nil"/>
              <w:bottom w:val="single" w:sz="4" w:space="0" w:color="8EA9DB"/>
              <w:right w:val="nil"/>
            </w:tcBorders>
            <w:vAlign w:val="center"/>
            <w:hideMark/>
          </w:tcPr>
          <w:p w14:paraId="43F9EEA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                                                    141,990,609.00 </w:t>
            </w:r>
          </w:p>
        </w:tc>
        <w:tc>
          <w:tcPr>
            <w:tcW w:w="744" w:type="pct"/>
            <w:tcBorders>
              <w:top w:val="single" w:sz="4" w:space="0" w:color="8EA9DB"/>
              <w:left w:val="nil"/>
              <w:bottom w:val="single" w:sz="4" w:space="0" w:color="8EA9DB"/>
              <w:right w:val="nil"/>
            </w:tcBorders>
            <w:vAlign w:val="center"/>
            <w:hideMark/>
          </w:tcPr>
          <w:p w14:paraId="66458197"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AXA COLPATRIA SEGUROS SA</w:t>
            </w:r>
          </w:p>
        </w:tc>
        <w:tc>
          <w:tcPr>
            <w:tcW w:w="664" w:type="pct"/>
            <w:tcBorders>
              <w:top w:val="single" w:sz="4" w:space="0" w:color="8EA9DB"/>
              <w:left w:val="nil"/>
              <w:bottom w:val="single" w:sz="4" w:space="0" w:color="8EA9DB"/>
              <w:right w:val="nil"/>
            </w:tcBorders>
            <w:vAlign w:val="center"/>
            <w:hideMark/>
          </w:tcPr>
          <w:p w14:paraId="1389608A"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AXA - ESTADO - SOLIDARIA</w:t>
            </w:r>
          </w:p>
        </w:tc>
        <w:tc>
          <w:tcPr>
            <w:tcW w:w="529" w:type="pct"/>
            <w:tcBorders>
              <w:top w:val="single" w:sz="4" w:space="0" w:color="8EA9DB"/>
              <w:left w:val="nil"/>
              <w:bottom w:val="single" w:sz="4" w:space="0" w:color="8EA9DB"/>
              <w:right w:val="nil"/>
            </w:tcBorders>
            <w:vAlign w:val="center"/>
            <w:hideMark/>
          </w:tcPr>
          <w:p w14:paraId="18494A1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473 DÍAS</w:t>
            </w:r>
          </w:p>
        </w:tc>
      </w:tr>
      <w:tr w:rsidR="004A49D5" w:rsidRPr="00FB351A" w14:paraId="598889AC" w14:textId="77777777" w:rsidTr="004A49D5">
        <w:trPr>
          <w:trHeight w:val="20"/>
        </w:trPr>
        <w:tc>
          <w:tcPr>
            <w:tcW w:w="536" w:type="pct"/>
            <w:tcBorders>
              <w:top w:val="single" w:sz="4" w:space="0" w:color="8EA9DB"/>
              <w:left w:val="nil"/>
              <w:bottom w:val="single" w:sz="4" w:space="0" w:color="8EA9DB"/>
              <w:right w:val="nil"/>
            </w:tcBorders>
            <w:shd w:val="clear" w:color="D9E1F2" w:fill="D9E1F2"/>
            <w:vAlign w:val="center"/>
            <w:hideMark/>
          </w:tcPr>
          <w:p w14:paraId="4A7E0202"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SELECCIÓN ABREVIAD</w:t>
            </w:r>
            <w:r w:rsidRPr="00FB351A">
              <w:rPr>
                <w:rFonts w:ascii="Arial" w:hAnsi="Arial" w:cs="Arial"/>
                <w:color w:val="000000"/>
                <w:sz w:val="16"/>
                <w:szCs w:val="16"/>
              </w:rPr>
              <w:lastRenderedPageBreak/>
              <w:t>A DE MENOR CUANTÍA</w:t>
            </w:r>
          </w:p>
        </w:tc>
        <w:tc>
          <w:tcPr>
            <w:tcW w:w="529" w:type="pct"/>
            <w:tcBorders>
              <w:top w:val="single" w:sz="4" w:space="0" w:color="8EA9DB"/>
              <w:left w:val="nil"/>
              <w:bottom w:val="single" w:sz="4" w:space="0" w:color="8EA9DB"/>
              <w:right w:val="nil"/>
            </w:tcBorders>
            <w:shd w:val="clear" w:color="D9E1F2" w:fill="D9E1F2"/>
            <w:vAlign w:val="center"/>
            <w:hideMark/>
          </w:tcPr>
          <w:p w14:paraId="5F1FE762"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lastRenderedPageBreak/>
              <w:t>SAMC-002-2026</w:t>
            </w:r>
          </w:p>
        </w:tc>
        <w:tc>
          <w:tcPr>
            <w:tcW w:w="819" w:type="pct"/>
            <w:tcBorders>
              <w:top w:val="single" w:sz="4" w:space="0" w:color="8EA9DB"/>
              <w:left w:val="nil"/>
              <w:bottom w:val="single" w:sz="4" w:space="0" w:color="8EA9DB"/>
              <w:right w:val="nil"/>
            </w:tcBorders>
            <w:shd w:val="clear" w:color="D9E1F2" w:fill="D9E1F2"/>
            <w:vAlign w:val="center"/>
            <w:hideMark/>
          </w:tcPr>
          <w:p w14:paraId="65FC809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INSTITUTO NACIONAL PARA SORDOS - </w:t>
            </w:r>
            <w:proofErr w:type="spellStart"/>
            <w:r w:rsidRPr="00FB351A">
              <w:rPr>
                <w:rFonts w:ascii="Arial" w:hAnsi="Arial" w:cs="Arial"/>
                <w:color w:val="000000"/>
                <w:sz w:val="16"/>
                <w:szCs w:val="16"/>
              </w:rPr>
              <w:t>INSOR</w:t>
            </w:r>
            <w:proofErr w:type="spellEnd"/>
          </w:p>
        </w:tc>
        <w:tc>
          <w:tcPr>
            <w:tcW w:w="579" w:type="pct"/>
            <w:tcBorders>
              <w:top w:val="single" w:sz="4" w:space="0" w:color="8EA9DB"/>
              <w:left w:val="nil"/>
              <w:bottom w:val="single" w:sz="4" w:space="0" w:color="8EA9DB"/>
              <w:right w:val="nil"/>
            </w:tcBorders>
            <w:shd w:val="clear" w:color="D9E1F2" w:fill="D9E1F2"/>
            <w:vAlign w:val="center"/>
            <w:hideMark/>
          </w:tcPr>
          <w:p w14:paraId="617ACBB0"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27/04/2026</w:t>
            </w:r>
          </w:p>
        </w:tc>
        <w:tc>
          <w:tcPr>
            <w:tcW w:w="601" w:type="pct"/>
            <w:tcBorders>
              <w:top w:val="single" w:sz="4" w:space="0" w:color="8EA9DB"/>
              <w:left w:val="nil"/>
              <w:bottom w:val="single" w:sz="4" w:space="0" w:color="8EA9DB"/>
              <w:right w:val="nil"/>
            </w:tcBorders>
            <w:shd w:val="clear" w:color="D9E1F2" w:fill="D9E1F2"/>
            <w:vAlign w:val="center"/>
            <w:hideMark/>
          </w:tcPr>
          <w:p w14:paraId="3EE51C25"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                                                    119,734,100.00 </w:t>
            </w:r>
          </w:p>
        </w:tc>
        <w:tc>
          <w:tcPr>
            <w:tcW w:w="744" w:type="pct"/>
            <w:tcBorders>
              <w:top w:val="single" w:sz="4" w:space="0" w:color="8EA9DB"/>
              <w:left w:val="nil"/>
              <w:bottom w:val="single" w:sz="4" w:space="0" w:color="8EA9DB"/>
              <w:right w:val="nil"/>
            </w:tcBorders>
            <w:shd w:val="clear" w:color="D9E1F2" w:fill="D9E1F2"/>
            <w:vAlign w:val="center"/>
            <w:hideMark/>
          </w:tcPr>
          <w:p w14:paraId="76757EE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AXA COLPATRIA SEGUROS SA</w:t>
            </w:r>
          </w:p>
        </w:tc>
        <w:tc>
          <w:tcPr>
            <w:tcW w:w="664" w:type="pct"/>
            <w:tcBorders>
              <w:top w:val="single" w:sz="4" w:space="0" w:color="8EA9DB"/>
              <w:left w:val="nil"/>
              <w:bottom w:val="single" w:sz="4" w:space="0" w:color="8EA9DB"/>
              <w:right w:val="nil"/>
            </w:tcBorders>
            <w:shd w:val="clear" w:color="D9E1F2" w:fill="D9E1F2"/>
            <w:vAlign w:val="center"/>
            <w:hideMark/>
          </w:tcPr>
          <w:p w14:paraId="1493088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AXA - ESTADO - SOLIDARIA</w:t>
            </w:r>
          </w:p>
        </w:tc>
        <w:tc>
          <w:tcPr>
            <w:tcW w:w="529" w:type="pct"/>
            <w:tcBorders>
              <w:top w:val="single" w:sz="4" w:space="0" w:color="8EA9DB"/>
              <w:left w:val="nil"/>
              <w:bottom w:val="single" w:sz="4" w:space="0" w:color="8EA9DB"/>
              <w:right w:val="nil"/>
            </w:tcBorders>
            <w:shd w:val="clear" w:color="D9E1F2" w:fill="D9E1F2"/>
            <w:vAlign w:val="center"/>
            <w:hideMark/>
          </w:tcPr>
          <w:p w14:paraId="67BA6F4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654 DÍAS</w:t>
            </w:r>
          </w:p>
        </w:tc>
      </w:tr>
      <w:tr w:rsidR="004A49D5" w:rsidRPr="00FB351A" w14:paraId="3E22182A" w14:textId="77777777" w:rsidTr="004A49D5">
        <w:trPr>
          <w:trHeight w:val="20"/>
        </w:trPr>
        <w:tc>
          <w:tcPr>
            <w:tcW w:w="536" w:type="pct"/>
            <w:tcBorders>
              <w:top w:val="single" w:sz="4" w:space="0" w:color="8EA9DB"/>
              <w:left w:val="nil"/>
              <w:bottom w:val="single" w:sz="4" w:space="0" w:color="8EA9DB"/>
              <w:right w:val="nil"/>
            </w:tcBorders>
            <w:vAlign w:val="center"/>
            <w:hideMark/>
          </w:tcPr>
          <w:p w14:paraId="0811069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LICITACIÓN PÚBLICA</w:t>
            </w:r>
          </w:p>
        </w:tc>
        <w:tc>
          <w:tcPr>
            <w:tcW w:w="529" w:type="pct"/>
            <w:tcBorders>
              <w:top w:val="single" w:sz="4" w:space="0" w:color="8EA9DB"/>
              <w:left w:val="nil"/>
              <w:bottom w:val="single" w:sz="4" w:space="0" w:color="8EA9DB"/>
              <w:right w:val="nil"/>
            </w:tcBorders>
            <w:vAlign w:val="center"/>
            <w:hideMark/>
          </w:tcPr>
          <w:p w14:paraId="1036D8A7"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26001053 </w:t>
            </w:r>
            <w:proofErr w:type="spellStart"/>
            <w:r w:rsidRPr="00FB351A">
              <w:rPr>
                <w:rFonts w:ascii="Arial" w:hAnsi="Arial" w:cs="Arial"/>
                <w:color w:val="000000"/>
                <w:sz w:val="16"/>
                <w:szCs w:val="16"/>
              </w:rPr>
              <w:t>H3</w:t>
            </w:r>
            <w:proofErr w:type="spellEnd"/>
            <w:r w:rsidRPr="00FB351A">
              <w:rPr>
                <w:rFonts w:ascii="Arial" w:hAnsi="Arial" w:cs="Arial"/>
                <w:color w:val="000000"/>
                <w:sz w:val="16"/>
                <w:szCs w:val="16"/>
              </w:rPr>
              <w:t xml:space="preserve"> DE 2026</w:t>
            </w:r>
          </w:p>
        </w:tc>
        <w:tc>
          <w:tcPr>
            <w:tcW w:w="819" w:type="pct"/>
            <w:tcBorders>
              <w:top w:val="single" w:sz="4" w:space="0" w:color="8EA9DB"/>
              <w:left w:val="nil"/>
              <w:bottom w:val="single" w:sz="4" w:space="0" w:color="8EA9DB"/>
              <w:right w:val="nil"/>
            </w:tcBorders>
            <w:vAlign w:val="center"/>
            <w:hideMark/>
          </w:tcPr>
          <w:p w14:paraId="23223392" w14:textId="778F8179"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UNIDAD ADMINISTRATIVA ESPECIAL AERONÁUTICA CIVIL - AEROCIVIL</w:t>
            </w:r>
          </w:p>
        </w:tc>
        <w:tc>
          <w:tcPr>
            <w:tcW w:w="579" w:type="pct"/>
            <w:tcBorders>
              <w:top w:val="single" w:sz="4" w:space="0" w:color="8EA9DB"/>
              <w:left w:val="nil"/>
              <w:bottom w:val="single" w:sz="4" w:space="0" w:color="8EA9DB"/>
              <w:right w:val="nil"/>
            </w:tcBorders>
            <w:vAlign w:val="center"/>
            <w:hideMark/>
          </w:tcPr>
          <w:p w14:paraId="09FE5A8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30/04/2026</w:t>
            </w:r>
          </w:p>
        </w:tc>
        <w:tc>
          <w:tcPr>
            <w:tcW w:w="601" w:type="pct"/>
            <w:tcBorders>
              <w:top w:val="single" w:sz="4" w:space="0" w:color="8EA9DB"/>
              <w:left w:val="nil"/>
              <w:bottom w:val="single" w:sz="4" w:space="0" w:color="8EA9DB"/>
              <w:right w:val="nil"/>
            </w:tcBorders>
            <w:vAlign w:val="center"/>
            <w:hideMark/>
          </w:tcPr>
          <w:p w14:paraId="7DE3DA23" w14:textId="24DDDD88"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GRUPO </w:t>
            </w:r>
            <w:r w:rsidR="00E84526" w:rsidRPr="00FB351A">
              <w:rPr>
                <w:rFonts w:ascii="Arial" w:hAnsi="Arial" w:cs="Arial"/>
                <w:color w:val="000000"/>
                <w:sz w:val="16"/>
                <w:szCs w:val="16"/>
              </w:rPr>
              <w:t>UNO: $</w:t>
            </w:r>
            <w:r w:rsidRPr="00FB351A">
              <w:rPr>
                <w:rFonts w:ascii="Arial" w:hAnsi="Arial" w:cs="Arial"/>
                <w:color w:val="000000"/>
                <w:sz w:val="16"/>
                <w:szCs w:val="16"/>
              </w:rPr>
              <w:t xml:space="preserve"> 8.802.138.998</w:t>
            </w:r>
            <w:r w:rsidRPr="00FB351A">
              <w:rPr>
                <w:rFonts w:ascii="Arial" w:hAnsi="Arial" w:cs="Arial"/>
                <w:color w:val="000000"/>
                <w:sz w:val="16"/>
                <w:szCs w:val="16"/>
              </w:rPr>
              <w:br/>
              <w:t>GRUPO DOS: $ 1.440.397.215</w:t>
            </w:r>
            <w:r w:rsidRPr="00FB351A">
              <w:rPr>
                <w:rFonts w:ascii="Arial" w:hAnsi="Arial" w:cs="Arial"/>
                <w:color w:val="000000"/>
                <w:sz w:val="16"/>
                <w:szCs w:val="16"/>
              </w:rPr>
              <w:br/>
              <w:t>GRUPO TRES: $ 549.597.760</w:t>
            </w:r>
            <w:r w:rsidRPr="00FB351A">
              <w:rPr>
                <w:rFonts w:ascii="Arial" w:hAnsi="Arial" w:cs="Arial"/>
                <w:color w:val="000000"/>
                <w:sz w:val="16"/>
                <w:szCs w:val="16"/>
              </w:rPr>
              <w:br/>
              <w:t>GRUPO CUATRO: $ 372.882.479</w:t>
            </w:r>
            <w:r w:rsidRPr="00FB351A">
              <w:rPr>
                <w:rFonts w:ascii="Arial" w:hAnsi="Arial" w:cs="Arial"/>
                <w:color w:val="000000"/>
                <w:sz w:val="16"/>
                <w:szCs w:val="16"/>
              </w:rPr>
              <w:br/>
              <w:t>GRUPO CINCO: $ 1.257.324.657</w:t>
            </w:r>
            <w:r w:rsidRPr="00FB351A">
              <w:rPr>
                <w:rFonts w:ascii="Arial" w:hAnsi="Arial" w:cs="Arial"/>
                <w:color w:val="000000"/>
                <w:sz w:val="16"/>
                <w:szCs w:val="16"/>
              </w:rPr>
              <w:br/>
              <w:t>GRUPO SEIS: $ 22.841.567.817</w:t>
            </w:r>
            <w:r w:rsidRPr="00FB351A">
              <w:rPr>
                <w:rFonts w:ascii="Arial" w:hAnsi="Arial" w:cs="Arial"/>
                <w:color w:val="000000"/>
                <w:sz w:val="16"/>
                <w:szCs w:val="16"/>
              </w:rPr>
              <w:br/>
              <w:t>GRUPO SIETE: $ 206.288.144</w:t>
            </w:r>
            <w:r w:rsidRPr="00FB351A">
              <w:rPr>
                <w:rFonts w:ascii="Arial" w:hAnsi="Arial" w:cs="Arial"/>
                <w:color w:val="000000"/>
                <w:sz w:val="16"/>
                <w:szCs w:val="16"/>
              </w:rPr>
              <w:br/>
              <w:t>GRUPO OCHO: $ 108.749.509</w:t>
            </w:r>
            <w:r w:rsidRPr="00FB351A">
              <w:rPr>
                <w:rFonts w:ascii="Arial" w:hAnsi="Arial" w:cs="Arial"/>
                <w:color w:val="000000"/>
                <w:sz w:val="16"/>
                <w:szCs w:val="16"/>
              </w:rPr>
              <w:br/>
              <w:t>GRUPO NUEVE: $ 450.776.659</w:t>
            </w:r>
          </w:p>
        </w:tc>
        <w:tc>
          <w:tcPr>
            <w:tcW w:w="744" w:type="pct"/>
            <w:tcBorders>
              <w:top w:val="single" w:sz="4" w:space="0" w:color="8EA9DB"/>
              <w:left w:val="nil"/>
              <w:bottom w:val="single" w:sz="4" w:space="0" w:color="8EA9DB"/>
              <w:right w:val="nil"/>
            </w:tcBorders>
            <w:vAlign w:val="center"/>
            <w:hideMark/>
          </w:tcPr>
          <w:p w14:paraId="29345C8A" w14:textId="23A58D19"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GRUPO UNO: UNION TEMPORAL LA PREVISORA - AXA COLPATRIA - ALLIANZ SEGUROS - </w:t>
            </w:r>
            <w:proofErr w:type="spellStart"/>
            <w:r w:rsidRPr="00FB351A">
              <w:rPr>
                <w:rFonts w:ascii="Arial" w:hAnsi="Arial" w:cs="Arial"/>
                <w:color w:val="000000"/>
                <w:sz w:val="16"/>
                <w:szCs w:val="16"/>
              </w:rPr>
              <w:t>HDI</w:t>
            </w:r>
            <w:proofErr w:type="spellEnd"/>
            <w:r w:rsidRPr="00FB351A">
              <w:rPr>
                <w:rFonts w:ascii="Arial" w:hAnsi="Arial" w:cs="Arial"/>
                <w:color w:val="000000"/>
                <w:sz w:val="16"/>
                <w:szCs w:val="16"/>
              </w:rPr>
              <w:t xml:space="preserve"> - 26001053 </w:t>
            </w:r>
            <w:proofErr w:type="spellStart"/>
            <w:r w:rsidRPr="00FB351A">
              <w:rPr>
                <w:rFonts w:ascii="Arial" w:hAnsi="Arial" w:cs="Arial"/>
                <w:color w:val="000000"/>
                <w:sz w:val="16"/>
                <w:szCs w:val="16"/>
              </w:rPr>
              <w:t>H3</w:t>
            </w:r>
            <w:proofErr w:type="spellEnd"/>
            <w:r w:rsidRPr="00FB351A">
              <w:rPr>
                <w:rFonts w:ascii="Arial" w:hAnsi="Arial" w:cs="Arial"/>
                <w:color w:val="000000"/>
                <w:sz w:val="16"/>
                <w:szCs w:val="16"/>
              </w:rPr>
              <w:t xml:space="preserve"> DE 2026 - AEROCIVIL</w:t>
            </w:r>
            <w:r w:rsidRPr="00FB351A">
              <w:rPr>
                <w:rFonts w:ascii="Arial" w:hAnsi="Arial" w:cs="Arial"/>
                <w:color w:val="000000"/>
                <w:sz w:val="16"/>
                <w:szCs w:val="16"/>
              </w:rPr>
              <w:br/>
              <w:t xml:space="preserve">GRUPO DOS: UNION TEMPORAL LA PREVISORA - AXA COLPATRIA - ALLIANZ SEGUROS - </w:t>
            </w:r>
            <w:proofErr w:type="spellStart"/>
            <w:r w:rsidRPr="00FB351A">
              <w:rPr>
                <w:rFonts w:ascii="Arial" w:hAnsi="Arial" w:cs="Arial"/>
                <w:color w:val="000000"/>
                <w:sz w:val="16"/>
                <w:szCs w:val="16"/>
              </w:rPr>
              <w:t>HDI</w:t>
            </w:r>
            <w:proofErr w:type="spellEnd"/>
            <w:r w:rsidRPr="00FB351A">
              <w:rPr>
                <w:rFonts w:ascii="Arial" w:hAnsi="Arial" w:cs="Arial"/>
                <w:color w:val="000000"/>
                <w:sz w:val="16"/>
                <w:szCs w:val="16"/>
              </w:rPr>
              <w:t xml:space="preserve"> - 26001053 </w:t>
            </w:r>
            <w:proofErr w:type="spellStart"/>
            <w:r w:rsidRPr="00FB351A">
              <w:rPr>
                <w:rFonts w:ascii="Arial" w:hAnsi="Arial" w:cs="Arial"/>
                <w:color w:val="000000"/>
                <w:sz w:val="16"/>
                <w:szCs w:val="16"/>
              </w:rPr>
              <w:t>H3</w:t>
            </w:r>
            <w:proofErr w:type="spellEnd"/>
            <w:r w:rsidRPr="00FB351A">
              <w:rPr>
                <w:rFonts w:ascii="Arial" w:hAnsi="Arial" w:cs="Arial"/>
                <w:color w:val="000000"/>
                <w:sz w:val="16"/>
                <w:szCs w:val="16"/>
              </w:rPr>
              <w:t xml:space="preserve"> DE 2026 - AEROCIVIL</w:t>
            </w:r>
            <w:r w:rsidRPr="00FB351A">
              <w:rPr>
                <w:rFonts w:ascii="Arial" w:hAnsi="Arial" w:cs="Arial"/>
                <w:color w:val="000000"/>
                <w:sz w:val="16"/>
                <w:szCs w:val="16"/>
              </w:rPr>
              <w:br/>
              <w:t>GRUPO TRES: ZURICH COLOMBIA SEGUROS SA</w:t>
            </w:r>
            <w:r w:rsidRPr="00FB351A">
              <w:rPr>
                <w:rFonts w:ascii="Arial" w:hAnsi="Arial" w:cs="Arial"/>
                <w:color w:val="000000"/>
                <w:sz w:val="16"/>
                <w:szCs w:val="16"/>
              </w:rPr>
              <w:br/>
              <w:t>GRUPO CUATRO: Aseguradora Solidaria de Colombia Entidad Cooperativa.</w:t>
            </w:r>
            <w:r w:rsidRPr="00FB351A">
              <w:rPr>
                <w:rFonts w:ascii="Arial" w:hAnsi="Arial" w:cs="Arial"/>
                <w:color w:val="000000"/>
                <w:sz w:val="16"/>
                <w:szCs w:val="16"/>
              </w:rPr>
              <w:br/>
              <w:t>GRUPO CINCO: CHUBB SEGUROS COLOMBIA S.A.</w:t>
            </w:r>
            <w:r w:rsidRPr="00FB351A">
              <w:rPr>
                <w:rFonts w:ascii="Arial" w:hAnsi="Arial" w:cs="Arial"/>
                <w:color w:val="000000"/>
                <w:sz w:val="16"/>
                <w:szCs w:val="16"/>
              </w:rPr>
              <w:br/>
              <w:t>GRUPO SEIS: UT-AXA-PREVISORA-</w:t>
            </w:r>
            <w:proofErr w:type="spellStart"/>
            <w:r w:rsidRPr="00FB351A">
              <w:rPr>
                <w:rFonts w:ascii="Arial" w:hAnsi="Arial" w:cs="Arial"/>
                <w:color w:val="000000"/>
                <w:sz w:val="16"/>
                <w:szCs w:val="16"/>
              </w:rPr>
              <w:t>SBS</w:t>
            </w:r>
            <w:proofErr w:type="spellEnd"/>
            <w:r w:rsidRPr="00FB351A">
              <w:rPr>
                <w:rFonts w:ascii="Arial" w:hAnsi="Arial" w:cs="Arial"/>
                <w:color w:val="000000"/>
                <w:sz w:val="16"/>
                <w:szCs w:val="16"/>
              </w:rPr>
              <w:t>-</w:t>
            </w:r>
            <w:proofErr w:type="spellStart"/>
            <w:r w:rsidRPr="00FB351A">
              <w:rPr>
                <w:rFonts w:ascii="Arial" w:hAnsi="Arial" w:cs="Arial"/>
                <w:color w:val="000000"/>
                <w:sz w:val="16"/>
                <w:szCs w:val="16"/>
              </w:rPr>
              <w:t>HDI</w:t>
            </w:r>
            <w:proofErr w:type="spellEnd"/>
            <w:r w:rsidRPr="00FB351A">
              <w:rPr>
                <w:rFonts w:ascii="Arial" w:hAnsi="Arial" w:cs="Arial"/>
                <w:color w:val="000000"/>
                <w:sz w:val="16"/>
                <w:szCs w:val="16"/>
              </w:rPr>
              <w:t>-ALLIANZ-</w:t>
            </w:r>
            <w:proofErr w:type="spellStart"/>
            <w:r w:rsidRPr="00FB351A">
              <w:rPr>
                <w:rFonts w:ascii="Arial" w:hAnsi="Arial" w:cs="Arial"/>
                <w:color w:val="000000"/>
                <w:sz w:val="16"/>
                <w:szCs w:val="16"/>
              </w:rPr>
              <w:t>UAEACTRDM2026</w:t>
            </w:r>
            <w:proofErr w:type="spellEnd"/>
            <w:r w:rsidRPr="00FB351A">
              <w:rPr>
                <w:rFonts w:ascii="Arial" w:hAnsi="Arial" w:cs="Arial"/>
                <w:color w:val="000000"/>
                <w:sz w:val="16"/>
                <w:szCs w:val="16"/>
              </w:rPr>
              <w:t>.</w:t>
            </w:r>
            <w:r w:rsidRPr="00FB351A">
              <w:rPr>
                <w:rFonts w:ascii="Arial" w:hAnsi="Arial" w:cs="Arial"/>
                <w:color w:val="000000"/>
                <w:sz w:val="16"/>
                <w:szCs w:val="16"/>
              </w:rPr>
              <w:br/>
              <w:t xml:space="preserve">GRUPO SIETE: POSITIVA COMPAÑÍA DE SEGUROS S.A </w:t>
            </w:r>
            <w:r w:rsidRPr="00FB351A">
              <w:rPr>
                <w:rFonts w:ascii="Arial" w:hAnsi="Arial" w:cs="Arial"/>
                <w:color w:val="000000"/>
                <w:sz w:val="16"/>
                <w:szCs w:val="16"/>
              </w:rPr>
              <w:br/>
              <w:t>GRUPO OCHO: AXA COLPATRIA SEGUROS S.A</w:t>
            </w:r>
            <w:r w:rsidRPr="00FB351A">
              <w:rPr>
                <w:rFonts w:ascii="Arial" w:hAnsi="Arial" w:cs="Arial"/>
                <w:color w:val="000000"/>
                <w:sz w:val="16"/>
                <w:szCs w:val="16"/>
              </w:rPr>
              <w:br/>
              <w:t>GRUPO NUEVE: AXA COLPATRIA SEGUROS S.A</w:t>
            </w:r>
          </w:p>
        </w:tc>
        <w:tc>
          <w:tcPr>
            <w:tcW w:w="664" w:type="pct"/>
            <w:tcBorders>
              <w:top w:val="single" w:sz="4" w:space="0" w:color="8EA9DB"/>
              <w:left w:val="nil"/>
              <w:bottom w:val="single" w:sz="4" w:space="0" w:color="8EA9DB"/>
              <w:right w:val="nil"/>
            </w:tcBorders>
            <w:vAlign w:val="center"/>
            <w:hideMark/>
          </w:tcPr>
          <w:p w14:paraId="58CEDC4B" w14:textId="4B4FF0C8"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GRUPO UNO: UT PREVISORA - AXA - ALLIANZ - </w:t>
            </w:r>
            <w:proofErr w:type="spellStart"/>
            <w:r w:rsidRPr="00FB351A">
              <w:rPr>
                <w:rFonts w:ascii="Arial" w:hAnsi="Arial" w:cs="Arial"/>
                <w:color w:val="000000"/>
                <w:sz w:val="16"/>
                <w:szCs w:val="16"/>
              </w:rPr>
              <w:t>HDI</w:t>
            </w:r>
            <w:proofErr w:type="spellEnd"/>
            <w:r w:rsidRPr="00FB351A">
              <w:rPr>
                <w:rFonts w:ascii="Arial" w:hAnsi="Arial" w:cs="Arial"/>
                <w:color w:val="000000"/>
                <w:sz w:val="16"/>
                <w:szCs w:val="16"/>
              </w:rPr>
              <w:br/>
              <w:t xml:space="preserve">GRUPO DOS: UT PREVISORA - AXA - ALLIANZ - </w:t>
            </w:r>
            <w:proofErr w:type="spellStart"/>
            <w:r w:rsidRPr="00FB351A">
              <w:rPr>
                <w:rFonts w:ascii="Arial" w:hAnsi="Arial" w:cs="Arial"/>
                <w:color w:val="000000"/>
                <w:sz w:val="16"/>
                <w:szCs w:val="16"/>
              </w:rPr>
              <w:t>HDI</w:t>
            </w:r>
            <w:proofErr w:type="spellEnd"/>
            <w:r w:rsidRPr="00FB351A">
              <w:rPr>
                <w:rFonts w:ascii="Arial" w:hAnsi="Arial" w:cs="Arial"/>
                <w:color w:val="000000"/>
                <w:sz w:val="16"/>
                <w:szCs w:val="16"/>
              </w:rPr>
              <w:br/>
              <w:t xml:space="preserve">GRUPO TRES: ZURICH - UT PREVISORA - AXA - ALLIANZ - </w:t>
            </w:r>
            <w:proofErr w:type="spellStart"/>
            <w:r w:rsidRPr="00FB351A">
              <w:rPr>
                <w:rFonts w:ascii="Arial" w:hAnsi="Arial" w:cs="Arial"/>
                <w:color w:val="000000"/>
                <w:sz w:val="16"/>
                <w:szCs w:val="16"/>
              </w:rPr>
              <w:t>HDI</w:t>
            </w:r>
            <w:proofErr w:type="spellEnd"/>
            <w:r w:rsidRPr="00FB351A">
              <w:rPr>
                <w:rFonts w:ascii="Arial" w:hAnsi="Arial" w:cs="Arial"/>
                <w:color w:val="000000"/>
                <w:sz w:val="16"/>
                <w:szCs w:val="16"/>
              </w:rPr>
              <w:br/>
              <w:t>GRUPO CUATRO: SOLIDARIA - PREVISORA</w:t>
            </w:r>
            <w:r w:rsidRPr="00FB351A">
              <w:rPr>
                <w:rFonts w:ascii="Arial" w:hAnsi="Arial" w:cs="Arial"/>
                <w:color w:val="000000"/>
                <w:sz w:val="16"/>
                <w:szCs w:val="16"/>
              </w:rPr>
              <w:br/>
              <w:t>GRUPO CINCO: CHUBB - SOLIDARIA - UT AXA PREVISORA</w:t>
            </w:r>
            <w:r w:rsidRPr="00FB351A">
              <w:rPr>
                <w:rFonts w:ascii="Arial" w:hAnsi="Arial" w:cs="Arial"/>
                <w:color w:val="000000"/>
                <w:sz w:val="16"/>
                <w:szCs w:val="16"/>
              </w:rPr>
              <w:br/>
              <w:t xml:space="preserve">GRUPO SEIS: UT AXA - PREVISORA - </w:t>
            </w:r>
            <w:proofErr w:type="spellStart"/>
            <w:r w:rsidRPr="00FB351A">
              <w:rPr>
                <w:rFonts w:ascii="Arial" w:hAnsi="Arial" w:cs="Arial"/>
                <w:color w:val="000000"/>
                <w:sz w:val="16"/>
                <w:szCs w:val="16"/>
              </w:rPr>
              <w:t>SBS</w:t>
            </w:r>
            <w:proofErr w:type="spellEnd"/>
            <w:r w:rsidRPr="00FB351A">
              <w:rPr>
                <w:rFonts w:ascii="Arial" w:hAnsi="Arial" w:cs="Arial"/>
                <w:color w:val="000000"/>
                <w:sz w:val="16"/>
                <w:szCs w:val="16"/>
              </w:rPr>
              <w:t xml:space="preserve"> - </w:t>
            </w:r>
            <w:proofErr w:type="spellStart"/>
            <w:r w:rsidRPr="00FB351A">
              <w:rPr>
                <w:rFonts w:ascii="Arial" w:hAnsi="Arial" w:cs="Arial"/>
                <w:color w:val="000000"/>
                <w:sz w:val="16"/>
                <w:szCs w:val="16"/>
              </w:rPr>
              <w:t>HDI</w:t>
            </w:r>
            <w:proofErr w:type="spellEnd"/>
            <w:r w:rsidRPr="00FB351A">
              <w:rPr>
                <w:rFonts w:ascii="Arial" w:hAnsi="Arial" w:cs="Arial"/>
                <w:color w:val="000000"/>
                <w:sz w:val="16"/>
                <w:szCs w:val="16"/>
              </w:rPr>
              <w:t xml:space="preserve"> - ALLIANZ, UT SOLIDARIA - SURA - CONFIANZA</w:t>
            </w:r>
            <w:r w:rsidRPr="00FB351A">
              <w:rPr>
                <w:rFonts w:ascii="Arial" w:hAnsi="Arial" w:cs="Arial"/>
                <w:color w:val="000000"/>
                <w:sz w:val="16"/>
                <w:szCs w:val="16"/>
              </w:rPr>
              <w:br/>
              <w:t xml:space="preserve">GRUPO SIETE: POSITIVA - AURORA - PREVISORA - CONFIANZA </w:t>
            </w:r>
            <w:r w:rsidRPr="00FB351A">
              <w:rPr>
                <w:rFonts w:ascii="Arial" w:hAnsi="Arial" w:cs="Arial"/>
                <w:color w:val="000000"/>
                <w:sz w:val="16"/>
                <w:szCs w:val="16"/>
              </w:rPr>
              <w:br/>
              <w:t>GRUPO OCHO: AXA - ALLIANZ</w:t>
            </w:r>
            <w:r w:rsidRPr="00FB351A">
              <w:rPr>
                <w:rFonts w:ascii="Arial" w:hAnsi="Arial" w:cs="Arial"/>
                <w:color w:val="000000"/>
                <w:sz w:val="16"/>
                <w:szCs w:val="16"/>
              </w:rPr>
              <w:br/>
              <w:t>GRUPO NUEVE: AXA - SOLIDARIA</w:t>
            </w:r>
          </w:p>
        </w:tc>
        <w:tc>
          <w:tcPr>
            <w:tcW w:w="529" w:type="pct"/>
            <w:tcBorders>
              <w:top w:val="single" w:sz="4" w:space="0" w:color="8EA9DB"/>
              <w:left w:val="nil"/>
              <w:bottom w:val="single" w:sz="4" w:space="0" w:color="8EA9DB"/>
              <w:right w:val="nil"/>
            </w:tcBorders>
            <w:vAlign w:val="center"/>
            <w:hideMark/>
          </w:tcPr>
          <w:p w14:paraId="12E61200"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GRUPO </w:t>
            </w:r>
            <w:proofErr w:type="spellStart"/>
            <w:r w:rsidRPr="00FB351A">
              <w:rPr>
                <w:rFonts w:ascii="Arial" w:hAnsi="Arial" w:cs="Arial"/>
                <w:color w:val="000000"/>
                <w:sz w:val="16"/>
                <w:szCs w:val="16"/>
              </w:rPr>
              <w:t>UNO:373</w:t>
            </w:r>
            <w:proofErr w:type="spellEnd"/>
            <w:r w:rsidRPr="00FB351A">
              <w:rPr>
                <w:rFonts w:ascii="Arial" w:hAnsi="Arial" w:cs="Arial"/>
                <w:color w:val="000000"/>
                <w:sz w:val="16"/>
                <w:szCs w:val="16"/>
              </w:rPr>
              <w:t xml:space="preserve"> DÍAS</w:t>
            </w:r>
            <w:r w:rsidRPr="00FB351A">
              <w:rPr>
                <w:rFonts w:ascii="Arial" w:hAnsi="Arial" w:cs="Arial"/>
                <w:color w:val="000000"/>
                <w:sz w:val="16"/>
                <w:szCs w:val="16"/>
              </w:rPr>
              <w:br/>
              <w:t>GRUPO DOS: 378 DÍAS</w:t>
            </w:r>
            <w:r w:rsidRPr="00FB351A">
              <w:rPr>
                <w:rFonts w:ascii="Arial" w:hAnsi="Arial" w:cs="Arial"/>
                <w:color w:val="000000"/>
                <w:sz w:val="16"/>
                <w:szCs w:val="16"/>
              </w:rPr>
              <w:br/>
              <w:t>GRUPO TRES: 731 DÍAS</w:t>
            </w:r>
            <w:r w:rsidRPr="00FB351A">
              <w:rPr>
                <w:rFonts w:ascii="Arial" w:hAnsi="Arial" w:cs="Arial"/>
                <w:color w:val="000000"/>
                <w:sz w:val="16"/>
                <w:szCs w:val="16"/>
              </w:rPr>
              <w:br/>
              <w:t>GRUPO CUATRO: ANUALIDAD</w:t>
            </w:r>
            <w:r w:rsidRPr="00FB351A">
              <w:rPr>
                <w:rFonts w:ascii="Arial" w:hAnsi="Arial" w:cs="Arial"/>
                <w:color w:val="000000"/>
                <w:sz w:val="16"/>
                <w:szCs w:val="16"/>
              </w:rPr>
              <w:br/>
              <w:t xml:space="preserve">GRUPO CINCO: 556 DÍAS </w:t>
            </w:r>
            <w:r w:rsidRPr="00FB351A">
              <w:rPr>
                <w:rFonts w:ascii="Arial" w:hAnsi="Arial" w:cs="Arial"/>
                <w:color w:val="000000"/>
                <w:sz w:val="16"/>
                <w:szCs w:val="16"/>
              </w:rPr>
              <w:br/>
              <w:t>GRUPO SEIS: 530 DÍAS</w:t>
            </w:r>
            <w:r w:rsidRPr="00FB351A">
              <w:rPr>
                <w:rFonts w:ascii="Arial" w:hAnsi="Arial" w:cs="Arial"/>
                <w:color w:val="000000"/>
                <w:sz w:val="16"/>
                <w:szCs w:val="16"/>
              </w:rPr>
              <w:br/>
              <w:t xml:space="preserve">GRUPO SIETE: 679 DÍAS </w:t>
            </w:r>
            <w:r w:rsidRPr="00FB351A">
              <w:rPr>
                <w:rFonts w:ascii="Arial" w:hAnsi="Arial" w:cs="Arial"/>
                <w:color w:val="000000"/>
                <w:sz w:val="16"/>
                <w:szCs w:val="16"/>
              </w:rPr>
              <w:br/>
              <w:t>GRUPO OCHO: 405 DÍAS</w:t>
            </w:r>
            <w:r w:rsidRPr="00FB351A">
              <w:rPr>
                <w:rFonts w:ascii="Arial" w:hAnsi="Arial" w:cs="Arial"/>
                <w:color w:val="000000"/>
                <w:sz w:val="16"/>
                <w:szCs w:val="16"/>
              </w:rPr>
              <w:br/>
              <w:t xml:space="preserve">GRUPO NUEVE: 435 DÍAS </w:t>
            </w:r>
          </w:p>
        </w:tc>
      </w:tr>
      <w:tr w:rsidR="004A49D5" w:rsidRPr="00FB351A" w14:paraId="0FB80FF4" w14:textId="77777777" w:rsidTr="004A49D5">
        <w:trPr>
          <w:trHeight w:val="20"/>
        </w:trPr>
        <w:tc>
          <w:tcPr>
            <w:tcW w:w="536" w:type="pct"/>
            <w:tcBorders>
              <w:top w:val="single" w:sz="4" w:space="0" w:color="8EA9DB"/>
              <w:left w:val="nil"/>
              <w:bottom w:val="single" w:sz="4" w:space="0" w:color="8EA9DB"/>
              <w:right w:val="nil"/>
            </w:tcBorders>
            <w:shd w:val="clear" w:color="D9E1F2" w:fill="D9E1F2"/>
            <w:vAlign w:val="center"/>
            <w:hideMark/>
          </w:tcPr>
          <w:p w14:paraId="24A0FE06"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SELECCIÓN ABREVIADA DE MENOR CUANTÍA</w:t>
            </w:r>
          </w:p>
        </w:tc>
        <w:tc>
          <w:tcPr>
            <w:tcW w:w="529" w:type="pct"/>
            <w:tcBorders>
              <w:top w:val="single" w:sz="4" w:space="0" w:color="8EA9DB"/>
              <w:left w:val="nil"/>
              <w:bottom w:val="single" w:sz="4" w:space="0" w:color="8EA9DB"/>
              <w:right w:val="nil"/>
            </w:tcBorders>
            <w:shd w:val="clear" w:color="D9E1F2" w:fill="D9E1F2"/>
            <w:vAlign w:val="center"/>
            <w:hideMark/>
          </w:tcPr>
          <w:p w14:paraId="4F3DF41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SA-012-2026</w:t>
            </w:r>
          </w:p>
        </w:tc>
        <w:tc>
          <w:tcPr>
            <w:tcW w:w="819" w:type="pct"/>
            <w:tcBorders>
              <w:top w:val="single" w:sz="4" w:space="0" w:color="8EA9DB"/>
              <w:left w:val="nil"/>
              <w:bottom w:val="single" w:sz="4" w:space="0" w:color="8EA9DB"/>
              <w:right w:val="nil"/>
            </w:tcBorders>
            <w:shd w:val="clear" w:color="D9E1F2" w:fill="D9E1F2"/>
            <w:vAlign w:val="center"/>
            <w:hideMark/>
          </w:tcPr>
          <w:p w14:paraId="16CABE66" w14:textId="77777777" w:rsidR="004A49D5" w:rsidRPr="00FB351A" w:rsidRDefault="004A49D5" w:rsidP="004A49D5">
            <w:pPr>
              <w:jc w:val="center"/>
              <w:rPr>
                <w:rFonts w:ascii="Arial" w:hAnsi="Arial" w:cs="Arial"/>
                <w:color w:val="000000"/>
                <w:sz w:val="16"/>
                <w:szCs w:val="16"/>
                <w:lang w:val="pt-PT"/>
              </w:rPr>
            </w:pPr>
            <w:r w:rsidRPr="00FB351A">
              <w:rPr>
                <w:rFonts w:ascii="Arial" w:hAnsi="Arial" w:cs="Arial"/>
                <w:color w:val="000000"/>
                <w:sz w:val="16"/>
                <w:szCs w:val="16"/>
                <w:lang w:val="pt-PT"/>
              </w:rPr>
              <w:t>BIBLIOTECA PÚBLICA PILOTOD DE MEDELLÍN</w:t>
            </w:r>
          </w:p>
        </w:tc>
        <w:tc>
          <w:tcPr>
            <w:tcW w:w="579" w:type="pct"/>
            <w:tcBorders>
              <w:top w:val="single" w:sz="4" w:space="0" w:color="8EA9DB"/>
              <w:left w:val="nil"/>
              <w:bottom w:val="single" w:sz="4" w:space="0" w:color="8EA9DB"/>
              <w:right w:val="nil"/>
            </w:tcBorders>
            <w:shd w:val="clear" w:color="D9E1F2" w:fill="D9E1F2"/>
            <w:vAlign w:val="center"/>
            <w:hideMark/>
          </w:tcPr>
          <w:p w14:paraId="22021F3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08/05/2026</w:t>
            </w:r>
          </w:p>
        </w:tc>
        <w:tc>
          <w:tcPr>
            <w:tcW w:w="601" w:type="pct"/>
            <w:tcBorders>
              <w:top w:val="single" w:sz="4" w:space="0" w:color="8EA9DB"/>
              <w:left w:val="nil"/>
              <w:bottom w:val="single" w:sz="4" w:space="0" w:color="8EA9DB"/>
              <w:right w:val="nil"/>
            </w:tcBorders>
            <w:shd w:val="clear" w:color="D9E1F2" w:fill="D9E1F2"/>
            <w:vAlign w:val="center"/>
            <w:hideMark/>
          </w:tcPr>
          <w:p w14:paraId="4675510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$ 382.630.008</w:t>
            </w:r>
            <w:r w:rsidRPr="00FB351A">
              <w:rPr>
                <w:rFonts w:ascii="Arial" w:hAnsi="Arial" w:cs="Arial"/>
                <w:color w:val="000000"/>
                <w:sz w:val="16"/>
                <w:szCs w:val="16"/>
              </w:rPr>
              <w:br/>
              <w:t>GRUPO DOS $ 97.141.374</w:t>
            </w:r>
            <w:r w:rsidRPr="00FB351A">
              <w:rPr>
                <w:rFonts w:ascii="Arial" w:hAnsi="Arial" w:cs="Arial"/>
                <w:color w:val="000000"/>
                <w:sz w:val="16"/>
                <w:szCs w:val="16"/>
              </w:rPr>
              <w:br/>
              <w:t xml:space="preserve">GRUPO </w:t>
            </w:r>
            <w:r w:rsidRPr="00FB351A">
              <w:rPr>
                <w:rFonts w:ascii="Arial" w:hAnsi="Arial" w:cs="Arial"/>
                <w:color w:val="000000"/>
                <w:sz w:val="16"/>
                <w:szCs w:val="16"/>
              </w:rPr>
              <w:lastRenderedPageBreak/>
              <w:t xml:space="preserve">TRES $ 10.000.000 </w:t>
            </w:r>
          </w:p>
        </w:tc>
        <w:tc>
          <w:tcPr>
            <w:tcW w:w="744" w:type="pct"/>
            <w:tcBorders>
              <w:top w:val="single" w:sz="4" w:space="0" w:color="8EA9DB"/>
              <w:left w:val="nil"/>
              <w:bottom w:val="single" w:sz="4" w:space="0" w:color="8EA9DB"/>
              <w:right w:val="nil"/>
            </w:tcBorders>
            <w:shd w:val="clear" w:color="D9E1F2" w:fill="D9E1F2"/>
            <w:vAlign w:val="center"/>
            <w:hideMark/>
          </w:tcPr>
          <w:p w14:paraId="1DB29300"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lastRenderedPageBreak/>
              <w:t xml:space="preserve"> GRUPO UNO: MAPFRE SEGUROS GENERALES DE COLOMBIA</w:t>
            </w:r>
            <w:r w:rsidRPr="00FB351A">
              <w:rPr>
                <w:rFonts w:ascii="Arial" w:hAnsi="Arial" w:cs="Arial"/>
                <w:color w:val="000000"/>
                <w:sz w:val="16"/>
                <w:szCs w:val="16"/>
              </w:rPr>
              <w:br/>
              <w:t xml:space="preserve">GRUPO DOS: CHUBB </w:t>
            </w:r>
            <w:r w:rsidRPr="00FB351A">
              <w:rPr>
                <w:rFonts w:ascii="Arial" w:hAnsi="Arial" w:cs="Arial"/>
                <w:color w:val="000000"/>
                <w:sz w:val="16"/>
                <w:szCs w:val="16"/>
              </w:rPr>
              <w:lastRenderedPageBreak/>
              <w:t>SEGUROS COLOMBIA SA</w:t>
            </w:r>
            <w:r w:rsidRPr="00FB351A">
              <w:rPr>
                <w:rFonts w:ascii="Arial" w:hAnsi="Arial" w:cs="Arial"/>
                <w:color w:val="000000"/>
                <w:sz w:val="16"/>
                <w:szCs w:val="16"/>
              </w:rPr>
              <w:br/>
              <w:t xml:space="preserve">GRUPO TRES POSITIVA COMPAÑÍA DE SEGUROS SA </w:t>
            </w:r>
          </w:p>
        </w:tc>
        <w:tc>
          <w:tcPr>
            <w:tcW w:w="664" w:type="pct"/>
            <w:tcBorders>
              <w:top w:val="single" w:sz="4" w:space="0" w:color="8EA9DB"/>
              <w:left w:val="nil"/>
              <w:bottom w:val="single" w:sz="4" w:space="0" w:color="8EA9DB"/>
              <w:right w:val="nil"/>
            </w:tcBorders>
            <w:shd w:val="clear" w:color="D9E1F2" w:fill="D9E1F2"/>
            <w:vAlign w:val="center"/>
            <w:hideMark/>
          </w:tcPr>
          <w:p w14:paraId="66BE1A7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lastRenderedPageBreak/>
              <w:t xml:space="preserve"> GRUPO UNO: MAPFRE SEGUROS GENERALES DE COLOMBIA</w:t>
            </w:r>
            <w:r w:rsidRPr="00FB351A">
              <w:rPr>
                <w:rFonts w:ascii="Arial" w:hAnsi="Arial" w:cs="Arial"/>
                <w:color w:val="000000"/>
                <w:sz w:val="16"/>
                <w:szCs w:val="16"/>
              </w:rPr>
              <w:br/>
              <w:t xml:space="preserve">GRUPO DOS: CHUBB - </w:t>
            </w:r>
            <w:r w:rsidRPr="00FB351A">
              <w:rPr>
                <w:rFonts w:ascii="Arial" w:hAnsi="Arial" w:cs="Arial"/>
                <w:color w:val="000000"/>
                <w:sz w:val="16"/>
                <w:szCs w:val="16"/>
              </w:rPr>
              <w:lastRenderedPageBreak/>
              <w:t xml:space="preserve">PREVISORA - </w:t>
            </w:r>
            <w:proofErr w:type="spellStart"/>
            <w:r w:rsidRPr="00FB351A">
              <w:rPr>
                <w:rFonts w:ascii="Arial" w:hAnsi="Arial" w:cs="Arial"/>
                <w:color w:val="000000"/>
                <w:sz w:val="16"/>
                <w:szCs w:val="16"/>
              </w:rPr>
              <w:t>SOLDIARIA</w:t>
            </w:r>
            <w:proofErr w:type="spellEnd"/>
            <w:r w:rsidRPr="00FB351A">
              <w:rPr>
                <w:rFonts w:ascii="Arial" w:hAnsi="Arial" w:cs="Arial"/>
                <w:color w:val="000000"/>
                <w:sz w:val="16"/>
                <w:szCs w:val="16"/>
              </w:rPr>
              <w:t xml:space="preserve"> </w:t>
            </w:r>
            <w:r w:rsidRPr="00FB351A">
              <w:rPr>
                <w:rFonts w:ascii="Arial" w:hAnsi="Arial" w:cs="Arial"/>
                <w:color w:val="000000"/>
                <w:sz w:val="16"/>
                <w:szCs w:val="16"/>
              </w:rPr>
              <w:br/>
              <w:t xml:space="preserve">GRUPO TRES POSITIVA - SOLIDARIA </w:t>
            </w:r>
          </w:p>
        </w:tc>
        <w:tc>
          <w:tcPr>
            <w:tcW w:w="529" w:type="pct"/>
            <w:tcBorders>
              <w:top w:val="single" w:sz="4" w:space="0" w:color="8EA9DB"/>
              <w:left w:val="nil"/>
              <w:bottom w:val="single" w:sz="4" w:space="0" w:color="8EA9DB"/>
              <w:right w:val="nil"/>
            </w:tcBorders>
            <w:shd w:val="clear" w:color="D9E1F2" w:fill="D9E1F2"/>
            <w:vAlign w:val="center"/>
            <w:hideMark/>
          </w:tcPr>
          <w:p w14:paraId="260A8BF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lastRenderedPageBreak/>
              <w:t xml:space="preserve"> GRUPO UNO: 379 DÍAS</w:t>
            </w:r>
            <w:r w:rsidRPr="00FB351A">
              <w:rPr>
                <w:rFonts w:ascii="Arial" w:hAnsi="Arial" w:cs="Arial"/>
                <w:color w:val="000000"/>
                <w:sz w:val="16"/>
                <w:szCs w:val="16"/>
              </w:rPr>
              <w:br/>
              <w:t>GRUPO DOS: 298 DÍAS</w:t>
            </w:r>
            <w:r w:rsidRPr="00FB351A">
              <w:rPr>
                <w:rFonts w:ascii="Arial" w:hAnsi="Arial" w:cs="Arial"/>
                <w:color w:val="000000"/>
                <w:sz w:val="16"/>
                <w:szCs w:val="16"/>
              </w:rPr>
              <w:br/>
              <w:t xml:space="preserve">GRUPO </w:t>
            </w:r>
            <w:r w:rsidRPr="00FB351A">
              <w:rPr>
                <w:rFonts w:ascii="Arial" w:hAnsi="Arial" w:cs="Arial"/>
                <w:color w:val="000000"/>
                <w:sz w:val="16"/>
                <w:szCs w:val="16"/>
              </w:rPr>
              <w:lastRenderedPageBreak/>
              <w:t xml:space="preserve">TRES: 558 DÍAS </w:t>
            </w:r>
          </w:p>
        </w:tc>
      </w:tr>
      <w:tr w:rsidR="004A49D5" w:rsidRPr="00FB351A" w14:paraId="2556A45F" w14:textId="77777777" w:rsidTr="004A49D5">
        <w:trPr>
          <w:trHeight w:val="20"/>
        </w:trPr>
        <w:tc>
          <w:tcPr>
            <w:tcW w:w="536" w:type="pct"/>
            <w:tcBorders>
              <w:top w:val="single" w:sz="4" w:space="0" w:color="8EA9DB"/>
              <w:left w:val="nil"/>
              <w:bottom w:val="single" w:sz="4" w:space="0" w:color="8EA9DB"/>
              <w:right w:val="nil"/>
            </w:tcBorders>
            <w:vAlign w:val="center"/>
            <w:hideMark/>
          </w:tcPr>
          <w:p w14:paraId="38B9BF2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lastRenderedPageBreak/>
              <w:t>LICITACIÓN PÚBLICA</w:t>
            </w:r>
          </w:p>
        </w:tc>
        <w:tc>
          <w:tcPr>
            <w:tcW w:w="529" w:type="pct"/>
            <w:tcBorders>
              <w:top w:val="single" w:sz="4" w:space="0" w:color="8EA9DB"/>
              <w:left w:val="nil"/>
              <w:bottom w:val="single" w:sz="4" w:space="0" w:color="8EA9DB"/>
              <w:right w:val="nil"/>
            </w:tcBorders>
            <w:vAlign w:val="center"/>
            <w:hideMark/>
          </w:tcPr>
          <w:p w14:paraId="48E72EEF"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INS-LP-002-2026</w:t>
            </w:r>
          </w:p>
        </w:tc>
        <w:tc>
          <w:tcPr>
            <w:tcW w:w="819" w:type="pct"/>
            <w:tcBorders>
              <w:top w:val="single" w:sz="4" w:space="0" w:color="8EA9DB"/>
              <w:left w:val="nil"/>
              <w:bottom w:val="single" w:sz="4" w:space="0" w:color="8EA9DB"/>
              <w:right w:val="nil"/>
            </w:tcBorders>
            <w:vAlign w:val="center"/>
            <w:hideMark/>
          </w:tcPr>
          <w:p w14:paraId="680052A6"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INSTITUTO NACIONAL DE SALUD - INS</w:t>
            </w:r>
          </w:p>
        </w:tc>
        <w:tc>
          <w:tcPr>
            <w:tcW w:w="579" w:type="pct"/>
            <w:tcBorders>
              <w:top w:val="single" w:sz="4" w:space="0" w:color="8EA9DB"/>
              <w:left w:val="nil"/>
              <w:bottom w:val="single" w:sz="4" w:space="0" w:color="8EA9DB"/>
              <w:right w:val="nil"/>
            </w:tcBorders>
            <w:vAlign w:val="center"/>
            <w:hideMark/>
          </w:tcPr>
          <w:p w14:paraId="2D9D120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13/05/2026</w:t>
            </w:r>
          </w:p>
        </w:tc>
        <w:tc>
          <w:tcPr>
            <w:tcW w:w="601" w:type="pct"/>
            <w:tcBorders>
              <w:top w:val="single" w:sz="4" w:space="0" w:color="8EA9DB"/>
              <w:left w:val="nil"/>
              <w:bottom w:val="single" w:sz="4" w:space="0" w:color="8EA9DB"/>
              <w:right w:val="nil"/>
            </w:tcBorders>
            <w:vAlign w:val="center"/>
            <w:hideMark/>
          </w:tcPr>
          <w:p w14:paraId="7DC9004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$ 1.745.862.346</w:t>
            </w:r>
            <w:r w:rsidRPr="00FB351A">
              <w:rPr>
                <w:rFonts w:ascii="Arial" w:hAnsi="Arial" w:cs="Arial"/>
                <w:color w:val="000000"/>
                <w:sz w:val="16"/>
                <w:szCs w:val="16"/>
              </w:rPr>
              <w:br/>
              <w:t xml:space="preserve">GRUPO DOS $ 7.126.458 </w:t>
            </w:r>
          </w:p>
        </w:tc>
        <w:tc>
          <w:tcPr>
            <w:tcW w:w="744" w:type="pct"/>
            <w:tcBorders>
              <w:top w:val="single" w:sz="4" w:space="0" w:color="8EA9DB"/>
              <w:left w:val="nil"/>
              <w:bottom w:val="single" w:sz="4" w:space="0" w:color="8EA9DB"/>
              <w:right w:val="nil"/>
            </w:tcBorders>
            <w:vAlign w:val="center"/>
            <w:hideMark/>
          </w:tcPr>
          <w:p w14:paraId="231CF2BF" w14:textId="6FD76F3B"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UNIÓN TEMPORAL CHUBB SEGUROS COLOMBIA S.A. – LA PREVISORA S.A. COMPAÑÍA DE SEGUROS </w:t>
            </w:r>
            <w:r w:rsidR="001C7129" w:rsidRPr="00FB351A">
              <w:rPr>
                <w:rFonts w:ascii="Arial" w:hAnsi="Arial" w:cs="Arial"/>
                <w:color w:val="000000"/>
                <w:sz w:val="16"/>
                <w:szCs w:val="16"/>
              </w:rPr>
              <w:t>- ASEGURADORA</w:t>
            </w:r>
            <w:r w:rsidRPr="00FB351A">
              <w:rPr>
                <w:rFonts w:ascii="Arial" w:hAnsi="Arial" w:cs="Arial"/>
                <w:color w:val="000000"/>
                <w:sz w:val="16"/>
                <w:szCs w:val="16"/>
              </w:rPr>
              <w:t xml:space="preserve"> SOLIDARIA DE COLOMBIA ENTIDAD COOPERATIVA </w:t>
            </w:r>
            <w:r w:rsidRPr="00FB351A">
              <w:rPr>
                <w:rFonts w:ascii="Arial" w:hAnsi="Arial" w:cs="Arial"/>
                <w:color w:val="000000"/>
                <w:sz w:val="16"/>
                <w:szCs w:val="16"/>
              </w:rPr>
              <w:br/>
              <w:t xml:space="preserve">GRUPO DOS LA PREVISORA SA COMPAÑÍA DE SEGUROS </w:t>
            </w:r>
          </w:p>
        </w:tc>
        <w:tc>
          <w:tcPr>
            <w:tcW w:w="664" w:type="pct"/>
            <w:tcBorders>
              <w:top w:val="single" w:sz="4" w:space="0" w:color="8EA9DB"/>
              <w:left w:val="nil"/>
              <w:bottom w:val="single" w:sz="4" w:space="0" w:color="8EA9DB"/>
              <w:right w:val="nil"/>
            </w:tcBorders>
            <w:vAlign w:val="center"/>
            <w:hideMark/>
          </w:tcPr>
          <w:p w14:paraId="2899578A" w14:textId="5B06C45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UNIÓN TEMPORAL CHUBB SEGUROS COLOMBIA S.A. – LA PREVISORA S.A. COMPAÑÍA DE SEGUROS </w:t>
            </w:r>
            <w:r w:rsidR="001C7129" w:rsidRPr="00FB351A">
              <w:rPr>
                <w:rFonts w:ascii="Arial" w:hAnsi="Arial" w:cs="Arial"/>
                <w:color w:val="000000"/>
                <w:sz w:val="16"/>
                <w:szCs w:val="16"/>
              </w:rPr>
              <w:t>- ASEGURADORA</w:t>
            </w:r>
            <w:r w:rsidRPr="00FB351A">
              <w:rPr>
                <w:rFonts w:ascii="Arial" w:hAnsi="Arial" w:cs="Arial"/>
                <w:color w:val="000000"/>
                <w:sz w:val="16"/>
                <w:szCs w:val="16"/>
              </w:rPr>
              <w:t xml:space="preserve"> SOLIDARIA DE COLOMBIA ENTIDAD COOPERATIVA </w:t>
            </w:r>
            <w:r w:rsidRPr="00FB351A">
              <w:rPr>
                <w:rFonts w:ascii="Arial" w:hAnsi="Arial" w:cs="Arial"/>
                <w:color w:val="000000"/>
                <w:sz w:val="16"/>
                <w:szCs w:val="16"/>
              </w:rPr>
              <w:br/>
              <w:t xml:space="preserve">GRUPO DOS LA PREVISORA SA COMPAÑÍA DE SEGUROS </w:t>
            </w:r>
          </w:p>
        </w:tc>
        <w:tc>
          <w:tcPr>
            <w:tcW w:w="529" w:type="pct"/>
            <w:tcBorders>
              <w:top w:val="single" w:sz="4" w:space="0" w:color="8EA9DB"/>
              <w:left w:val="nil"/>
              <w:bottom w:val="single" w:sz="4" w:space="0" w:color="8EA9DB"/>
              <w:right w:val="nil"/>
            </w:tcBorders>
            <w:vAlign w:val="center"/>
            <w:hideMark/>
          </w:tcPr>
          <w:p w14:paraId="1DC00DEB"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365 DÍAS</w:t>
            </w:r>
            <w:r w:rsidRPr="00FB351A">
              <w:rPr>
                <w:rFonts w:ascii="Arial" w:hAnsi="Arial" w:cs="Arial"/>
                <w:color w:val="000000"/>
                <w:sz w:val="16"/>
                <w:szCs w:val="16"/>
              </w:rPr>
              <w:br/>
              <w:t xml:space="preserve">GRUPO DOS: 365 DÍAS </w:t>
            </w:r>
          </w:p>
        </w:tc>
      </w:tr>
      <w:tr w:rsidR="004A49D5" w:rsidRPr="00FB351A" w14:paraId="2ABF6237" w14:textId="77777777" w:rsidTr="004A49D5">
        <w:trPr>
          <w:trHeight w:val="20"/>
        </w:trPr>
        <w:tc>
          <w:tcPr>
            <w:tcW w:w="536" w:type="pct"/>
            <w:tcBorders>
              <w:top w:val="single" w:sz="4" w:space="0" w:color="8EA9DB"/>
              <w:left w:val="nil"/>
              <w:bottom w:val="single" w:sz="4" w:space="0" w:color="8EA9DB"/>
              <w:right w:val="nil"/>
            </w:tcBorders>
            <w:shd w:val="clear" w:color="D9E1F2" w:fill="D9E1F2"/>
            <w:vAlign w:val="center"/>
            <w:hideMark/>
          </w:tcPr>
          <w:p w14:paraId="1BDD410D"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MÍNIMA CUANTÍA</w:t>
            </w:r>
          </w:p>
        </w:tc>
        <w:tc>
          <w:tcPr>
            <w:tcW w:w="529" w:type="pct"/>
            <w:tcBorders>
              <w:top w:val="single" w:sz="4" w:space="0" w:color="8EA9DB"/>
              <w:left w:val="nil"/>
              <w:bottom w:val="single" w:sz="4" w:space="0" w:color="8EA9DB"/>
              <w:right w:val="nil"/>
            </w:tcBorders>
            <w:shd w:val="clear" w:color="D9E1F2" w:fill="D9E1F2"/>
            <w:vAlign w:val="center"/>
            <w:hideMark/>
          </w:tcPr>
          <w:p w14:paraId="121563A5"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NO DISPONIBLE</w:t>
            </w:r>
          </w:p>
        </w:tc>
        <w:tc>
          <w:tcPr>
            <w:tcW w:w="819" w:type="pct"/>
            <w:tcBorders>
              <w:top w:val="single" w:sz="4" w:space="0" w:color="8EA9DB"/>
              <w:left w:val="nil"/>
              <w:bottom w:val="single" w:sz="4" w:space="0" w:color="8EA9DB"/>
              <w:right w:val="nil"/>
            </w:tcBorders>
            <w:shd w:val="clear" w:color="D9E1F2" w:fill="D9E1F2"/>
            <w:vAlign w:val="center"/>
            <w:hideMark/>
          </w:tcPr>
          <w:p w14:paraId="599C7533" w14:textId="77777777" w:rsidR="004A49D5" w:rsidRPr="00FB351A" w:rsidRDefault="004A49D5" w:rsidP="004A49D5">
            <w:pPr>
              <w:jc w:val="center"/>
              <w:rPr>
                <w:rFonts w:ascii="Arial" w:hAnsi="Arial" w:cs="Arial"/>
                <w:color w:val="000000"/>
                <w:sz w:val="16"/>
                <w:szCs w:val="16"/>
                <w:lang w:val="pt-PT"/>
              </w:rPr>
            </w:pPr>
            <w:r w:rsidRPr="00FB351A">
              <w:rPr>
                <w:rFonts w:ascii="Arial" w:hAnsi="Arial" w:cs="Arial"/>
                <w:color w:val="000000"/>
                <w:sz w:val="16"/>
                <w:szCs w:val="16"/>
                <w:lang w:val="pt-PT"/>
              </w:rPr>
              <w:t>DEPARTAMENTO ADMINISTRATIVO NACIONAL DE ESTADÍSTICA - DANE</w:t>
            </w:r>
          </w:p>
        </w:tc>
        <w:tc>
          <w:tcPr>
            <w:tcW w:w="579" w:type="pct"/>
            <w:tcBorders>
              <w:top w:val="single" w:sz="4" w:space="0" w:color="8EA9DB"/>
              <w:left w:val="nil"/>
              <w:bottom w:val="single" w:sz="4" w:space="0" w:color="8EA9DB"/>
              <w:right w:val="nil"/>
            </w:tcBorders>
            <w:shd w:val="clear" w:color="D9E1F2" w:fill="D9E1F2"/>
            <w:vAlign w:val="center"/>
            <w:hideMark/>
          </w:tcPr>
          <w:p w14:paraId="30F89290"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NO DISPONIBLE</w:t>
            </w:r>
          </w:p>
        </w:tc>
        <w:tc>
          <w:tcPr>
            <w:tcW w:w="601" w:type="pct"/>
            <w:tcBorders>
              <w:top w:val="single" w:sz="4" w:space="0" w:color="8EA9DB"/>
              <w:left w:val="nil"/>
              <w:bottom w:val="single" w:sz="4" w:space="0" w:color="8EA9DB"/>
              <w:right w:val="nil"/>
            </w:tcBorders>
            <w:shd w:val="clear" w:color="D9E1F2" w:fill="D9E1F2"/>
            <w:vAlign w:val="center"/>
            <w:hideMark/>
          </w:tcPr>
          <w:p w14:paraId="4B1B66F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NO DISPONIBLE </w:t>
            </w:r>
          </w:p>
        </w:tc>
        <w:tc>
          <w:tcPr>
            <w:tcW w:w="744" w:type="pct"/>
            <w:tcBorders>
              <w:top w:val="single" w:sz="4" w:space="0" w:color="8EA9DB"/>
              <w:left w:val="nil"/>
              <w:bottom w:val="single" w:sz="4" w:space="0" w:color="8EA9DB"/>
              <w:right w:val="nil"/>
            </w:tcBorders>
            <w:shd w:val="clear" w:color="D9E1F2" w:fill="D9E1F2"/>
            <w:vAlign w:val="center"/>
            <w:hideMark/>
          </w:tcPr>
          <w:p w14:paraId="754AFF7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NO DISPONIBLE </w:t>
            </w:r>
          </w:p>
        </w:tc>
        <w:tc>
          <w:tcPr>
            <w:tcW w:w="664" w:type="pct"/>
            <w:tcBorders>
              <w:top w:val="single" w:sz="4" w:space="0" w:color="8EA9DB"/>
              <w:left w:val="nil"/>
              <w:bottom w:val="single" w:sz="4" w:space="0" w:color="8EA9DB"/>
              <w:right w:val="nil"/>
            </w:tcBorders>
            <w:shd w:val="clear" w:color="D9E1F2" w:fill="D9E1F2"/>
            <w:vAlign w:val="center"/>
            <w:hideMark/>
          </w:tcPr>
          <w:p w14:paraId="5936F58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NO DISPONIBLE </w:t>
            </w:r>
          </w:p>
        </w:tc>
        <w:tc>
          <w:tcPr>
            <w:tcW w:w="529" w:type="pct"/>
            <w:tcBorders>
              <w:top w:val="single" w:sz="4" w:space="0" w:color="8EA9DB"/>
              <w:left w:val="nil"/>
              <w:bottom w:val="single" w:sz="4" w:space="0" w:color="8EA9DB"/>
              <w:right w:val="nil"/>
            </w:tcBorders>
            <w:shd w:val="clear" w:color="D9E1F2" w:fill="D9E1F2"/>
            <w:vAlign w:val="center"/>
            <w:hideMark/>
          </w:tcPr>
          <w:p w14:paraId="2C764DE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NO DISPONIBLE</w:t>
            </w:r>
          </w:p>
        </w:tc>
      </w:tr>
      <w:tr w:rsidR="004A49D5" w:rsidRPr="00FB351A" w14:paraId="3F490D31" w14:textId="77777777" w:rsidTr="004A49D5">
        <w:trPr>
          <w:trHeight w:val="20"/>
        </w:trPr>
        <w:tc>
          <w:tcPr>
            <w:tcW w:w="536" w:type="pct"/>
            <w:tcBorders>
              <w:top w:val="single" w:sz="4" w:space="0" w:color="8EA9DB"/>
              <w:left w:val="nil"/>
              <w:bottom w:val="single" w:sz="4" w:space="0" w:color="8EA9DB"/>
              <w:right w:val="nil"/>
            </w:tcBorders>
            <w:vAlign w:val="center"/>
            <w:hideMark/>
          </w:tcPr>
          <w:p w14:paraId="450E416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SELECCIÓN ABREVIADA DE MENOR CUANTÍA</w:t>
            </w:r>
          </w:p>
        </w:tc>
        <w:tc>
          <w:tcPr>
            <w:tcW w:w="529" w:type="pct"/>
            <w:tcBorders>
              <w:top w:val="single" w:sz="4" w:space="0" w:color="8EA9DB"/>
              <w:left w:val="nil"/>
              <w:bottom w:val="single" w:sz="4" w:space="0" w:color="8EA9DB"/>
              <w:right w:val="nil"/>
            </w:tcBorders>
            <w:vAlign w:val="center"/>
            <w:hideMark/>
          </w:tcPr>
          <w:p w14:paraId="4EF0A7F2"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SA-002-2026</w:t>
            </w:r>
          </w:p>
        </w:tc>
        <w:tc>
          <w:tcPr>
            <w:tcW w:w="819" w:type="pct"/>
            <w:tcBorders>
              <w:top w:val="single" w:sz="4" w:space="0" w:color="8EA9DB"/>
              <w:left w:val="nil"/>
              <w:bottom w:val="single" w:sz="4" w:space="0" w:color="8EA9DB"/>
              <w:right w:val="nil"/>
            </w:tcBorders>
            <w:vAlign w:val="center"/>
            <w:hideMark/>
          </w:tcPr>
          <w:p w14:paraId="0167D55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CORPORACIÓN GILBERTO ECHEVERRI MEJÍA (MEDELLÍN)</w:t>
            </w:r>
          </w:p>
        </w:tc>
        <w:tc>
          <w:tcPr>
            <w:tcW w:w="579" w:type="pct"/>
            <w:tcBorders>
              <w:top w:val="single" w:sz="4" w:space="0" w:color="8EA9DB"/>
              <w:left w:val="nil"/>
              <w:bottom w:val="single" w:sz="4" w:space="0" w:color="8EA9DB"/>
              <w:right w:val="nil"/>
            </w:tcBorders>
            <w:vAlign w:val="center"/>
            <w:hideMark/>
          </w:tcPr>
          <w:p w14:paraId="7BD90D9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25/06/2026</w:t>
            </w:r>
          </w:p>
        </w:tc>
        <w:tc>
          <w:tcPr>
            <w:tcW w:w="601" w:type="pct"/>
            <w:tcBorders>
              <w:top w:val="single" w:sz="4" w:space="0" w:color="8EA9DB"/>
              <w:left w:val="nil"/>
              <w:bottom w:val="single" w:sz="4" w:space="0" w:color="8EA9DB"/>
              <w:right w:val="nil"/>
            </w:tcBorders>
            <w:vAlign w:val="center"/>
            <w:hideMark/>
          </w:tcPr>
          <w:p w14:paraId="50EC1D1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$106.635.872</w:t>
            </w:r>
            <w:r w:rsidRPr="00FB351A">
              <w:rPr>
                <w:rFonts w:ascii="Arial" w:hAnsi="Arial" w:cs="Arial"/>
                <w:color w:val="000000"/>
                <w:sz w:val="16"/>
                <w:szCs w:val="16"/>
              </w:rPr>
              <w:br/>
              <w:t xml:space="preserve">GRUPO DOS$ 13.470.800 </w:t>
            </w:r>
          </w:p>
        </w:tc>
        <w:tc>
          <w:tcPr>
            <w:tcW w:w="744" w:type="pct"/>
            <w:tcBorders>
              <w:top w:val="single" w:sz="4" w:space="0" w:color="8EA9DB"/>
              <w:left w:val="nil"/>
              <w:bottom w:val="single" w:sz="4" w:space="0" w:color="8EA9DB"/>
              <w:right w:val="nil"/>
            </w:tcBorders>
            <w:vAlign w:val="center"/>
            <w:hideMark/>
          </w:tcPr>
          <w:p w14:paraId="0D252047"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ASEGURADORA SOLIDARIA DE COLOMBIA EC</w:t>
            </w:r>
            <w:r w:rsidRPr="00FB351A">
              <w:rPr>
                <w:rFonts w:ascii="Arial" w:hAnsi="Arial" w:cs="Arial"/>
                <w:color w:val="000000"/>
                <w:sz w:val="16"/>
                <w:szCs w:val="16"/>
              </w:rPr>
              <w:br/>
              <w:t xml:space="preserve">GRUPO DOS: COMPAÑÍA DE SEGUROS MUNDIAL </w:t>
            </w:r>
          </w:p>
        </w:tc>
        <w:tc>
          <w:tcPr>
            <w:tcW w:w="664" w:type="pct"/>
            <w:tcBorders>
              <w:top w:val="single" w:sz="4" w:space="0" w:color="8EA9DB"/>
              <w:left w:val="nil"/>
              <w:bottom w:val="single" w:sz="4" w:space="0" w:color="8EA9DB"/>
              <w:right w:val="nil"/>
            </w:tcBorders>
            <w:vAlign w:val="center"/>
            <w:hideMark/>
          </w:tcPr>
          <w:p w14:paraId="6453EF40"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ASEGURADORA SOLIDARIA DE COLOMBIA EC</w:t>
            </w:r>
            <w:r w:rsidRPr="00FB351A">
              <w:rPr>
                <w:rFonts w:ascii="Arial" w:hAnsi="Arial" w:cs="Arial"/>
                <w:color w:val="000000"/>
                <w:sz w:val="16"/>
                <w:szCs w:val="16"/>
              </w:rPr>
              <w:br/>
              <w:t xml:space="preserve">GRUPO DOS: COMPAÑÍA DE SEGUROS MUNDIAL </w:t>
            </w:r>
          </w:p>
        </w:tc>
        <w:tc>
          <w:tcPr>
            <w:tcW w:w="529" w:type="pct"/>
            <w:tcBorders>
              <w:top w:val="single" w:sz="4" w:space="0" w:color="8EA9DB"/>
              <w:left w:val="nil"/>
              <w:bottom w:val="single" w:sz="4" w:space="0" w:color="8EA9DB"/>
              <w:right w:val="nil"/>
            </w:tcBorders>
            <w:vAlign w:val="center"/>
            <w:hideMark/>
          </w:tcPr>
          <w:p w14:paraId="030E5195"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365</w:t>
            </w:r>
          </w:p>
        </w:tc>
      </w:tr>
      <w:tr w:rsidR="004A49D5" w:rsidRPr="00FB351A" w14:paraId="26509409" w14:textId="77777777" w:rsidTr="004A49D5">
        <w:trPr>
          <w:trHeight w:val="20"/>
        </w:trPr>
        <w:tc>
          <w:tcPr>
            <w:tcW w:w="536" w:type="pct"/>
            <w:tcBorders>
              <w:top w:val="single" w:sz="4" w:space="0" w:color="8EA9DB"/>
              <w:left w:val="nil"/>
              <w:bottom w:val="single" w:sz="4" w:space="0" w:color="8EA9DB"/>
              <w:right w:val="nil"/>
            </w:tcBorders>
            <w:vAlign w:val="center"/>
            <w:hideMark/>
          </w:tcPr>
          <w:p w14:paraId="0FEB8EA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SELECCIÓN ABREVIADA DE MENOR CUANTÍA</w:t>
            </w:r>
          </w:p>
        </w:tc>
        <w:tc>
          <w:tcPr>
            <w:tcW w:w="529" w:type="pct"/>
            <w:tcBorders>
              <w:top w:val="single" w:sz="4" w:space="0" w:color="8EA9DB"/>
              <w:left w:val="nil"/>
              <w:bottom w:val="single" w:sz="4" w:space="0" w:color="8EA9DB"/>
              <w:right w:val="nil"/>
            </w:tcBorders>
            <w:vAlign w:val="center"/>
            <w:hideMark/>
          </w:tcPr>
          <w:p w14:paraId="5ACC9394"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SA-MC-001-2026</w:t>
            </w:r>
          </w:p>
        </w:tc>
        <w:tc>
          <w:tcPr>
            <w:tcW w:w="819" w:type="pct"/>
            <w:tcBorders>
              <w:top w:val="single" w:sz="4" w:space="0" w:color="8EA9DB"/>
              <w:left w:val="nil"/>
              <w:bottom w:val="single" w:sz="4" w:space="0" w:color="8EA9DB"/>
              <w:right w:val="nil"/>
            </w:tcBorders>
            <w:vAlign w:val="center"/>
            <w:hideMark/>
          </w:tcPr>
          <w:p w14:paraId="754678B8"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INSTITUTO DE RECREACIÓN Y DEPORTES DE BELLO - </w:t>
            </w:r>
            <w:proofErr w:type="spellStart"/>
            <w:r w:rsidRPr="00FB351A">
              <w:rPr>
                <w:rFonts w:ascii="Arial" w:hAnsi="Arial" w:cs="Arial"/>
                <w:color w:val="000000"/>
                <w:sz w:val="16"/>
                <w:szCs w:val="16"/>
              </w:rPr>
              <w:t>INDERBELLO</w:t>
            </w:r>
            <w:proofErr w:type="spellEnd"/>
          </w:p>
        </w:tc>
        <w:tc>
          <w:tcPr>
            <w:tcW w:w="579" w:type="pct"/>
            <w:tcBorders>
              <w:top w:val="single" w:sz="4" w:space="0" w:color="8EA9DB"/>
              <w:left w:val="nil"/>
              <w:bottom w:val="single" w:sz="4" w:space="0" w:color="8EA9DB"/>
              <w:right w:val="nil"/>
            </w:tcBorders>
            <w:vAlign w:val="center"/>
            <w:hideMark/>
          </w:tcPr>
          <w:p w14:paraId="275BABF1"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17/07/2026</w:t>
            </w:r>
          </w:p>
        </w:tc>
        <w:tc>
          <w:tcPr>
            <w:tcW w:w="601" w:type="pct"/>
            <w:tcBorders>
              <w:top w:val="single" w:sz="4" w:space="0" w:color="8EA9DB"/>
              <w:left w:val="nil"/>
              <w:bottom w:val="single" w:sz="4" w:space="0" w:color="8EA9DB"/>
              <w:right w:val="nil"/>
            </w:tcBorders>
            <w:vAlign w:val="center"/>
            <w:hideMark/>
          </w:tcPr>
          <w:p w14:paraId="02DFF80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                                                    142,928,707.00 </w:t>
            </w:r>
          </w:p>
        </w:tc>
        <w:tc>
          <w:tcPr>
            <w:tcW w:w="744" w:type="pct"/>
            <w:tcBorders>
              <w:top w:val="single" w:sz="4" w:space="0" w:color="8EA9DB"/>
              <w:left w:val="nil"/>
              <w:bottom w:val="single" w:sz="4" w:space="0" w:color="8EA9DB"/>
              <w:right w:val="nil"/>
            </w:tcBorders>
            <w:vAlign w:val="center"/>
            <w:hideMark/>
          </w:tcPr>
          <w:p w14:paraId="653BA060"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ASEGURADORA SOLIDARIA DE COLOMBIA</w:t>
            </w:r>
          </w:p>
        </w:tc>
        <w:tc>
          <w:tcPr>
            <w:tcW w:w="664" w:type="pct"/>
            <w:tcBorders>
              <w:top w:val="single" w:sz="4" w:space="0" w:color="8EA9DB"/>
              <w:left w:val="nil"/>
              <w:bottom w:val="single" w:sz="4" w:space="0" w:color="8EA9DB"/>
              <w:right w:val="nil"/>
            </w:tcBorders>
            <w:vAlign w:val="center"/>
            <w:hideMark/>
          </w:tcPr>
          <w:p w14:paraId="3B846FAC"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SOLIDARIA - PREVISORA</w:t>
            </w:r>
          </w:p>
        </w:tc>
        <w:tc>
          <w:tcPr>
            <w:tcW w:w="529" w:type="pct"/>
            <w:tcBorders>
              <w:top w:val="single" w:sz="4" w:space="0" w:color="8EA9DB"/>
              <w:left w:val="nil"/>
              <w:bottom w:val="single" w:sz="4" w:space="0" w:color="8EA9DB"/>
              <w:right w:val="nil"/>
            </w:tcBorders>
            <w:vAlign w:val="center"/>
            <w:hideMark/>
          </w:tcPr>
          <w:p w14:paraId="62BD006F"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365</w:t>
            </w:r>
          </w:p>
        </w:tc>
      </w:tr>
      <w:tr w:rsidR="004A49D5" w:rsidRPr="00FB351A" w14:paraId="1A66C30E" w14:textId="77777777" w:rsidTr="004A49D5">
        <w:trPr>
          <w:trHeight w:val="20"/>
        </w:trPr>
        <w:tc>
          <w:tcPr>
            <w:tcW w:w="536" w:type="pct"/>
            <w:tcBorders>
              <w:top w:val="single" w:sz="4" w:space="0" w:color="8EA9DB"/>
              <w:left w:val="nil"/>
              <w:bottom w:val="single" w:sz="4" w:space="0" w:color="8EA9DB"/>
              <w:right w:val="nil"/>
            </w:tcBorders>
            <w:shd w:val="clear" w:color="D9E1F2" w:fill="D9E1F2"/>
            <w:vAlign w:val="center"/>
            <w:hideMark/>
          </w:tcPr>
          <w:p w14:paraId="07489663"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LICITACIÓN PÚBLICA</w:t>
            </w:r>
          </w:p>
        </w:tc>
        <w:tc>
          <w:tcPr>
            <w:tcW w:w="529" w:type="pct"/>
            <w:tcBorders>
              <w:top w:val="single" w:sz="4" w:space="0" w:color="8EA9DB"/>
              <w:left w:val="nil"/>
              <w:bottom w:val="single" w:sz="4" w:space="0" w:color="8EA9DB"/>
              <w:right w:val="nil"/>
            </w:tcBorders>
            <w:shd w:val="clear" w:color="D9E1F2" w:fill="D9E1F2"/>
            <w:vAlign w:val="center"/>
            <w:hideMark/>
          </w:tcPr>
          <w:p w14:paraId="06BDF5C3"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LP-003-2026</w:t>
            </w:r>
          </w:p>
        </w:tc>
        <w:tc>
          <w:tcPr>
            <w:tcW w:w="819" w:type="pct"/>
            <w:tcBorders>
              <w:top w:val="single" w:sz="4" w:space="0" w:color="8EA9DB"/>
              <w:left w:val="nil"/>
              <w:bottom w:val="single" w:sz="4" w:space="0" w:color="8EA9DB"/>
              <w:right w:val="nil"/>
            </w:tcBorders>
            <w:shd w:val="clear" w:color="D9E1F2" w:fill="D9E1F2"/>
            <w:vAlign w:val="center"/>
            <w:hideMark/>
          </w:tcPr>
          <w:p w14:paraId="4089EA3E"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MUNICIPIO DE CHÍA</w:t>
            </w:r>
          </w:p>
        </w:tc>
        <w:tc>
          <w:tcPr>
            <w:tcW w:w="579" w:type="pct"/>
            <w:tcBorders>
              <w:top w:val="single" w:sz="4" w:space="0" w:color="8EA9DB"/>
              <w:left w:val="nil"/>
              <w:bottom w:val="single" w:sz="4" w:space="0" w:color="8EA9DB"/>
              <w:right w:val="nil"/>
            </w:tcBorders>
            <w:shd w:val="clear" w:color="D9E1F2" w:fill="D9E1F2"/>
            <w:vAlign w:val="center"/>
            <w:hideMark/>
          </w:tcPr>
          <w:p w14:paraId="57CF8789"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14/08/2026</w:t>
            </w:r>
          </w:p>
        </w:tc>
        <w:tc>
          <w:tcPr>
            <w:tcW w:w="601" w:type="pct"/>
            <w:tcBorders>
              <w:top w:val="single" w:sz="4" w:space="0" w:color="8EA9DB"/>
              <w:left w:val="nil"/>
              <w:bottom w:val="single" w:sz="4" w:space="0" w:color="8EA9DB"/>
              <w:right w:val="nil"/>
            </w:tcBorders>
            <w:shd w:val="clear" w:color="D9E1F2" w:fill="D9E1F2"/>
            <w:vAlign w:val="center"/>
            <w:hideMark/>
          </w:tcPr>
          <w:p w14:paraId="4F8F7DC5" w14:textId="783A300A"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$ 943.996.030</w:t>
            </w:r>
            <w:r w:rsidRPr="00FB351A">
              <w:rPr>
                <w:rFonts w:ascii="Arial" w:hAnsi="Arial" w:cs="Arial"/>
                <w:color w:val="000000"/>
                <w:sz w:val="16"/>
                <w:szCs w:val="16"/>
              </w:rPr>
              <w:br/>
              <w:t xml:space="preserve">GRUPO DOS: $ 34.298.180 </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$ 2.542.959</w:t>
            </w:r>
            <w:r w:rsidRPr="00FB351A">
              <w:rPr>
                <w:rFonts w:ascii="Arial" w:hAnsi="Arial" w:cs="Arial"/>
                <w:color w:val="000000"/>
                <w:sz w:val="16"/>
                <w:szCs w:val="16"/>
              </w:rPr>
              <w:br/>
              <w:t xml:space="preserve">GRUPO CUATRO: $ 158.116.600 </w:t>
            </w:r>
          </w:p>
        </w:tc>
        <w:tc>
          <w:tcPr>
            <w:tcW w:w="744" w:type="pct"/>
            <w:tcBorders>
              <w:top w:val="single" w:sz="4" w:space="0" w:color="8EA9DB"/>
              <w:left w:val="nil"/>
              <w:bottom w:val="single" w:sz="4" w:space="0" w:color="8EA9DB"/>
              <w:right w:val="nil"/>
            </w:tcBorders>
            <w:shd w:val="clear" w:color="D9E1F2" w:fill="D9E1F2"/>
            <w:vAlign w:val="center"/>
            <w:hideMark/>
          </w:tcPr>
          <w:p w14:paraId="4ED8C7BB" w14:textId="3F3FEF86"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LA PREVISORA SA COMPAÑÍA DE SEGUROS</w:t>
            </w:r>
            <w:r w:rsidRPr="00FB351A">
              <w:rPr>
                <w:rFonts w:ascii="Arial" w:hAnsi="Arial" w:cs="Arial"/>
                <w:color w:val="000000"/>
                <w:sz w:val="16"/>
                <w:szCs w:val="16"/>
              </w:rPr>
              <w:br/>
              <w:t>GRUPO DOS: LA PREVISORA SA COMPAÑÍA DE SEGUROS</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LA PREVISORA SA COMPAÑÍA DE SEGUROS</w:t>
            </w:r>
            <w:r w:rsidRPr="00FB351A">
              <w:rPr>
                <w:rFonts w:ascii="Arial" w:hAnsi="Arial" w:cs="Arial"/>
                <w:color w:val="000000"/>
                <w:sz w:val="16"/>
                <w:szCs w:val="16"/>
              </w:rPr>
              <w:br/>
              <w:t xml:space="preserve">GRUPO </w:t>
            </w:r>
            <w:r w:rsidRPr="00FB351A">
              <w:rPr>
                <w:rFonts w:ascii="Arial" w:hAnsi="Arial" w:cs="Arial"/>
                <w:color w:val="000000"/>
                <w:sz w:val="16"/>
                <w:szCs w:val="16"/>
              </w:rPr>
              <w:lastRenderedPageBreak/>
              <w:t xml:space="preserve">CUATRO: ASEGURADORA SOLIDARIA DE COLOMBIA EC </w:t>
            </w:r>
          </w:p>
        </w:tc>
        <w:tc>
          <w:tcPr>
            <w:tcW w:w="664" w:type="pct"/>
            <w:tcBorders>
              <w:top w:val="single" w:sz="4" w:space="0" w:color="8EA9DB"/>
              <w:left w:val="nil"/>
              <w:bottom w:val="single" w:sz="4" w:space="0" w:color="8EA9DB"/>
              <w:right w:val="nil"/>
            </w:tcBorders>
            <w:shd w:val="clear" w:color="D9E1F2" w:fill="D9E1F2"/>
            <w:vAlign w:val="center"/>
            <w:hideMark/>
          </w:tcPr>
          <w:p w14:paraId="6D73309D" w14:textId="3941B41F"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lastRenderedPageBreak/>
              <w:t xml:space="preserve"> GRUPO UNO: LA PREVISORA SA COMPAÑÍA DE SEGUROS</w:t>
            </w:r>
            <w:r w:rsidRPr="00FB351A">
              <w:rPr>
                <w:rFonts w:ascii="Arial" w:hAnsi="Arial" w:cs="Arial"/>
                <w:color w:val="000000"/>
                <w:sz w:val="16"/>
                <w:szCs w:val="16"/>
              </w:rPr>
              <w:br/>
              <w:t>GRUPO DOS: LA PREVISORA SA COMPAÑÍA DE SEGUROS</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xml:space="preserve">: LA PREVISORA </w:t>
            </w:r>
            <w:r w:rsidRPr="00FB351A">
              <w:rPr>
                <w:rFonts w:ascii="Arial" w:hAnsi="Arial" w:cs="Arial"/>
                <w:color w:val="000000"/>
                <w:sz w:val="16"/>
                <w:szCs w:val="16"/>
              </w:rPr>
              <w:lastRenderedPageBreak/>
              <w:t>SA COMPAÑÍA DE SEGUROS - SOLIDARIA</w:t>
            </w:r>
            <w:r w:rsidRPr="00FB351A">
              <w:rPr>
                <w:rFonts w:ascii="Arial" w:hAnsi="Arial" w:cs="Arial"/>
                <w:color w:val="000000"/>
                <w:sz w:val="16"/>
                <w:szCs w:val="16"/>
              </w:rPr>
              <w:br/>
              <w:t xml:space="preserve">GRUPO CUATRO: ASEGURADORA SOLIDARIA DE COLOMBIA EC - PREVISORA </w:t>
            </w:r>
          </w:p>
        </w:tc>
        <w:tc>
          <w:tcPr>
            <w:tcW w:w="529" w:type="pct"/>
            <w:tcBorders>
              <w:top w:val="single" w:sz="4" w:space="0" w:color="8EA9DB"/>
              <w:left w:val="nil"/>
              <w:bottom w:val="single" w:sz="4" w:space="0" w:color="8EA9DB"/>
              <w:right w:val="nil"/>
            </w:tcBorders>
            <w:shd w:val="clear" w:color="D9E1F2" w:fill="D9E1F2"/>
            <w:vAlign w:val="center"/>
            <w:hideMark/>
          </w:tcPr>
          <w:p w14:paraId="771CF583" w14:textId="078F574D"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lastRenderedPageBreak/>
              <w:t xml:space="preserve"> GRUPO UNO: 219</w:t>
            </w:r>
            <w:r w:rsidRPr="00FB351A">
              <w:rPr>
                <w:rFonts w:ascii="Arial" w:hAnsi="Arial" w:cs="Arial"/>
                <w:color w:val="000000"/>
                <w:sz w:val="16"/>
                <w:szCs w:val="16"/>
              </w:rPr>
              <w:br/>
              <w:t>GRUPO DOS: 149</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259</w:t>
            </w:r>
            <w:r w:rsidRPr="00FB351A">
              <w:rPr>
                <w:rFonts w:ascii="Arial" w:hAnsi="Arial" w:cs="Arial"/>
                <w:color w:val="000000"/>
                <w:sz w:val="16"/>
                <w:szCs w:val="16"/>
              </w:rPr>
              <w:br/>
              <w:t xml:space="preserve">GRUPO CUATRO: ANUALIDAD </w:t>
            </w:r>
          </w:p>
        </w:tc>
      </w:tr>
      <w:tr w:rsidR="004A49D5" w:rsidRPr="00FB351A" w14:paraId="7C8D4878" w14:textId="77777777" w:rsidTr="004A49D5">
        <w:trPr>
          <w:trHeight w:val="20"/>
        </w:trPr>
        <w:tc>
          <w:tcPr>
            <w:tcW w:w="536" w:type="pct"/>
            <w:tcBorders>
              <w:top w:val="single" w:sz="4" w:space="0" w:color="8EA9DB"/>
              <w:left w:val="nil"/>
              <w:bottom w:val="single" w:sz="4" w:space="0" w:color="8EA9DB"/>
              <w:right w:val="nil"/>
            </w:tcBorders>
            <w:vAlign w:val="center"/>
            <w:hideMark/>
          </w:tcPr>
          <w:p w14:paraId="398A24CD"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LICITACIÓN PÚBLICA</w:t>
            </w:r>
          </w:p>
        </w:tc>
        <w:tc>
          <w:tcPr>
            <w:tcW w:w="529" w:type="pct"/>
            <w:tcBorders>
              <w:top w:val="single" w:sz="4" w:space="0" w:color="8EA9DB"/>
              <w:left w:val="nil"/>
              <w:bottom w:val="single" w:sz="4" w:space="0" w:color="8EA9DB"/>
              <w:right w:val="nil"/>
            </w:tcBorders>
            <w:vAlign w:val="center"/>
            <w:hideMark/>
          </w:tcPr>
          <w:p w14:paraId="03B2A292" w14:textId="77777777" w:rsidR="004A49D5" w:rsidRPr="00FB351A" w:rsidRDefault="004A49D5" w:rsidP="004A49D5">
            <w:pPr>
              <w:jc w:val="center"/>
              <w:rPr>
                <w:rFonts w:ascii="Arial" w:hAnsi="Arial" w:cs="Arial"/>
                <w:color w:val="000000"/>
                <w:sz w:val="16"/>
                <w:szCs w:val="16"/>
              </w:rPr>
            </w:pPr>
            <w:proofErr w:type="spellStart"/>
            <w:r w:rsidRPr="00FB351A">
              <w:rPr>
                <w:rFonts w:ascii="Arial" w:hAnsi="Arial" w:cs="Arial"/>
                <w:color w:val="000000"/>
                <w:sz w:val="16"/>
                <w:szCs w:val="16"/>
              </w:rPr>
              <w:t>UAECOB</w:t>
            </w:r>
            <w:proofErr w:type="spellEnd"/>
            <w:r w:rsidRPr="00FB351A">
              <w:rPr>
                <w:rFonts w:ascii="Arial" w:hAnsi="Arial" w:cs="Arial"/>
                <w:color w:val="000000"/>
                <w:sz w:val="16"/>
                <w:szCs w:val="16"/>
              </w:rPr>
              <w:t>-LP-003-2026</w:t>
            </w:r>
          </w:p>
        </w:tc>
        <w:tc>
          <w:tcPr>
            <w:tcW w:w="819" w:type="pct"/>
            <w:tcBorders>
              <w:top w:val="single" w:sz="4" w:space="0" w:color="8EA9DB"/>
              <w:left w:val="nil"/>
              <w:bottom w:val="single" w:sz="4" w:space="0" w:color="8EA9DB"/>
              <w:right w:val="nil"/>
            </w:tcBorders>
            <w:vAlign w:val="center"/>
            <w:hideMark/>
          </w:tcPr>
          <w:p w14:paraId="77136333"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UNIDAD ADMINISTRATIVA ESPECIAL CUERPO OFICIAL DE BOMBEROS DE BOGOTÁ</w:t>
            </w:r>
          </w:p>
        </w:tc>
        <w:tc>
          <w:tcPr>
            <w:tcW w:w="579" w:type="pct"/>
            <w:tcBorders>
              <w:top w:val="single" w:sz="4" w:space="0" w:color="8EA9DB"/>
              <w:left w:val="nil"/>
              <w:bottom w:val="single" w:sz="4" w:space="0" w:color="8EA9DB"/>
              <w:right w:val="nil"/>
            </w:tcBorders>
            <w:vAlign w:val="center"/>
            <w:hideMark/>
          </w:tcPr>
          <w:p w14:paraId="56B7777D" w14:textId="77777777"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19/08/2026</w:t>
            </w:r>
          </w:p>
        </w:tc>
        <w:tc>
          <w:tcPr>
            <w:tcW w:w="601" w:type="pct"/>
            <w:tcBorders>
              <w:top w:val="single" w:sz="4" w:space="0" w:color="8EA9DB"/>
              <w:left w:val="nil"/>
              <w:bottom w:val="single" w:sz="4" w:space="0" w:color="8EA9DB"/>
              <w:right w:val="nil"/>
            </w:tcBorders>
            <w:vAlign w:val="center"/>
            <w:hideMark/>
          </w:tcPr>
          <w:p w14:paraId="576FCA41" w14:textId="496A4904"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$ 3.301.643.618</w:t>
            </w:r>
            <w:r w:rsidRPr="00FB351A">
              <w:rPr>
                <w:rFonts w:ascii="Arial" w:hAnsi="Arial" w:cs="Arial"/>
                <w:color w:val="000000"/>
                <w:sz w:val="16"/>
                <w:szCs w:val="16"/>
              </w:rPr>
              <w:br/>
              <w:t>GRUPO DOS: $ 83.489.091</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$ 71.941.700</w:t>
            </w:r>
            <w:r w:rsidRPr="00FB351A">
              <w:rPr>
                <w:rFonts w:ascii="Arial" w:hAnsi="Arial" w:cs="Arial"/>
                <w:color w:val="000000"/>
                <w:sz w:val="16"/>
                <w:szCs w:val="16"/>
              </w:rPr>
              <w:br/>
              <w:t xml:space="preserve">GRUPO CUATRO: $ 129.212.536 </w:t>
            </w:r>
            <w:r w:rsidRPr="00FB351A">
              <w:rPr>
                <w:rFonts w:ascii="Arial" w:hAnsi="Arial" w:cs="Arial"/>
                <w:color w:val="000000"/>
                <w:sz w:val="16"/>
                <w:szCs w:val="16"/>
              </w:rPr>
              <w:br/>
              <w:t>GRUPO CINCO: $ 142.442.002</w:t>
            </w:r>
            <w:r w:rsidRPr="00FB351A">
              <w:rPr>
                <w:rFonts w:ascii="Arial" w:hAnsi="Arial" w:cs="Arial"/>
                <w:color w:val="000000"/>
                <w:sz w:val="16"/>
                <w:szCs w:val="16"/>
              </w:rPr>
              <w:br/>
              <w:t xml:space="preserve">GRUPO SEIS: $ 7.486.850 </w:t>
            </w:r>
          </w:p>
        </w:tc>
        <w:tc>
          <w:tcPr>
            <w:tcW w:w="744" w:type="pct"/>
            <w:tcBorders>
              <w:top w:val="single" w:sz="4" w:space="0" w:color="8EA9DB"/>
              <w:left w:val="nil"/>
              <w:bottom w:val="single" w:sz="4" w:space="0" w:color="8EA9DB"/>
              <w:right w:val="nil"/>
            </w:tcBorders>
            <w:vAlign w:val="center"/>
            <w:hideMark/>
          </w:tcPr>
          <w:p w14:paraId="76AF0344" w14:textId="034DD0F0"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UNO:  UT PREVISORA MAPFRE SURA</w:t>
            </w:r>
            <w:r w:rsidRPr="00FB351A">
              <w:rPr>
                <w:rFonts w:ascii="Arial" w:hAnsi="Arial" w:cs="Arial"/>
                <w:color w:val="000000"/>
                <w:sz w:val="16"/>
                <w:szCs w:val="16"/>
              </w:rPr>
              <w:br/>
              <w:t>GRUPO DOS: UT PREVISORA MAPFRE SURA</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SOLIDARIA</w:t>
            </w:r>
            <w:r w:rsidRPr="00FB351A">
              <w:rPr>
                <w:rFonts w:ascii="Arial" w:hAnsi="Arial" w:cs="Arial"/>
                <w:color w:val="000000"/>
                <w:sz w:val="16"/>
                <w:szCs w:val="16"/>
              </w:rPr>
              <w:br/>
              <w:t>GRUPO CUATRO:  UT PREVISORA MAPFRE SURA</w:t>
            </w:r>
            <w:r w:rsidRPr="00FB351A">
              <w:rPr>
                <w:rFonts w:ascii="Arial" w:hAnsi="Arial" w:cs="Arial"/>
                <w:color w:val="000000"/>
                <w:sz w:val="16"/>
                <w:szCs w:val="16"/>
              </w:rPr>
              <w:br/>
              <w:t>GRUPO CINCO: ZURICH</w:t>
            </w:r>
            <w:r w:rsidRPr="00FB351A">
              <w:rPr>
                <w:rFonts w:ascii="Arial" w:hAnsi="Arial" w:cs="Arial"/>
                <w:color w:val="000000"/>
                <w:sz w:val="16"/>
                <w:szCs w:val="16"/>
              </w:rPr>
              <w:br/>
              <w:t xml:space="preserve">GRUPO SEIS: SOLIDARIA </w:t>
            </w:r>
          </w:p>
        </w:tc>
        <w:tc>
          <w:tcPr>
            <w:tcW w:w="664" w:type="pct"/>
            <w:tcBorders>
              <w:top w:val="single" w:sz="4" w:space="0" w:color="8EA9DB"/>
              <w:left w:val="nil"/>
              <w:bottom w:val="single" w:sz="4" w:space="0" w:color="8EA9DB"/>
              <w:right w:val="nil"/>
            </w:tcBorders>
            <w:vAlign w:val="center"/>
            <w:hideMark/>
          </w:tcPr>
          <w:p w14:paraId="331D37DF" w14:textId="6E25EF89"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GRUPO UNO:  UT PREVISORA MAPFRE SURA Y UT SOLIDARIA ESTADO</w:t>
            </w:r>
            <w:r w:rsidRPr="00FB351A">
              <w:rPr>
                <w:rFonts w:ascii="Arial" w:hAnsi="Arial" w:cs="Arial"/>
                <w:color w:val="000000"/>
                <w:sz w:val="16"/>
                <w:szCs w:val="16"/>
              </w:rPr>
              <w:br/>
              <w:t>GRUPO DOS: UT PREVISORA MAPFRE SURA Y SEGUROS MUNDIAL</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SOLIDARIA Y PREVISORA</w:t>
            </w:r>
            <w:r w:rsidRPr="00FB351A">
              <w:rPr>
                <w:rFonts w:ascii="Arial" w:hAnsi="Arial" w:cs="Arial"/>
                <w:color w:val="000000"/>
                <w:sz w:val="16"/>
                <w:szCs w:val="16"/>
              </w:rPr>
              <w:br/>
              <w:t>GRUPO CUATRO:  UT PREVISORA MAPFRE SURA Y UT SOLIDARIA ESTADO</w:t>
            </w:r>
            <w:r w:rsidRPr="00FB351A">
              <w:rPr>
                <w:rFonts w:ascii="Arial" w:hAnsi="Arial" w:cs="Arial"/>
                <w:color w:val="000000"/>
                <w:sz w:val="16"/>
                <w:szCs w:val="16"/>
              </w:rPr>
              <w:br/>
              <w:t>GRUPO CINCO: ZURICH</w:t>
            </w:r>
            <w:r w:rsidRPr="00FB351A">
              <w:rPr>
                <w:rFonts w:ascii="Arial" w:hAnsi="Arial" w:cs="Arial"/>
                <w:color w:val="000000"/>
                <w:sz w:val="16"/>
                <w:szCs w:val="16"/>
              </w:rPr>
              <w:br/>
              <w:t>GRUPO SEIS: SOLIDARIA Y UT PREVISORA MAPFRE SURA</w:t>
            </w:r>
          </w:p>
        </w:tc>
        <w:tc>
          <w:tcPr>
            <w:tcW w:w="529" w:type="pct"/>
            <w:tcBorders>
              <w:top w:val="single" w:sz="4" w:space="0" w:color="8EA9DB"/>
              <w:left w:val="nil"/>
              <w:bottom w:val="single" w:sz="4" w:space="0" w:color="8EA9DB"/>
              <w:right w:val="nil"/>
            </w:tcBorders>
            <w:vAlign w:val="center"/>
            <w:hideMark/>
          </w:tcPr>
          <w:p w14:paraId="02F53CB5" w14:textId="7A181E64" w:rsidR="004A49D5" w:rsidRPr="00FB351A" w:rsidRDefault="004A49D5" w:rsidP="004A49D5">
            <w:pPr>
              <w:jc w:val="center"/>
              <w:rPr>
                <w:rFonts w:ascii="Arial" w:hAnsi="Arial" w:cs="Arial"/>
                <w:color w:val="000000"/>
                <w:sz w:val="16"/>
                <w:szCs w:val="16"/>
              </w:rPr>
            </w:pPr>
            <w:r w:rsidRPr="00FB351A">
              <w:rPr>
                <w:rFonts w:ascii="Arial" w:hAnsi="Arial" w:cs="Arial"/>
                <w:color w:val="000000"/>
                <w:sz w:val="16"/>
                <w:szCs w:val="16"/>
              </w:rPr>
              <w:t xml:space="preserve"> GRUPO </w:t>
            </w:r>
            <w:r w:rsidR="008F550C" w:rsidRPr="00FB351A">
              <w:rPr>
                <w:rFonts w:ascii="Arial" w:hAnsi="Arial" w:cs="Arial"/>
                <w:color w:val="000000"/>
                <w:sz w:val="16"/>
                <w:szCs w:val="16"/>
              </w:rPr>
              <w:t>UNO 194</w:t>
            </w:r>
            <w:r w:rsidRPr="00FB351A">
              <w:rPr>
                <w:rFonts w:ascii="Arial" w:hAnsi="Arial" w:cs="Arial"/>
                <w:color w:val="000000"/>
                <w:sz w:val="16"/>
                <w:szCs w:val="16"/>
              </w:rPr>
              <w:br/>
              <w:t>GRUPO DOS: 194</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TRES</w:t>
            </w:r>
            <w:r w:rsidRPr="00FB351A">
              <w:rPr>
                <w:rFonts w:ascii="Arial" w:hAnsi="Arial" w:cs="Arial"/>
                <w:color w:val="000000"/>
                <w:sz w:val="16"/>
                <w:szCs w:val="16"/>
              </w:rPr>
              <w:t>: ANUAL</w:t>
            </w:r>
            <w:r w:rsidRPr="00FB351A">
              <w:rPr>
                <w:rFonts w:ascii="Arial" w:hAnsi="Arial" w:cs="Arial"/>
                <w:color w:val="000000"/>
                <w:sz w:val="16"/>
                <w:szCs w:val="16"/>
              </w:rPr>
              <w:br/>
              <w:t xml:space="preserve">GRUPO CUATRO: 183 </w:t>
            </w:r>
            <w:r w:rsidRPr="00FB351A">
              <w:rPr>
                <w:rFonts w:ascii="Arial" w:hAnsi="Arial" w:cs="Arial"/>
                <w:color w:val="000000"/>
                <w:sz w:val="16"/>
                <w:szCs w:val="16"/>
              </w:rPr>
              <w:br/>
              <w:t>GRUPO CINCO: 183</w:t>
            </w:r>
            <w:r w:rsidRPr="00FB351A">
              <w:rPr>
                <w:rFonts w:ascii="Arial" w:hAnsi="Arial" w:cs="Arial"/>
                <w:color w:val="000000"/>
                <w:sz w:val="16"/>
                <w:szCs w:val="16"/>
              </w:rPr>
              <w:br/>
              <w:t xml:space="preserve">GRUPO </w:t>
            </w:r>
            <w:r w:rsidR="008F550C" w:rsidRPr="00FB351A">
              <w:rPr>
                <w:rFonts w:ascii="Arial" w:hAnsi="Arial" w:cs="Arial"/>
                <w:color w:val="000000"/>
                <w:sz w:val="16"/>
                <w:szCs w:val="16"/>
              </w:rPr>
              <w:t>SEIS 194</w:t>
            </w:r>
            <w:r w:rsidRPr="00FB351A">
              <w:rPr>
                <w:rFonts w:ascii="Arial" w:hAnsi="Arial" w:cs="Arial"/>
                <w:color w:val="000000"/>
                <w:sz w:val="16"/>
                <w:szCs w:val="16"/>
              </w:rPr>
              <w:t xml:space="preserve"> </w:t>
            </w:r>
          </w:p>
        </w:tc>
      </w:tr>
    </w:tbl>
    <w:p w14:paraId="44E9A2A7" w14:textId="4930AB10" w:rsidR="00B21705" w:rsidRPr="00FB351A" w:rsidRDefault="00B21705" w:rsidP="00803115">
      <w:pPr>
        <w:pStyle w:val="Descripcin"/>
        <w:jc w:val="both"/>
        <w:rPr>
          <w:rFonts w:ascii="Arial" w:hAnsi="Arial" w:cs="Arial"/>
          <w:b w:val="0"/>
          <w:bCs w:val="0"/>
          <w:lang w:val="es-CO" w:eastAsia="es-CO"/>
        </w:rPr>
      </w:pPr>
      <w:r w:rsidRPr="00FB351A">
        <w:rPr>
          <w:rFonts w:ascii="Arial" w:hAnsi="Arial" w:cs="Arial"/>
          <w:b w:val="0"/>
          <w:bCs w:val="0"/>
          <w:lang w:val="es-CO" w:eastAsia="es-CO"/>
        </w:rPr>
        <w:t xml:space="preserve">Cuadro Adquisiciones previas de otras entidades. Elaborada por el intermediario de seguros de la entidad </w:t>
      </w:r>
    </w:p>
    <w:p w14:paraId="39678148" w14:textId="77777777" w:rsidR="00284AD1" w:rsidRPr="00FB351A" w:rsidRDefault="00284AD1" w:rsidP="00803115">
      <w:pPr>
        <w:contextualSpacing/>
        <w:jc w:val="both"/>
        <w:rPr>
          <w:rFonts w:ascii="Arial" w:hAnsi="Arial" w:cs="Arial"/>
          <w:b/>
          <w:bCs/>
          <w:sz w:val="20"/>
          <w:szCs w:val="20"/>
          <w:lang w:val="es-ES"/>
        </w:rPr>
      </w:pPr>
    </w:p>
    <w:p w14:paraId="0B22E38B" w14:textId="346F0186" w:rsidR="00B45367" w:rsidRPr="00FB351A" w:rsidRDefault="00B45367" w:rsidP="00803115">
      <w:pPr>
        <w:pStyle w:val="Prrafodelista"/>
        <w:numPr>
          <w:ilvl w:val="1"/>
          <w:numId w:val="1"/>
        </w:numPr>
        <w:contextualSpacing/>
        <w:jc w:val="both"/>
        <w:rPr>
          <w:rFonts w:ascii="Arial" w:hAnsi="Arial" w:cs="Arial"/>
          <w:b/>
          <w:bCs/>
          <w:sz w:val="20"/>
          <w:szCs w:val="20"/>
          <w:lang w:val="es-ES"/>
        </w:rPr>
      </w:pPr>
      <w:r w:rsidRPr="00FB351A">
        <w:rPr>
          <w:rFonts w:ascii="Arial" w:hAnsi="Arial" w:cs="Arial"/>
          <w:b/>
          <w:bCs/>
          <w:sz w:val="20"/>
          <w:szCs w:val="20"/>
          <w:lang w:val="es-ES"/>
        </w:rPr>
        <w:t xml:space="preserve">Conclusiones del </w:t>
      </w:r>
      <w:r w:rsidR="0066569F" w:rsidRPr="00FB351A">
        <w:rPr>
          <w:rFonts w:ascii="Arial" w:hAnsi="Arial" w:cs="Arial"/>
          <w:b/>
          <w:bCs/>
          <w:sz w:val="20"/>
          <w:szCs w:val="20"/>
          <w:lang w:val="es-ES"/>
        </w:rPr>
        <w:t>análisis</w:t>
      </w:r>
      <w:r w:rsidRPr="00FB351A">
        <w:rPr>
          <w:rFonts w:ascii="Arial" w:hAnsi="Arial" w:cs="Arial"/>
          <w:b/>
          <w:bCs/>
          <w:sz w:val="20"/>
          <w:szCs w:val="20"/>
          <w:lang w:val="es-ES"/>
        </w:rPr>
        <w:t xml:space="preserve"> de la demanda</w:t>
      </w:r>
    </w:p>
    <w:p w14:paraId="5BC00545" w14:textId="77777777" w:rsidR="00B45367" w:rsidRPr="00FB351A" w:rsidRDefault="00B45367" w:rsidP="00803115">
      <w:pPr>
        <w:contextualSpacing/>
        <w:jc w:val="both"/>
        <w:rPr>
          <w:rFonts w:ascii="Arial" w:hAnsi="Arial" w:cs="Arial"/>
          <w:b/>
          <w:bCs/>
          <w:sz w:val="20"/>
          <w:szCs w:val="20"/>
          <w:lang w:val="es-ES"/>
        </w:rPr>
      </w:pPr>
    </w:p>
    <w:p w14:paraId="4F3CB3D9" w14:textId="77777777" w:rsidR="00A427EE" w:rsidRPr="00FB351A" w:rsidRDefault="00A427EE" w:rsidP="00803115">
      <w:pPr>
        <w:jc w:val="both"/>
        <w:rPr>
          <w:rFonts w:ascii="Arial" w:hAnsi="Arial" w:cs="Arial"/>
          <w:sz w:val="20"/>
          <w:szCs w:val="20"/>
        </w:rPr>
      </w:pPr>
      <w:bookmarkStart w:id="28" w:name="_Hlk211677456"/>
      <w:r w:rsidRPr="00FB351A">
        <w:rPr>
          <w:rFonts w:ascii="Arial" w:hAnsi="Arial" w:cs="Arial"/>
          <w:sz w:val="20"/>
          <w:szCs w:val="20"/>
        </w:rPr>
        <w:t>Las condiciones de contratación de las entidades estatales están dadas, de conformidad con el interés asegurable de cada una de ellas y su necesidad de aseguramiento, por las siguientes variables:</w:t>
      </w:r>
    </w:p>
    <w:p w14:paraId="66CC67C4" w14:textId="77777777" w:rsidR="00A427EE" w:rsidRPr="00FB351A" w:rsidRDefault="00A427EE" w:rsidP="00803115">
      <w:pPr>
        <w:jc w:val="both"/>
        <w:rPr>
          <w:rFonts w:ascii="Arial" w:hAnsi="Arial" w:cs="Arial"/>
          <w:sz w:val="20"/>
          <w:szCs w:val="20"/>
        </w:rPr>
      </w:pPr>
    </w:p>
    <w:p w14:paraId="4AB5C589" w14:textId="77777777" w:rsidR="00A427EE" w:rsidRPr="00FB351A" w:rsidRDefault="00A427EE">
      <w:pPr>
        <w:numPr>
          <w:ilvl w:val="0"/>
          <w:numId w:val="23"/>
        </w:numPr>
        <w:jc w:val="both"/>
        <w:rPr>
          <w:rFonts w:ascii="Arial" w:hAnsi="Arial" w:cs="Arial"/>
          <w:sz w:val="20"/>
          <w:szCs w:val="20"/>
        </w:rPr>
      </w:pPr>
      <w:r w:rsidRPr="00FB351A">
        <w:rPr>
          <w:rFonts w:ascii="Arial" w:hAnsi="Arial" w:cs="Arial"/>
          <w:sz w:val="20"/>
          <w:szCs w:val="20"/>
        </w:rPr>
        <w:t>Exigencias de requisitos habilitantes</w:t>
      </w:r>
    </w:p>
    <w:p w14:paraId="3A67F1DC" w14:textId="77777777" w:rsidR="00A427EE" w:rsidRPr="00FB351A" w:rsidRDefault="00A427EE" w:rsidP="00803115">
      <w:pPr>
        <w:jc w:val="both"/>
        <w:rPr>
          <w:rFonts w:ascii="Arial" w:hAnsi="Arial" w:cs="Arial"/>
          <w:sz w:val="20"/>
          <w:szCs w:val="20"/>
        </w:rPr>
      </w:pPr>
    </w:p>
    <w:bookmarkEnd w:id="28"/>
    <w:p w14:paraId="3C4AC7D2"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Las entidades estatales buscan a través de requisitos habilitantes, que los futuros contratistas de la administración tengan la capacidad para enfrentar los compromisos derivados del contrato estatal. Como exigencias mínimas se diseñan requisitos jurídicos, financieros y técnicos que filtran la participación de oferentes.</w:t>
      </w:r>
    </w:p>
    <w:p w14:paraId="1BE0854E" w14:textId="77777777" w:rsidR="008F550C" w:rsidRPr="00FB351A" w:rsidRDefault="008F550C" w:rsidP="008F550C">
      <w:pPr>
        <w:contextualSpacing/>
        <w:jc w:val="both"/>
        <w:rPr>
          <w:rFonts w:ascii="Arial" w:hAnsi="Arial" w:cs="Arial"/>
          <w:sz w:val="20"/>
          <w:szCs w:val="20"/>
        </w:rPr>
      </w:pPr>
    </w:p>
    <w:p w14:paraId="0F66B5CA"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lastRenderedPageBreak/>
        <w:t>Dentro de los procesos de contratación estatal de seguros liderados por el intermediario de la entidad, se evidencian requisitos tales como:</w:t>
      </w:r>
    </w:p>
    <w:p w14:paraId="7258BF8D" w14:textId="77777777" w:rsidR="008F550C" w:rsidRPr="00FB351A" w:rsidRDefault="008F550C" w:rsidP="008F550C">
      <w:pPr>
        <w:contextualSpacing/>
        <w:jc w:val="both"/>
        <w:rPr>
          <w:rFonts w:ascii="Arial" w:hAnsi="Arial" w:cs="Arial"/>
          <w:b/>
          <w:bCs/>
          <w:sz w:val="20"/>
          <w:szCs w:val="20"/>
        </w:rPr>
      </w:pPr>
    </w:p>
    <w:tbl>
      <w:tblPr>
        <w:tblW w:w="5000" w:type="pct"/>
        <w:tblCellSpacing w:w="15" w:type="dxa"/>
        <w:tblCellMar>
          <w:left w:w="0" w:type="dxa"/>
          <w:right w:w="0" w:type="dxa"/>
        </w:tblCellMar>
        <w:tblLook w:val="04A0" w:firstRow="1" w:lastRow="0" w:firstColumn="1" w:lastColumn="0" w:noHBand="0" w:noVBand="1"/>
      </w:tblPr>
      <w:tblGrid>
        <w:gridCol w:w="1658"/>
        <w:gridCol w:w="2322"/>
        <w:gridCol w:w="5643"/>
      </w:tblGrid>
      <w:tr w:rsidR="008F550C" w:rsidRPr="00FB351A" w14:paraId="4B585322" w14:textId="77777777" w:rsidTr="009B3AAD">
        <w:trPr>
          <w:trHeight w:val="20"/>
          <w:tblHeader/>
          <w:tblCellSpacing w:w="15" w:type="dxa"/>
        </w:trPr>
        <w:tc>
          <w:tcPr>
            <w:tcW w:w="793"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1B974C4"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Componente Habilitante</w:t>
            </w:r>
          </w:p>
        </w:tc>
        <w:tc>
          <w:tcPr>
            <w:tcW w:w="1214"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2C15673"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Requisito Exigido</w:t>
            </w:r>
          </w:p>
        </w:tc>
        <w:tc>
          <w:tcPr>
            <w:tcW w:w="293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E1E4C0C"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Descripción y Medio de Acreditación</w:t>
            </w:r>
          </w:p>
        </w:tc>
      </w:tr>
      <w:tr w:rsidR="008F550C" w:rsidRPr="00FB351A" w14:paraId="27E300BB" w14:textId="77777777" w:rsidTr="009B3AAD">
        <w:trPr>
          <w:trHeight w:val="20"/>
          <w:tblCellSpacing w:w="15" w:type="dxa"/>
        </w:trPr>
        <w:tc>
          <w:tcPr>
            <w:tcW w:w="793" w:type="pct"/>
            <w:vMerge w:val="restart"/>
            <w:tcBorders>
              <w:top w:val="single" w:sz="6" w:space="0" w:color="C4C7C5"/>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167A12F9"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1. Requisitos Jurídicos</w:t>
            </w: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36A934"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Certificado de Existencia y Representación Legal</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062C6C"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Expedido por la Cámara de Comercio, con fecha de expedición no mayor a 30 días, para verificar la capacidad jurídica y el objeto social de la aseguradora.</w:t>
            </w:r>
          </w:p>
        </w:tc>
      </w:tr>
      <w:tr w:rsidR="008F550C" w:rsidRPr="00FB351A" w14:paraId="7B254CF4" w14:textId="77777777" w:rsidTr="009B3AAD">
        <w:trPr>
          <w:trHeight w:val="20"/>
          <w:tblCellSpacing w:w="15" w:type="dxa"/>
        </w:trPr>
        <w:tc>
          <w:tcPr>
            <w:tcW w:w="793" w:type="pct"/>
            <w:vMerge/>
            <w:tcBorders>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4A9FC313" w14:textId="77777777" w:rsidR="008F550C" w:rsidRPr="00FB351A" w:rsidRDefault="008F550C" w:rsidP="008F550C">
            <w:pPr>
              <w:contextualSpacing/>
              <w:jc w:val="both"/>
              <w:rPr>
                <w:rFonts w:ascii="Arial" w:hAnsi="Arial" w:cs="Arial"/>
                <w:sz w:val="20"/>
                <w:szCs w:val="20"/>
              </w:rPr>
            </w:pP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0B9221"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Certificado de la Superintendencia Financiera de Colombia (</w:t>
            </w:r>
            <w:proofErr w:type="spellStart"/>
            <w:r w:rsidRPr="00FB351A">
              <w:rPr>
                <w:rFonts w:ascii="Arial" w:hAnsi="Arial" w:cs="Arial"/>
                <w:b/>
                <w:bCs/>
                <w:sz w:val="20"/>
                <w:szCs w:val="20"/>
              </w:rPr>
              <w:t>SFC</w:t>
            </w:r>
            <w:proofErr w:type="spellEnd"/>
            <w:r w:rsidRPr="00FB351A">
              <w:rPr>
                <w:rFonts w:ascii="Arial" w:hAnsi="Arial" w:cs="Arial"/>
                <w:b/>
                <w:bCs/>
                <w:sz w:val="20"/>
                <w:szCs w:val="20"/>
              </w:rPr>
              <w:t>)</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F20136"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 xml:space="preserve">Documento que acredita que la compañía de seguros está legalmente constituida, autorizada y vigilada por la </w:t>
            </w:r>
            <w:proofErr w:type="spellStart"/>
            <w:r w:rsidRPr="00FB351A">
              <w:rPr>
                <w:rFonts w:ascii="Arial" w:hAnsi="Arial" w:cs="Arial"/>
                <w:sz w:val="20"/>
                <w:szCs w:val="20"/>
              </w:rPr>
              <w:t>SFC</w:t>
            </w:r>
            <w:proofErr w:type="spellEnd"/>
            <w:r w:rsidRPr="00FB351A">
              <w:rPr>
                <w:rFonts w:ascii="Arial" w:hAnsi="Arial" w:cs="Arial"/>
                <w:sz w:val="20"/>
                <w:szCs w:val="20"/>
              </w:rPr>
              <w:t xml:space="preserve"> para operar los ramos objeto del Proceso de Contratación.</w:t>
            </w:r>
          </w:p>
        </w:tc>
      </w:tr>
      <w:tr w:rsidR="008F550C" w:rsidRPr="00FB351A" w14:paraId="05766F9F" w14:textId="77777777" w:rsidTr="009B3AAD">
        <w:trPr>
          <w:trHeight w:val="20"/>
          <w:tblCellSpacing w:w="15" w:type="dxa"/>
        </w:trPr>
        <w:tc>
          <w:tcPr>
            <w:tcW w:w="793" w:type="pct"/>
            <w:vMerge/>
            <w:tcBorders>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610632C3" w14:textId="77777777" w:rsidR="008F550C" w:rsidRPr="00FB351A" w:rsidRDefault="008F550C" w:rsidP="008F550C">
            <w:pPr>
              <w:contextualSpacing/>
              <w:jc w:val="both"/>
              <w:rPr>
                <w:rFonts w:ascii="Arial" w:hAnsi="Arial" w:cs="Arial"/>
                <w:sz w:val="20"/>
                <w:szCs w:val="20"/>
              </w:rPr>
            </w:pP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64213"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Registro Único de Proponentes (RUP)</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B1A792"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Certificado del RUP vigente y en firme, expedido por la Cámara de Comercio, donde conste la capacidad jurídica, financiera y de experiencia del oferente.</w:t>
            </w:r>
          </w:p>
        </w:tc>
      </w:tr>
      <w:tr w:rsidR="008F550C" w:rsidRPr="00FB351A" w14:paraId="5B486082" w14:textId="77777777" w:rsidTr="009B3AAD">
        <w:trPr>
          <w:trHeight w:val="20"/>
          <w:tblCellSpacing w:w="15" w:type="dxa"/>
        </w:trPr>
        <w:tc>
          <w:tcPr>
            <w:tcW w:w="793" w:type="pct"/>
            <w:vMerge/>
            <w:tcBorders>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2BA4E999" w14:textId="77777777" w:rsidR="008F550C" w:rsidRPr="00FB351A" w:rsidRDefault="008F550C" w:rsidP="008F550C">
            <w:pPr>
              <w:contextualSpacing/>
              <w:jc w:val="both"/>
              <w:rPr>
                <w:rFonts w:ascii="Arial" w:hAnsi="Arial" w:cs="Arial"/>
                <w:sz w:val="20"/>
                <w:szCs w:val="20"/>
              </w:rPr>
            </w:pP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A26D51"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Consulta de Antecedentes</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48BB5B"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Verificación en las bases de datos de la Procuraduría (disciplinarios), Contraloría (fiscales), Policía Nacional (judiciales) y el Registro Nacional de Medidas Correctivas (</w:t>
            </w:r>
            <w:proofErr w:type="spellStart"/>
            <w:r w:rsidRPr="00FB351A">
              <w:rPr>
                <w:rFonts w:ascii="Arial" w:hAnsi="Arial" w:cs="Arial"/>
                <w:sz w:val="20"/>
                <w:szCs w:val="20"/>
              </w:rPr>
              <w:t>RNMC</w:t>
            </w:r>
            <w:proofErr w:type="spellEnd"/>
            <w:r w:rsidRPr="00FB351A">
              <w:rPr>
                <w:rFonts w:ascii="Arial" w:hAnsi="Arial" w:cs="Arial"/>
                <w:sz w:val="20"/>
                <w:szCs w:val="20"/>
              </w:rPr>
              <w:t>) para descartar inhabilidades e incompatibilidades.</w:t>
            </w:r>
          </w:p>
        </w:tc>
      </w:tr>
      <w:tr w:rsidR="008F550C" w:rsidRPr="00FB351A" w14:paraId="5A1E2676" w14:textId="77777777" w:rsidTr="009B3AAD">
        <w:trPr>
          <w:trHeight w:val="20"/>
          <w:tblCellSpacing w:w="15" w:type="dxa"/>
        </w:trPr>
        <w:tc>
          <w:tcPr>
            <w:tcW w:w="793" w:type="pct"/>
            <w:vMerge/>
            <w:tcBorders>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02AB3BE3" w14:textId="77777777" w:rsidR="008F550C" w:rsidRPr="00FB351A" w:rsidRDefault="008F550C" w:rsidP="008F550C">
            <w:pPr>
              <w:contextualSpacing/>
              <w:jc w:val="both"/>
              <w:rPr>
                <w:rFonts w:ascii="Arial" w:hAnsi="Arial" w:cs="Arial"/>
                <w:sz w:val="20"/>
                <w:szCs w:val="20"/>
              </w:rPr>
            </w:pP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253313"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Certificación de Seguridad Social y Parafiscales</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256845"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Documento suscrito por el Representante Legal y el Revisor Fiscal que acredite el pago oportuno de los aportes al sistema de seguridad social integral y parafiscales durante los últimos seis (6) meses (Art. 50 Ley 789 de 2002).</w:t>
            </w:r>
          </w:p>
        </w:tc>
      </w:tr>
      <w:tr w:rsidR="008F550C" w:rsidRPr="00FB351A" w14:paraId="543DACA8" w14:textId="77777777" w:rsidTr="009B3AAD">
        <w:trPr>
          <w:trHeight w:val="20"/>
          <w:tblCellSpacing w:w="15" w:type="dxa"/>
        </w:trPr>
        <w:tc>
          <w:tcPr>
            <w:tcW w:w="793" w:type="pct"/>
            <w:vMerge/>
            <w:tcBorders>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1B65F66" w14:textId="77777777" w:rsidR="008F550C" w:rsidRPr="00FB351A" w:rsidRDefault="008F550C" w:rsidP="008F550C">
            <w:pPr>
              <w:contextualSpacing/>
              <w:jc w:val="both"/>
              <w:rPr>
                <w:rFonts w:ascii="Arial" w:hAnsi="Arial" w:cs="Arial"/>
                <w:sz w:val="20"/>
                <w:szCs w:val="20"/>
              </w:rPr>
            </w:pP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76A06C"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Garantía de Seriedad de la Oferta</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F53D4E"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Póliza o garantía bancaria expedida a favor de la Entidad Estatal, con el fin de amparar el mantenimiento de las condiciones de la propuesta económica y técnica durante el proceso.</w:t>
            </w:r>
          </w:p>
        </w:tc>
      </w:tr>
      <w:tr w:rsidR="008F550C" w:rsidRPr="00FB351A" w14:paraId="2D418056" w14:textId="77777777" w:rsidTr="009B3AAD">
        <w:trPr>
          <w:trHeight w:val="20"/>
          <w:tblCellSpacing w:w="15" w:type="dxa"/>
        </w:trPr>
        <w:tc>
          <w:tcPr>
            <w:tcW w:w="793" w:type="pct"/>
            <w:vMerge w:val="restart"/>
            <w:tcBorders>
              <w:top w:val="single" w:sz="6" w:space="0" w:color="C4C7C5"/>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5D158245"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2. Requisitos Financieros</w:t>
            </w: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3377B8"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Índice de Liquidez</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84A1D6"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Indicador financiero (Activo Corriente / Pasivo Corriente) acreditado mediante el certificado del RUP vigente, que demuestra la capacidad de la aseguradora para cubrir sus obligaciones a corto plazo.</w:t>
            </w:r>
          </w:p>
        </w:tc>
      </w:tr>
      <w:tr w:rsidR="008F550C" w:rsidRPr="00FB351A" w14:paraId="6E195350" w14:textId="77777777" w:rsidTr="009B3AAD">
        <w:trPr>
          <w:trHeight w:val="20"/>
          <w:tblCellSpacing w:w="15" w:type="dxa"/>
        </w:trPr>
        <w:tc>
          <w:tcPr>
            <w:tcW w:w="793" w:type="pct"/>
            <w:vMerge/>
            <w:tcBorders>
              <w:left w:val="single" w:sz="6" w:space="0" w:color="C4C7C5"/>
              <w:right w:val="single" w:sz="6" w:space="0" w:color="C4C7C5"/>
            </w:tcBorders>
            <w:shd w:val="clear" w:color="auto" w:fill="C1E4F5"/>
            <w:tcMar>
              <w:top w:w="120" w:type="dxa"/>
              <w:left w:w="180" w:type="dxa"/>
              <w:bottom w:w="120" w:type="dxa"/>
              <w:right w:w="180" w:type="dxa"/>
            </w:tcMar>
            <w:vAlign w:val="center"/>
            <w:hideMark/>
          </w:tcPr>
          <w:p w14:paraId="44E524CE" w14:textId="77777777" w:rsidR="008F550C" w:rsidRPr="00FB351A" w:rsidRDefault="008F550C" w:rsidP="008F550C">
            <w:pPr>
              <w:contextualSpacing/>
              <w:jc w:val="both"/>
              <w:rPr>
                <w:rFonts w:ascii="Arial" w:hAnsi="Arial" w:cs="Arial"/>
                <w:sz w:val="20"/>
                <w:szCs w:val="20"/>
              </w:rPr>
            </w:pP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C1CA34"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Nivel de Endeudamiento</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76FECA"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Indicador financiero (Pasivo Total / Activo Total) acreditado mediante el certificado del RUP vigente, que refleja la participación de los acreedores en los activos de la compañía.</w:t>
            </w:r>
          </w:p>
        </w:tc>
      </w:tr>
      <w:tr w:rsidR="008F550C" w:rsidRPr="00FB351A" w14:paraId="148739F0" w14:textId="77777777" w:rsidTr="009B3AAD">
        <w:trPr>
          <w:trHeight w:val="20"/>
          <w:tblCellSpacing w:w="15" w:type="dxa"/>
        </w:trPr>
        <w:tc>
          <w:tcPr>
            <w:tcW w:w="793" w:type="pct"/>
            <w:vMerge/>
            <w:tcBorders>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C9E0C49" w14:textId="77777777" w:rsidR="008F550C" w:rsidRPr="00FB351A" w:rsidRDefault="008F550C" w:rsidP="008F550C">
            <w:pPr>
              <w:contextualSpacing/>
              <w:jc w:val="both"/>
              <w:rPr>
                <w:rFonts w:ascii="Arial" w:hAnsi="Arial" w:cs="Arial"/>
                <w:sz w:val="20"/>
                <w:szCs w:val="20"/>
              </w:rPr>
            </w:pP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A3FD6"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Patrimonio Técnico y Margen de Solvencia</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7FBD1F" w14:textId="77777777" w:rsidR="008F550C" w:rsidRPr="00FB351A" w:rsidRDefault="008F550C" w:rsidP="008F550C">
            <w:pPr>
              <w:contextualSpacing/>
              <w:jc w:val="both"/>
              <w:rPr>
                <w:rFonts w:ascii="Arial" w:hAnsi="Arial" w:cs="Arial"/>
                <w:sz w:val="20"/>
                <w:szCs w:val="20"/>
              </w:rPr>
            </w:pPr>
            <w:r w:rsidRPr="00FB351A">
              <w:rPr>
                <w:rFonts w:ascii="Arial" w:hAnsi="Arial" w:cs="Arial"/>
                <w:i/>
                <w:iCs/>
                <w:sz w:val="20"/>
                <w:szCs w:val="20"/>
              </w:rPr>
              <w:t>(Reemplaza "exceso o defecto de patrimonio")</w:t>
            </w:r>
            <w:r w:rsidRPr="00FB351A">
              <w:rPr>
                <w:rFonts w:ascii="Arial" w:hAnsi="Arial" w:cs="Arial"/>
                <w:sz w:val="20"/>
                <w:szCs w:val="20"/>
              </w:rPr>
              <w:t xml:space="preserve">. Certificación expedida por el Revisor Fiscal donde conste que la aseguradora cumple con el margen de solvencia y el patrimonio técnico saneado exigidos por la </w:t>
            </w:r>
            <w:proofErr w:type="spellStart"/>
            <w:r w:rsidRPr="00FB351A">
              <w:rPr>
                <w:rFonts w:ascii="Arial" w:hAnsi="Arial" w:cs="Arial"/>
                <w:sz w:val="20"/>
                <w:szCs w:val="20"/>
              </w:rPr>
              <w:t>SFC</w:t>
            </w:r>
            <w:proofErr w:type="spellEnd"/>
            <w:r w:rsidRPr="00FB351A">
              <w:rPr>
                <w:rFonts w:ascii="Arial" w:hAnsi="Arial" w:cs="Arial"/>
                <w:sz w:val="20"/>
                <w:szCs w:val="20"/>
              </w:rPr>
              <w:t xml:space="preserve"> para respaldar la asunción de nuevos riesgos.</w:t>
            </w:r>
          </w:p>
        </w:tc>
      </w:tr>
      <w:tr w:rsidR="008F550C" w:rsidRPr="00FB351A" w14:paraId="6D96BBBE" w14:textId="77777777" w:rsidTr="009B3AAD">
        <w:trPr>
          <w:trHeight w:val="20"/>
          <w:tblCellSpacing w:w="15" w:type="dxa"/>
        </w:trPr>
        <w:tc>
          <w:tcPr>
            <w:tcW w:w="793"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2C66057"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3. Experiencia</w:t>
            </w: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6AAD44"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Experiencia Habilitante</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85E45E"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Acreditación (mediante el RUP o certificaciones directas) de la celebración y ejecución de contratos de seguros en ramos iguales o similares al objeto del proceso, cumpliendo con la sumatoria de Salarios Mínimos Legales Mensuales Vigentes (SMLMV) exigida.</w:t>
            </w:r>
          </w:p>
        </w:tc>
      </w:tr>
      <w:tr w:rsidR="008F550C" w:rsidRPr="00FB351A" w14:paraId="1E4890D0" w14:textId="77777777" w:rsidTr="009B3AAD">
        <w:trPr>
          <w:trHeight w:val="20"/>
          <w:tblCellSpacing w:w="15" w:type="dxa"/>
        </w:trPr>
        <w:tc>
          <w:tcPr>
            <w:tcW w:w="793"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AAD60CF"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4. Requisitos Técnicos</w:t>
            </w:r>
          </w:p>
        </w:tc>
        <w:tc>
          <w:tcPr>
            <w:tcW w:w="121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67B78B"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Condiciones Técnicas de Obligatorio Cumplimiento</w:t>
            </w:r>
          </w:p>
        </w:tc>
        <w:tc>
          <w:tcPr>
            <w:tcW w:w="293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9413D"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 xml:space="preserve">Carta de compromiso o matriz de cumplimiento donde el proponente acepta, sin condicionamientos, amparar la totalidad de los bienes, mantener las coberturas, límites, sublímites y deducibles vigentes del programa de seguros requeridos por la Entidad. </w:t>
            </w:r>
            <w:r w:rsidRPr="00FB351A">
              <w:rPr>
                <w:rFonts w:ascii="Arial" w:hAnsi="Arial" w:cs="Arial"/>
                <w:b/>
                <w:bCs/>
                <w:sz w:val="20"/>
                <w:szCs w:val="20"/>
              </w:rPr>
              <w:t>Nota:</w:t>
            </w:r>
            <w:r w:rsidRPr="00FB351A">
              <w:rPr>
                <w:rFonts w:ascii="Arial" w:hAnsi="Arial" w:cs="Arial"/>
                <w:sz w:val="20"/>
                <w:szCs w:val="20"/>
              </w:rPr>
              <w:t xml:space="preserve"> </w:t>
            </w:r>
            <w:r w:rsidRPr="00FB351A">
              <w:rPr>
                <w:rFonts w:ascii="Arial" w:hAnsi="Arial" w:cs="Arial"/>
                <w:i/>
                <w:iCs/>
                <w:sz w:val="20"/>
                <w:szCs w:val="20"/>
              </w:rPr>
              <w:t>Estas condiciones operan como un requisito de "Pasa / No Pasa" y no otorgan puntaje.</w:t>
            </w:r>
          </w:p>
        </w:tc>
      </w:tr>
    </w:tbl>
    <w:p w14:paraId="60E83242" w14:textId="6C94E027" w:rsidR="008F550C" w:rsidRPr="00FB351A" w:rsidRDefault="008F550C" w:rsidP="008F550C">
      <w:pPr>
        <w:contextualSpacing/>
        <w:jc w:val="both"/>
        <w:rPr>
          <w:rFonts w:ascii="Arial" w:hAnsi="Arial" w:cs="Arial"/>
          <w:sz w:val="20"/>
          <w:szCs w:val="20"/>
        </w:rPr>
      </w:pPr>
      <w:r w:rsidRPr="00FB351A">
        <w:rPr>
          <w:rFonts w:ascii="Arial" w:hAnsi="Arial" w:cs="Arial"/>
          <w:sz w:val="20"/>
          <w:szCs w:val="20"/>
          <w:lang w:val="es-ES"/>
        </w:rPr>
        <w:t>Cuadro Análisis requisitos habilitantes procesos de selección de otras entidades. Elaborada por el intermediario de seguros de la entidad JARGU S.A. Corredores de seguros.</w:t>
      </w:r>
    </w:p>
    <w:p w14:paraId="46DCFEBE" w14:textId="77777777" w:rsidR="008F550C" w:rsidRPr="00FB351A" w:rsidRDefault="008F550C" w:rsidP="008F550C">
      <w:pPr>
        <w:contextualSpacing/>
        <w:jc w:val="both"/>
        <w:rPr>
          <w:rFonts w:ascii="Arial" w:hAnsi="Arial" w:cs="Arial"/>
          <w:sz w:val="20"/>
          <w:szCs w:val="20"/>
        </w:rPr>
      </w:pPr>
    </w:p>
    <w:p w14:paraId="2725A707" w14:textId="77777777" w:rsidR="008F550C" w:rsidRPr="00FB351A" w:rsidRDefault="008F550C">
      <w:pPr>
        <w:numPr>
          <w:ilvl w:val="0"/>
          <w:numId w:val="23"/>
        </w:numPr>
        <w:contextualSpacing/>
        <w:jc w:val="both"/>
        <w:rPr>
          <w:rFonts w:ascii="Arial" w:hAnsi="Arial" w:cs="Arial"/>
          <w:sz w:val="20"/>
          <w:szCs w:val="20"/>
        </w:rPr>
      </w:pPr>
      <w:r w:rsidRPr="00FB351A">
        <w:rPr>
          <w:rFonts w:ascii="Arial" w:hAnsi="Arial" w:cs="Arial"/>
          <w:sz w:val="20"/>
          <w:szCs w:val="20"/>
        </w:rPr>
        <w:t>Criterios ponderables de selección</w:t>
      </w:r>
    </w:p>
    <w:p w14:paraId="6A856F83" w14:textId="77777777" w:rsidR="008F550C" w:rsidRPr="00FB351A" w:rsidRDefault="008F550C" w:rsidP="008F550C">
      <w:pPr>
        <w:contextualSpacing/>
        <w:jc w:val="both"/>
        <w:rPr>
          <w:rFonts w:ascii="Arial" w:hAnsi="Arial" w:cs="Arial"/>
          <w:sz w:val="20"/>
          <w:szCs w:val="20"/>
        </w:rPr>
      </w:pPr>
    </w:p>
    <w:p w14:paraId="1C13E8BB"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Las entidades estatales buscan adjudicar el contrato estatal de seguros a quienes presenten las ofertas más favorables para la entidad, con la ponderación de elementos de calidad y precio.</w:t>
      </w:r>
    </w:p>
    <w:p w14:paraId="42D4163D" w14:textId="77777777" w:rsidR="008F550C" w:rsidRPr="00FB351A" w:rsidRDefault="008F550C" w:rsidP="008F550C">
      <w:pPr>
        <w:contextualSpacing/>
        <w:jc w:val="both"/>
        <w:rPr>
          <w:rFonts w:ascii="Arial" w:hAnsi="Arial" w:cs="Arial"/>
          <w:sz w:val="20"/>
          <w:szCs w:val="20"/>
        </w:rPr>
      </w:pPr>
    </w:p>
    <w:p w14:paraId="5D6606DD"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 xml:space="preserve">Dentro de los procesos de contratación estatal de seguros liderados por el intermediario de la entidad, es común ver los siguientes criterios de ponderación y la respectiva asignación de puntos: </w:t>
      </w:r>
    </w:p>
    <w:p w14:paraId="2E222AEC" w14:textId="77777777" w:rsidR="008F550C" w:rsidRPr="00FB351A" w:rsidRDefault="008F550C" w:rsidP="008F550C">
      <w:pPr>
        <w:contextualSpacing/>
        <w:jc w:val="both"/>
        <w:rPr>
          <w:rFonts w:ascii="Arial" w:hAnsi="Arial" w:cs="Arial"/>
          <w:sz w:val="20"/>
          <w:szCs w:val="20"/>
        </w:rPr>
      </w:pPr>
    </w:p>
    <w:p w14:paraId="6FD56304" w14:textId="77777777" w:rsidR="008F550C" w:rsidRPr="00FB351A" w:rsidRDefault="008F550C" w:rsidP="008F550C">
      <w:pPr>
        <w:contextualSpacing/>
        <w:jc w:val="both"/>
        <w:rPr>
          <w:rFonts w:ascii="Arial" w:hAnsi="Arial" w:cs="Arial"/>
          <w:b/>
          <w:bCs/>
          <w:sz w:val="20"/>
          <w:szCs w:val="20"/>
        </w:rPr>
      </w:pPr>
    </w:p>
    <w:tbl>
      <w:tblPr>
        <w:tblW w:w="5000" w:type="pct"/>
        <w:tblCellSpacing w:w="15" w:type="dxa"/>
        <w:tblCellMar>
          <w:left w:w="0" w:type="dxa"/>
          <w:right w:w="0" w:type="dxa"/>
        </w:tblCellMar>
        <w:tblLook w:val="04A0" w:firstRow="1" w:lastRow="0" w:firstColumn="1" w:lastColumn="0" w:noHBand="0" w:noVBand="1"/>
      </w:tblPr>
      <w:tblGrid>
        <w:gridCol w:w="1647"/>
        <w:gridCol w:w="1937"/>
        <w:gridCol w:w="6039"/>
      </w:tblGrid>
      <w:tr w:rsidR="008F550C" w:rsidRPr="00FB351A" w14:paraId="388FE489" w14:textId="77777777" w:rsidTr="009B3AAD">
        <w:trPr>
          <w:trHeight w:val="20"/>
          <w:tblHeader/>
          <w:tblCellSpacing w:w="15" w:type="dxa"/>
        </w:trPr>
        <w:tc>
          <w:tcPr>
            <w:tcW w:w="771"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8449500" w14:textId="77777777" w:rsidR="008F550C" w:rsidRPr="00FB351A" w:rsidRDefault="008F550C" w:rsidP="008F550C">
            <w:pPr>
              <w:contextualSpacing/>
              <w:jc w:val="both"/>
              <w:rPr>
                <w:rFonts w:ascii="Arial" w:hAnsi="Arial" w:cs="Arial"/>
                <w:b/>
                <w:bCs/>
                <w:sz w:val="20"/>
                <w:szCs w:val="20"/>
              </w:rPr>
            </w:pPr>
            <w:r w:rsidRPr="00FB351A">
              <w:rPr>
                <w:rFonts w:ascii="Arial" w:hAnsi="Arial" w:cs="Arial"/>
                <w:b/>
                <w:bCs/>
                <w:sz w:val="20"/>
                <w:szCs w:val="20"/>
              </w:rPr>
              <w:t>Criterio de Ponderación</w:t>
            </w:r>
          </w:p>
        </w:tc>
        <w:tc>
          <w:tcPr>
            <w:tcW w:w="102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A150747" w14:textId="77777777" w:rsidR="008F550C" w:rsidRPr="00FB351A" w:rsidRDefault="008F550C" w:rsidP="008F550C">
            <w:pPr>
              <w:contextualSpacing/>
              <w:jc w:val="both"/>
              <w:rPr>
                <w:rFonts w:ascii="Arial" w:hAnsi="Arial" w:cs="Arial"/>
                <w:b/>
                <w:bCs/>
                <w:sz w:val="20"/>
                <w:szCs w:val="20"/>
              </w:rPr>
            </w:pPr>
            <w:r w:rsidRPr="00FB351A">
              <w:rPr>
                <w:rFonts w:ascii="Arial" w:hAnsi="Arial" w:cs="Arial"/>
                <w:b/>
                <w:bCs/>
                <w:sz w:val="20"/>
                <w:szCs w:val="20"/>
              </w:rPr>
              <w:t>Factor a Evaluar</w:t>
            </w:r>
          </w:p>
        </w:tc>
        <w:tc>
          <w:tcPr>
            <w:tcW w:w="3146"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3C50650" w14:textId="77777777" w:rsidR="008F550C" w:rsidRPr="00FB351A" w:rsidRDefault="008F550C" w:rsidP="008F550C">
            <w:pPr>
              <w:contextualSpacing/>
              <w:jc w:val="both"/>
              <w:rPr>
                <w:rFonts w:ascii="Arial" w:hAnsi="Arial" w:cs="Arial"/>
                <w:b/>
                <w:bCs/>
                <w:sz w:val="20"/>
                <w:szCs w:val="20"/>
              </w:rPr>
            </w:pPr>
            <w:r w:rsidRPr="00FB351A">
              <w:rPr>
                <w:rFonts w:ascii="Arial" w:hAnsi="Arial" w:cs="Arial"/>
                <w:b/>
                <w:bCs/>
                <w:sz w:val="20"/>
                <w:szCs w:val="20"/>
              </w:rPr>
              <w:t>Descripción Técnica y Reglas de Asignación</w:t>
            </w:r>
          </w:p>
        </w:tc>
      </w:tr>
      <w:tr w:rsidR="008F550C" w:rsidRPr="00FB351A" w14:paraId="48D5E7E2" w14:textId="77777777" w:rsidTr="009B3AAD">
        <w:trPr>
          <w:trHeight w:val="20"/>
          <w:tblCellSpacing w:w="15" w:type="dxa"/>
        </w:trPr>
        <w:tc>
          <w:tcPr>
            <w:tcW w:w="771"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33F1B76" w14:textId="77777777" w:rsidR="008F550C" w:rsidRPr="00FB351A" w:rsidRDefault="008F550C" w:rsidP="008F550C">
            <w:pPr>
              <w:contextualSpacing/>
              <w:jc w:val="both"/>
              <w:rPr>
                <w:rFonts w:ascii="Arial" w:hAnsi="Arial" w:cs="Arial"/>
                <w:b/>
                <w:bCs/>
                <w:sz w:val="20"/>
                <w:szCs w:val="20"/>
              </w:rPr>
            </w:pPr>
            <w:r w:rsidRPr="00FB351A">
              <w:rPr>
                <w:rFonts w:ascii="Arial" w:hAnsi="Arial" w:cs="Arial"/>
                <w:b/>
                <w:bCs/>
                <w:sz w:val="20"/>
                <w:szCs w:val="20"/>
              </w:rPr>
              <w:t>Evaluación Técnica</w:t>
            </w:r>
          </w:p>
        </w:tc>
        <w:tc>
          <w:tcPr>
            <w:tcW w:w="102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0D407B"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Condiciones Técnicas Adicionales (Valores Agregados)</w:t>
            </w:r>
          </w:p>
        </w:tc>
        <w:tc>
          <w:tcPr>
            <w:tcW w:w="3146"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6F7485"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Asignación de puntaje a los ofrecimientos complementarios que mejoran las condiciones mínimas requeridas por la Entidad (ej. coberturas adicionales, capacitaciones, asistencias). La inclusión de estos amparos o valores agregados es facultativa (opcional) para las aseguradoras; su no presentación no es causal de rechazo de la propuesta, pero resultará en la asignación de cero (0) puntos en este criterio.</w:t>
            </w:r>
          </w:p>
        </w:tc>
      </w:tr>
      <w:tr w:rsidR="008F550C" w:rsidRPr="00FB351A" w14:paraId="082E3F53" w14:textId="77777777" w:rsidTr="009B3AAD">
        <w:trPr>
          <w:trHeight w:val="20"/>
          <w:tblCellSpacing w:w="15" w:type="dxa"/>
        </w:trPr>
        <w:tc>
          <w:tcPr>
            <w:tcW w:w="771"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12DB393" w14:textId="77777777" w:rsidR="008F550C" w:rsidRPr="00FB351A" w:rsidRDefault="008F550C" w:rsidP="008F550C">
            <w:pPr>
              <w:contextualSpacing/>
              <w:jc w:val="both"/>
              <w:rPr>
                <w:rFonts w:ascii="Arial" w:hAnsi="Arial" w:cs="Arial"/>
                <w:b/>
                <w:bCs/>
                <w:sz w:val="20"/>
                <w:szCs w:val="20"/>
              </w:rPr>
            </w:pPr>
            <w:r w:rsidRPr="00FB351A">
              <w:rPr>
                <w:rFonts w:ascii="Arial" w:hAnsi="Arial" w:cs="Arial"/>
                <w:b/>
                <w:bCs/>
                <w:sz w:val="20"/>
                <w:szCs w:val="20"/>
              </w:rPr>
              <w:lastRenderedPageBreak/>
              <w:t>Evaluación Económica</w:t>
            </w:r>
          </w:p>
        </w:tc>
        <w:tc>
          <w:tcPr>
            <w:tcW w:w="102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4EEC83"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Mejora en las Condiciones de Deducibles</w:t>
            </w:r>
          </w:p>
        </w:tc>
        <w:tc>
          <w:tcPr>
            <w:tcW w:w="3146"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D43CD3"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Asignación de puntaje a las propuestas que ofrezcan eliminar o disminuir los porcentajes y/o valores fijos exigidos como deducible mínimo en el pliego de condiciones. Esta mejora representa una reducción directa en la participación económica de la Entidad frente a la ocurrencia de un siniestro.</w:t>
            </w:r>
          </w:p>
        </w:tc>
      </w:tr>
      <w:tr w:rsidR="008F550C" w:rsidRPr="00FB351A" w14:paraId="410EDF1B" w14:textId="77777777" w:rsidTr="009B3AAD">
        <w:trPr>
          <w:trHeight w:val="20"/>
          <w:tblCellSpacing w:w="15" w:type="dxa"/>
        </w:trPr>
        <w:tc>
          <w:tcPr>
            <w:tcW w:w="771"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140105E" w14:textId="77777777" w:rsidR="008F550C" w:rsidRPr="00FB351A" w:rsidRDefault="008F550C" w:rsidP="008F550C">
            <w:pPr>
              <w:contextualSpacing/>
              <w:jc w:val="both"/>
              <w:rPr>
                <w:rFonts w:ascii="Arial" w:hAnsi="Arial" w:cs="Arial"/>
                <w:b/>
                <w:bCs/>
                <w:sz w:val="20"/>
                <w:szCs w:val="20"/>
              </w:rPr>
            </w:pPr>
            <w:r w:rsidRPr="00FB351A">
              <w:rPr>
                <w:rFonts w:ascii="Arial" w:hAnsi="Arial" w:cs="Arial"/>
                <w:b/>
                <w:bCs/>
                <w:sz w:val="20"/>
                <w:szCs w:val="20"/>
              </w:rPr>
              <w:t>Evaluación Económica</w:t>
            </w:r>
          </w:p>
        </w:tc>
        <w:tc>
          <w:tcPr>
            <w:tcW w:w="102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0CF59"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Menor Prima Ofrecida o Mayor Vigencia (Relación Costo-Beneficio)</w:t>
            </w:r>
          </w:p>
        </w:tc>
        <w:tc>
          <w:tcPr>
            <w:tcW w:w="3146"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DF6413"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Asignación de puntaje (mediante la aplicación de la fórmula matemática definida en el pliego) a la oferta económica que presente el menor valor de prima total y/o la que otorgue una mayor extensión en los días de vigencia de las pólizas por el presupuesto oficial estimado, garantizando el principio de economía.</w:t>
            </w:r>
          </w:p>
        </w:tc>
      </w:tr>
    </w:tbl>
    <w:p w14:paraId="7291DD1B" w14:textId="592AD255" w:rsidR="008F550C" w:rsidRPr="00FB351A" w:rsidRDefault="008F550C" w:rsidP="008F550C">
      <w:pPr>
        <w:contextualSpacing/>
        <w:jc w:val="both"/>
        <w:rPr>
          <w:rFonts w:ascii="Arial" w:hAnsi="Arial" w:cs="Arial"/>
          <w:sz w:val="20"/>
          <w:szCs w:val="20"/>
          <w:lang w:val="es-ES"/>
        </w:rPr>
      </w:pPr>
      <w:r w:rsidRPr="00FB351A">
        <w:rPr>
          <w:rFonts w:ascii="Arial" w:hAnsi="Arial" w:cs="Arial"/>
          <w:sz w:val="20"/>
          <w:szCs w:val="20"/>
          <w:lang w:val="es-ES"/>
        </w:rPr>
        <w:t>Cuadro Análisis criterios de ponderación de ofertas en procesos de selección de otras entidades. Elaborada por el intermediario de seguros de la entidad JARGU S.A. Corredores de seguros.</w:t>
      </w:r>
    </w:p>
    <w:p w14:paraId="60DC4DE4" w14:textId="77777777" w:rsidR="008F550C" w:rsidRPr="00FB351A" w:rsidRDefault="008F550C" w:rsidP="008F550C">
      <w:pPr>
        <w:contextualSpacing/>
        <w:jc w:val="both"/>
        <w:rPr>
          <w:rFonts w:ascii="Arial" w:hAnsi="Arial" w:cs="Arial"/>
          <w:sz w:val="20"/>
          <w:szCs w:val="20"/>
          <w:lang w:val="es-ES"/>
        </w:rPr>
      </w:pPr>
    </w:p>
    <w:p w14:paraId="7EA5120B" w14:textId="77777777" w:rsidR="008F550C" w:rsidRPr="00FB351A" w:rsidRDefault="008F550C">
      <w:pPr>
        <w:numPr>
          <w:ilvl w:val="0"/>
          <w:numId w:val="23"/>
        </w:numPr>
        <w:contextualSpacing/>
        <w:jc w:val="both"/>
        <w:rPr>
          <w:rFonts w:ascii="Arial" w:hAnsi="Arial" w:cs="Arial"/>
          <w:sz w:val="20"/>
          <w:szCs w:val="20"/>
        </w:rPr>
      </w:pPr>
      <w:r w:rsidRPr="00FB351A">
        <w:rPr>
          <w:rFonts w:ascii="Arial" w:hAnsi="Arial" w:cs="Arial"/>
          <w:sz w:val="20"/>
          <w:szCs w:val="20"/>
        </w:rPr>
        <w:t>Otros criterios de ley son:</w:t>
      </w:r>
    </w:p>
    <w:p w14:paraId="1DB2379E" w14:textId="77777777" w:rsidR="008F550C" w:rsidRPr="00FB351A" w:rsidRDefault="008F550C" w:rsidP="008F550C">
      <w:pPr>
        <w:contextualSpacing/>
        <w:jc w:val="both"/>
        <w:rPr>
          <w:rFonts w:ascii="Arial" w:hAnsi="Arial" w:cs="Arial"/>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18"/>
        <w:gridCol w:w="1910"/>
        <w:gridCol w:w="5495"/>
      </w:tblGrid>
      <w:tr w:rsidR="008F550C" w:rsidRPr="00FB351A" w14:paraId="0EDE1746" w14:textId="77777777" w:rsidTr="009B3AAD">
        <w:trPr>
          <w:trHeight w:val="20"/>
          <w:tblHeader/>
          <w:tblCellSpacing w:w="15" w:type="dxa"/>
        </w:trPr>
        <w:tc>
          <w:tcPr>
            <w:tcW w:w="1156"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90C798B"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Criterio / Incentivo</w:t>
            </w:r>
          </w:p>
        </w:tc>
        <w:tc>
          <w:tcPr>
            <w:tcW w:w="923"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4E9FBED5"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Normatividad Aplicable</w:t>
            </w:r>
          </w:p>
        </w:tc>
        <w:tc>
          <w:tcPr>
            <w:tcW w:w="2859"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6168DC73"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Descripción y Reglas de Asignación</w:t>
            </w:r>
          </w:p>
        </w:tc>
      </w:tr>
      <w:tr w:rsidR="008F550C" w:rsidRPr="00FB351A" w14:paraId="38ED1DB8" w14:textId="77777777" w:rsidTr="009B3AAD">
        <w:trPr>
          <w:trHeight w:val="20"/>
          <w:tblCellSpacing w:w="15" w:type="dxa"/>
        </w:trPr>
        <w:tc>
          <w:tcPr>
            <w:tcW w:w="1156"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92F96B1"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Protección a la Industria Nacional</w:t>
            </w:r>
          </w:p>
        </w:tc>
        <w:tc>
          <w:tcPr>
            <w:tcW w:w="9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50255"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Ley 816 de 2003</w:t>
            </w:r>
          </w:p>
          <w:p w14:paraId="08273E70"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br/>
            </w:r>
          </w:p>
          <w:p w14:paraId="64931412" w14:textId="77777777" w:rsidR="008F550C" w:rsidRPr="00FB351A" w:rsidRDefault="008F550C" w:rsidP="008F550C">
            <w:pPr>
              <w:contextualSpacing/>
              <w:jc w:val="both"/>
              <w:rPr>
                <w:rFonts w:ascii="Arial" w:hAnsi="Arial" w:cs="Arial"/>
                <w:sz w:val="20"/>
                <w:szCs w:val="20"/>
              </w:rPr>
            </w:pPr>
            <w:r w:rsidRPr="00FB351A">
              <w:rPr>
                <w:rFonts w:ascii="Arial" w:hAnsi="Arial" w:cs="Arial"/>
                <w:i/>
                <w:iCs/>
                <w:sz w:val="20"/>
                <w:szCs w:val="20"/>
              </w:rPr>
              <w:t>(y normatividad complementaria)</w:t>
            </w:r>
          </w:p>
        </w:tc>
        <w:tc>
          <w:tcPr>
            <w:tcW w:w="285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75D805"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Asignación de puntaje adicional a las ofertas que acrediten la prestación de servicios de origen nacional o que cuenten con trato nacional. Tiene como objetivo promover el desarrollo y la contratación de la industria colombiana frente a oferentes extranjeros sin trato nacional.</w:t>
            </w:r>
          </w:p>
        </w:tc>
      </w:tr>
      <w:tr w:rsidR="008F550C" w:rsidRPr="00FB351A" w14:paraId="543FBB00" w14:textId="77777777" w:rsidTr="009B3AAD">
        <w:trPr>
          <w:trHeight w:val="20"/>
          <w:tblCellSpacing w:w="15" w:type="dxa"/>
        </w:trPr>
        <w:tc>
          <w:tcPr>
            <w:tcW w:w="1156"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B99F6E1"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Incentivo a favor de Personas con Discapacidad</w:t>
            </w:r>
          </w:p>
        </w:tc>
        <w:tc>
          <w:tcPr>
            <w:tcW w:w="9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A10A2D"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Decreto 287 de 2026</w:t>
            </w:r>
          </w:p>
          <w:p w14:paraId="291044AE"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br/>
            </w:r>
          </w:p>
          <w:p w14:paraId="70278300" w14:textId="77777777" w:rsidR="008F550C" w:rsidRPr="00FB351A" w:rsidRDefault="008F550C" w:rsidP="008F550C">
            <w:pPr>
              <w:contextualSpacing/>
              <w:jc w:val="both"/>
              <w:rPr>
                <w:rFonts w:ascii="Arial" w:hAnsi="Arial" w:cs="Arial"/>
                <w:sz w:val="20"/>
                <w:szCs w:val="20"/>
              </w:rPr>
            </w:pPr>
            <w:r w:rsidRPr="00FB351A">
              <w:rPr>
                <w:rFonts w:ascii="Arial" w:hAnsi="Arial" w:cs="Arial"/>
                <w:i/>
                <w:iCs/>
                <w:sz w:val="20"/>
                <w:szCs w:val="20"/>
              </w:rPr>
              <w:t>(y Ley 361 de 1997)</w:t>
            </w:r>
          </w:p>
        </w:tc>
        <w:tc>
          <w:tcPr>
            <w:tcW w:w="285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D99541"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Asignación de puntaje a los proponentes que acrediten y certifiquen formalmente (mediante las autoridades competentes) la vinculación laboral de un porcentaje mínimo de trabajadores con discapacidad dentro de su planta de personal, promoviendo la inclusión laboral.</w:t>
            </w:r>
          </w:p>
        </w:tc>
      </w:tr>
      <w:tr w:rsidR="008F550C" w:rsidRPr="00FB351A" w14:paraId="48EFD0D3" w14:textId="77777777" w:rsidTr="009B3AAD">
        <w:trPr>
          <w:trHeight w:val="20"/>
          <w:tblCellSpacing w:w="15" w:type="dxa"/>
        </w:trPr>
        <w:tc>
          <w:tcPr>
            <w:tcW w:w="1156"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BF5C76B" w14:textId="77777777" w:rsidR="008F550C" w:rsidRPr="00FB351A" w:rsidRDefault="008F550C" w:rsidP="008F550C">
            <w:pPr>
              <w:contextualSpacing/>
              <w:jc w:val="both"/>
              <w:rPr>
                <w:rFonts w:ascii="Arial" w:hAnsi="Arial" w:cs="Arial"/>
                <w:sz w:val="20"/>
                <w:szCs w:val="20"/>
              </w:rPr>
            </w:pPr>
            <w:r w:rsidRPr="00FB351A">
              <w:rPr>
                <w:rFonts w:ascii="Arial" w:hAnsi="Arial" w:cs="Arial"/>
                <w:b/>
                <w:bCs/>
                <w:sz w:val="20"/>
                <w:szCs w:val="20"/>
              </w:rPr>
              <w:t>Puntaje para Empresas y Emprendimientos de Mujeres</w:t>
            </w:r>
          </w:p>
        </w:tc>
        <w:tc>
          <w:tcPr>
            <w:tcW w:w="923"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F0143D"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Decreto 1860 de 2021</w:t>
            </w:r>
          </w:p>
          <w:p w14:paraId="2B451CC3"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br/>
            </w:r>
          </w:p>
          <w:p w14:paraId="156D2BF3" w14:textId="77777777" w:rsidR="008F550C" w:rsidRPr="00FB351A" w:rsidRDefault="008F550C" w:rsidP="008F550C">
            <w:pPr>
              <w:contextualSpacing/>
              <w:jc w:val="both"/>
              <w:rPr>
                <w:rFonts w:ascii="Arial" w:hAnsi="Arial" w:cs="Arial"/>
                <w:sz w:val="20"/>
                <w:szCs w:val="20"/>
              </w:rPr>
            </w:pPr>
            <w:r w:rsidRPr="00FB351A">
              <w:rPr>
                <w:rFonts w:ascii="Arial" w:hAnsi="Arial" w:cs="Arial"/>
                <w:i/>
                <w:iCs/>
                <w:sz w:val="20"/>
                <w:szCs w:val="20"/>
              </w:rPr>
              <w:t>(y Ley 2069 de 2020)</w:t>
            </w:r>
          </w:p>
        </w:tc>
        <w:tc>
          <w:tcPr>
            <w:tcW w:w="285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BCB38" w14:textId="77777777" w:rsidR="008F550C" w:rsidRPr="00FB351A" w:rsidRDefault="008F550C" w:rsidP="008F550C">
            <w:pPr>
              <w:contextualSpacing/>
              <w:jc w:val="both"/>
              <w:rPr>
                <w:rFonts w:ascii="Arial" w:hAnsi="Arial" w:cs="Arial"/>
                <w:sz w:val="20"/>
                <w:szCs w:val="20"/>
              </w:rPr>
            </w:pPr>
            <w:r w:rsidRPr="00FB351A">
              <w:rPr>
                <w:rFonts w:ascii="Arial" w:hAnsi="Arial" w:cs="Arial"/>
                <w:sz w:val="20"/>
                <w:szCs w:val="20"/>
              </w:rPr>
              <w:t>Asignación de puntaje o factor de ponderación destinado a promover la equidad de género. Se otorga a aquellas empresas, asociaciones o emprendimientos que acrediten que su propiedad, representación legal o participación accionaria mayoritaria está en cabeza de mujeres, según los parámetros definidos en el pliego de condiciones.</w:t>
            </w:r>
          </w:p>
        </w:tc>
      </w:tr>
    </w:tbl>
    <w:p w14:paraId="332B124F" w14:textId="6B70C052" w:rsidR="008F550C" w:rsidRPr="00FB351A" w:rsidRDefault="008F550C" w:rsidP="008F550C">
      <w:pPr>
        <w:contextualSpacing/>
        <w:jc w:val="both"/>
        <w:rPr>
          <w:rFonts w:ascii="Arial" w:hAnsi="Arial" w:cs="Arial"/>
          <w:sz w:val="20"/>
          <w:szCs w:val="20"/>
        </w:rPr>
      </w:pPr>
      <w:r w:rsidRPr="00FB351A">
        <w:rPr>
          <w:rFonts w:ascii="Arial" w:hAnsi="Arial" w:cs="Arial"/>
          <w:sz w:val="20"/>
          <w:szCs w:val="20"/>
          <w:lang w:val="es-ES"/>
        </w:rPr>
        <w:lastRenderedPageBreak/>
        <w:t>Cuadro Análisis criterios de ley para evaluar en procesos de selección de otras entidades. Elaborada por el intermediario de seguros de la entidad JARGU S.A. Corredores de seguros.</w:t>
      </w:r>
    </w:p>
    <w:p w14:paraId="259D142C" w14:textId="77777777" w:rsidR="00E500E4" w:rsidRDefault="00E500E4" w:rsidP="00803115">
      <w:pPr>
        <w:contextualSpacing/>
        <w:jc w:val="both"/>
        <w:rPr>
          <w:rFonts w:ascii="Arial" w:hAnsi="Arial" w:cs="Arial"/>
          <w:b/>
          <w:bCs/>
          <w:color w:val="000000"/>
          <w:sz w:val="20"/>
          <w:szCs w:val="20"/>
          <w:lang w:val="es-ES_tradnl"/>
        </w:rPr>
      </w:pPr>
    </w:p>
    <w:p w14:paraId="5D5859E7" w14:textId="77777777" w:rsidR="00047674" w:rsidRPr="002420DD" w:rsidRDefault="00047674" w:rsidP="00047674">
      <w:pPr>
        <w:contextualSpacing/>
        <w:jc w:val="both"/>
        <w:rPr>
          <w:rFonts w:ascii="Arial" w:hAnsi="Arial" w:cs="Arial"/>
          <w:color w:val="000000"/>
          <w:sz w:val="20"/>
          <w:szCs w:val="20"/>
          <w:lang w:val="es-ES_tradnl"/>
        </w:rPr>
      </w:pPr>
      <w:r w:rsidRPr="00E500E4">
        <w:rPr>
          <w:rFonts w:ascii="Arial" w:hAnsi="Arial" w:cs="Arial"/>
          <w:color w:val="000000"/>
          <w:sz w:val="20"/>
          <w:szCs w:val="20"/>
          <w:lang w:val="es-ES_tradnl"/>
        </w:rPr>
        <w:t xml:space="preserve">Como conclusión, tomar </w:t>
      </w:r>
      <w:r>
        <w:rPr>
          <w:rFonts w:ascii="Arial" w:hAnsi="Arial" w:cs="Arial"/>
          <w:color w:val="000000"/>
          <w:sz w:val="20"/>
          <w:szCs w:val="20"/>
          <w:lang w:val="es-ES_tradnl"/>
        </w:rPr>
        <w:t xml:space="preserve">los requisitos jurídicos, técnicos financieros, económicos y de ponderación que se reflejan en otros procesos de contratacion de seguros nos permiten tomar las mejores prácticas para la compra publica de manera que, se </w:t>
      </w:r>
      <w:r w:rsidRPr="00E500E4">
        <w:rPr>
          <w:rFonts w:ascii="Arial" w:hAnsi="Arial" w:cs="Arial"/>
          <w:color w:val="000000"/>
          <w:sz w:val="20"/>
          <w:szCs w:val="20"/>
        </w:rPr>
        <w:t>garantizan la libre concurrencia</w:t>
      </w:r>
      <w:r>
        <w:rPr>
          <w:rFonts w:ascii="Arial" w:hAnsi="Arial" w:cs="Arial"/>
          <w:color w:val="000000"/>
          <w:sz w:val="20"/>
          <w:szCs w:val="20"/>
        </w:rPr>
        <w:t xml:space="preserve"> de proponentes, la participación plural de los mismos</w:t>
      </w:r>
      <w:r w:rsidRPr="00E500E4">
        <w:rPr>
          <w:rFonts w:ascii="Arial" w:hAnsi="Arial" w:cs="Arial"/>
          <w:color w:val="000000"/>
          <w:sz w:val="20"/>
          <w:szCs w:val="20"/>
        </w:rPr>
        <w:t xml:space="preserve"> y no </w:t>
      </w:r>
      <w:r>
        <w:rPr>
          <w:rFonts w:ascii="Arial" w:hAnsi="Arial" w:cs="Arial"/>
          <w:color w:val="000000"/>
          <w:sz w:val="20"/>
          <w:szCs w:val="20"/>
        </w:rPr>
        <w:t xml:space="preserve">se </w:t>
      </w:r>
      <w:r w:rsidRPr="00E500E4">
        <w:rPr>
          <w:rFonts w:ascii="Arial" w:hAnsi="Arial" w:cs="Arial"/>
          <w:color w:val="000000"/>
          <w:sz w:val="20"/>
          <w:szCs w:val="20"/>
        </w:rPr>
        <w:t>generan restricciones injustificadas a la participación.</w:t>
      </w:r>
    </w:p>
    <w:p w14:paraId="0A864D83" w14:textId="77777777" w:rsidR="00047674" w:rsidRPr="00FB351A" w:rsidRDefault="00047674" w:rsidP="00803115">
      <w:pPr>
        <w:contextualSpacing/>
        <w:jc w:val="both"/>
        <w:rPr>
          <w:rFonts w:ascii="Arial" w:hAnsi="Arial" w:cs="Arial"/>
          <w:b/>
          <w:bCs/>
          <w:color w:val="000000"/>
          <w:sz w:val="20"/>
          <w:szCs w:val="20"/>
          <w:lang w:val="es-ES_tradnl"/>
        </w:rPr>
      </w:pPr>
    </w:p>
    <w:p w14:paraId="0CF983A8" w14:textId="39E47BEA" w:rsidR="00A427EE" w:rsidRPr="00FB351A" w:rsidRDefault="00A427EE" w:rsidP="00803115">
      <w:pPr>
        <w:pStyle w:val="Prrafodelista"/>
        <w:numPr>
          <w:ilvl w:val="1"/>
          <w:numId w:val="1"/>
        </w:numPr>
        <w:contextualSpacing/>
        <w:jc w:val="both"/>
        <w:rPr>
          <w:rFonts w:ascii="Arial" w:hAnsi="Arial" w:cs="Arial"/>
          <w:b/>
          <w:bCs/>
          <w:color w:val="000000"/>
          <w:sz w:val="20"/>
          <w:szCs w:val="20"/>
          <w:lang w:val="es-ES_tradnl"/>
        </w:rPr>
      </w:pPr>
      <w:r w:rsidRPr="00FB351A">
        <w:rPr>
          <w:rFonts w:ascii="Arial" w:hAnsi="Arial" w:cs="Arial"/>
          <w:b/>
          <w:bCs/>
          <w:color w:val="000000"/>
          <w:sz w:val="20"/>
          <w:szCs w:val="20"/>
          <w:lang w:val="es-ES_tradnl"/>
        </w:rPr>
        <w:t>Análisis de la demanda Modelo de Abastecimiento Estratégico</w:t>
      </w:r>
    </w:p>
    <w:p w14:paraId="5B3C6A18" w14:textId="77777777" w:rsidR="00A427EE" w:rsidRPr="00FB351A" w:rsidRDefault="00A427EE" w:rsidP="00803115">
      <w:pPr>
        <w:ind w:left="720"/>
        <w:contextualSpacing/>
        <w:jc w:val="both"/>
        <w:rPr>
          <w:rFonts w:ascii="Arial" w:hAnsi="Arial" w:cs="Arial"/>
          <w:b/>
          <w:bCs/>
          <w:color w:val="000000"/>
          <w:sz w:val="20"/>
          <w:szCs w:val="20"/>
          <w:lang w:val="es-ES_tradnl"/>
        </w:rPr>
      </w:pPr>
    </w:p>
    <w:p w14:paraId="6F31A0D7" w14:textId="77777777" w:rsidR="008F550C" w:rsidRPr="00FB351A" w:rsidRDefault="00DC5823" w:rsidP="008F550C">
      <w:pPr>
        <w:contextualSpacing/>
        <w:jc w:val="both"/>
        <w:rPr>
          <w:rFonts w:ascii="Arial" w:hAnsi="Arial" w:cs="Arial"/>
          <w:color w:val="000000"/>
          <w:sz w:val="20"/>
          <w:szCs w:val="20"/>
        </w:rPr>
      </w:pPr>
      <w:r w:rsidRPr="00FB351A">
        <w:rPr>
          <w:rFonts w:ascii="Arial" w:hAnsi="Arial" w:cs="Arial"/>
          <w:color w:val="000000"/>
          <w:sz w:val="20"/>
          <w:szCs w:val="20"/>
        </w:rPr>
        <w:t xml:space="preserve">La Agencia de Desarrollo Rural – ADR </w:t>
      </w:r>
      <w:r w:rsidR="008F550C" w:rsidRPr="00FB351A">
        <w:rPr>
          <w:rFonts w:ascii="Arial" w:hAnsi="Arial" w:cs="Arial"/>
          <w:color w:val="000000"/>
          <w:sz w:val="20"/>
          <w:szCs w:val="20"/>
        </w:rPr>
        <w:t xml:space="preserve">el comportamiento de la demanda de seguros, de acuerdo con la herramienta del modelo de abastecimiento estratégico de la Agencia de Contratación Colombia Compra Eficiente, para mostrar, la oferta de servicios de seguros a nivel nacional, en lo corrido del año 2026 (desde el 01 de enero hasta el 08 de agosto de 2026), en la clasificación </w:t>
      </w:r>
      <w:proofErr w:type="spellStart"/>
      <w:r w:rsidR="008F550C" w:rsidRPr="00FB351A">
        <w:rPr>
          <w:rFonts w:ascii="Arial" w:hAnsi="Arial" w:cs="Arial"/>
          <w:color w:val="000000"/>
          <w:sz w:val="20"/>
          <w:szCs w:val="20"/>
        </w:rPr>
        <w:t>UNSPSC</w:t>
      </w:r>
      <w:proofErr w:type="spellEnd"/>
      <w:r w:rsidR="008F550C" w:rsidRPr="00FB351A">
        <w:rPr>
          <w:rFonts w:ascii="Arial" w:hAnsi="Arial" w:cs="Arial"/>
          <w:color w:val="000000"/>
          <w:sz w:val="20"/>
          <w:szCs w:val="20"/>
        </w:rPr>
        <w:t xml:space="preserve">   841315 y 841316, registrados en plataforma </w:t>
      </w:r>
      <w:proofErr w:type="spellStart"/>
      <w:r w:rsidR="008F550C" w:rsidRPr="00FB351A">
        <w:rPr>
          <w:rFonts w:ascii="Arial" w:hAnsi="Arial" w:cs="Arial"/>
          <w:color w:val="000000"/>
          <w:sz w:val="20"/>
          <w:szCs w:val="20"/>
        </w:rPr>
        <w:t>SECOP</w:t>
      </w:r>
      <w:proofErr w:type="spellEnd"/>
      <w:r w:rsidR="008F550C" w:rsidRPr="00FB351A">
        <w:rPr>
          <w:rFonts w:ascii="Arial" w:hAnsi="Arial" w:cs="Arial"/>
          <w:color w:val="000000"/>
          <w:sz w:val="20"/>
          <w:szCs w:val="20"/>
        </w:rPr>
        <w:t xml:space="preserve"> II (Información tomada del Microsoft Power Bi de CCE)</w:t>
      </w:r>
    </w:p>
    <w:p w14:paraId="5DF44799" w14:textId="77777777" w:rsidR="008F550C" w:rsidRPr="00FB351A" w:rsidRDefault="008F550C" w:rsidP="008F550C">
      <w:pPr>
        <w:contextualSpacing/>
        <w:jc w:val="both"/>
        <w:rPr>
          <w:rFonts w:ascii="Arial" w:hAnsi="Arial" w:cs="Arial"/>
          <w:color w:val="000000"/>
          <w:sz w:val="20"/>
          <w:szCs w:val="20"/>
        </w:rPr>
      </w:pPr>
    </w:p>
    <w:p w14:paraId="7F6B9D35" w14:textId="77777777" w:rsidR="008F550C" w:rsidRPr="00FB351A" w:rsidRDefault="008F550C">
      <w:pPr>
        <w:numPr>
          <w:ilvl w:val="0"/>
          <w:numId w:val="32"/>
        </w:numPr>
        <w:contextualSpacing/>
        <w:jc w:val="both"/>
        <w:rPr>
          <w:rFonts w:ascii="Arial" w:hAnsi="Arial" w:cs="Arial"/>
          <w:color w:val="000000"/>
          <w:sz w:val="20"/>
          <w:szCs w:val="20"/>
        </w:rPr>
      </w:pPr>
      <w:r w:rsidRPr="00FB351A">
        <w:rPr>
          <w:rFonts w:ascii="Arial" w:hAnsi="Arial" w:cs="Arial"/>
          <w:color w:val="000000"/>
          <w:sz w:val="20"/>
          <w:szCs w:val="20"/>
        </w:rPr>
        <w:t>Gasto Mensual</w:t>
      </w:r>
    </w:p>
    <w:p w14:paraId="5E7AF848" w14:textId="77777777" w:rsidR="008F550C" w:rsidRPr="00FB351A" w:rsidRDefault="008F550C" w:rsidP="008F550C">
      <w:pPr>
        <w:contextualSpacing/>
        <w:jc w:val="both"/>
        <w:rPr>
          <w:rFonts w:ascii="Arial" w:hAnsi="Arial" w:cs="Arial"/>
          <w:color w:val="000000"/>
          <w:sz w:val="20"/>
          <w:szCs w:val="20"/>
        </w:rPr>
      </w:pPr>
    </w:p>
    <w:p w14:paraId="2E93D014"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t>El mes de junio de 2026 fue el periodo que mayor presupuesto en adquisiciones de seguros refleja la contratación pública con un total de $ 152.610.985.438; en cambio, el mes de enero ha sido el mes con el pico más bajo, con un total de $ 1.381.095.634. El mes de junio de 2026, tuvo una inversión en presupuesto para seguros, de $ 21.102.866.751, tal y como se evidencia en la siguiente gráfica:</w:t>
      </w:r>
    </w:p>
    <w:p w14:paraId="77A254A5" w14:textId="77777777" w:rsidR="008F550C" w:rsidRPr="00FB351A" w:rsidRDefault="008F550C" w:rsidP="008F550C">
      <w:pPr>
        <w:contextualSpacing/>
        <w:jc w:val="both"/>
        <w:rPr>
          <w:rFonts w:ascii="Arial" w:hAnsi="Arial" w:cs="Arial"/>
          <w:color w:val="000000"/>
          <w:sz w:val="20"/>
          <w:szCs w:val="20"/>
        </w:rPr>
      </w:pPr>
    </w:p>
    <w:p w14:paraId="299645CA" w14:textId="2655AA5B" w:rsidR="008F550C" w:rsidRPr="00FB351A" w:rsidRDefault="008F550C" w:rsidP="008F550C">
      <w:pPr>
        <w:contextualSpacing/>
        <w:jc w:val="center"/>
        <w:rPr>
          <w:rFonts w:ascii="Arial" w:hAnsi="Arial" w:cs="Arial"/>
          <w:color w:val="000000"/>
          <w:sz w:val="20"/>
          <w:szCs w:val="20"/>
        </w:rPr>
      </w:pPr>
      <w:r w:rsidRPr="00FB351A">
        <w:rPr>
          <w:rFonts w:ascii="Arial" w:hAnsi="Arial" w:cs="Arial"/>
          <w:noProof/>
          <w:color w:val="000000"/>
          <w:sz w:val="20"/>
          <w:szCs w:val="20"/>
        </w:rPr>
        <w:drawing>
          <wp:inline distT="0" distB="0" distL="0" distR="0" wp14:anchorId="1FB62F0F" wp14:editId="1B54FC09">
            <wp:extent cx="5039995" cy="3572510"/>
            <wp:effectExtent l="0" t="0" r="8255" b="8890"/>
            <wp:docPr id="1214018420"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39995" cy="3572510"/>
                    </a:xfrm>
                    <a:prstGeom prst="rect">
                      <a:avLst/>
                    </a:prstGeom>
                    <a:noFill/>
                    <a:ln>
                      <a:noFill/>
                    </a:ln>
                  </pic:spPr>
                </pic:pic>
              </a:graphicData>
            </a:graphic>
          </wp:inline>
        </w:drawing>
      </w:r>
    </w:p>
    <w:p w14:paraId="05001600" w14:textId="77777777" w:rsidR="008F550C" w:rsidRPr="00FB351A" w:rsidRDefault="008F550C" w:rsidP="008F550C">
      <w:pPr>
        <w:contextualSpacing/>
        <w:jc w:val="both"/>
        <w:rPr>
          <w:rFonts w:ascii="Arial" w:hAnsi="Arial" w:cs="Arial"/>
          <w:color w:val="000000"/>
          <w:sz w:val="20"/>
          <w:szCs w:val="20"/>
        </w:rPr>
      </w:pPr>
    </w:p>
    <w:p w14:paraId="6F58B9A4"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lastRenderedPageBreak/>
        <w:t xml:space="preserve">Gráfica Gasto mensual clasificación </w:t>
      </w:r>
      <w:proofErr w:type="spellStart"/>
      <w:r w:rsidRPr="00FB351A">
        <w:rPr>
          <w:rFonts w:ascii="Arial" w:hAnsi="Arial" w:cs="Arial"/>
          <w:color w:val="000000"/>
          <w:sz w:val="20"/>
          <w:szCs w:val="20"/>
        </w:rPr>
        <w:t>UNPSC</w:t>
      </w:r>
      <w:proofErr w:type="spellEnd"/>
      <w:r w:rsidRPr="00FB351A">
        <w:rPr>
          <w:rFonts w:ascii="Arial" w:hAnsi="Arial" w:cs="Arial"/>
          <w:color w:val="000000"/>
          <w:sz w:val="20"/>
          <w:szCs w:val="20"/>
        </w:rPr>
        <w:t xml:space="preserve"> 841315-841316. Imagen tomada de: https://www.colombiacompra.gov.co/content/herramienta-de-visualizacion-para-el-analisis-de-la-demanda-y-de-la-oferta</w:t>
      </w:r>
    </w:p>
    <w:p w14:paraId="39D6B8E5" w14:textId="77777777" w:rsidR="008F550C" w:rsidRPr="00FB351A" w:rsidRDefault="008F550C" w:rsidP="008F550C">
      <w:pPr>
        <w:contextualSpacing/>
        <w:jc w:val="both"/>
        <w:rPr>
          <w:rFonts w:ascii="Arial" w:hAnsi="Arial" w:cs="Arial"/>
          <w:color w:val="000000"/>
          <w:sz w:val="20"/>
          <w:szCs w:val="20"/>
        </w:rPr>
      </w:pPr>
    </w:p>
    <w:p w14:paraId="7D800DD1" w14:textId="77777777" w:rsidR="008F550C" w:rsidRPr="00FB351A" w:rsidRDefault="008F550C">
      <w:pPr>
        <w:numPr>
          <w:ilvl w:val="0"/>
          <w:numId w:val="32"/>
        </w:numPr>
        <w:contextualSpacing/>
        <w:jc w:val="both"/>
        <w:rPr>
          <w:rFonts w:ascii="Arial" w:hAnsi="Arial" w:cs="Arial"/>
          <w:color w:val="000000"/>
          <w:sz w:val="20"/>
          <w:szCs w:val="20"/>
        </w:rPr>
      </w:pPr>
      <w:r w:rsidRPr="00FB351A">
        <w:rPr>
          <w:rFonts w:ascii="Arial" w:hAnsi="Arial" w:cs="Arial"/>
          <w:color w:val="000000"/>
          <w:sz w:val="20"/>
          <w:szCs w:val="20"/>
        </w:rPr>
        <w:t>Gasto Anual</w:t>
      </w:r>
    </w:p>
    <w:p w14:paraId="349F08F5" w14:textId="77777777" w:rsidR="008F550C" w:rsidRPr="00FB351A" w:rsidRDefault="008F550C" w:rsidP="008F550C">
      <w:pPr>
        <w:contextualSpacing/>
        <w:jc w:val="both"/>
        <w:rPr>
          <w:rFonts w:ascii="Arial" w:hAnsi="Arial" w:cs="Arial"/>
          <w:color w:val="000000"/>
          <w:sz w:val="20"/>
          <w:szCs w:val="20"/>
        </w:rPr>
      </w:pPr>
    </w:p>
    <w:p w14:paraId="5427668F"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t xml:space="preserve">En lo corrido del año 2026, las Entidades han contratado servicios de seguros, por un valor total de $389.412.238.851. El año con mayor inversión de presupuesto para la contratacion de seguros fue en el 2022 con $ 1.928.269.776.916. El año con menor inversión de recursos para seguros fue el 2020 con un total de $ </w:t>
      </w:r>
      <w:proofErr w:type="spellStart"/>
      <w:r w:rsidRPr="00FB351A">
        <w:rPr>
          <w:rFonts w:ascii="Arial" w:hAnsi="Arial" w:cs="Arial"/>
          <w:color w:val="000000"/>
          <w:sz w:val="20"/>
          <w:szCs w:val="20"/>
        </w:rPr>
        <w:t>515.812.072.975tal</w:t>
      </w:r>
      <w:proofErr w:type="spellEnd"/>
      <w:r w:rsidRPr="00FB351A">
        <w:rPr>
          <w:rFonts w:ascii="Arial" w:hAnsi="Arial" w:cs="Arial"/>
          <w:color w:val="000000"/>
          <w:sz w:val="20"/>
          <w:szCs w:val="20"/>
        </w:rPr>
        <w:t xml:space="preserve"> y como se evidencia en la siguiente gráfica:</w:t>
      </w:r>
    </w:p>
    <w:p w14:paraId="069667B3" w14:textId="77777777" w:rsidR="008F550C" w:rsidRPr="00FB351A" w:rsidRDefault="008F550C" w:rsidP="008F550C">
      <w:pPr>
        <w:contextualSpacing/>
        <w:jc w:val="both"/>
        <w:rPr>
          <w:rFonts w:ascii="Arial" w:hAnsi="Arial" w:cs="Arial"/>
          <w:color w:val="000000"/>
          <w:sz w:val="20"/>
          <w:szCs w:val="20"/>
        </w:rPr>
      </w:pPr>
    </w:p>
    <w:p w14:paraId="5314F925" w14:textId="7EA2D9EF" w:rsidR="008F550C" w:rsidRPr="00FB351A" w:rsidRDefault="008F550C" w:rsidP="008F550C">
      <w:pPr>
        <w:contextualSpacing/>
        <w:jc w:val="center"/>
        <w:rPr>
          <w:rFonts w:ascii="Arial" w:hAnsi="Arial" w:cs="Arial"/>
          <w:color w:val="000000"/>
          <w:sz w:val="20"/>
          <w:szCs w:val="20"/>
        </w:rPr>
      </w:pPr>
      <w:r w:rsidRPr="00FB351A">
        <w:rPr>
          <w:rFonts w:ascii="Arial" w:hAnsi="Arial" w:cs="Arial"/>
          <w:noProof/>
          <w:color w:val="000000"/>
          <w:sz w:val="20"/>
          <w:szCs w:val="20"/>
        </w:rPr>
        <w:drawing>
          <wp:inline distT="0" distB="0" distL="0" distR="0" wp14:anchorId="2B380BB2" wp14:editId="3CCC248C">
            <wp:extent cx="3572510" cy="3253740"/>
            <wp:effectExtent l="0" t="0" r="8890" b="3810"/>
            <wp:docPr id="552156452"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72510" cy="3253740"/>
                    </a:xfrm>
                    <a:prstGeom prst="rect">
                      <a:avLst/>
                    </a:prstGeom>
                    <a:noFill/>
                    <a:ln>
                      <a:noFill/>
                    </a:ln>
                  </pic:spPr>
                </pic:pic>
              </a:graphicData>
            </a:graphic>
          </wp:inline>
        </w:drawing>
      </w:r>
    </w:p>
    <w:p w14:paraId="66A6E658" w14:textId="77777777" w:rsidR="008F550C" w:rsidRPr="00FB351A" w:rsidRDefault="008F550C" w:rsidP="008F550C">
      <w:pPr>
        <w:contextualSpacing/>
        <w:jc w:val="both"/>
        <w:rPr>
          <w:rFonts w:ascii="Arial" w:hAnsi="Arial" w:cs="Arial"/>
          <w:color w:val="000000"/>
          <w:sz w:val="20"/>
          <w:szCs w:val="20"/>
        </w:rPr>
      </w:pPr>
    </w:p>
    <w:p w14:paraId="2BDF9902"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t xml:space="preserve">Gráfica Gasto anual clasificación </w:t>
      </w:r>
      <w:proofErr w:type="spellStart"/>
      <w:r w:rsidRPr="00FB351A">
        <w:rPr>
          <w:rFonts w:ascii="Arial" w:hAnsi="Arial" w:cs="Arial"/>
          <w:color w:val="000000"/>
          <w:sz w:val="20"/>
          <w:szCs w:val="20"/>
        </w:rPr>
        <w:t>UNPSC</w:t>
      </w:r>
      <w:proofErr w:type="spellEnd"/>
      <w:r w:rsidRPr="00FB351A">
        <w:rPr>
          <w:rFonts w:ascii="Arial" w:hAnsi="Arial" w:cs="Arial"/>
          <w:color w:val="000000"/>
          <w:sz w:val="20"/>
          <w:szCs w:val="20"/>
        </w:rPr>
        <w:t xml:space="preserve"> 841315-841316. Imagen tomada de: https://www.colombiacompra.gov.co/content/herramienta-de-visualizacion-para-el-analisis-de-la-demanda-y-de-la-oferta</w:t>
      </w:r>
    </w:p>
    <w:p w14:paraId="3BFDAFCD" w14:textId="77777777" w:rsidR="008F550C" w:rsidRPr="00FB351A" w:rsidRDefault="008F550C" w:rsidP="008F550C">
      <w:pPr>
        <w:contextualSpacing/>
        <w:jc w:val="both"/>
        <w:rPr>
          <w:rFonts w:ascii="Arial" w:hAnsi="Arial" w:cs="Arial"/>
          <w:i/>
          <w:iCs/>
          <w:color w:val="000000"/>
          <w:sz w:val="20"/>
          <w:szCs w:val="20"/>
        </w:rPr>
      </w:pPr>
    </w:p>
    <w:p w14:paraId="0E4E2FA8" w14:textId="77777777" w:rsidR="008F550C" w:rsidRPr="00FB351A" w:rsidRDefault="008F550C">
      <w:pPr>
        <w:numPr>
          <w:ilvl w:val="0"/>
          <w:numId w:val="32"/>
        </w:numPr>
        <w:contextualSpacing/>
        <w:jc w:val="both"/>
        <w:rPr>
          <w:rFonts w:ascii="Arial" w:hAnsi="Arial" w:cs="Arial"/>
          <w:color w:val="000000"/>
          <w:sz w:val="20"/>
          <w:szCs w:val="20"/>
        </w:rPr>
      </w:pPr>
      <w:r w:rsidRPr="00FB351A">
        <w:rPr>
          <w:rFonts w:ascii="Arial" w:hAnsi="Arial" w:cs="Arial"/>
          <w:color w:val="000000"/>
          <w:sz w:val="20"/>
          <w:szCs w:val="20"/>
        </w:rPr>
        <w:t>Cantidad de contratos (mensual)</w:t>
      </w:r>
    </w:p>
    <w:p w14:paraId="6886EDE3" w14:textId="77777777" w:rsidR="008F550C" w:rsidRPr="00FB351A" w:rsidRDefault="008F550C" w:rsidP="008F550C">
      <w:pPr>
        <w:contextualSpacing/>
        <w:jc w:val="both"/>
        <w:rPr>
          <w:rFonts w:ascii="Arial" w:hAnsi="Arial" w:cs="Arial"/>
          <w:color w:val="000000"/>
          <w:sz w:val="20"/>
          <w:szCs w:val="20"/>
        </w:rPr>
      </w:pPr>
    </w:p>
    <w:p w14:paraId="1B60FD9A"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t>El mes de marzo se muestra como el periodo en el que se celebró la mayor cantidad de contratos, con un total de 213, mostrando una gráfica decreciente desde entonces. En julio de 2026, ha sido el periodo con el menor número de contrataciones de seguros, con un total de 77 contratos, En lo corrido del año 2026 se han celebrado un total de 999 contratos estatales de seguros tal y como se evidencia en la siguiente gráfica.</w:t>
      </w:r>
    </w:p>
    <w:p w14:paraId="72EDB224" w14:textId="77777777" w:rsidR="008F550C" w:rsidRPr="00FB351A" w:rsidRDefault="008F550C" w:rsidP="008F550C">
      <w:pPr>
        <w:contextualSpacing/>
        <w:jc w:val="both"/>
        <w:rPr>
          <w:rFonts w:ascii="Arial" w:hAnsi="Arial" w:cs="Arial"/>
          <w:color w:val="000000"/>
          <w:sz w:val="20"/>
          <w:szCs w:val="20"/>
        </w:rPr>
      </w:pPr>
    </w:p>
    <w:p w14:paraId="23D80DEF" w14:textId="7EF492B2" w:rsidR="008F550C" w:rsidRPr="00FB351A" w:rsidRDefault="008F550C" w:rsidP="008F550C">
      <w:pPr>
        <w:contextualSpacing/>
        <w:jc w:val="center"/>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20257CD0" wp14:editId="070FA9DF">
            <wp:extent cx="5039995" cy="3285490"/>
            <wp:effectExtent l="0" t="0" r="8255" b="0"/>
            <wp:docPr id="228946026"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39995" cy="3285490"/>
                    </a:xfrm>
                    <a:prstGeom prst="rect">
                      <a:avLst/>
                    </a:prstGeom>
                    <a:noFill/>
                    <a:ln>
                      <a:noFill/>
                    </a:ln>
                  </pic:spPr>
                </pic:pic>
              </a:graphicData>
            </a:graphic>
          </wp:inline>
        </w:drawing>
      </w:r>
    </w:p>
    <w:p w14:paraId="329B513B" w14:textId="77777777" w:rsidR="008F550C" w:rsidRPr="00FB351A" w:rsidRDefault="008F550C" w:rsidP="008F550C">
      <w:pPr>
        <w:contextualSpacing/>
        <w:jc w:val="both"/>
        <w:rPr>
          <w:rFonts w:ascii="Arial" w:hAnsi="Arial" w:cs="Arial"/>
          <w:color w:val="000000"/>
          <w:sz w:val="20"/>
          <w:szCs w:val="20"/>
        </w:rPr>
      </w:pPr>
    </w:p>
    <w:p w14:paraId="0B88223F"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t xml:space="preserve">Gráfica Cantidad de contratos mensual clasificación </w:t>
      </w:r>
      <w:proofErr w:type="spellStart"/>
      <w:r w:rsidRPr="00FB351A">
        <w:rPr>
          <w:rFonts w:ascii="Arial" w:hAnsi="Arial" w:cs="Arial"/>
          <w:color w:val="000000"/>
          <w:sz w:val="20"/>
          <w:szCs w:val="20"/>
        </w:rPr>
        <w:t>UNPSC</w:t>
      </w:r>
      <w:proofErr w:type="spellEnd"/>
      <w:r w:rsidRPr="00FB351A">
        <w:rPr>
          <w:rFonts w:ascii="Arial" w:hAnsi="Arial" w:cs="Arial"/>
          <w:color w:val="000000"/>
          <w:sz w:val="20"/>
          <w:szCs w:val="20"/>
        </w:rPr>
        <w:t xml:space="preserve"> 841315-841316. Imagen tomada de: https://www.colombiacompra.gov.co/content/herramienta-de-visualizacion-para-el-analisis-de-la-demanda-y-de-la-oferta</w:t>
      </w:r>
    </w:p>
    <w:p w14:paraId="00968E40" w14:textId="77777777" w:rsidR="008F550C" w:rsidRPr="00FB351A" w:rsidRDefault="008F550C" w:rsidP="008F550C">
      <w:pPr>
        <w:contextualSpacing/>
        <w:jc w:val="both"/>
        <w:rPr>
          <w:rFonts w:ascii="Arial" w:hAnsi="Arial" w:cs="Arial"/>
          <w:color w:val="000000"/>
          <w:sz w:val="20"/>
          <w:szCs w:val="20"/>
        </w:rPr>
      </w:pPr>
    </w:p>
    <w:p w14:paraId="2ADBEC0B" w14:textId="77777777" w:rsidR="008F550C" w:rsidRPr="00FB351A" w:rsidRDefault="008F550C">
      <w:pPr>
        <w:numPr>
          <w:ilvl w:val="0"/>
          <w:numId w:val="32"/>
        </w:numPr>
        <w:contextualSpacing/>
        <w:jc w:val="both"/>
        <w:rPr>
          <w:rFonts w:ascii="Arial" w:hAnsi="Arial" w:cs="Arial"/>
          <w:color w:val="000000"/>
          <w:sz w:val="20"/>
          <w:szCs w:val="20"/>
        </w:rPr>
      </w:pPr>
      <w:r w:rsidRPr="00FB351A">
        <w:rPr>
          <w:rFonts w:ascii="Arial" w:hAnsi="Arial" w:cs="Arial"/>
          <w:color w:val="000000"/>
          <w:sz w:val="20"/>
          <w:szCs w:val="20"/>
        </w:rPr>
        <w:t>Cantidad de contratos (anual)</w:t>
      </w:r>
    </w:p>
    <w:p w14:paraId="51FB1DB7" w14:textId="77777777" w:rsidR="008F550C" w:rsidRPr="00FB351A" w:rsidRDefault="008F550C" w:rsidP="008F550C">
      <w:pPr>
        <w:contextualSpacing/>
        <w:jc w:val="both"/>
        <w:rPr>
          <w:rFonts w:ascii="Arial" w:hAnsi="Arial" w:cs="Arial"/>
          <w:color w:val="000000"/>
          <w:sz w:val="20"/>
          <w:szCs w:val="20"/>
        </w:rPr>
      </w:pPr>
    </w:p>
    <w:p w14:paraId="29AFD1E8"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t>En lo corrido del año 2026 se registran alrededor de 999 contratos estatales de seguros celebrados. El año con mayor participación en cantidad de contratos celebrados ha sido el año 2025 con un total de 1796 contrataciones, seguido del año 2024 con un total de 1738 tal y como se evidencia en la siguiente gráfica</w:t>
      </w:r>
    </w:p>
    <w:p w14:paraId="591479F6" w14:textId="77777777" w:rsidR="008F550C" w:rsidRPr="00FB351A" w:rsidRDefault="008F550C" w:rsidP="008F550C">
      <w:pPr>
        <w:contextualSpacing/>
        <w:jc w:val="both"/>
        <w:rPr>
          <w:rFonts w:ascii="Arial" w:hAnsi="Arial" w:cs="Arial"/>
          <w:color w:val="000000"/>
          <w:sz w:val="20"/>
          <w:szCs w:val="20"/>
        </w:rPr>
      </w:pPr>
    </w:p>
    <w:p w14:paraId="0197B38E" w14:textId="20FA91C2" w:rsidR="008F550C" w:rsidRPr="00FB351A" w:rsidRDefault="008F550C" w:rsidP="008F550C">
      <w:pPr>
        <w:contextualSpacing/>
        <w:jc w:val="center"/>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59320689" wp14:editId="11F5E262">
            <wp:extent cx="3583305" cy="3263900"/>
            <wp:effectExtent l="0" t="0" r="0" b="0"/>
            <wp:docPr id="1967008270"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83305" cy="3263900"/>
                    </a:xfrm>
                    <a:prstGeom prst="rect">
                      <a:avLst/>
                    </a:prstGeom>
                    <a:noFill/>
                    <a:ln>
                      <a:noFill/>
                    </a:ln>
                  </pic:spPr>
                </pic:pic>
              </a:graphicData>
            </a:graphic>
          </wp:inline>
        </w:drawing>
      </w:r>
    </w:p>
    <w:p w14:paraId="33CFF241" w14:textId="77777777" w:rsidR="008F550C" w:rsidRPr="00FB351A" w:rsidRDefault="008F550C" w:rsidP="008F550C">
      <w:pPr>
        <w:contextualSpacing/>
        <w:jc w:val="both"/>
        <w:rPr>
          <w:rFonts w:ascii="Arial" w:hAnsi="Arial" w:cs="Arial"/>
          <w:color w:val="000000"/>
          <w:sz w:val="20"/>
          <w:szCs w:val="20"/>
        </w:rPr>
      </w:pPr>
    </w:p>
    <w:p w14:paraId="4B8D6CC6" w14:textId="77777777" w:rsidR="008F550C" w:rsidRPr="00FB351A" w:rsidRDefault="008F550C" w:rsidP="008F550C">
      <w:pPr>
        <w:contextualSpacing/>
        <w:jc w:val="both"/>
        <w:rPr>
          <w:rFonts w:ascii="Arial" w:hAnsi="Arial" w:cs="Arial"/>
          <w:color w:val="000000"/>
          <w:sz w:val="20"/>
          <w:szCs w:val="20"/>
        </w:rPr>
      </w:pPr>
    </w:p>
    <w:p w14:paraId="0B92C003" w14:textId="77777777" w:rsidR="008F550C" w:rsidRPr="00FB351A" w:rsidRDefault="008F550C" w:rsidP="008F550C">
      <w:pPr>
        <w:contextualSpacing/>
        <w:jc w:val="both"/>
        <w:rPr>
          <w:rFonts w:ascii="Arial" w:hAnsi="Arial" w:cs="Arial"/>
          <w:color w:val="000000"/>
          <w:sz w:val="20"/>
          <w:szCs w:val="20"/>
        </w:rPr>
      </w:pPr>
      <w:r w:rsidRPr="00FB351A">
        <w:rPr>
          <w:rFonts w:ascii="Arial" w:hAnsi="Arial" w:cs="Arial"/>
          <w:color w:val="000000"/>
          <w:sz w:val="20"/>
          <w:szCs w:val="20"/>
        </w:rPr>
        <w:t xml:space="preserve">Gráfica Cantidad de contratos anual clasificación </w:t>
      </w:r>
      <w:proofErr w:type="spellStart"/>
      <w:r w:rsidRPr="00FB351A">
        <w:rPr>
          <w:rFonts w:ascii="Arial" w:hAnsi="Arial" w:cs="Arial"/>
          <w:color w:val="000000"/>
          <w:sz w:val="20"/>
          <w:szCs w:val="20"/>
        </w:rPr>
        <w:t>UNPSC</w:t>
      </w:r>
      <w:proofErr w:type="spellEnd"/>
      <w:r w:rsidRPr="00FB351A">
        <w:rPr>
          <w:rFonts w:ascii="Arial" w:hAnsi="Arial" w:cs="Arial"/>
          <w:color w:val="000000"/>
          <w:sz w:val="20"/>
          <w:szCs w:val="20"/>
        </w:rPr>
        <w:t xml:space="preserve"> 841315-841316. Imagen tomada de: https://www.colombiacompra.gov.co/content/herramienta-de-visualizacion-para-el-analisis-de-la-demanda-y-de-la-oferta</w:t>
      </w:r>
    </w:p>
    <w:p w14:paraId="47E925A7" w14:textId="17DCE73E" w:rsidR="0083122F" w:rsidRPr="00FB351A" w:rsidRDefault="0083122F" w:rsidP="008F550C">
      <w:pPr>
        <w:contextualSpacing/>
        <w:jc w:val="both"/>
        <w:rPr>
          <w:rFonts w:ascii="Arial" w:hAnsi="Arial" w:cs="Arial"/>
          <w:b/>
          <w:bCs/>
          <w:sz w:val="20"/>
          <w:szCs w:val="20"/>
          <w:lang w:val="es-ES"/>
        </w:rPr>
      </w:pPr>
    </w:p>
    <w:bookmarkEnd w:id="0"/>
    <w:p w14:paraId="345FB3E6" w14:textId="77777777" w:rsidR="0063641E" w:rsidRPr="00FB351A" w:rsidRDefault="0063641E">
      <w:pPr>
        <w:pStyle w:val="Prrafodelista"/>
        <w:widowControl w:val="0"/>
        <w:numPr>
          <w:ilvl w:val="0"/>
          <w:numId w:val="38"/>
        </w:numPr>
        <w:suppressAutoHyphens/>
        <w:autoSpaceDE w:val="0"/>
        <w:contextualSpacing/>
        <w:jc w:val="both"/>
        <w:rPr>
          <w:rFonts w:ascii="Arial" w:hAnsi="Arial" w:cs="Arial"/>
          <w:b/>
          <w:color w:val="000000"/>
          <w:sz w:val="20"/>
          <w:szCs w:val="20"/>
        </w:rPr>
      </w:pPr>
      <w:r w:rsidRPr="00FB351A">
        <w:rPr>
          <w:rFonts w:ascii="Arial" w:hAnsi="Arial" w:cs="Arial"/>
          <w:b/>
          <w:color w:val="000000"/>
          <w:sz w:val="20"/>
          <w:szCs w:val="20"/>
        </w:rPr>
        <w:t>ANÁLISIS DE LA OFERTA.</w:t>
      </w:r>
    </w:p>
    <w:p w14:paraId="0D059AC6" w14:textId="77777777" w:rsidR="007135E7" w:rsidRPr="00FB351A" w:rsidRDefault="007135E7" w:rsidP="00803115">
      <w:pPr>
        <w:contextualSpacing/>
        <w:jc w:val="both"/>
        <w:rPr>
          <w:rFonts w:ascii="Arial" w:eastAsia="Arial Narrow" w:hAnsi="Arial" w:cs="Arial"/>
          <w:sz w:val="20"/>
          <w:szCs w:val="20"/>
        </w:rPr>
      </w:pPr>
    </w:p>
    <w:p w14:paraId="3D928355" w14:textId="72E058C8" w:rsidR="00292E9C" w:rsidRPr="00FB351A" w:rsidRDefault="00292E9C" w:rsidP="00803115">
      <w:pPr>
        <w:jc w:val="both"/>
        <w:rPr>
          <w:rFonts w:ascii="Arial" w:hAnsi="Arial" w:cs="Arial"/>
          <w:sz w:val="20"/>
          <w:szCs w:val="20"/>
          <w:lang w:eastAsia="en-US"/>
        </w:rPr>
      </w:pPr>
      <w:bookmarkStart w:id="29" w:name="_Hlk66957509"/>
      <w:r w:rsidRPr="00FB351A">
        <w:rPr>
          <w:rFonts w:ascii="Arial" w:hAnsi="Arial" w:cs="Arial"/>
          <w:sz w:val="20"/>
          <w:szCs w:val="20"/>
          <w:lang w:eastAsia="en-US"/>
        </w:rPr>
        <w:t xml:space="preserve">La suscripción de las pólizas del mercado asegurador en Colombia depende de las políticas de cada una de las aseguradoras y de sus autorizaciones para expedir estas pólizas, cuya aprobación para la comercialización de ciertos ramos, depende de las autorizaciones que emita la Superintendencia Financiera de Colombia, de allí́ que no la totalidad de las aseguradoras comercialicen todas las pólizas que conforman el programa de seguros de la </w:t>
      </w:r>
      <w:r w:rsidRPr="00FB351A">
        <w:rPr>
          <w:rFonts w:ascii="Arial" w:hAnsi="Arial" w:cs="Arial"/>
          <w:sz w:val="20"/>
          <w:szCs w:val="20"/>
        </w:rPr>
        <w:t>Agencia de Desarrollo Rural - ADR</w:t>
      </w:r>
    </w:p>
    <w:p w14:paraId="38C517D7" w14:textId="77777777" w:rsidR="00292E9C" w:rsidRPr="00FB351A" w:rsidRDefault="00292E9C" w:rsidP="00803115">
      <w:pPr>
        <w:jc w:val="both"/>
        <w:rPr>
          <w:rFonts w:ascii="Arial" w:hAnsi="Arial" w:cs="Arial"/>
          <w:color w:val="000000"/>
          <w:sz w:val="20"/>
          <w:szCs w:val="20"/>
          <w:lang w:eastAsia="en-US"/>
        </w:rPr>
      </w:pPr>
    </w:p>
    <w:p w14:paraId="7C306347"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 xml:space="preserve">El sector asegurador se encuentra segmentado en dos grandes líneas, una de personas (vida) y otra de daños (generales), las cuales, tienen particularidades que las hacen especiales y son la base de cualquier ejercicio prospectivo del sector. </w:t>
      </w:r>
    </w:p>
    <w:p w14:paraId="675D8244" w14:textId="77777777" w:rsidR="00292E9C" w:rsidRPr="00FB351A" w:rsidRDefault="00292E9C" w:rsidP="00803115">
      <w:pPr>
        <w:jc w:val="both"/>
        <w:rPr>
          <w:rFonts w:ascii="Arial" w:hAnsi="Arial" w:cs="Arial"/>
          <w:color w:val="000000"/>
          <w:sz w:val="20"/>
          <w:szCs w:val="20"/>
          <w:lang w:eastAsia="en-US"/>
        </w:rPr>
      </w:pPr>
    </w:p>
    <w:p w14:paraId="095B6511"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Los seguros de daños están asociados a la protección del patrimonio y de los bienes y son, por lo general, productos de corto plazo, como el seguro del auto, el de incendio, casco, responsabilidad civil, entre otros.</w:t>
      </w:r>
    </w:p>
    <w:p w14:paraId="1240E20B" w14:textId="77777777" w:rsidR="00292E9C" w:rsidRPr="00FB351A" w:rsidRDefault="00292E9C" w:rsidP="00803115">
      <w:pPr>
        <w:jc w:val="both"/>
        <w:rPr>
          <w:rFonts w:ascii="Arial" w:hAnsi="Arial" w:cs="Arial"/>
          <w:color w:val="000000"/>
          <w:sz w:val="20"/>
          <w:szCs w:val="20"/>
          <w:lang w:eastAsia="en-US"/>
        </w:rPr>
      </w:pPr>
    </w:p>
    <w:p w14:paraId="5E2C818F"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Dentro de esta categoría se encuentran los seguros que tienen como finalidad principal reparar la pérdida que un asegurado pueda sufrir en su patrimonio como consecuencia de un siniestro.</w:t>
      </w:r>
    </w:p>
    <w:p w14:paraId="6C732250" w14:textId="77777777" w:rsidR="00292E9C" w:rsidRPr="00FB351A" w:rsidRDefault="00292E9C" w:rsidP="00803115">
      <w:pPr>
        <w:jc w:val="both"/>
        <w:rPr>
          <w:rFonts w:ascii="Arial" w:hAnsi="Arial" w:cs="Arial"/>
          <w:color w:val="000000"/>
          <w:sz w:val="20"/>
          <w:szCs w:val="20"/>
          <w:lang w:eastAsia="en-US"/>
        </w:rPr>
      </w:pPr>
    </w:p>
    <w:p w14:paraId="17F84F53"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A su vez, los seguros de daños se dividen en dos grandes grupos:</w:t>
      </w:r>
    </w:p>
    <w:p w14:paraId="2C07EB29" w14:textId="77777777" w:rsidR="00292E9C" w:rsidRPr="00FB351A" w:rsidRDefault="00292E9C" w:rsidP="00803115">
      <w:pPr>
        <w:jc w:val="both"/>
        <w:rPr>
          <w:rFonts w:ascii="Arial" w:hAnsi="Arial" w:cs="Arial"/>
          <w:color w:val="000000"/>
          <w:sz w:val="20"/>
          <w:szCs w:val="20"/>
          <w:lang w:eastAsia="en-US"/>
        </w:rPr>
      </w:pPr>
    </w:p>
    <w:p w14:paraId="46D54CBA" w14:textId="77777777" w:rsidR="00292E9C" w:rsidRPr="00FB351A" w:rsidRDefault="00292E9C">
      <w:pPr>
        <w:numPr>
          <w:ilvl w:val="0"/>
          <w:numId w:val="13"/>
        </w:numPr>
        <w:ind w:left="709" w:hanging="425"/>
        <w:jc w:val="both"/>
        <w:rPr>
          <w:rFonts w:ascii="Arial" w:hAnsi="Arial" w:cs="Arial"/>
          <w:color w:val="000000"/>
          <w:sz w:val="20"/>
          <w:szCs w:val="20"/>
          <w:lang w:eastAsia="en-US"/>
        </w:rPr>
      </w:pPr>
      <w:r w:rsidRPr="00FB351A">
        <w:rPr>
          <w:rFonts w:ascii="Arial" w:hAnsi="Arial" w:cs="Arial"/>
          <w:b/>
          <w:bCs/>
          <w:color w:val="000000"/>
          <w:sz w:val="20"/>
          <w:szCs w:val="20"/>
          <w:lang w:eastAsia="en-US"/>
        </w:rPr>
        <w:lastRenderedPageBreak/>
        <w:t>Seguros de cosas</w:t>
      </w:r>
      <w:r w:rsidRPr="00FB351A">
        <w:rPr>
          <w:rFonts w:ascii="Arial" w:hAnsi="Arial" w:cs="Arial"/>
          <w:color w:val="000000"/>
          <w:sz w:val="20"/>
          <w:szCs w:val="20"/>
          <w:lang w:eastAsia="en-US"/>
        </w:rPr>
        <w:t>, destinados a indemnizar con fines de reposición al asegurado por las pérdidas materiales directamente sufridas en un bien de su patrimonio.</w:t>
      </w:r>
    </w:p>
    <w:p w14:paraId="7FED4452" w14:textId="77777777" w:rsidR="00292E9C" w:rsidRPr="00FB351A" w:rsidRDefault="00292E9C">
      <w:pPr>
        <w:numPr>
          <w:ilvl w:val="0"/>
          <w:numId w:val="13"/>
        </w:numPr>
        <w:ind w:left="709" w:hanging="425"/>
        <w:jc w:val="both"/>
        <w:rPr>
          <w:rFonts w:ascii="Arial" w:hAnsi="Arial" w:cs="Arial"/>
          <w:color w:val="000000"/>
          <w:sz w:val="20"/>
          <w:szCs w:val="20"/>
          <w:lang w:eastAsia="en-US"/>
        </w:rPr>
      </w:pPr>
      <w:r w:rsidRPr="00FB351A">
        <w:rPr>
          <w:rFonts w:ascii="Arial" w:hAnsi="Arial" w:cs="Arial"/>
          <w:b/>
          <w:bCs/>
          <w:color w:val="000000"/>
          <w:sz w:val="20"/>
          <w:szCs w:val="20"/>
          <w:lang w:eastAsia="en-US"/>
        </w:rPr>
        <w:t>Seguros de responsabilidad</w:t>
      </w:r>
      <w:r w:rsidRPr="00FB351A">
        <w:rPr>
          <w:rFonts w:ascii="Arial" w:hAnsi="Arial" w:cs="Arial"/>
          <w:color w:val="000000"/>
          <w:sz w:val="20"/>
          <w:szCs w:val="20"/>
          <w:lang w:eastAsia="en-US"/>
        </w:rPr>
        <w:t xml:space="preserve"> cuyo fin es garantizar al asegurado frente a la responsabilidad civil en que pueda incurrir ante terceros, por actos de los que sea responsable y proteger así, su patrimonio.                 </w:t>
      </w:r>
    </w:p>
    <w:p w14:paraId="4C630C4D" w14:textId="77777777" w:rsidR="00292E9C" w:rsidRPr="00FB351A" w:rsidRDefault="00292E9C" w:rsidP="00803115">
      <w:pPr>
        <w:jc w:val="both"/>
        <w:rPr>
          <w:rFonts w:ascii="Arial" w:hAnsi="Arial" w:cs="Arial"/>
          <w:color w:val="000000"/>
          <w:sz w:val="20"/>
          <w:szCs w:val="20"/>
          <w:lang w:eastAsia="en-US"/>
        </w:rPr>
      </w:pPr>
    </w:p>
    <w:p w14:paraId="0EDBD266"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Los seguros de personas, por su lado, como su nombre lo indica, cubren riesgos relacionados con la vida o salud; por lo tanto, son en general de largo plazo.</w:t>
      </w:r>
    </w:p>
    <w:p w14:paraId="2223402A"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 xml:space="preserve"> </w:t>
      </w:r>
    </w:p>
    <w:p w14:paraId="3D614C12"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Dentro del presente análisis se quiere identificar que compañías de seguros en Colombia tienen aprobados los ramos que más comúnmente son contratados por las Entidades Públicas, tanto para seguros de daños como para seguros de personas, aclarando que esta información puede ser modificada en cualquier momento bien sea porque la compañía de seguros radica, ante la Superintendencia Financiera de Colombia un nuevo ramo de seguros que no comercializa o por el contrario, decide no comercializar algún ramo que tenga aprobado.</w:t>
      </w:r>
    </w:p>
    <w:p w14:paraId="58B02CF3" w14:textId="77777777" w:rsidR="00292E9C" w:rsidRPr="00FB351A" w:rsidRDefault="00292E9C" w:rsidP="00803115">
      <w:pPr>
        <w:jc w:val="both"/>
        <w:rPr>
          <w:rFonts w:ascii="Arial" w:hAnsi="Arial" w:cs="Arial"/>
          <w:color w:val="000000"/>
          <w:sz w:val="20"/>
          <w:szCs w:val="20"/>
          <w:lang w:eastAsia="en-US"/>
        </w:rPr>
      </w:pPr>
    </w:p>
    <w:p w14:paraId="79B93B05"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Dentro de este análisis, es pertinente mencionar que al presente proceso NO le aplican los tratados o acuerdos comerciales suscritos por la República de Colombia, de acuerdo con el Anexo 4, numeral 8  del Manual para el manejo de los Acuerdos Comerciales en Procesos de Contratación expedido por Colombia Compra Eficiente, puesto que los seguros se equiparan a servicios financieros de interés público, para los cuales es necesario ser una sociedad comercial constituida en Colombia y contar con la autorización de la Superintendencia Financiera de Colombia, tal y como lo establece el Decreto 663 de 1993.</w:t>
      </w:r>
    </w:p>
    <w:p w14:paraId="521A195D" w14:textId="77777777" w:rsidR="00292E9C" w:rsidRPr="00FB351A" w:rsidRDefault="00292E9C" w:rsidP="00803115">
      <w:pPr>
        <w:jc w:val="both"/>
        <w:rPr>
          <w:rFonts w:ascii="Arial" w:hAnsi="Arial" w:cs="Arial"/>
          <w:color w:val="000000"/>
          <w:sz w:val="20"/>
          <w:szCs w:val="20"/>
          <w:lang w:eastAsia="en-US"/>
        </w:rPr>
      </w:pPr>
    </w:p>
    <w:p w14:paraId="4E4BEA03"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Analizado el artículo referenciado, se concluye de las disposiciones previstas que, respecto a las entidades extranjeras en lo que se refiere al desarrollo de la actividad aseguradora en Colombia por parte de estas, no tienen permitido desarrollar esta actividad en el territorio nacional sin antes obtener la autorización para tal fin por parte del regulador.</w:t>
      </w:r>
    </w:p>
    <w:p w14:paraId="515D5E23" w14:textId="77777777" w:rsidR="00292E9C" w:rsidRPr="00FB351A" w:rsidRDefault="00292E9C" w:rsidP="00803115">
      <w:pPr>
        <w:jc w:val="both"/>
        <w:rPr>
          <w:rFonts w:ascii="Arial" w:hAnsi="Arial" w:cs="Arial"/>
          <w:color w:val="000000"/>
          <w:sz w:val="20"/>
          <w:szCs w:val="20"/>
          <w:lang w:eastAsia="en-US"/>
        </w:rPr>
      </w:pPr>
    </w:p>
    <w:p w14:paraId="05F157E2"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 xml:space="preserve">Adicionalmente, el artículo 61 de la Ley 1328 de 2009, el cual entró en vigencia el 15 de julio de 2013 establece lo siguiente: </w:t>
      </w:r>
    </w:p>
    <w:p w14:paraId="16C5338C" w14:textId="77777777" w:rsidR="00292E9C" w:rsidRPr="00FB351A" w:rsidRDefault="00292E9C" w:rsidP="00803115">
      <w:pPr>
        <w:jc w:val="both"/>
        <w:rPr>
          <w:rFonts w:ascii="Arial" w:hAnsi="Arial" w:cs="Arial"/>
          <w:color w:val="000000"/>
          <w:sz w:val="20"/>
          <w:szCs w:val="20"/>
          <w:lang w:eastAsia="en-US"/>
        </w:rPr>
      </w:pPr>
    </w:p>
    <w:p w14:paraId="26574F69"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“TITULO VII.</w:t>
      </w:r>
    </w:p>
    <w:p w14:paraId="7E8E48E8"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DE LA LIBERALIZACIÓN COMERCIAL EN MATERIA DE SERVICIOS FINANCIEROS.</w:t>
      </w:r>
    </w:p>
    <w:p w14:paraId="338FDD59"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ARTÍCULO 61. COMERCIO TRANSFRONTERIZO DE SEGUROS. Modificase el artículo 39 del Estatuto Orgánico del Sistema Financiero, el cual quedará así:</w:t>
      </w:r>
    </w:p>
    <w:p w14:paraId="312B7CEB" w14:textId="77777777" w:rsidR="00292E9C" w:rsidRPr="00FB351A" w:rsidRDefault="00292E9C" w:rsidP="00803115">
      <w:pPr>
        <w:jc w:val="both"/>
        <w:rPr>
          <w:rFonts w:ascii="Arial" w:hAnsi="Arial" w:cs="Arial"/>
          <w:color w:val="000000"/>
          <w:sz w:val="20"/>
          <w:szCs w:val="20"/>
          <w:lang w:eastAsia="en-US"/>
        </w:rPr>
      </w:pPr>
    </w:p>
    <w:p w14:paraId="6C641830"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Artículo 39. Personas no autorizadas. Salvo lo previsto en los parágrafos del presente artículo, queda prohibido celebrar en el territorio nacional operaciones de seguros con entidades extranjeras no autorizadas para desarrollar la actividad aseguradora en Colombia o hacerlo con agentes o representantes que trabajen para las mismas. Las personas naturales o jurídicas que contravengan lo dispuesto en el presente artículo quedarán sujetas a las sanciones previstas en el artículo 208 del presente Estatuto.</w:t>
      </w:r>
    </w:p>
    <w:p w14:paraId="5700DAF4" w14:textId="77777777" w:rsidR="00292E9C" w:rsidRPr="00FB351A" w:rsidRDefault="00292E9C" w:rsidP="00803115">
      <w:pPr>
        <w:jc w:val="both"/>
        <w:rPr>
          <w:rFonts w:ascii="Arial" w:hAnsi="Arial" w:cs="Arial"/>
          <w:color w:val="000000"/>
          <w:sz w:val="20"/>
          <w:szCs w:val="20"/>
          <w:lang w:eastAsia="en-US"/>
        </w:rPr>
      </w:pPr>
    </w:p>
    <w:p w14:paraId="56DCA3AC"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 xml:space="preserve">PARÁGRAFO </w:t>
      </w:r>
      <w:proofErr w:type="spellStart"/>
      <w:r w:rsidRPr="00FB351A">
        <w:rPr>
          <w:rFonts w:ascii="Arial" w:hAnsi="Arial" w:cs="Arial"/>
          <w:color w:val="000000"/>
          <w:sz w:val="20"/>
          <w:szCs w:val="20"/>
          <w:lang w:eastAsia="en-US"/>
        </w:rPr>
        <w:t>1o</w:t>
      </w:r>
      <w:proofErr w:type="spellEnd"/>
      <w:r w:rsidRPr="00FB351A">
        <w:rPr>
          <w:rFonts w:ascii="Arial" w:hAnsi="Arial" w:cs="Arial"/>
          <w:color w:val="000000"/>
          <w:sz w:val="20"/>
          <w:szCs w:val="20"/>
          <w:lang w:eastAsia="en-US"/>
        </w:rPr>
        <w:t>. Las compañías de seguros del exterior podrán ofrecer en el territorio colombiano o a sus residentes, única y exclusivamente, seguros asociados al transporte marítimo internacional, la aviación comercial internacional y el lanzamiento y transporte espacial (incluyendo satélites), que amparen los riesgos vinculados a las mercancías objeto de transporte, el vehículo que transporte las mercancías y la responsabilidad civil que pueda derivarse de los mismos, así como seguros que amparen mercancías en tránsito internacional.</w:t>
      </w:r>
    </w:p>
    <w:p w14:paraId="697FDFF0" w14:textId="77777777" w:rsidR="00292E9C" w:rsidRPr="00FB351A" w:rsidRDefault="00292E9C" w:rsidP="00803115">
      <w:pPr>
        <w:jc w:val="both"/>
        <w:rPr>
          <w:rFonts w:ascii="Arial" w:hAnsi="Arial" w:cs="Arial"/>
          <w:color w:val="000000"/>
          <w:sz w:val="20"/>
          <w:szCs w:val="20"/>
          <w:lang w:eastAsia="en-US"/>
        </w:rPr>
      </w:pPr>
    </w:p>
    <w:p w14:paraId="69BEEDF3"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lastRenderedPageBreak/>
        <w:t>La Superintendencia Financiera de Colombia podrá establecer la obligatoriedad del registro de las compañías de seguros del exterior que pretendan ofrecer estos seguros en el territorio nacional o a sus residentes.</w:t>
      </w:r>
    </w:p>
    <w:p w14:paraId="5CBB7577" w14:textId="77777777" w:rsidR="00292E9C" w:rsidRPr="00FB351A" w:rsidRDefault="00292E9C" w:rsidP="00803115">
      <w:pPr>
        <w:jc w:val="both"/>
        <w:rPr>
          <w:rFonts w:ascii="Arial" w:hAnsi="Arial" w:cs="Arial"/>
          <w:color w:val="000000"/>
          <w:sz w:val="20"/>
          <w:szCs w:val="20"/>
          <w:lang w:eastAsia="en-US"/>
        </w:rPr>
      </w:pPr>
    </w:p>
    <w:p w14:paraId="1E964F8B"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Salvo lo previsto en el presente parágrafo, las compañías de seguros del exterior no podrán ofrecer, promocionar o hacer publicidad de sus servicios en el territorio colombiano o a sus residentes.</w:t>
      </w:r>
    </w:p>
    <w:p w14:paraId="07763DE6"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 xml:space="preserve">PARÁGRAFO </w:t>
      </w:r>
      <w:proofErr w:type="spellStart"/>
      <w:r w:rsidRPr="00FB351A">
        <w:rPr>
          <w:rFonts w:ascii="Arial" w:hAnsi="Arial" w:cs="Arial"/>
          <w:color w:val="000000"/>
          <w:sz w:val="20"/>
          <w:szCs w:val="20"/>
          <w:lang w:eastAsia="en-US"/>
        </w:rPr>
        <w:t>2o</w:t>
      </w:r>
      <w:proofErr w:type="spellEnd"/>
      <w:r w:rsidRPr="00FB351A">
        <w:rPr>
          <w:rFonts w:ascii="Arial" w:hAnsi="Arial" w:cs="Arial"/>
          <w:color w:val="000000"/>
          <w:sz w:val="20"/>
          <w:szCs w:val="20"/>
          <w:lang w:eastAsia="en-US"/>
        </w:rPr>
        <w:t>. Toda persona natural o jurídica, residente en el país, podrá adquirir en el exterior cualquier tipo de seguro, con excepción de los siguientes:</w:t>
      </w:r>
    </w:p>
    <w:p w14:paraId="5E314F15" w14:textId="77777777" w:rsidR="00292E9C" w:rsidRPr="00FB351A" w:rsidRDefault="00292E9C" w:rsidP="00803115">
      <w:pPr>
        <w:jc w:val="both"/>
        <w:rPr>
          <w:rFonts w:ascii="Arial" w:hAnsi="Arial" w:cs="Arial"/>
          <w:color w:val="000000"/>
          <w:sz w:val="20"/>
          <w:szCs w:val="20"/>
          <w:lang w:eastAsia="en-US"/>
        </w:rPr>
      </w:pPr>
    </w:p>
    <w:p w14:paraId="24B3D11E"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a) Los seguros relacionados con el sistema de seguridad social, tales como los seguros previsionales de invalidez y muerte, las rentas vitalicias o los seguros de riesgos profesionales;</w:t>
      </w:r>
    </w:p>
    <w:p w14:paraId="216A2260"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b) Los seguros obligatorios;</w:t>
      </w:r>
    </w:p>
    <w:p w14:paraId="7FB5725F"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c) Los seguros en los cuales el tomador, asegurado o beneficiario debe demostrar previamente a la adquisición del respectivo seguro que cuenta con un seguro obligatorio o que se encuentra al día en sus obligaciones para con la seguridad social, y</w:t>
      </w:r>
    </w:p>
    <w:p w14:paraId="6EF19ADF" w14:textId="77777777" w:rsidR="00292E9C" w:rsidRPr="00FB351A" w:rsidRDefault="00292E9C" w:rsidP="00803115">
      <w:pPr>
        <w:jc w:val="both"/>
        <w:rPr>
          <w:rFonts w:ascii="Arial" w:hAnsi="Arial" w:cs="Arial"/>
          <w:color w:val="000000"/>
          <w:sz w:val="20"/>
          <w:szCs w:val="20"/>
          <w:lang w:eastAsia="en-US"/>
        </w:rPr>
      </w:pPr>
      <w:r w:rsidRPr="00FB351A">
        <w:rPr>
          <w:rFonts w:ascii="Arial" w:hAnsi="Arial" w:cs="Arial"/>
          <w:color w:val="000000"/>
          <w:sz w:val="20"/>
          <w:szCs w:val="20"/>
          <w:lang w:eastAsia="en-US"/>
        </w:rPr>
        <w:t>d) Los seguros en los cuales el tomador, asegurado o beneficiario sea una entidad del Estado. No obstante, el Gobierno Nacional podrá establecer, por vía general, los eventos y las condiciones en las cuales las entidades estatales podrán contratar seguros con compañías de seguros del exterior”.</w:t>
      </w:r>
    </w:p>
    <w:p w14:paraId="45CF60A9" w14:textId="77777777" w:rsidR="00292E9C" w:rsidRPr="00FB351A" w:rsidRDefault="00292E9C" w:rsidP="00803115">
      <w:pPr>
        <w:jc w:val="both"/>
        <w:rPr>
          <w:rFonts w:ascii="Arial" w:hAnsi="Arial" w:cs="Arial"/>
          <w:color w:val="000000"/>
          <w:sz w:val="20"/>
          <w:szCs w:val="20"/>
          <w:lang w:eastAsia="en-US"/>
        </w:rPr>
      </w:pPr>
    </w:p>
    <w:p w14:paraId="3FBC12C7" w14:textId="7A1A2E17" w:rsidR="00292E9C" w:rsidRPr="00FB351A" w:rsidRDefault="00292E9C">
      <w:pPr>
        <w:pStyle w:val="Prrafodelista"/>
        <w:numPr>
          <w:ilvl w:val="1"/>
          <w:numId w:val="38"/>
        </w:numPr>
        <w:jc w:val="both"/>
        <w:rPr>
          <w:rFonts w:ascii="Arial" w:hAnsi="Arial" w:cs="Arial"/>
          <w:b/>
          <w:bCs/>
          <w:color w:val="000000"/>
          <w:sz w:val="20"/>
          <w:szCs w:val="20"/>
          <w:lang w:eastAsia="en-US"/>
        </w:rPr>
      </w:pPr>
      <w:r w:rsidRPr="00FB351A">
        <w:rPr>
          <w:rFonts w:ascii="Arial" w:hAnsi="Arial" w:cs="Arial"/>
          <w:b/>
          <w:bCs/>
          <w:color w:val="000000"/>
          <w:sz w:val="20"/>
          <w:szCs w:val="20"/>
          <w:lang w:eastAsia="en-US"/>
        </w:rPr>
        <w:t>Proveedores del sector</w:t>
      </w:r>
    </w:p>
    <w:p w14:paraId="2D293EE6" w14:textId="77777777" w:rsidR="00292E9C" w:rsidRPr="00FB351A" w:rsidRDefault="00292E9C" w:rsidP="00803115">
      <w:pPr>
        <w:ind w:left="720"/>
        <w:jc w:val="both"/>
        <w:rPr>
          <w:rFonts w:ascii="Arial" w:hAnsi="Arial" w:cs="Arial"/>
          <w:color w:val="000000"/>
          <w:sz w:val="20"/>
          <w:szCs w:val="20"/>
          <w:lang w:eastAsia="en-US"/>
        </w:rPr>
      </w:pPr>
    </w:p>
    <w:p w14:paraId="225ED8E5"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Actualmente, se encuentran autorizadas</w:t>
      </w:r>
      <w:r w:rsidRPr="00FB351A">
        <w:rPr>
          <w:rFonts w:ascii="Arial" w:hAnsi="Arial" w:cs="Arial"/>
          <w:bCs/>
          <w:color w:val="000000"/>
          <w:sz w:val="20"/>
          <w:szCs w:val="20"/>
          <w:vertAlign w:val="superscript"/>
        </w:rPr>
        <w:footnoteReference w:id="14"/>
      </w:r>
      <w:r w:rsidRPr="00FB351A">
        <w:rPr>
          <w:rFonts w:ascii="Arial" w:hAnsi="Arial" w:cs="Arial"/>
          <w:bCs/>
          <w:color w:val="000000"/>
          <w:sz w:val="20"/>
          <w:szCs w:val="20"/>
        </w:rPr>
        <w:t xml:space="preserve"> para operar en Colombia 25 aseguradoras en ramos de seguros Generales, 21 compañías de seguros en ramos de Vida y 2 cooperativas de seguros as</w:t>
      </w:r>
      <w:r w:rsidRPr="00FB351A">
        <w:rPr>
          <w:rStyle w:val="Refdenotaalpie"/>
          <w:rFonts w:ascii="Arial" w:hAnsi="Arial" w:cs="Arial"/>
          <w:bCs/>
          <w:color w:val="000000"/>
          <w:sz w:val="20"/>
          <w:szCs w:val="20"/>
        </w:rPr>
        <w:footnoteReference w:id="15"/>
      </w:r>
      <w:r w:rsidRPr="00FB351A">
        <w:rPr>
          <w:rFonts w:ascii="Arial" w:hAnsi="Arial" w:cs="Arial"/>
          <w:bCs/>
          <w:color w:val="000000"/>
          <w:sz w:val="20"/>
          <w:szCs w:val="20"/>
        </w:rPr>
        <w:t>í:</w:t>
      </w:r>
    </w:p>
    <w:p w14:paraId="2BB38CC7" w14:textId="77777777" w:rsidR="00292E9C" w:rsidRPr="00FB351A" w:rsidRDefault="00292E9C" w:rsidP="00803115">
      <w:pPr>
        <w:jc w:val="both"/>
        <w:rPr>
          <w:rFonts w:ascii="Arial" w:hAnsi="Arial" w:cs="Arial"/>
          <w:bCs/>
          <w:color w:val="000000"/>
          <w:sz w:val="20"/>
          <w:szCs w:val="20"/>
        </w:rPr>
      </w:pPr>
    </w:p>
    <w:p w14:paraId="222C81FD" w14:textId="77777777" w:rsidR="00292E9C" w:rsidRPr="00FB351A" w:rsidRDefault="00292E9C" w:rsidP="00803115">
      <w:pPr>
        <w:jc w:val="both"/>
        <w:rPr>
          <w:rFonts w:ascii="Arial" w:hAnsi="Arial" w:cs="Arial"/>
          <w:b/>
          <w:bCs/>
          <w:sz w:val="20"/>
          <w:szCs w:val="20"/>
          <w:lang w:val="es-MX"/>
        </w:rPr>
      </w:pPr>
      <w:r w:rsidRPr="00FB351A">
        <w:rPr>
          <w:rFonts w:ascii="Arial" w:hAnsi="Arial" w:cs="Arial"/>
          <w:b/>
          <w:bCs/>
          <w:sz w:val="20"/>
          <w:szCs w:val="20"/>
          <w:lang w:val="es-MX"/>
        </w:rPr>
        <w:t>Compañías De Seguros Generales (25) Supervigiladas Por La Superintendencia Financiera De Colombia</w:t>
      </w:r>
    </w:p>
    <w:tbl>
      <w:tblPr>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630"/>
        <w:gridCol w:w="1824"/>
        <w:gridCol w:w="1595"/>
        <w:gridCol w:w="2570"/>
      </w:tblGrid>
      <w:tr w:rsidR="00292E9C" w:rsidRPr="00FB351A" w14:paraId="1730245A" w14:textId="77777777" w:rsidTr="000B315C">
        <w:trPr>
          <w:trHeight w:val="836"/>
        </w:trPr>
        <w:tc>
          <w:tcPr>
            <w:tcW w:w="1887" w:type="pct"/>
            <w:shd w:val="clear" w:color="auto" w:fill="DAE9F7"/>
            <w:vAlign w:val="center"/>
            <w:hideMark/>
          </w:tcPr>
          <w:p w14:paraId="20839CA1" w14:textId="77777777" w:rsidR="00292E9C" w:rsidRPr="00FB351A" w:rsidRDefault="00292E9C" w:rsidP="00803115">
            <w:pPr>
              <w:jc w:val="both"/>
              <w:rPr>
                <w:rFonts w:ascii="Arial" w:hAnsi="Arial" w:cs="Arial"/>
                <w:b/>
                <w:bCs/>
                <w:sz w:val="20"/>
                <w:szCs w:val="20"/>
              </w:rPr>
            </w:pPr>
            <w:r w:rsidRPr="00FB351A">
              <w:rPr>
                <w:rFonts w:ascii="Arial" w:hAnsi="Arial" w:cs="Arial"/>
                <w:b/>
                <w:bCs/>
                <w:sz w:val="20"/>
                <w:szCs w:val="20"/>
              </w:rPr>
              <w:t>Denominación social de la Entidad</w:t>
            </w:r>
          </w:p>
        </w:tc>
        <w:tc>
          <w:tcPr>
            <w:tcW w:w="948" w:type="pct"/>
            <w:shd w:val="clear" w:color="auto" w:fill="DAE9F7"/>
            <w:vAlign w:val="center"/>
            <w:hideMark/>
          </w:tcPr>
          <w:p w14:paraId="741C9E88" w14:textId="77777777" w:rsidR="00292E9C" w:rsidRPr="00FB351A" w:rsidRDefault="00292E9C" w:rsidP="00803115">
            <w:pPr>
              <w:jc w:val="both"/>
              <w:rPr>
                <w:rFonts w:ascii="Arial" w:hAnsi="Arial" w:cs="Arial"/>
                <w:b/>
                <w:bCs/>
                <w:sz w:val="20"/>
                <w:szCs w:val="20"/>
              </w:rPr>
            </w:pPr>
            <w:proofErr w:type="spellStart"/>
            <w:r w:rsidRPr="00FB351A">
              <w:rPr>
                <w:rFonts w:ascii="Arial" w:hAnsi="Arial" w:cs="Arial"/>
                <w:b/>
                <w:bCs/>
                <w:sz w:val="20"/>
                <w:szCs w:val="20"/>
              </w:rPr>
              <w:t>NIT</w:t>
            </w:r>
            <w:proofErr w:type="spellEnd"/>
          </w:p>
        </w:tc>
        <w:tc>
          <w:tcPr>
            <w:tcW w:w="2166" w:type="pct"/>
            <w:gridSpan w:val="2"/>
            <w:shd w:val="clear" w:color="auto" w:fill="DAE9F7"/>
            <w:vAlign w:val="center"/>
            <w:hideMark/>
          </w:tcPr>
          <w:p w14:paraId="08FAC3A4" w14:textId="77777777" w:rsidR="00292E9C" w:rsidRPr="00FB351A" w:rsidRDefault="00292E9C" w:rsidP="00803115">
            <w:pPr>
              <w:jc w:val="both"/>
              <w:rPr>
                <w:rFonts w:ascii="Arial" w:hAnsi="Arial" w:cs="Arial"/>
                <w:b/>
                <w:bCs/>
                <w:sz w:val="20"/>
                <w:szCs w:val="20"/>
              </w:rPr>
            </w:pPr>
            <w:r w:rsidRPr="00FB351A">
              <w:rPr>
                <w:rFonts w:ascii="Arial" w:hAnsi="Arial" w:cs="Arial"/>
                <w:b/>
                <w:bCs/>
                <w:sz w:val="20"/>
                <w:szCs w:val="20"/>
              </w:rPr>
              <w:t>Domicilio</w:t>
            </w:r>
          </w:p>
        </w:tc>
      </w:tr>
      <w:tr w:rsidR="00292E9C" w:rsidRPr="00FB351A" w14:paraId="680C041B" w14:textId="77777777" w:rsidTr="000B315C">
        <w:trPr>
          <w:trHeight w:val="699"/>
        </w:trPr>
        <w:tc>
          <w:tcPr>
            <w:tcW w:w="1887" w:type="pct"/>
            <w:vAlign w:val="center"/>
            <w:hideMark/>
          </w:tcPr>
          <w:p w14:paraId="2CEF45E5"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Allianz Seguros S.A.</w:t>
            </w:r>
          </w:p>
        </w:tc>
        <w:tc>
          <w:tcPr>
            <w:tcW w:w="948" w:type="pct"/>
            <w:vAlign w:val="center"/>
            <w:hideMark/>
          </w:tcPr>
          <w:p w14:paraId="72593AAE"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860026182-5</w:t>
            </w:r>
          </w:p>
        </w:tc>
        <w:tc>
          <w:tcPr>
            <w:tcW w:w="829" w:type="pct"/>
            <w:vAlign w:val="center"/>
            <w:hideMark/>
          </w:tcPr>
          <w:p w14:paraId="642D12E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303B2520" w14:textId="0FBD3B65"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59264" behindDoc="1" locked="0" layoutInCell="1" allowOverlap="1" wp14:anchorId="32FE94F7" wp14:editId="51E70534">
                  <wp:simplePos x="0" y="0"/>
                  <wp:positionH relativeFrom="column">
                    <wp:posOffset>176530</wp:posOffset>
                  </wp:positionH>
                  <wp:positionV relativeFrom="paragraph">
                    <wp:posOffset>89535</wp:posOffset>
                  </wp:positionV>
                  <wp:extent cx="581025" cy="290830"/>
                  <wp:effectExtent l="0" t="0" r="9525" b="0"/>
                  <wp:wrapNone/>
                  <wp:docPr id="1948250762" name="Imagen 58"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50762" name="Imagen 58" descr="Logotipo, nombre de la empresa&#10;&#10;El contenido generado por IA puede ser incorrecto."/>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81025" cy="29083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43102B7B" w14:textId="77777777" w:rsidTr="000B315C">
        <w:trPr>
          <w:trHeight w:val="990"/>
        </w:trPr>
        <w:tc>
          <w:tcPr>
            <w:tcW w:w="1887" w:type="pct"/>
            <w:vAlign w:val="center"/>
            <w:hideMark/>
          </w:tcPr>
          <w:p w14:paraId="3006649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CHUBB SEGUROS COLOMBIA S.A.</w:t>
            </w:r>
          </w:p>
        </w:tc>
        <w:tc>
          <w:tcPr>
            <w:tcW w:w="948" w:type="pct"/>
            <w:vAlign w:val="center"/>
            <w:hideMark/>
          </w:tcPr>
          <w:p w14:paraId="004DB41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860026518-6</w:t>
            </w:r>
          </w:p>
        </w:tc>
        <w:tc>
          <w:tcPr>
            <w:tcW w:w="829" w:type="pct"/>
            <w:vAlign w:val="center"/>
            <w:hideMark/>
          </w:tcPr>
          <w:p w14:paraId="4002E23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49AE6973" w14:textId="0F3F6350"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0288" behindDoc="1" locked="0" layoutInCell="1" allowOverlap="1" wp14:anchorId="6BA58984" wp14:editId="11785F27">
                  <wp:simplePos x="0" y="0"/>
                  <wp:positionH relativeFrom="column">
                    <wp:posOffset>137160</wp:posOffset>
                  </wp:positionH>
                  <wp:positionV relativeFrom="paragraph">
                    <wp:posOffset>133985</wp:posOffset>
                  </wp:positionV>
                  <wp:extent cx="716280" cy="355600"/>
                  <wp:effectExtent l="0" t="0" r="7620" b="6350"/>
                  <wp:wrapNone/>
                  <wp:docPr id="196510642" name="Imagen 57"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0642" name="Imagen 57" descr="Texto&#10;&#10;El contenido generado por IA puede ser incorrecto."/>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16280" cy="35560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33217641" w14:textId="77777777" w:rsidTr="000B315C">
        <w:trPr>
          <w:trHeight w:val="1050"/>
        </w:trPr>
        <w:tc>
          <w:tcPr>
            <w:tcW w:w="1887" w:type="pct"/>
            <w:vAlign w:val="center"/>
            <w:hideMark/>
          </w:tcPr>
          <w:p w14:paraId="5E60EB3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"AXA Colpatria Seguros S.A." (en adelante la "Sociedad")</w:t>
            </w:r>
          </w:p>
        </w:tc>
        <w:tc>
          <w:tcPr>
            <w:tcW w:w="948" w:type="pct"/>
            <w:vAlign w:val="center"/>
            <w:hideMark/>
          </w:tcPr>
          <w:p w14:paraId="472BAB0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860002184-6</w:t>
            </w:r>
          </w:p>
        </w:tc>
        <w:tc>
          <w:tcPr>
            <w:tcW w:w="829" w:type="pct"/>
            <w:vAlign w:val="center"/>
            <w:hideMark/>
          </w:tcPr>
          <w:p w14:paraId="714C87B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1FFFCB28" w14:textId="59B5795A"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1312" behindDoc="1" locked="0" layoutInCell="1" allowOverlap="1" wp14:anchorId="48997939" wp14:editId="7577D6CD">
                  <wp:simplePos x="0" y="0"/>
                  <wp:positionH relativeFrom="column">
                    <wp:posOffset>93345</wp:posOffset>
                  </wp:positionH>
                  <wp:positionV relativeFrom="paragraph">
                    <wp:posOffset>127000</wp:posOffset>
                  </wp:positionV>
                  <wp:extent cx="762000" cy="400685"/>
                  <wp:effectExtent l="0" t="0" r="0" b="0"/>
                  <wp:wrapNone/>
                  <wp:docPr id="1339581027" name="Imagen 56"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81027" name="Imagen 56" descr="Logotipo, nombre de la empresa&#10;&#10;El contenido generado por IA puede ser incorrect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62000" cy="40068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FA1574E" w14:textId="77777777" w:rsidTr="000B315C">
        <w:trPr>
          <w:trHeight w:val="945"/>
        </w:trPr>
        <w:tc>
          <w:tcPr>
            <w:tcW w:w="1887" w:type="pct"/>
            <w:vAlign w:val="center"/>
            <w:hideMark/>
          </w:tcPr>
          <w:p w14:paraId="25C2625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lastRenderedPageBreak/>
              <w:t>NACIONAL DE SEGUROS S.A. COMPAÑÍA DE SEGUROS GENERALES, y podrá utilizar válidamente las siglas "NACIONAL DE SEGUROS" o "</w:t>
            </w:r>
            <w:proofErr w:type="spellStart"/>
            <w:r w:rsidRPr="00FB351A">
              <w:rPr>
                <w:rFonts w:ascii="Arial" w:hAnsi="Arial" w:cs="Arial"/>
                <w:sz w:val="20"/>
                <w:szCs w:val="20"/>
              </w:rPr>
              <w:t>NS</w:t>
            </w:r>
            <w:proofErr w:type="spellEnd"/>
            <w:r w:rsidRPr="00FB351A">
              <w:rPr>
                <w:rFonts w:ascii="Arial" w:hAnsi="Arial" w:cs="Arial"/>
                <w:sz w:val="20"/>
                <w:szCs w:val="20"/>
              </w:rPr>
              <w:t>"</w:t>
            </w:r>
          </w:p>
        </w:tc>
        <w:tc>
          <w:tcPr>
            <w:tcW w:w="948" w:type="pct"/>
            <w:vAlign w:val="center"/>
            <w:hideMark/>
          </w:tcPr>
          <w:p w14:paraId="2D43B5CB"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860002527-9</w:t>
            </w:r>
          </w:p>
        </w:tc>
        <w:tc>
          <w:tcPr>
            <w:tcW w:w="829" w:type="pct"/>
            <w:vAlign w:val="center"/>
            <w:hideMark/>
          </w:tcPr>
          <w:p w14:paraId="19A1EED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74544328" w14:textId="49C414AB"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2336" behindDoc="1" locked="0" layoutInCell="1" allowOverlap="1" wp14:anchorId="42CC6BAE" wp14:editId="26466405">
                  <wp:simplePos x="0" y="0"/>
                  <wp:positionH relativeFrom="column">
                    <wp:posOffset>64770</wp:posOffset>
                  </wp:positionH>
                  <wp:positionV relativeFrom="paragraph">
                    <wp:posOffset>127000</wp:posOffset>
                  </wp:positionV>
                  <wp:extent cx="821055" cy="361950"/>
                  <wp:effectExtent l="0" t="0" r="0" b="0"/>
                  <wp:wrapNone/>
                  <wp:docPr id="2087078923" name="Imagen 55" descr="Compañías autorizadas - Fasecol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ompañías autorizadas - Fasecolda"/>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21055" cy="36195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2D9E116" w14:textId="77777777" w:rsidTr="000B315C">
        <w:trPr>
          <w:trHeight w:val="1140"/>
        </w:trPr>
        <w:tc>
          <w:tcPr>
            <w:tcW w:w="1887" w:type="pct"/>
            <w:vAlign w:val="center"/>
            <w:hideMark/>
          </w:tcPr>
          <w:p w14:paraId="4B9F3C4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Compañía Aseguradora de Fianzas S.A., Confianza Sigla: Seguros Confianza S.A.</w:t>
            </w:r>
          </w:p>
        </w:tc>
        <w:tc>
          <w:tcPr>
            <w:tcW w:w="948" w:type="pct"/>
            <w:vAlign w:val="center"/>
            <w:hideMark/>
          </w:tcPr>
          <w:p w14:paraId="36D7593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860070374-9</w:t>
            </w:r>
          </w:p>
        </w:tc>
        <w:tc>
          <w:tcPr>
            <w:tcW w:w="829" w:type="pct"/>
            <w:vAlign w:val="center"/>
            <w:hideMark/>
          </w:tcPr>
          <w:p w14:paraId="7E855C8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5D3B9BEE" w14:textId="5FB20DE6"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3360" behindDoc="1" locked="0" layoutInCell="1" allowOverlap="1" wp14:anchorId="374BC23C" wp14:editId="5AAC7D0E">
                  <wp:simplePos x="0" y="0"/>
                  <wp:positionH relativeFrom="column">
                    <wp:posOffset>160655</wp:posOffset>
                  </wp:positionH>
                  <wp:positionV relativeFrom="paragraph">
                    <wp:posOffset>79375</wp:posOffset>
                  </wp:positionV>
                  <wp:extent cx="609600" cy="562610"/>
                  <wp:effectExtent l="0" t="0" r="0" b="8890"/>
                  <wp:wrapNone/>
                  <wp:docPr id="1137856652" name="Imagen 5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56652" name="Imagen 54" descr="Logotipo, nombre de la empresa&#10;&#10;El contenido generado por IA puede ser incorrecto."/>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09600" cy="56261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3D073613" w14:textId="77777777" w:rsidTr="000B315C">
        <w:trPr>
          <w:trHeight w:val="1524"/>
        </w:trPr>
        <w:tc>
          <w:tcPr>
            <w:tcW w:w="1887" w:type="pct"/>
            <w:vAlign w:val="center"/>
            <w:hideMark/>
          </w:tcPr>
          <w:p w14:paraId="0B9CEAD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ZURICH COLOMBIA SEGUROS S.A.</w:t>
            </w:r>
          </w:p>
        </w:tc>
        <w:tc>
          <w:tcPr>
            <w:tcW w:w="948" w:type="pct"/>
            <w:vAlign w:val="center"/>
            <w:hideMark/>
          </w:tcPr>
          <w:p w14:paraId="1DEA693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860002534-0</w:t>
            </w:r>
          </w:p>
        </w:tc>
        <w:tc>
          <w:tcPr>
            <w:tcW w:w="829" w:type="pct"/>
            <w:vAlign w:val="center"/>
            <w:hideMark/>
          </w:tcPr>
          <w:p w14:paraId="44D3296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73E89774" w14:textId="07E7D825"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4384" behindDoc="1" locked="0" layoutInCell="1" allowOverlap="1" wp14:anchorId="70675155" wp14:editId="4A91E935">
                  <wp:simplePos x="0" y="0"/>
                  <wp:positionH relativeFrom="column">
                    <wp:posOffset>129540</wp:posOffset>
                  </wp:positionH>
                  <wp:positionV relativeFrom="paragraph">
                    <wp:posOffset>-52070</wp:posOffset>
                  </wp:positionV>
                  <wp:extent cx="762635" cy="248285"/>
                  <wp:effectExtent l="0" t="0" r="0" b="0"/>
                  <wp:wrapNone/>
                  <wp:docPr id="1949927479" name="Imagen 53" descr="Zurich - Seguro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Zurich - Seguro Digital"/>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62635" cy="24828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66EB449" w14:textId="77777777" w:rsidTr="000B315C">
        <w:trPr>
          <w:trHeight w:val="930"/>
        </w:trPr>
        <w:tc>
          <w:tcPr>
            <w:tcW w:w="1887" w:type="pct"/>
            <w:vAlign w:val="center"/>
            <w:hideMark/>
          </w:tcPr>
          <w:p w14:paraId="58B25755"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HDI</w:t>
            </w:r>
            <w:proofErr w:type="spellEnd"/>
            <w:r w:rsidRPr="00FB351A">
              <w:rPr>
                <w:rFonts w:ascii="Arial" w:hAnsi="Arial" w:cs="Arial"/>
                <w:sz w:val="20"/>
                <w:szCs w:val="20"/>
              </w:rPr>
              <w:t xml:space="preserve"> SEGUROS COLOMBIA SA</w:t>
            </w:r>
          </w:p>
        </w:tc>
        <w:tc>
          <w:tcPr>
            <w:tcW w:w="948" w:type="pct"/>
            <w:vAlign w:val="center"/>
            <w:hideMark/>
          </w:tcPr>
          <w:p w14:paraId="4CCD4F5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860039988-0</w:t>
            </w:r>
          </w:p>
        </w:tc>
        <w:tc>
          <w:tcPr>
            <w:tcW w:w="829" w:type="pct"/>
            <w:vAlign w:val="center"/>
            <w:hideMark/>
          </w:tcPr>
          <w:p w14:paraId="7B689E6E"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7792D127" w14:textId="21506C8E"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5408" behindDoc="1" locked="0" layoutInCell="1" allowOverlap="1" wp14:anchorId="46A82C67" wp14:editId="65C50E7B">
                  <wp:simplePos x="0" y="0"/>
                  <wp:positionH relativeFrom="column">
                    <wp:posOffset>208280</wp:posOffset>
                  </wp:positionH>
                  <wp:positionV relativeFrom="paragraph">
                    <wp:posOffset>35560</wp:posOffset>
                  </wp:positionV>
                  <wp:extent cx="514350" cy="514350"/>
                  <wp:effectExtent l="0" t="0" r="0" b="0"/>
                  <wp:wrapNone/>
                  <wp:docPr id="548043690" name="Imagen 52" descr="HDI Seguros Colombi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HDI Seguros Colombia | LinkedIn"/>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6886866F" w14:textId="77777777" w:rsidTr="000B315C">
        <w:trPr>
          <w:trHeight w:val="945"/>
        </w:trPr>
        <w:tc>
          <w:tcPr>
            <w:tcW w:w="1887" w:type="pct"/>
            <w:vAlign w:val="center"/>
            <w:hideMark/>
          </w:tcPr>
          <w:p w14:paraId="70073CBE"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Compañía Mundial de Seguros S.A.  Sigla:  SEGUROS MUNDIAL</w:t>
            </w:r>
          </w:p>
        </w:tc>
        <w:tc>
          <w:tcPr>
            <w:tcW w:w="948" w:type="pct"/>
            <w:vAlign w:val="center"/>
            <w:hideMark/>
          </w:tcPr>
          <w:p w14:paraId="60B2384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860037013-6</w:t>
            </w:r>
          </w:p>
        </w:tc>
        <w:tc>
          <w:tcPr>
            <w:tcW w:w="829" w:type="pct"/>
            <w:vAlign w:val="center"/>
            <w:hideMark/>
          </w:tcPr>
          <w:p w14:paraId="30254A4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219EEA12" w14:textId="53A73146"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6432" behindDoc="1" locked="0" layoutInCell="1" allowOverlap="1" wp14:anchorId="3CBC5571" wp14:editId="71CE3FAA">
                  <wp:simplePos x="0" y="0"/>
                  <wp:positionH relativeFrom="column">
                    <wp:posOffset>198755</wp:posOffset>
                  </wp:positionH>
                  <wp:positionV relativeFrom="paragraph">
                    <wp:posOffset>35560</wp:posOffset>
                  </wp:positionV>
                  <wp:extent cx="523875" cy="523875"/>
                  <wp:effectExtent l="0" t="0" r="9525" b="9525"/>
                  <wp:wrapNone/>
                  <wp:docPr id="69235258" name="Imagen 51" descr="Seguros Mund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Seguros Mundial"/>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F134CB9" w14:textId="77777777" w:rsidTr="000B315C">
        <w:trPr>
          <w:trHeight w:val="1485"/>
        </w:trPr>
        <w:tc>
          <w:tcPr>
            <w:tcW w:w="1887" w:type="pct"/>
            <w:vAlign w:val="center"/>
            <w:hideMark/>
          </w:tcPr>
          <w:p w14:paraId="0BE03E9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SEGUROS GENERALES SURAMERICANA S.A. pudiendo emplear la sigla "Seguros Generales SURA"</w:t>
            </w:r>
          </w:p>
        </w:tc>
        <w:tc>
          <w:tcPr>
            <w:tcW w:w="948" w:type="pct"/>
            <w:vAlign w:val="center"/>
            <w:hideMark/>
          </w:tcPr>
          <w:p w14:paraId="34CF1BA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890903407-9</w:t>
            </w:r>
          </w:p>
        </w:tc>
        <w:tc>
          <w:tcPr>
            <w:tcW w:w="829" w:type="pct"/>
            <w:vAlign w:val="center"/>
            <w:hideMark/>
          </w:tcPr>
          <w:p w14:paraId="0863960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Medellín (Antioquia)</w:t>
            </w:r>
          </w:p>
        </w:tc>
        <w:tc>
          <w:tcPr>
            <w:tcW w:w="1337" w:type="pct"/>
            <w:vAlign w:val="center"/>
          </w:tcPr>
          <w:p w14:paraId="6F7E65C6" w14:textId="13898FD2"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7456" behindDoc="1" locked="0" layoutInCell="1" allowOverlap="1" wp14:anchorId="2026AAB7" wp14:editId="26B11062">
                  <wp:simplePos x="0" y="0"/>
                  <wp:positionH relativeFrom="column">
                    <wp:posOffset>170815</wp:posOffset>
                  </wp:positionH>
                  <wp:positionV relativeFrom="paragraph">
                    <wp:posOffset>-85725</wp:posOffset>
                  </wp:positionV>
                  <wp:extent cx="749300" cy="449580"/>
                  <wp:effectExtent l="0" t="0" r="0" b="7620"/>
                  <wp:wrapNone/>
                  <wp:docPr id="1909458650" name="Imagen 50" descr="Suramericana - Seguros Coogranada | Red Coogr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Suramericana - Seguros Coogranada | Red Coogranada"/>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49300" cy="44958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1DC16145" w14:textId="77777777" w:rsidTr="000B315C">
        <w:trPr>
          <w:trHeight w:val="960"/>
        </w:trPr>
        <w:tc>
          <w:tcPr>
            <w:tcW w:w="1887" w:type="pct"/>
            <w:vAlign w:val="center"/>
            <w:hideMark/>
          </w:tcPr>
          <w:p w14:paraId="02732F5A"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SBS</w:t>
            </w:r>
            <w:proofErr w:type="spellEnd"/>
            <w:r w:rsidRPr="00FB351A">
              <w:rPr>
                <w:rFonts w:ascii="Arial" w:hAnsi="Arial" w:cs="Arial"/>
                <w:sz w:val="20"/>
                <w:szCs w:val="20"/>
              </w:rPr>
              <w:t xml:space="preserve"> SEGUROS COLOMBIA S.A., pero podrá usar las siglas </w:t>
            </w:r>
            <w:proofErr w:type="spellStart"/>
            <w:r w:rsidRPr="00FB351A">
              <w:rPr>
                <w:rFonts w:ascii="Arial" w:hAnsi="Arial" w:cs="Arial"/>
                <w:sz w:val="20"/>
                <w:szCs w:val="20"/>
              </w:rPr>
              <w:t>SBS</w:t>
            </w:r>
            <w:proofErr w:type="spellEnd"/>
            <w:r w:rsidRPr="00FB351A">
              <w:rPr>
                <w:rFonts w:ascii="Arial" w:hAnsi="Arial" w:cs="Arial"/>
                <w:sz w:val="20"/>
                <w:szCs w:val="20"/>
              </w:rPr>
              <w:t xml:space="preserve"> SEGUROS o </w:t>
            </w:r>
            <w:proofErr w:type="spellStart"/>
            <w:r w:rsidRPr="00FB351A">
              <w:rPr>
                <w:rFonts w:ascii="Arial" w:hAnsi="Arial" w:cs="Arial"/>
                <w:sz w:val="20"/>
                <w:szCs w:val="20"/>
              </w:rPr>
              <w:t>SBS</w:t>
            </w:r>
            <w:proofErr w:type="spellEnd"/>
            <w:r w:rsidRPr="00FB351A">
              <w:rPr>
                <w:rFonts w:ascii="Arial" w:hAnsi="Arial" w:cs="Arial"/>
                <w:sz w:val="20"/>
                <w:szCs w:val="20"/>
              </w:rPr>
              <w:t xml:space="preserve"> COLOMBIA o </w:t>
            </w:r>
            <w:proofErr w:type="spellStart"/>
            <w:r w:rsidRPr="00FB351A">
              <w:rPr>
                <w:rFonts w:ascii="Arial" w:hAnsi="Arial" w:cs="Arial"/>
                <w:sz w:val="20"/>
                <w:szCs w:val="20"/>
              </w:rPr>
              <w:t>SBSEGUROS</w:t>
            </w:r>
            <w:proofErr w:type="spellEnd"/>
          </w:p>
        </w:tc>
        <w:tc>
          <w:tcPr>
            <w:tcW w:w="948" w:type="pct"/>
            <w:vAlign w:val="center"/>
            <w:hideMark/>
          </w:tcPr>
          <w:p w14:paraId="17EC308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860037707-9</w:t>
            </w:r>
          </w:p>
        </w:tc>
        <w:tc>
          <w:tcPr>
            <w:tcW w:w="829" w:type="pct"/>
            <w:vAlign w:val="center"/>
            <w:hideMark/>
          </w:tcPr>
          <w:p w14:paraId="5B0E00DC"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4343DEA6" w14:textId="797DC861"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8480" behindDoc="1" locked="0" layoutInCell="1" allowOverlap="1" wp14:anchorId="06700015" wp14:editId="7DBF15B7">
                  <wp:simplePos x="0" y="0"/>
                  <wp:positionH relativeFrom="column">
                    <wp:posOffset>137160</wp:posOffset>
                  </wp:positionH>
                  <wp:positionV relativeFrom="paragraph">
                    <wp:posOffset>84455</wp:posOffset>
                  </wp:positionV>
                  <wp:extent cx="763905" cy="300355"/>
                  <wp:effectExtent l="0" t="0" r="0" b="4445"/>
                  <wp:wrapNone/>
                  <wp:docPr id="791797254" name="Imagen 49" descr="Trabajando en SBS Seguros Colombia S.A. | Great Place To Work®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Trabajando en SBS Seguros Colombia S.A. | Great Place To Work® Colombia"/>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63905" cy="30035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68210EDA" w14:textId="77777777" w:rsidTr="000B315C">
        <w:trPr>
          <w:trHeight w:val="900"/>
        </w:trPr>
        <w:tc>
          <w:tcPr>
            <w:tcW w:w="1887" w:type="pct"/>
            <w:vAlign w:val="center"/>
            <w:hideMark/>
          </w:tcPr>
          <w:p w14:paraId="1EBD5B2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La Previsora S.A. Compañía de Seguros, y podrá usar la sigla "LA PREVISORA S.A."</w:t>
            </w:r>
          </w:p>
        </w:tc>
        <w:tc>
          <w:tcPr>
            <w:tcW w:w="948" w:type="pct"/>
            <w:vAlign w:val="center"/>
            <w:hideMark/>
          </w:tcPr>
          <w:p w14:paraId="615F8F48"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860002400-2</w:t>
            </w:r>
          </w:p>
        </w:tc>
        <w:tc>
          <w:tcPr>
            <w:tcW w:w="829" w:type="pct"/>
            <w:vAlign w:val="center"/>
            <w:hideMark/>
          </w:tcPr>
          <w:p w14:paraId="2A08B75E"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2B6F4E71" w14:textId="4B06A5D1"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69504" behindDoc="1" locked="0" layoutInCell="1" allowOverlap="1" wp14:anchorId="11BFD1B1" wp14:editId="50C702B1">
                  <wp:simplePos x="0" y="0"/>
                  <wp:positionH relativeFrom="column">
                    <wp:posOffset>21590</wp:posOffset>
                  </wp:positionH>
                  <wp:positionV relativeFrom="paragraph">
                    <wp:posOffset>70485</wp:posOffset>
                  </wp:positionV>
                  <wp:extent cx="868680" cy="426720"/>
                  <wp:effectExtent l="0" t="0" r="7620" b="0"/>
                  <wp:wrapNone/>
                  <wp:docPr id="1194864360" name="Imagen 48" descr="Quienes somos en Previsora compañía de seguros Colombia - La Previsora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Quienes somos en Previsora compañía de seguros Colombia - La Previsora SA"/>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68680" cy="42672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7431101A" w14:textId="77777777" w:rsidTr="000B315C">
        <w:trPr>
          <w:trHeight w:val="1095"/>
        </w:trPr>
        <w:tc>
          <w:tcPr>
            <w:tcW w:w="1887" w:type="pct"/>
            <w:vAlign w:val="center"/>
            <w:hideMark/>
          </w:tcPr>
          <w:p w14:paraId="5743BE2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Seguros Alfa S.A.</w:t>
            </w:r>
          </w:p>
        </w:tc>
        <w:tc>
          <w:tcPr>
            <w:tcW w:w="948" w:type="pct"/>
            <w:vAlign w:val="center"/>
            <w:hideMark/>
          </w:tcPr>
          <w:p w14:paraId="5CE39D4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860031979-8</w:t>
            </w:r>
          </w:p>
        </w:tc>
        <w:tc>
          <w:tcPr>
            <w:tcW w:w="829" w:type="pct"/>
            <w:vAlign w:val="center"/>
            <w:hideMark/>
          </w:tcPr>
          <w:p w14:paraId="2315EAA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1AD839E0" w14:textId="37F5C33F"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0528" behindDoc="1" locked="0" layoutInCell="1" allowOverlap="1" wp14:anchorId="06DC1F4A" wp14:editId="14385950">
                  <wp:simplePos x="0" y="0"/>
                  <wp:positionH relativeFrom="column">
                    <wp:posOffset>55245</wp:posOffset>
                  </wp:positionH>
                  <wp:positionV relativeFrom="paragraph">
                    <wp:posOffset>15240</wp:posOffset>
                  </wp:positionV>
                  <wp:extent cx="876935" cy="381000"/>
                  <wp:effectExtent l="0" t="0" r="0" b="0"/>
                  <wp:wrapNone/>
                  <wp:docPr id="841310087" name="Imagen 47"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10087" name="Imagen 47" descr="Logotipo, nombre de la empresa&#10;&#10;El contenido generado por IA puede ser incorrecto."/>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876935" cy="38100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144B4B3E" w14:textId="77777777" w:rsidTr="000B315C">
        <w:trPr>
          <w:trHeight w:val="825"/>
        </w:trPr>
        <w:tc>
          <w:tcPr>
            <w:tcW w:w="1887" w:type="pct"/>
            <w:vAlign w:val="center"/>
            <w:hideMark/>
          </w:tcPr>
          <w:p w14:paraId="1943AB7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 xml:space="preserve">Mapfre Seguros Generales de Colombia S.A. </w:t>
            </w:r>
            <w:r w:rsidRPr="00FB351A">
              <w:rPr>
                <w:rFonts w:ascii="Arial" w:hAnsi="Arial" w:cs="Arial"/>
                <w:sz w:val="20"/>
                <w:szCs w:val="20"/>
              </w:rPr>
              <w:br/>
              <w:t>Sigla: MAPFRE SEGUROS</w:t>
            </w:r>
          </w:p>
        </w:tc>
        <w:tc>
          <w:tcPr>
            <w:tcW w:w="948" w:type="pct"/>
            <w:vAlign w:val="center"/>
            <w:hideMark/>
          </w:tcPr>
          <w:p w14:paraId="541584A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891700037-9</w:t>
            </w:r>
          </w:p>
        </w:tc>
        <w:tc>
          <w:tcPr>
            <w:tcW w:w="829" w:type="pct"/>
            <w:vAlign w:val="center"/>
            <w:hideMark/>
          </w:tcPr>
          <w:p w14:paraId="588E58F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67F74628" w14:textId="1C41AEF0"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1552" behindDoc="1" locked="0" layoutInCell="1" allowOverlap="1" wp14:anchorId="45A8FEE6" wp14:editId="34C56820">
                  <wp:simplePos x="0" y="0"/>
                  <wp:positionH relativeFrom="column">
                    <wp:posOffset>121920</wp:posOffset>
                  </wp:positionH>
                  <wp:positionV relativeFrom="paragraph">
                    <wp:posOffset>35560</wp:posOffset>
                  </wp:positionV>
                  <wp:extent cx="768985" cy="358775"/>
                  <wp:effectExtent l="0" t="0" r="0" b="3175"/>
                  <wp:wrapNone/>
                  <wp:docPr id="1442004861" name="Imagen 46" descr="mapfre-seguros-polizas - Multiseguros Lati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mapfre-seguros-polizas - Multiseguros Latino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68985" cy="35877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4442DBDF" w14:textId="77777777" w:rsidTr="000B315C">
        <w:trPr>
          <w:trHeight w:val="975"/>
        </w:trPr>
        <w:tc>
          <w:tcPr>
            <w:tcW w:w="1887" w:type="pct"/>
            <w:vAlign w:val="center"/>
            <w:hideMark/>
          </w:tcPr>
          <w:p w14:paraId="279253C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lastRenderedPageBreak/>
              <w:t>Seguros Comerciales Bolívar S.A.</w:t>
            </w:r>
          </w:p>
        </w:tc>
        <w:tc>
          <w:tcPr>
            <w:tcW w:w="948" w:type="pct"/>
            <w:vAlign w:val="center"/>
            <w:hideMark/>
          </w:tcPr>
          <w:p w14:paraId="33A4D35C"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860002180-7</w:t>
            </w:r>
          </w:p>
        </w:tc>
        <w:tc>
          <w:tcPr>
            <w:tcW w:w="829" w:type="pct"/>
            <w:vAlign w:val="center"/>
            <w:hideMark/>
          </w:tcPr>
          <w:p w14:paraId="554D30A2"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0D4FAA3F" w14:textId="64A358C6"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2576" behindDoc="1" locked="0" layoutInCell="1" allowOverlap="1" wp14:anchorId="7F478D0D" wp14:editId="2F679B81">
                  <wp:simplePos x="0" y="0"/>
                  <wp:positionH relativeFrom="column">
                    <wp:posOffset>121920</wp:posOffset>
                  </wp:positionH>
                  <wp:positionV relativeFrom="paragraph">
                    <wp:posOffset>45720</wp:posOffset>
                  </wp:positionV>
                  <wp:extent cx="784860" cy="412115"/>
                  <wp:effectExtent l="0" t="0" r="0" b="6985"/>
                  <wp:wrapNone/>
                  <wp:docPr id="665974049" name="Imagen 45" descr="Seguros de vida, vehículos, salud y hogar | Seguros Bolí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Seguros de vida, vehículos, salud y hogar | Seguros Bolíva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84860" cy="41211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48C0EE33" w14:textId="77777777" w:rsidTr="000B315C">
        <w:trPr>
          <w:trHeight w:val="699"/>
        </w:trPr>
        <w:tc>
          <w:tcPr>
            <w:tcW w:w="1887" w:type="pct"/>
            <w:vAlign w:val="center"/>
            <w:hideMark/>
          </w:tcPr>
          <w:p w14:paraId="53F9E19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Seguros del Estado S.A.</w:t>
            </w:r>
          </w:p>
        </w:tc>
        <w:tc>
          <w:tcPr>
            <w:tcW w:w="948" w:type="pct"/>
            <w:vAlign w:val="center"/>
            <w:hideMark/>
          </w:tcPr>
          <w:p w14:paraId="344F2C3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860009578-6</w:t>
            </w:r>
          </w:p>
        </w:tc>
        <w:tc>
          <w:tcPr>
            <w:tcW w:w="829" w:type="pct"/>
            <w:vAlign w:val="center"/>
            <w:hideMark/>
          </w:tcPr>
          <w:p w14:paraId="5C5F870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57CC03F7" w14:textId="7A6CE42B"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3600" behindDoc="1" locked="0" layoutInCell="1" allowOverlap="1" wp14:anchorId="76FB2135" wp14:editId="6EF7B1A9">
                  <wp:simplePos x="0" y="0"/>
                  <wp:positionH relativeFrom="column">
                    <wp:posOffset>152400</wp:posOffset>
                  </wp:positionH>
                  <wp:positionV relativeFrom="paragraph">
                    <wp:posOffset>90170</wp:posOffset>
                  </wp:positionV>
                  <wp:extent cx="734695" cy="401955"/>
                  <wp:effectExtent l="0" t="0" r="8255" b="0"/>
                  <wp:wrapNone/>
                  <wp:docPr id="1626774398" name="Imagen 44" descr="Seguros del Estado - Seguro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Seguros del Estado - Seguro Digital"/>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734695" cy="40195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2EE1611F" w14:textId="77777777" w:rsidTr="000B315C">
        <w:trPr>
          <w:trHeight w:val="1005"/>
        </w:trPr>
        <w:tc>
          <w:tcPr>
            <w:tcW w:w="1887" w:type="pct"/>
            <w:vAlign w:val="center"/>
            <w:hideMark/>
          </w:tcPr>
          <w:p w14:paraId="2C7F01B5"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Segurexpo</w:t>
            </w:r>
            <w:proofErr w:type="spellEnd"/>
            <w:r w:rsidRPr="00FB351A">
              <w:rPr>
                <w:rFonts w:ascii="Arial" w:hAnsi="Arial" w:cs="Arial"/>
                <w:sz w:val="20"/>
                <w:szCs w:val="20"/>
              </w:rPr>
              <w:t xml:space="preserve"> de Colombia S.A. Aseguradora de Crédito y del Comercio Exterior. Denominación simple de </w:t>
            </w:r>
            <w:proofErr w:type="spellStart"/>
            <w:r w:rsidRPr="00FB351A">
              <w:rPr>
                <w:rFonts w:ascii="Arial" w:hAnsi="Arial" w:cs="Arial"/>
                <w:sz w:val="20"/>
                <w:szCs w:val="20"/>
              </w:rPr>
              <w:t>SEGUREXPO</w:t>
            </w:r>
            <w:proofErr w:type="spellEnd"/>
          </w:p>
        </w:tc>
        <w:tc>
          <w:tcPr>
            <w:tcW w:w="948" w:type="pct"/>
            <w:vAlign w:val="center"/>
            <w:hideMark/>
          </w:tcPr>
          <w:p w14:paraId="1F7134C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860009195-9</w:t>
            </w:r>
          </w:p>
        </w:tc>
        <w:tc>
          <w:tcPr>
            <w:tcW w:w="829" w:type="pct"/>
            <w:vAlign w:val="center"/>
            <w:hideMark/>
          </w:tcPr>
          <w:p w14:paraId="5503713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001B3588" w14:textId="1613198A"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4624" behindDoc="1" locked="0" layoutInCell="1" allowOverlap="1" wp14:anchorId="1B35E744" wp14:editId="2ECD53C3">
                  <wp:simplePos x="0" y="0"/>
                  <wp:positionH relativeFrom="column">
                    <wp:posOffset>182880</wp:posOffset>
                  </wp:positionH>
                  <wp:positionV relativeFrom="paragraph">
                    <wp:posOffset>91440</wp:posOffset>
                  </wp:positionV>
                  <wp:extent cx="730885" cy="315595"/>
                  <wp:effectExtent l="0" t="0" r="0" b="8255"/>
                  <wp:wrapNone/>
                  <wp:docPr id="562516993" name="Imagen 43" descr="Segurexpo de Colombia S.A. Aseguradora de Crédito y del Comercio Ex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Segurexpo de Colombia S.A. Aseguradora de Crédito y del Comercio Exterio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30885" cy="31559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65CDCA20" w14:textId="77777777" w:rsidTr="000B315C">
        <w:trPr>
          <w:trHeight w:val="1200"/>
        </w:trPr>
        <w:tc>
          <w:tcPr>
            <w:tcW w:w="1887" w:type="pct"/>
            <w:shd w:val="clear" w:color="000000" w:fill="FFFFFF"/>
            <w:vAlign w:val="center"/>
            <w:hideMark/>
          </w:tcPr>
          <w:p w14:paraId="1757BD6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BBVA Seguros Colombia S.A. Pudiendo utilizar indistintamente, para todos los efectos legales, el nombre BBVA Seguros</w:t>
            </w:r>
          </w:p>
        </w:tc>
        <w:tc>
          <w:tcPr>
            <w:tcW w:w="948" w:type="pct"/>
            <w:vAlign w:val="center"/>
            <w:hideMark/>
          </w:tcPr>
          <w:p w14:paraId="1C08EF4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800226098-4</w:t>
            </w:r>
          </w:p>
        </w:tc>
        <w:tc>
          <w:tcPr>
            <w:tcW w:w="829" w:type="pct"/>
            <w:vAlign w:val="center"/>
            <w:hideMark/>
          </w:tcPr>
          <w:p w14:paraId="1DD15E9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0426F691" w14:textId="4478735E"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5648" behindDoc="1" locked="0" layoutInCell="1" allowOverlap="1" wp14:anchorId="7DF5DCAA" wp14:editId="473C4A35">
                  <wp:simplePos x="0" y="0"/>
                  <wp:positionH relativeFrom="column">
                    <wp:posOffset>190500</wp:posOffset>
                  </wp:positionH>
                  <wp:positionV relativeFrom="paragraph">
                    <wp:posOffset>-30480</wp:posOffset>
                  </wp:positionV>
                  <wp:extent cx="632460" cy="632460"/>
                  <wp:effectExtent l="0" t="0" r="0" b="0"/>
                  <wp:wrapNone/>
                  <wp:docPr id="2121637887" name="Imagen 42" descr="Eventos - Fasecol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Eventos - Fasecolda"/>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32460" cy="6324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45878AA3" w14:textId="77777777" w:rsidTr="000B315C">
        <w:trPr>
          <w:trHeight w:val="1035"/>
        </w:trPr>
        <w:tc>
          <w:tcPr>
            <w:tcW w:w="1887" w:type="pct"/>
            <w:vAlign w:val="center"/>
            <w:hideMark/>
          </w:tcPr>
          <w:p w14:paraId="22D02955"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SOLUNION COLOMBIA SEGUROS DE CRÉDITO S.A. Sigla: SOLUNION S.A.</w:t>
            </w:r>
          </w:p>
        </w:tc>
        <w:tc>
          <w:tcPr>
            <w:tcW w:w="948" w:type="pct"/>
            <w:vAlign w:val="center"/>
            <w:hideMark/>
          </w:tcPr>
          <w:p w14:paraId="26CE777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811019190-7</w:t>
            </w:r>
          </w:p>
        </w:tc>
        <w:tc>
          <w:tcPr>
            <w:tcW w:w="829" w:type="pct"/>
            <w:vAlign w:val="center"/>
            <w:hideMark/>
          </w:tcPr>
          <w:p w14:paraId="59C93AE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Medellín (Antioquia)</w:t>
            </w:r>
          </w:p>
        </w:tc>
        <w:tc>
          <w:tcPr>
            <w:tcW w:w="1337" w:type="pct"/>
            <w:vAlign w:val="center"/>
          </w:tcPr>
          <w:p w14:paraId="17E4F494" w14:textId="60BB0C60"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6672" behindDoc="1" locked="0" layoutInCell="1" allowOverlap="1" wp14:anchorId="5C1F521A" wp14:editId="53DFAEA8">
                  <wp:simplePos x="0" y="0"/>
                  <wp:positionH relativeFrom="column">
                    <wp:posOffset>114300</wp:posOffset>
                  </wp:positionH>
                  <wp:positionV relativeFrom="paragraph">
                    <wp:posOffset>-3810</wp:posOffset>
                  </wp:positionV>
                  <wp:extent cx="798195" cy="218440"/>
                  <wp:effectExtent l="0" t="0" r="1905" b="0"/>
                  <wp:wrapNone/>
                  <wp:docPr id="1197445372" name="Imagen 41" descr="Seguros de Crédito | Solunion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Seguros de Crédito | Solunion Colombia"/>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98195" cy="21844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AD9128E" w14:textId="77777777" w:rsidTr="000B315C">
        <w:trPr>
          <w:trHeight w:val="1035"/>
        </w:trPr>
        <w:tc>
          <w:tcPr>
            <w:tcW w:w="1887" w:type="pct"/>
            <w:vAlign w:val="center"/>
            <w:hideMark/>
          </w:tcPr>
          <w:p w14:paraId="7BDE63E1"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Cardif</w:t>
            </w:r>
            <w:proofErr w:type="spellEnd"/>
            <w:r w:rsidRPr="00FB351A">
              <w:rPr>
                <w:rFonts w:ascii="Arial" w:hAnsi="Arial" w:cs="Arial"/>
                <w:sz w:val="20"/>
                <w:szCs w:val="20"/>
              </w:rPr>
              <w:t xml:space="preserve"> Colombia Seguros Generales S.A.</w:t>
            </w:r>
          </w:p>
        </w:tc>
        <w:tc>
          <w:tcPr>
            <w:tcW w:w="948" w:type="pct"/>
            <w:vAlign w:val="center"/>
            <w:hideMark/>
          </w:tcPr>
          <w:p w14:paraId="1DAAB8A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900200435-3</w:t>
            </w:r>
          </w:p>
        </w:tc>
        <w:tc>
          <w:tcPr>
            <w:tcW w:w="829" w:type="pct"/>
            <w:vAlign w:val="center"/>
            <w:hideMark/>
          </w:tcPr>
          <w:p w14:paraId="397BD47C"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5E937AC0" w14:textId="492D6716" w:rsidR="00292E9C" w:rsidRPr="00FB351A" w:rsidRDefault="00292E9C" w:rsidP="00803115">
            <w:pPr>
              <w:jc w:val="both"/>
              <w:rPr>
                <w:rFonts w:ascii="Arial" w:hAnsi="Arial" w:cs="Arial"/>
                <w:sz w:val="20"/>
                <w:szCs w:val="20"/>
              </w:rPr>
            </w:pPr>
            <w:r w:rsidRPr="00FB351A">
              <w:rPr>
                <w:rFonts w:ascii="Arial" w:hAnsi="Arial" w:cs="Arial"/>
                <w:noProof/>
                <w:sz w:val="20"/>
                <w:szCs w:val="20"/>
              </w:rPr>
              <w:drawing>
                <wp:inline distT="0" distB="0" distL="0" distR="0" wp14:anchorId="032B11E3" wp14:editId="7B0A4400">
                  <wp:extent cx="641350" cy="178435"/>
                  <wp:effectExtent l="0" t="0" r="6350" b="0"/>
                  <wp:docPr id="407983846" name="Imagen 11" descr="Cardif México Seguros de V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ardif México Seguros de Vida"/>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41350" cy="178435"/>
                          </a:xfrm>
                          <a:prstGeom prst="rect">
                            <a:avLst/>
                          </a:prstGeom>
                          <a:noFill/>
                          <a:ln>
                            <a:noFill/>
                          </a:ln>
                        </pic:spPr>
                      </pic:pic>
                    </a:graphicData>
                  </a:graphic>
                </wp:inline>
              </w:drawing>
            </w:r>
          </w:p>
        </w:tc>
      </w:tr>
      <w:tr w:rsidR="00292E9C" w:rsidRPr="00FB351A" w14:paraId="450380B5" w14:textId="77777777" w:rsidTr="000B315C">
        <w:trPr>
          <w:trHeight w:val="1035"/>
        </w:trPr>
        <w:tc>
          <w:tcPr>
            <w:tcW w:w="1887" w:type="pct"/>
            <w:vAlign w:val="center"/>
            <w:hideMark/>
          </w:tcPr>
          <w:p w14:paraId="54A9C69F"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JMALUCELLITRAVELERS</w:t>
            </w:r>
            <w:proofErr w:type="spellEnd"/>
            <w:r w:rsidRPr="00FB351A">
              <w:rPr>
                <w:rFonts w:ascii="Arial" w:hAnsi="Arial" w:cs="Arial"/>
                <w:sz w:val="20"/>
                <w:szCs w:val="20"/>
              </w:rPr>
              <w:t xml:space="preserve"> SEGUROS S.A. (en adelante la "COMPAÑÍA ASEGURADORA" o la "Sociedad")  Sigla : </w:t>
            </w:r>
            <w:proofErr w:type="spellStart"/>
            <w:r w:rsidRPr="00FB351A">
              <w:rPr>
                <w:rFonts w:ascii="Arial" w:hAnsi="Arial" w:cs="Arial"/>
                <w:sz w:val="20"/>
                <w:szCs w:val="20"/>
              </w:rPr>
              <w:t>JMALUCELLITRAVELERS</w:t>
            </w:r>
            <w:proofErr w:type="spellEnd"/>
            <w:r w:rsidRPr="00FB351A">
              <w:rPr>
                <w:rFonts w:ascii="Arial" w:hAnsi="Arial" w:cs="Arial"/>
                <w:sz w:val="20"/>
                <w:szCs w:val="20"/>
              </w:rPr>
              <w:t xml:space="preserve"> SEGUROS S.A.</w:t>
            </w:r>
          </w:p>
        </w:tc>
        <w:tc>
          <w:tcPr>
            <w:tcW w:w="948" w:type="pct"/>
            <w:vAlign w:val="center"/>
            <w:hideMark/>
          </w:tcPr>
          <w:p w14:paraId="1035B75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900488151-3</w:t>
            </w:r>
          </w:p>
        </w:tc>
        <w:tc>
          <w:tcPr>
            <w:tcW w:w="829" w:type="pct"/>
            <w:vAlign w:val="center"/>
            <w:hideMark/>
          </w:tcPr>
          <w:p w14:paraId="77C6C4C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1F777656" w14:textId="2608E20B"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7696" behindDoc="1" locked="0" layoutInCell="1" allowOverlap="1" wp14:anchorId="389DA276" wp14:editId="24582D0D">
                  <wp:simplePos x="0" y="0"/>
                  <wp:positionH relativeFrom="column">
                    <wp:posOffset>251460</wp:posOffset>
                  </wp:positionH>
                  <wp:positionV relativeFrom="paragraph">
                    <wp:posOffset>-55245</wp:posOffset>
                  </wp:positionV>
                  <wp:extent cx="541020" cy="541020"/>
                  <wp:effectExtent l="0" t="0" r="0" b="0"/>
                  <wp:wrapNone/>
                  <wp:docPr id="1688847692" name="Imagen 40" descr="JMalucelli Travelers Seguros S.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JMalucelli Travelers Seguros S.A | LinkedIn"/>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1020" cy="54102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183FF462" w14:textId="77777777" w:rsidTr="000B315C">
        <w:trPr>
          <w:trHeight w:val="1035"/>
        </w:trPr>
        <w:tc>
          <w:tcPr>
            <w:tcW w:w="1887" w:type="pct"/>
            <w:vAlign w:val="center"/>
            <w:hideMark/>
          </w:tcPr>
          <w:p w14:paraId="326D73D3"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COFACE</w:t>
            </w:r>
            <w:proofErr w:type="spellEnd"/>
            <w:r w:rsidRPr="00FB351A">
              <w:rPr>
                <w:rFonts w:ascii="Arial" w:hAnsi="Arial" w:cs="Arial"/>
                <w:sz w:val="20"/>
                <w:szCs w:val="20"/>
              </w:rPr>
              <w:t xml:space="preserve"> COLOMBIA SEGUROS DE CRÉDITO S.A.  (en adelante: "COMPAÑÍA ASEGURADORA"</w:t>
            </w:r>
          </w:p>
        </w:tc>
        <w:tc>
          <w:tcPr>
            <w:tcW w:w="948" w:type="pct"/>
            <w:vAlign w:val="center"/>
            <w:hideMark/>
          </w:tcPr>
          <w:p w14:paraId="2C0137D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900679634-9</w:t>
            </w:r>
          </w:p>
        </w:tc>
        <w:tc>
          <w:tcPr>
            <w:tcW w:w="829" w:type="pct"/>
            <w:vAlign w:val="center"/>
            <w:hideMark/>
          </w:tcPr>
          <w:p w14:paraId="45C863A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33A33BF5" w14:textId="75D88596"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8720" behindDoc="1" locked="0" layoutInCell="1" allowOverlap="1" wp14:anchorId="126E5BBE" wp14:editId="746F889B">
                  <wp:simplePos x="0" y="0"/>
                  <wp:positionH relativeFrom="column">
                    <wp:posOffset>213360</wp:posOffset>
                  </wp:positionH>
                  <wp:positionV relativeFrom="paragraph">
                    <wp:posOffset>91440</wp:posOffset>
                  </wp:positionV>
                  <wp:extent cx="673735" cy="295910"/>
                  <wp:effectExtent l="0" t="0" r="0" b="8890"/>
                  <wp:wrapNone/>
                  <wp:docPr id="1982427663" name="Imagen 39" descr="Compañías autorizadas - Fasecol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Compañías autorizadas - Fasecolda"/>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73735" cy="29591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4830734A" w14:textId="77777777" w:rsidTr="000B315C">
        <w:trPr>
          <w:trHeight w:val="1035"/>
        </w:trPr>
        <w:tc>
          <w:tcPr>
            <w:tcW w:w="1887" w:type="pct"/>
            <w:vAlign w:val="center"/>
            <w:hideMark/>
          </w:tcPr>
          <w:p w14:paraId="688F06E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 xml:space="preserve">BERKLEY INTERNATIONAL SEGUROS COLOMBIA S.A.  Sigla "BERKLEY COLOMBIA </w:t>
            </w:r>
            <w:proofErr w:type="spellStart"/>
            <w:r w:rsidRPr="00FB351A">
              <w:rPr>
                <w:rFonts w:ascii="Arial" w:hAnsi="Arial" w:cs="Arial"/>
                <w:sz w:val="20"/>
                <w:szCs w:val="20"/>
              </w:rPr>
              <w:t>SEGUROAS</w:t>
            </w:r>
            <w:proofErr w:type="spellEnd"/>
            <w:r w:rsidRPr="00FB351A">
              <w:rPr>
                <w:rFonts w:ascii="Arial" w:hAnsi="Arial" w:cs="Arial"/>
                <w:sz w:val="20"/>
                <w:szCs w:val="20"/>
              </w:rPr>
              <w:t>", "BERKLEY SEGUROS" Y "BERKLEY"</w:t>
            </w:r>
          </w:p>
        </w:tc>
        <w:tc>
          <w:tcPr>
            <w:tcW w:w="948" w:type="pct"/>
            <w:vAlign w:val="center"/>
            <w:hideMark/>
          </w:tcPr>
          <w:p w14:paraId="52099C32"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900814916-1</w:t>
            </w:r>
          </w:p>
        </w:tc>
        <w:tc>
          <w:tcPr>
            <w:tcW w:w="829" w:type="pct"/>
            <w:vAlign w:val="center"/>
            <w:hideMark/>
          </w:tcPr>
          <w:p w14:paraId="55BA0BCB"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5D635E95" w14:textId="1C5E013A"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79744" behindDoc="1" locked="0" layoutInCell="1" allowOverlap="1" wp14:anchorId="2EC23774" wp14:editId="130FBD03">
                  <wp:simplePos x="0" y="0"/>
                  <wp:positionH relativeFrom="column">
                    <wp:posOffset>174625</wp:posOffset>
                  </wp:positionH>
                  <wp:positionV relativeFrom="paragraph">
                    <wp:posOffset>8890</wp:posOffset>
                  </wp:positionV>
                  <wp:extent cx="668655" cy="502920"/>
                  <wp:effectExtent l="0" t="0" r="0" b="0"/>
                  <wp:wrapNone/>
                  <wp:docPr id="44288604" name="Imagen 38" descr="Arango-bueno-Berkley-international-Seguros - Arango Bueno &amp; 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Arango-bueno-Berkley-international-Seguros - Arango Bueno &amp; Cia."/>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68655" cy="50292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714D107D" w14:textId="77777777" w:rsidTr="000B315C">
        <w:trPr>
          <w:trHeight w:val="1035"/>
        </w:trPr>
        <w:tc>
          <w:tcPr>
            <w:tcW w:w="1887" w:type="pct"/>
            <w:vAlign w:val="center"/>
            <w:hideMark/>
          </w:tcPr>
          <w:p w14:paraId="05C3ACB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COLMENA SEGUROS GENERALES S.A.</w:t>
            </w:r>
          </w:p>
        </w:tc>
        <w:tc>
          <w:tcPr>
            <w:tcW w:w="948" w:type="pct"/>
            <w:vAlign w:val="center"/>
            <w:hideMark/>
          </w:tcPr>
          <w:p w14:paraId="3EC578E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901521912-6</w:t>
            </w:r>
          </w:p>
        </w:tc>
        <w:tc>
          <w:tcPr>
            <w:tcW w:w="829" w:type="pct"/>
            <w:vAlign w:val="center"/>
            <w:hideMark/>
          </w:tcPr>
          <w:p w14:paraId="38BB943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0F314C69" w14:textId="46B9A3F9"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0768" behindDoc="1" locked="0" layoutInCell="1" allowOverlap="1" wp14:anchorId="6BD63627" wp14:editId="79A03B4C">
                  <wp:simplePos x="0" y="0"/>
                  <wp:positionH relativeFrom="column">
                    <wp:posOffset>173990</wp:posOffset>
                  </wp:positionH>
                  <wp:positionV relativeFrom="paragraph">
                    <wp:posOffset>40005</wp:posOffset>
                  </wp:positionV>
                  <wp:extent cx="579120" cy="579120"/>
                  <wp:effectExtent l="0" t="0" r="0" b="0"/>
                  <wp:wrapNone/>
                  <wp:docPr id="1595154928" name="Imagen 37" descr="Colmena Seguros (@colmenaseguros) • Instagram photos and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Colmena Seguros (@colmenaseguros) • Instagram photos and video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00938812" w14:textId="77777777" w:rsidTr="000B315C">
        <w:trPr>
          <w:trHeight w:val="915"/>
        </w:trPr>
        <w:tc>
          <w:tcPr>
            <w:tcW w:w="1887" w:type="pct"/>
            <w:vAlign w:val="center"/>
            <w:hideMark/>
          </w:tcPr>
          <w:p w14:paraId="347E7C0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lastRenderedPageBreak/>
              <w:t>EVEREST COMPAÑÍA DE SEGUROS GENERALES COLOMBIA S.A. ("la Sociedad")  y también podrá ser denominada bajo la sigla EVEREST SEGUROS COLOMBIA</w:t>
            </w:r>
          </w:p>
        </w:tc>
        <w:tc>
          <w:tcPr>
            <w:tcW w:w="948" w:type="pct"/>
            <w:vAlign w:val="center"/>
            <w:hideMark/>
          </w:tcPr>
          <w:p w14:paraId="7368F2AE"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901839751-3</w:t>
            </w:r>
          </w:p>
        </w:tc>
        <w:tc>
          <w:tcPr>
            <w:tcW w:w="829" w:type="pct"/>
            <w:vAlign w:val="center"/>
            <w:hideMark/>
          </w:tcPr>
          <w:p w14:paraId="1C32EAC2"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6864DD88" w14:textId="057F9E84"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1792" behindDoc="1" locked="0" layoutInCell="1" allowOverlap="1" wp14:anchorId="13E86E48" wp14:editId="2913DA08">
                  <wp:simplePos x="0" y="0"/>
                  <wp:positionH relativeFrom="column">
                    <wp:posOffset>190500</wp:posOffset>
                  </wp:positionH>
                  <wp:positionV relativeFrom="paragraph">
                    <wp:posOffset>78105</wp:posOffset>
                  </wp:positionV>
                  <wp:extent cx="673100" cy="376555"/>
                  <wp:effectExtent l="0" t="0" r="0" b="4445"/>
                  <wp:wrapNone/>
                  <wp:docPr id="1960232947" name="Imagen 36" descr="Everest, compañía de seguros, iniciará operaciones en Colombia: Estos son  los detal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Everest, compañía de seguros, iniciará operaciones en Colombia: Estos son  los detall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73100" cy="37655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715244D3" w14:textId="77777777" w:rsidTr="000B315C">
        <w:trPr>
          <w:trHeight w:val="750"/>
        </w:trPr>
        <w:tc>
          <w:tcPr>
            <w:tcW w:w="1887" w:type="pct"/>
            <w:vAlign w:val="center"/>
            <w:hideMark/>
          </w:tcPr>
          <w:p w14:paraId="36D7CFF7"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QUÁLITAS</w:t>
            </w:r>
            <w:proofErr w:type="spellEnd"/>
            <w:r w:rsidRPr="00FB351A">
              <w:rPr>
                <w:rFonts w:ascii="Arial" w:hAnsi="Arial" w:cs="Arial"/>
                <w:sz w:val="20"/>
                <w:szCs w:val="20"/>
              </w:rPr>
              <w:t xml:space="preserve"> COMPAÑÍA DE SEGUROS COLOMBIA S.A.</w:t>
            </w:r>
          </w:p>
        </w:tc>
        <w:tc>
          <w:tcPr>
            <w:tcW w:w="948" w:type="pct"/>
            <w:vAlign w:val="center"/>
            <w:hideMark/>
          </w:tcPr>
          <w:p w14:paraId="1051FDC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901849037-5</w:t>
            </w:r>
          </w:p>
        </w:tc>
        <w:tc>
          <w:tcPr>
            <w:tcW w:w="829" w:type="pct"/>
            <w:vAlign w:val="center"/>
            <w:hideMark/>
          </w:tcPr>
          <w:p w14:paraId="34810EA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337" w:type="pct"/>
            <w:vAlign w:val="center"/>
          </w:tcPr>
          <w:p w14:paraId="561B532A" w14:textId="44D3A247"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2816" behindDoc="1" locked="0" layoutInCell="1" allowOverlap="1" wp14:anchorId="56DB7A3A" wp14:editId="2D40C6B5">
                  <wp:simplePos x="0" y="0"/>
                  <wp:positionH relativeFrom="column">
                    <wp:posOffset>228600</wp:posOffset>
                  </wp:positionH>
                  <wp:positionV relativeFrom="paragraph">
                    <wp:posOffset>43815</wp:posOffset>
                  </wp:positionV>
                  <wp:extent cx="654050" cy="229235"/>
                  <wp:effectExtent l="0" t="0" r="0" b="0"/>
                  <wp:wrapNone/>
                  <wp:docPr id="417431693" name="Imagen 35" descr="Quálitas ofrece seguros especialmente diseñados para los autos que cruzan  la front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descr="Quálitas ofrece seguros especialmente diseñados para los autos que cruzan  la frontera"/>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54050" cy="229235"/>
                          </a:xfrm>
                          <a:prstGeom prst="rect">
                            <a:avLst/>
                          </a:prstGeom>
                          <a:noFill/>
                        </pic:spPr>
                      </pic:pic>
                    </a:graphicData>
                  </a:graphic>
                  <wp14:sizeRelH relativeFrom="page">
                    <wp14:pctWidth>0</wp14:pctWidth>
                  </wp14:sizeRelH>
                  <wp14:sizeRelV relativeFrom="page">
                    <wp14:pctHeight>0</wp14:pctHeight>
                  </wp14:sizeRelV>
                </wp:anchor>
              </w:drawing>
            </w:r>
          </w:p>
        </w:tc>
      </w:tr>
    </w:tbl>
    <w:p w14:paraId="7C27594C" w14:textId="2709829D" w:rsidR="00292E9C" w:rsidRPr="00FB351A" w:rsidRDefault="00292E9C" w:rsidP="00803115">
      <w:pPr>
        <w:pStyle w:val="Descripcin"/>
        <w:jc w:val="both"/>
        <w:rPr>
          <w:rFonts w:ascii="Arial" w:hAnsi="Arial" w:cs="Arial"/>
          <w:b w:val="0"/>
          <w:bCs w:val="0"/>
          <w:lang w:val="es-CO" w:eastAsia="es-CO"/>
        </w:rPr>
      </w:pPr>
      <w:r w:rsidRPr="00FB351A">
        <w:rPr>
          <w:rFonts w:ascii="Arial" w:hAnsi="Arial" w:cs="Arial"/>
          <w:b w:val="0"/>
          <w:bCs w:val="0"/>
        </w:rPr>
        <w:t xml:space="preserve">Cuadro Compañías de seguros generales. Elaborado por el intermediario de seguros de la entidad </w:t>
      </w:r>
    </w:p>
    <w:p w14:paraId="0C99A230" w14:textId="77777777" w:rsidR="00292E9C" w:rsidRPr="00FB351A" w:rsidRDefault="00292E9C" w:rsidP="00803115">
      <w:pPr>
        <w:jc w:val="both"/>
        <w:rPr>
          <w:rFonts w:ascii="Arial" w:hAnsi="Arial" w:cs="Arial"/>
          <w:sz w:val="20"/>
          <w:szCs w:val="20"/>
          <w:lang w:val="es-MX"/>
        </w:rPr>
      </w:pPr>
    </w:p>
    <w:p w14:paraId="7CEFBC5D" w14:textId="77777777" w:rsidR="00292E9C" w:rsidRPr="00FB351A" w:rsidRDefault="00292E9C" w:rsidP="00803115">
      <w:pPr>
        <w:jc w:val="both"/>
        <w:rPr>
          <w:rFonts w:ascii="Arial" w:hAnsi="Arial" w:cs="Arial"/>
          <w:b/>
          <w:bCs/>
          <w:sz w:val="20"/>
          <w:szCs w:val="20"/>
          <w:lang w:val="es-MX"/>
        </w:rPr>
      </w:pPr>
      <w:r w:rsidRPr="00FB351A">
        <w:rPr>
          <w:rFonts w:ascii="Arial" w:hAnsi="Arial" w:cs="Arial"/>
          <w:b/>
          <w:bCs/>
          <w:sz w:val="20"/>
          <w:szCs w:val="20"/>
          <w:lang w:val="es-MX"/>
        </w:rPr>
        <w:t>Compañías De Seguros De Vida (21) Supervigiladas Por La Superintendencia Financiera De Colombia</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027"/>
        <w:gridCol w:w="2324"/>
        <w:gridCol w:w="2135"/>
        <w:gridCol w:w="2133"/>
      </w:tblGrid>
      <w:tr w:rsidR="00292E9C" w:rsidRPr="00FB351A" w14:paraId="76C2B730" w14:textId="77777777" w:rsidTr="000B315C">
        <w:trPr>
          <w:trHeight w:val="736"/>
        </w:trPr>
        <w:tc>
          <w:tcPr>
            <w:tcW w:w="1573" w:type="pct"/>
            <w:shd w:val="clear" w:color="auto" w:fill="DAE9F7"/>
            <w:vAlign w:val="center"/>
            <w:hideMark/>
          </w:tcPr>
          <w:p w14:paraId="141A2D14" w14:textId="77777777" w:rsidR="00292E9C" w:rsidRPr="00FB351A" w:rsidRDefault="00292E9C" w:rsidP="00803115">
            <w:pPr>
              <w:jc w:val="both"/>
              <w:rPr>
                <w:rFonts w:ascii="Arial" w:hAnsi="Arial" w:cs="Arial"/>
                <w:b/>
                <w:bCs/>
                <w:sz w:val="20"/>
                <w:szCs w:val="20"/>
              </w:rPr>
            </w:pPr>
            <w:r w:rsidRPr="00FB351A">
              <w:rPr>
                <w:rFonts w:ascii="Arial" w:hAnsi="Arial" w:cs="Arial"/>
                <w:b/>
                <w:bCs/>
                <w:sz w:val="20"/>
                <w:szCs w:val="20"/>
              </w:rPr>
              <w:t>Denominación social de la Entidad</w:t>
            </w:r>
          </w:p>
        </w:tc>
        <w:tc>
          <w:tcPr>
            <w:tcW w:w="1208" w:type="pct"/>
            <w:shd w:val="clear" w:color="auto" w:fill="DAE9F7"/>
            <w:vAlign w:val="center"/>
            <w:hideMark/>
          </w:tcPr>
          <w:p w14:paraId="4B402451" w14:textId="77777777" w:rsidR="00292E9C" w:rsidRPr="00FB351A" w:rsidRDefault="00292E9C" w:rsidP="00803115">
            <w:pPr>
              <w:jc w:val="both"/>
              <w:rPr>
                <w:rFonts w:ascii="Arial" w:hAnsi="Arial" w:cs="Arial"/>
                <w:b/>
                <w:bCs/>
                <w:sz w:val="20"/>
                <w:szCs w:val="20"/>
              </w:rPr>
            </w:pPr>
            <w:proofErr w:type="spellStart"/>
            <w:r w:rsidRPr="00FB351A">
              <w:rPr>
                <w:rFonts w:ascii="Arial" w:hAnsi="Arial" w:cs="Arial"/>
                <w:b/>
                <w:bCs/>
                <w:sz w:val="20"/>
                <w:szCs w:val="20"/>
              </w:rPr>
              <w:t>NIT</w:t>
            </w:r>
            <w:proofErr w:type="spellEnd"/>
          </w:p>
        </w:tc>
        <w:tc>
          <w:tcPr>
            <w:tcW w:w="2219" w:type="pct"/>
            <w:gridSpan w:val="2"/>
            <w:shd w:val="clear" w:color="auto" w:fill="DAE9F7"/>
            <w:vAlign w:val="center"/>
            <w:hideMark/>
          </w:tcPr>
          <w:p w14:paraId="76BE1F46" w14:textId="77777777" w:rsidR="00292E9C" w:rsidRPr="00FB351A" w:rsidRDefault="00292E9C" w:rsidP="00803115">
            <w:pPr>
              <w:jc w:val="both"/>
              <w:rPr>
                <w:rFonts w:ascii="Arial" w:hAnsi="Arial" w:cs="Arial"/>
                <w:b/>
                <w:bCs/>
                <w:sz w:val="20"/>
                <w:szCs w:val="20"/>
              </w:rPr>
            </w:pPr>
            <w:r w:rsidRPr="00FB351A">
              <w:rPr>
                <w:rFonts w:ascii="Arial" w:hAnsi="Arial" w:cs="Arial"/>
                <w:b/>
                <w:bCs/>
                <w:sz w:val="20"/>
                <w:szCs w:val="20"/>
              </w:rPr>
              <w:t>Domicilio</w:t>
            </w:r>
          </w:p>
        </w:tc>
      </w:tr>
      <w:tr w:rsidR="00292E9C" w:rsidRPr="00FB351A" w14:paraId="4CD37C6A" w14:textId="77777777" w:rsidTr="000B315C">
        <w:trPr>
          <w:trHeight w:val="699"/>
        </w:trPr>
        <w:tc>
          <w:tcPr>
            <w:tcW w:w="1573" w:type="pct"/>
            <w:vAlign w:val="center"/>
            <w:hideMark/>
          </w:tcPr>
          <w:p w14:paraId="26FAA8E5"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Allianz Seguros de Vida S.A.</w:t>
            </w:r>
          </w:p>
        </w:tc>
        <w:tc>
          <w:tcPr>
            <w:tcW w:w="1208" w:type="pct"/>
            <w:vAlign w:val="center"/>
            <w:hideMark/>
          </w:tcPr>
          <w:p w14:paraId="792E27C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860027404-1</w:t>
            </w:r>
          </w:p>
        </w:tc>
        <w:tc>
          <w:tcPr>
            <w:tcW w:w="1110" w:type="pct"/>
            <w:vAlign w:val="center"/>
            <w:hideMark/>
          </w:tcPr>
          <w:p w14:paraId="7AB95EF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347D7A8F" w14:textId="202B310C"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3840" behindDoc="1" locked="0" layoutInCell="1" allowOverlap="1" wp14:anchorId="3CECD425" wp14:editId="047F9341">
                  <wp:simplePos x="0" y="0"/>
                  <wp:positionH relativeFrom="column">
                    <wp:posOffset>-635</wp:posOffset>
                  </wp:positionH>
                  <wp:positionV relativeFrom="paragraph">
                    <wp:posOffset>22860</wp:posOffset>
                  </wp:positionV>
                  <wp:extent cx="667385" cy="335280"/>
                  <wp:effectExtent l="0" t="0" r="0" b="7620"/>
                  <wp:wrapNone/>
                  <wp:docPr id="898054432" name="Imagen 34" descr="allianz.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allianz.co"/>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67385" cy="33528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6E739B0" w14:textId="77777777" w:rsidTr="000B315C">
        <w:trPr>
          <w:trHeight w:val="990"/>
        </w:trPr>
        <w:tc>
          <w:tcPr>
            <w:tcW w:w="1573" w:type="pct"/>
            <w:vAlign w:val="center"/>
            <w:hideMark/>
          </w:tcPr>
          <w:p w14:paraId="6858DEC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"AXA Colpatria  Seguros de Vida S.A." (en adelante la "Sociedad")</w:t>
            </w:r>
          </w:p>
        </w:tc>
        <w:tc>
          <w:tcPr>
            <w:tcW w:w="1208" w:type="pct"/>
            <w:vAlign w:val="center"/>
            <w:hideMark/>
          </w:tcPr>
          <w:p w14:paraId="3466495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860002183-9</w:t>
            </w:r>
          </w:p>
        </w:tc>
        <w:tc>
          <w:tcPr>
            <w:tcW w:w="1110" w:type="pct"/>
            <w:vAlign w:val="center"/>
            <w:hideMark/>
          </w:tcPr>
          <w:p w14:paraId="53183D0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63EB59F7" w14:textId="083D076B"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4864" behindDoc="1" locked="0" layoutInCell="1" allowOverlap="1" wp14:anchorId="64935772" wp14:editId="6CD362BB">
                  <wp:simplePos x="0" y="0"/>
                  <wp:positionH relativeFrom="column">
                    <wp:posOffset>26035</wp:posOffset>
                  </wp:positionH>
                  <wp:positionV relativeFrom="paragraph">
                    <wp:posOffset>107315</wp:posOffset>
                  </wp:positionV>
                  <wp:extent cx="640080" cy="350520"/>
                  <wp:effectExtent l="0" t="0" r="7620" b="0"/>
                  <wp:wrapNone/>
                  <wp:docPr id="1914362695" name="Imagen 33" descr="Axa-Colpatria - Seguro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Axa-Colpatria - Seguro Digital"/>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40080" cy="35052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69B7D247" w14:textId="77777777" w:rsidTr="000B315C">
        <w:trPr>
          <w:trHeight w:val="1368"/>
        </w:trPr>
        <w:tc>
          <w:tcPr>
            <w:tcW w:w="1573" w:type="pct"/>
            <w:vAlign w:val="center"/>
            <w:hideMark/>
          </w:tcPr>
          <w:p w14:paraId="7F9CF06C"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Compañía de Seguros Bolívar S.A.  Denominación "SEGUROS BOLÍVAR S.A.".</w:t>
            </w:r>
          </w:p>
        </w:tc>
        <w:tc>
          <w:tcPr>
            <w:tcW w:w="1208" w:type="pct"/>
            <w:vAlign w:val="center"/>
            <w:hideMark/>
          </w:tcPr>
          <w:p w14:paraId="42C0571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860002503-2</w:t>
            </w:r>
          </w:p>
        </w:tc>
        <w:tc>
          <w:tcPr>
            <w:tcW w:w="1110" w:type="pct"/>
            <w:vAlign w:val="center"/>
            <w:hideMark/>
          </w:tcPr>
          <w:p w14:paraId="67DB0BB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595D41F2" w14:textId="21B09570"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5888" behindDoc="1" locked="0" layoutInCell="1" allowOverlap="1" wp14:anchorId="038E9F9D" wp14:editId="6CF7786A">
                  <wp:simplePos x="0" y="0"/>
                  <wp:positionH relativeFrom="column">
                    <wp:posOffset>27940</wp:posOffset>
                  </wp:positionH>
                  <wp:positionV relativeFrom="paragraph">
                    <wp:posOffset>220980</wp:posOffset>
                  </wp:positionV>
                  <wp:extent cx="696595" cy="365760"/>
                  <wp:effectExtent l="0" t="0" r="8255" b="0"/>
                  <wp:wrapNone/>
                  <wp:docPr id="2098038884" name="Imagen 32" descr="Seguros de vida, vehículos, salud y hogar | Seguros Bolí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guros de vida, vehículos, salud y hogar | Seguros Bolíva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96595" cy="3657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6735A660" w14:textId="77777777" w:rsidTr="000B315C">
        <w:trPr>
          <w:trHeight w:val="1605"/>
        </w:trPr>
        <w:tc>
          <w:tcPr>
            <w:tcW w:w="1573" w:type="pct"/>
            <w:vAlign w:val="center"/>
            <w:hideMark/>
          </w:tcPr>
          <w:p w14:paraId="4C0AE72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Compañía de Seguros de Vida Aurora S.A.</w:t>
            </w:r>
          </w:p>
        </w:tc>
        <w:tc>
          <w:tcPr>
            <w:tcW w:w="1208" w:type="pct"/>
            <w:vAlign w:val="center"/>
            <w:hideMark/>
          </w:tcPr>
          <w:p w14:paraId="59538D1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860022137-5</w:t>
            </w:r>
          </w:p>
        </w:tc>
        <w:tc>
          <w:tcPr>
            <w:tcW w:w="1110" w:type="pct"/>
            <w:vAlign w:val="center"/>
            <w:hideMark/>
          </w:tcPr>
          <w:p w14:paraId="7558090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4D5F9721" w14:textId="475FDA52"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6912" behindDoc="1" locked="0" layoutInCell="1" allowOverlap="1" wp14:anchorId="118DEC6E" wp14:editId="45A84BA3">
                  <wp:simplePos x="0" y="0"/>
                  <wp:positionH relativeFrom="column">
                    <wp:posOffset>-50165</wp:posOffset>
                  </wp:positionH>
                  <wp:positionV relativeFrom="paragraph">
                    <wp:posOffset>443865</wp:posOffset>
                  </wp:positionV>
                  <wp:extent cx="760095" cy="160020"/>
                  <wp:effectExtent l="0" t="0" r="1905" b="0"/>
                  <wp:wrapNone/>
                  <wp:docPr id="420014792" name="Imagen 31" descr="Iniciar ses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niciar sesión"/>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60095" cy="16002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63D9155" w14:textId="77777777" w:rsidTr="000B315C">
        <w:trPr>
          <w:trHeight w:val="900"/>
        </w:trPr>
        <w:tc>
          <w:tcPr>
            <w:tcW w:w="1573" w:type="pct"/>
            <w:vAlign w:val="center"/>
            <w:hideMark/>
          </w:tcPr>
          <w:p w14:paraId="103CA577"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SKANDIA</w:t>
            </w:r>
            <w:proofErr w:type="spellEnd"/>
            <w:r w:rsidRPr="00FB351A">
              <w:rPr>
                <w:rFonts w:ascii="Arial" w:hAnsi="Arial" w:cs="Arial"/>
                <w:sz w:val="20"/>
                <w:szCs w:val="20"/>
              </w:rPr>
              <w:t xml:space="preserve"> COMPAÑÍA DE  SEGUROS DE VIDA S.A., pudiendo en el desarrollo de su objeto social utilizar la sigla </w:t>
            </w:r>
            <w:proofErr w:type="spellStart"/>
            <w:r w:rsidRPr="00FB351A">
              <w:rPr>
                <w:rFonts w:ascii="Arial" w:hAnsi="Arial" w:cs="Arial"/>
                <w:sz w:val="20"/>
                <w:szCs w:val="20"/>
              </w:rPr>
              <w:t>SKANDIA</w:t>
            </w:r>
            <w:proofErr w:type="spellEnd"/>
            <w:r w:rsidRPr="00FB351A">
              <w:rPr>
                <w:rFonts w:ascii="Arial" w:hAnsi="Arial" w:cs="Arial"/>
                <w:sz w:val="20"/>
                <w:szCs w:val="20"/>
              </w:rPr>
              <w:t xml:space="preserve"> SEGUROS DE VIDA S.A.</w:t>
            </w:r>
          </w:p>
        </w:tc>
        <w:tc>
          <w:tcPr>
            <w:tcW w:w="1208" w:type="pct"/>
            <w:vAlign w:val="center"/>
            <w:hideMark/>
          </w:tcPr>
          <w:p w14:paraId="01A491F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860002504-1</w:t>
            </w:r>
          </w:p>
        </w:tc>
        <w:tc>
          <w:tcPr>
            <w:tcW w:w="1110" w:type="pct"/>
            <w:vAlign w:val="center"/>
            <w:hideMark/>
          </w:tcPr>
          <w:p w14:paraId="21813C8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75FBC18F" w14:textId="64B78936"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7936" behindDoc="1" locked="0" layoutInCell="1" allowOverlap="1" wp14:anchorId="0CB3F9C0" wp14:editId="33BBC604">
                  <wp:simplePos x="0" y="0"/>
                  <wp:positionH relativeFrom="column">
                    <wp:posOffset>0</wp:posOffset>
                  </wp:positionH>
                  <wp:positionV relativeFrom="paragraph">
                    <wp:posOffset>189865</wp:posOffset>
                  </wp:positionV>
                  <wp:extent cx="690245" cy="191770"/>
                  <wp:effectExtent l="0" t="0" r="0" b="0"/>
                  <wp:wrapNone/>
                  <wp:docPr id="38913214" name="Imagen 30" descr="Seguros de Vida - Skandia Seguros de Vida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Seguros de Vida - Skandia Seguros de Vida S.A"/>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90245" cy="19177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3A4D6794" w14:textId="77777777" w:rsidTr="000B315C">
        <w:trPr>
          <w:trHeight w:val="1200"/>
        </w:trPr>
        <w:tc>
          <w:tcPr>
            <w:tcW w:w="1573" w:type="pct"/>
            <w:vAlign w:val="center"/>
            <w:hideMark/>
          </w:tcPr>
          <w:p w14:paraId="12FD4E3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Seguros de Vida Suramericana S.A. pudiendo emplear la sigla "Seguros de Vida SURA"</w:t>
            </w:r>
          </w:p>
        </w:tc>
        <w:tc>
          <w:tcPr>
            <w:tcW w:w="1208" w:type="pct"/>
            <w:vAlign w:val="center"/>
            <w:hideMark/>
          </w:tcPr>
          <w:p w14:paraId="1AAE296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890903790-5</w:t>
            </w:r>
          </w:p>
        </w:tc>
        <w:tc>
          <w:tcPr>
            <w:tcW w:w="1110" w:type="pct"/>
            <w:vAlign w:val="center"/>
            <w:hideMark/>
          </w:tcPr>
          <w:p w14:paraId="2677790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Medellín (Antioquia)</w:t>
            </w:r>
          </w:p>
        </w:tc>
        <w:tc>
          <w:tcPr>
            <w:tcW w:w="1109" w:type="pct"/>
          </w:tcPr>
          <w:p w14:paraId="506B2A95" w14:textId="762ED671"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8960" behindDoc="1" locked="0" layoutInCell="1" allowOverlap="1" wp14:anchorId="6F8100A8" wp14:editId="50F1F2AB">
                  <wp:simplePos x="0" y="0"/>
                  <wp:positionH relativeFrom="column">
                    <wp:posOffset>-25400</wp:posOffset>
                  </wp:positionH>
                  <wp:positionV relativeFrom="paragraph">
                    <wp:posOffset>107950</wp:posOffset>
                  </wp:positionV>
                  <wp:extent cx="749300" cy="449580"/>
                  <wp:effectExtent l="0" t="0" r="0" b="7620"/>
                  <wp:wrapNone/>
                  <wp:docPr id="652777408" name="Imagen 29" descr="Suramericana - Seguros Coogranada | Red Coogr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uramericana - Seguros Coogranada | Red Coogranada"/>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49300" cy="44958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1B197828" w14:textId="77777777" w:rsidTr="000B315C">
        <w:trPr>
          <w:trHeight w:val="699"/>
        </w:trPr>
        <w:tc>
          <w:tcPr>
            <w:tcW w:w="1573" w:type="pct"/>
            <w:vAlign w:val="center"/>
            <w:hideMark/>
          </w:tcPr>
          <w:p w14:paraId="468B5D40"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lastRenderedPageBreak/>
              <w:t>Metlife</w:t>
            </w:r>
            <w:proofErr w:type="spellEnd"/>
            <w:r w:rsidRPr="00FB351A">
              <w:rPr>
                <w:rFonts w:ascii="Arial" w:hAnsi="Arial" w:cs="Arial"/>
                <w:sz w:val="20"/>
                <w:szCs w:val="20"/>
              </w:rPr>
              <w:t xml:space="preserve"> Colombia Seguros de Vida S.A. Siglas: "METLIFE COLOMBIA S.A</w:t>
            </w:r>
          </w:p>
        </w:tc>
        <w:tc>
          <w:tcPr>
            <w:tcW w:w="1208" w:type="pct"/>
            <w:vAlign w:val="center"/>
            <w:hideMark/>
          </w:tcPr>
          <w:p w14:paraId="6B853AD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860002398-5</w:t>
            </w:r>
          </w:p>
        </w:tc>
        <w:tc>
          <w:tcPr>
            <w:tcW w:w="1110" w:type="pct"/>
            <w:vAlign w:val="center"/>
            <w:hideMark/>
          </w:tcPr>
          <w:p w14:paraId="712F14BB"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363B46D7" w14:textId="27E9D4A2"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89984" behindDoc="1" locked="0" layoutInCell="1" allowOverlap="1" wp14:anchorId="430318EE" wp14:editId="3AC7F6E9">
                  <wp:simplePos x="0" y="0"/>
                  <wp:positionH relativeFrom="column">
                    <wp:posOffset>-635</wp:posOffset>
                  </wp:positionH>
                  <wp:positionV relativeFrom="paragraph">
                    <wp:posOffset>-1905</wp:posOffset>
                  </wp:positionV>
                  <wp:extent cx="518160" cy="518160"/>
                  <wp:effectExtent l="0" t="0" r="0" b="0"/>
                  <wp:wrapNone/>
                  <wp:docPr id="238887269" name="Imagen 28" descr="MetLife Colombi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MetLife Colombia | LinkedIn"/>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18160" cy="5181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2CDDF1C6" w14:textId="77777777" w:rsidTr="000B315C">
        <w:trPr>
          <w:trHeight w:val="600"/>
        </w:trPr>
        <w:tc>
          <w:tcPr>
            <w:tcW w:w="1573" w:type="pct"/>
            <w:vAlign w:val="center"/>
            <w:hideMark/>
          </w:tcPr>
          <w:p w14:paraId="3B23460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Pan American Life de Colombia Compañía de Seguros S.A.</w:t>
            </w:r>
          </w:p>
        </w:tc>
        <w:tc>
          <w:tcPr>
            <w:tcW w:w="1208" w:type="pct"/>
            <w:vAlign w:val="center"/>
            <w:hideMark/>
          </w:tcPr>
          <w:p w14:paraId="5342A74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860038299-1</w:t>
            </w:r>
          </w:p>
        </w:tc>
        <w:tc>
          <w:tcPr>
            <w:tcW w:w="1110" w:type="pct"/>
            <w:vAlign w:val="center"/>
            <w:hideMark/>
          </w:tcPr>
          <w:p w14:paraId="3F17363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7888A2E4" w14:textId="32C8CDD0"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1008" behindDoc="1" locked="0" layoutInCell="1" allowOverlap="1" wp14:anchorId="68E02B84" wp14:editId="6D09E962">
                  <wp:simplePos x="0" y="0"/>
                  <wp:positionH relativeFrom="column">
                    <wp:posOffset>29845</wp:posOffset>
                  </wp:positionH>
                  <wp:positionV relativeFrom="paragraph">
                    <wp:posOffset>62865</wp:posOffset>
                  </wp:positionV>
                  <wp:extent cx="648970" cy="198120"/>
                  <wp:effectExtent l="0" t="0" r="0" b="0"/>
                  <wp:wrapNone/>
                  <wp:docPr id="177076743" name="Imagen 27" descr="Pan-American Life de Colombia - Compañía de Seguros,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Pan-American Life de Colombia - Compañía de Seguros, S.A."/>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648970" cy="19812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44A10132" w14:textId="77777777" w:rsidTr="000B315C">
        <w:trPr>
          <w:trHeight w:val="1452"/>
        </w:trPr>
        <w:tc>
          <w:tcPr>
            <w:tcW w:w="1573" w:type="pct"/>
            <w:vAlign w:val="center"/>
            <w:hideMark/>
          </w:tcPr>
          <w:p w14:paraId="599116F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 xml:space="preserve">Seguros de Vida Alfa S.A. </w:t>
            </w:r>
            <w:proofErr w:type="spellStart"/>
            <w:r w:rsidRPr="00FB351A">
              <w:rPr>
                <w:rFonts w:ascii="Arial" w:hAnsi="Arial" w:cs="Arial"/>
                <w:sz w:val="20"/>
                <w:szCs w:val="20"/>
              </w:rPr>
              <w:t>Vidalfa</w:t>
            </w:r>
            <w:proofErr w:type="spellEnd"/>
            <w:r w:rsidRPr="00FB351A">
              <w:rPr>
                <w:rFonts w:ascii="Arial" w:hAnsi="Arial" w:cs="Arial"/>
                <w:sz w:val="20"/>
                <w:szCs w:val="20"/>
              </w:rPr>
              <w:t xml:space="preserve"> S.A.</w:t>
            </w:r>
          </w:p>
        </w:tc>
        <w:tc>
          <w:tcPr>
            <w:tcW w:w="1208" w:type="pct"/>
            <w:vAlign w:val="center"/>
            <w:hideMark/>
          </w:tcPr>
          <w:p w14:paraId="2E2AD9F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860503617-3</w:t>
            </w:r>
          </w:p>
        </w:tc>
        <w:tc>
          <w:tcPr>
            <w:tcW w:w="1110" w:type="pct"/>
            <w:vAlign w:val="center"/>
            <w:hideMark/>
          </w:tcPr>
          <w:p w14:paraId="3CF9E46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59BD0CCD" w14:textId="0598F430"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2032" behindDoc="1" locked="0" layoutInCell="1" allowOverlap="1" wp14:anchorId="7AF2449C" wp14:editId="7322DA13">
                  <wp:simplePos x="0" y="0"/>
                  <wp:positionH relativeFrom="column">
                    <wp:posOffset>-38735</wp:posOffset>
                  </wp:positionH>
                  <wp:positionV relativeFrom="paragraph">
                    <wp:posOffset>354965</wp:posOffset>
                  </wp:positionV>
                  <wp:extent cx="754380" cy="175260"/>
                  <wp:effectExtent l="0" t="0" r="7620" b="0"/>
                  <wp:wrapNone/>
                  <wp:docPr id="540412631" name="Imagen 26"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12631" name="Imagen 26" descr="Imagen que contiene Texto&#10;&#10;El contenido generado por IA puede ser incorrecto."/>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54380" cy="1752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12AE7B41" w14:textId="77777777" w:rsidTr="000B315C">
        <w:trPr>
          <w:trHeight w:val="1095"/>
        </w:trPr>
        <w:tc>
          <w:tcPr>
            <w:tcW w:w="1573" w:type="pct"/>
            <w:vAlign w:val="center"/>
            <w:hideMark/>
          </w:tcPr>
          <w:p w14:paraId="6FB7A42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Seguros de Vida del Estado S.A.</w:t>
            </w:r>
          </w:p>
        </w:tc>
        <w:tc>
          <w:tcPr>
            <w:tcW w:w="1208" w:type="pct"/>
            <w:vAlign w:val="center"/>
            <w:hideMark/>
          </w:tcPr>
          <w:p w14:paraId="7320F62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860009174-4</w:t>
            </w:r>
          </w:p>
        </w:tc>
        <w:tc>
          <w:tcPr>
            <w:tcW w:w="1110" w:type="pct"/>
            <w:vAlign w:val="center"/>
            <w:hideMark/>
          </w:tcPr>
          <w:p w14:paraId="528F5655"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5FEFEEF1" w14:textId="20F5B1E4"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3056" behindDoc="1" locked="0" layoutInCell="1" allowOverlap="1" wp14:anchorId="3B3F16D3" wp14:editId="48D1D44F">
                  <wp:simplePos x="0" y="0"/>
                  <wp:positionH relativeFrom="column">
                    <wp:posOffset>-5715</wp:posOffset>
                  </wp:positionH>
                  <wp:positionV relativeFrom="paragraph">
                    <wp:posOffset>213995</wp:posOffset>
                  </wp:positionV>
                  <wp:extent cx="685800" cy="230505"/>
                  <wp:effectExtent l="0" t="0" r="0" b="0"/>
                  <wp:wrapNone/>
                  <wp:docPr id="1370447287" name="Imagen 25" descr="Seguros de Vida - AFG Seguros Lt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Seguros de Vida - AFG Seguros Ltda"/>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85800" cy="230505"/>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10B0446" w14:textId="77777777" w:rsidTr="000B315C">
        <w:trPr>
          <w:trHeight w:val="1020"/>
        </w:trPr>
        <w:tc>
          <w:tcPr>
            <w:tcW w:w="1573" w:type="pct"/>
            <w:vAlign w:val="center"/>
            <w:hideMark/>
          </w:tcPr>
          <w:p w14:paraId="4ABB2F13" w14:textId="0220B537" w:rsidR="00292E9C" w:rsidRPr="00FB351A" w:rsidRDefault="001C7129" w:rsidP="00803115">
            <w:pPr>
              <w:jc w:val="both"/>
              <w:rPr>
                <w:rFonts w:ascii="Arial" w:hAnsi="Arial" w:cs="Arial"/>
                <w:sz w:val="20"/>
                <w:szCs w:val="20"/>
              </w:rPr>
            </w:pPr>
            <w:r w:rsidRPr="00FB351A">
              <w:rPr>
                <w:rFonts w:ascii="Arial" w:hAnsi="Arial" w:cs="Arial"/>
                <w:sz w:val="20"/>
                <w:szCs w:val="20"/>
              </w:rPr>
              <w:t>Global Seguros</w:t>
            </w:r>
            <w:r w:rsidR="00292E9C" w:rsidRPr="00FB351A">
              <w:rPr>
                <w:rFonts w:ascii="Arial" w:hAnsi="Arial" w:cs="Arial"/>
                <w:sz w:val="20"/>
                <w:szCs w:val="20"/>
              </w:rPr>
              <w:t xml:space="preserve"> de Vida S.A. Sigla GLOBAL SEGUROS</w:t>
            </w:r>
          </w:p>
        </w:tc>
        <w:tc>
          <w:tcPr>
            <w:tcW w:w="1208" w:type="pct"/>
            <w:vAlign w:val="center"/>
            <w:hideMark/>
          </w:tcPr>
          <w:p w14:paraId="0A09CA2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860002182-1</w:t>
            </w:r>
          </w:p>
        </w:tc>
        <w:tc>
          <w:tcPr>
            <w:tcW w:w="1110" w:type="pct"/>
            <w:vAlign w:val="center"/>
            <w:hideMark/>
          </w:tcPr>
          <w:p w14:paraId="349D741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177A7C9B" w14:textId="605CA907"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4080" behindDoc="1" locked="0" layoutInCell="1" allowOverlap="1" wp14:anchorId="7E5B63C1" wp14:editId="30DDD219">
                  <wp:simplePos x="0" y="0"/>
                  <wp:positionH relativeFrom="column">
                    <wp:posOffset>29845</wp:posOffset>
                  </wp:positionH>
                  <wp:positionV relativeFrom="paragraph">
                    <wp:posOffset>76200</wp:posOffset>
                  </wp:positionV>
                  <wp:extent cx="623570" cy="518160"/>
                  <wp:effectExtent l="0" t="0" r="5080" b="0"/>
                  <wp:wrapNone/>
                  <wp:docPr id="1647653602" name="Imagen 24" descr="Global Seguros de Vida S.A | pasaportepil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Global Seguros de Vida S.A | pasaportepiloto"/>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623570" cy="5181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5B7F66FD" w14:textId="77777777" w:rsidTr="000B315C">
        <w:trPr>
          <w:trHeight w:val="960"/>
        </w:trPr>
        <w:tc>
          <w:tcPr>
            <w:tcW w:w="1573" w:type="pct"/>
            <w:vAlign w:val="center"/>
            <w:hideMark/>
          </w:tcPr>
          <w:p w14:paraId="2EAFD396" w14:textId="68287730" w:rsidR="00292E9C" w:rsidRPr="00FB351A" w:rsidRDefault="001C7129" w:rsidP="00803115">
            <w:pPr>
              <w:jc w:val="both"/>
              <w:rPr>
                <w:rFonts w:ascii="Arial" w:hAnsi="Arial" w:cs="Arial"/>
                <w:sz w:val="20"/>
                <w:szCs w:val="20"/>
              </w:rPr>
            </w:pPr>
            <w:r w:rsidRPr="00FB351A">
              <w:rPr>
                <w:rFonts w:ascii="Arial" w:hAnsi="Arial" w:cs="Arial"/>
                <w:sz w:val="20"/>
                <w:szCs w:val="20"/>
              </w:rPr>
              <w:t>Positiva Compañía</w:t>
            </w:r>
            <w:r w:rsidR="00292E9C" w:rsidRPr="00FB351A">
              <w:rPr>
                <w:rFonts w:ascii="Arial" w:hAnsi="Arial" w:cs="Arial"/>
                <w:sz w:val="20"/>
                <w:szCs w:val="20"/>
              </w:rPr>
              <w:t xml:space="preserve"> de Seguros S.A.</w:t>
            </w:r>
          </w:p>
        </w:tc>
        <w:tc>
          <w:tcPr>
            <w:tcW w:w="1208" w:type="pct"/>
            <w:vAlign w:val="center"/>
            <w:hideMark/>
          </w:tcPr>
          <w:p w14:paraId="2A54F962"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860011153-6</w:t>
            </w:r>
          </w:p>
        </w:tc>
        <w:tc>
          <w:tcPr>
            <w:tcW w:w="1110" w:type="pct"/>
            <w:vAlign w:val="center"/>
            <w:hideMark/>
          </w:tcPr>
          <w:p w14:paraId="18F000E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4A5FE274" w14:textId="744A0270"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5104" behindDoc="1" locked="0" layoutInCell="1" allowOverlap="1" wp14:anchorId="130EF1C8" wp14:editId="34E946B3">
                  <wp:simplePos x="0" y="0"/>
                  <wp:positionH relativeFrom="column">
                    <wp:posOffset>48260</wp:posOffset>
                  </wp:positionH>
                  <wp:positionV relativeFrom="paragraph">
                    <wp:posOffset>208280</wp:posOffset>
                  </wp:positionV>
                  <wp:extent cx="604520" cy="175260"/>
                  <wp:effectExtent l="0" t="0" r="5080" b="0"/>
                  <wp:wrapNone/>
                  <wp:docPr id="1922650760" name="Imagen 23" descr="Positiva Compañía de Seguros: Vida, ARL y NIT | Rank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descr="Positiva Compañía de Seguros: Vida, ARL y NIT | Rankia"/>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4520" cy="1752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73AA3623" w14:textId="77777777" w:rsidTr="000B315C">
        <w:trPr>
          <w:trHeight w:val="1599"/>
        </w:trPr>
        <w:tc>
          <w:tcPr>
            <w:tcW w:w="1573" w:type="pct"/>
            <w:vAlign w:val="bottom"/>
            <w:hideMark/>
          </w:tcPr>
          <w:p w14:paraId="419ED280" w14:textId="5DCF8A60" w:rsidR="00292E9C" w:rsidRPr="00FB351A" w:rsidRDefault="00292E9C" w:rsidP="00803115">
            <w:pPr>
              <w:jc w:val="both"/>
              <w:rPr>
                <w:rFonts w:ascii="Arial" w:hAnsi="Arial" w:cs="Arial"/>
                <w:sz w:val="20"/>
                <w:szCs w:val="20"/>
              </w:rPr>
            </w:pPr>
            <w:r w:rsidRPr="00FB351A">
              <w:rPr>
                <w:rFonts w:ascii="Arial" w:hAnsi="Arial" w:cs="Arial"/>
                <w:sz w:val="20"/>
                <w:szCs w:val="20"/>
              </w:rPr>
              <w:t xml:space="preserve">COLMENA SEGUROS RIESGOS LABORALES S.A., pudiendo actuar bajo las denominaciones </w:t>
            </w:r>
            <w:r w:rsidR="001C7129" w:rsidRPr="00FB351A">
              <w:rPr>
                <w:rFonts w:ascii="Arial" w:hAnsi="Arial" w:cs="Arial"/>
                <w:sz w:val="20"/>
                <w:szCs w:val="20"/>
              </w:rPr>
              <w:t>de “</w:t>
            </w:r>
            <w:r w:rsidRPr="00FB351A">
              <w:rPr>
                <w:rFonts w:ascii="Arial" w:hAnsi="Arial" w:cs="Arial"/>
                <w:sz w:val="20"/>
                <w:szCs w:val="20"/>
              </w:rPr>
              <w:t>RIESGOS LABORALES COLMENA S.A. COMPAÑÍA DE SEGUROS DE VIDA" y bajo las siguientes siglas "RIESGOS LABORALES COLMENA" o "ARL COLMENA" o "COLMENA RIESGOS LABORALES" o "COLMENA ARL"</w:t>
            </w:r>
          </w:p>
        </w:tc>
        <w:tc>
          <w:tcPr>
            <w:tcW w:w="1208" w:type="pct"/>
            <w:vAlign w:val="center"/>
            <w:hideMark/>
          </w:tcPr>
          <w:p w14:paraId="04FE4322"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800226175-3</w:t>
            </w:r>
          </w:p>
        </w:tc>
        <w:tc>
          <w:tcPr>
            <w:tcW w:w="1110" w:type="pct"/>
            <w:vAlign w:val="center"/>
            <w:hideMark/>
          </w:tcPr>
          <w:p w14:paraId="29621F88"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34607661" w14:textId="38340E24"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6128" behindDoc="1" locked="0" layoutInCell="1" allowOverlap="1" wp14:anchorId="3F5E3323" wp14:editId="0F39A0E3">
                  <wp:simplePos x="0" y="0"/>
                  <wp:positionH relativeFrom="column">
                    <wp:posOffset>3810</wp:posOffset>
                  </wp:positionH>
                  <wp:positionV relativeFrom="paragraph">
                    <wp:posOffset>721360</wp:posOffset>
                  </wp:positionV>
                  <wp:extent cx="675005" cy="245110"/>
                  <wp:effectExtent l="0" t="0" r="0" b="2540"/>
                  <wp:wrapNone/>
                  <wp:docPr id="1659143916" name="Imagen 22" descr="Colmena ARL | ​Colmena Seguros | Colmena Riesgos Laborales | Proveedores de  Servicios y Productos para Recursos Hum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descr="Colmena ARL | ​Colmena Seguros | Colmena Riesgos Laborales | Proveedores de  Servicios y Productos para Recursos Humano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75005" cy="24511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7F0ABC2D" w14:textId="77777777" w:rsidTr="000B315C">
        <w:trPr>
          <w:trHeight w:val="915"/>
        </w:trPr>
        <w:tc>
          <w:tcPr>
            <w:tcW w:w="1573" w:type="pct"/>
            <w:shd w:val="clear" w:color="000000" w:fill="FFFFFF"/>
            <w:vAlign w:val="center"/>
            <w:hideMark/>
          </w:tcPr>
          <w:p w14:paraId="63EBC0D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 xml:space="preserve">BBVA Seguros de Vida Colombia S.A. pudiendo utilizar indistintamente, para todos los efectos legales, el nombre BBVA Seguros de Vida </w:t>
            </w:r>
          </w:p>
        </w:tc>
        <w:tc>
          <w:tcPr>
            <w:tcW w:w="1208" w:type="pct"/>
            <w:vAlign w:val="center"/>
            <w:hideMark/>
          </w:tcPr>
          <w:p w14:paraId="6651058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800240882-0</w:t>
            </w:r>
          </w:p>
        </w:tc>
        <w:tc>
          <w:tcPr>
            <w:tcW w:w="1110" w:type="pct"/>
            <w:vAlign w:val="center"/>
            <w:hideMark/>
          </w:tcPr>
          <w:p w14:paraId="4D4E636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5347A827" w14:textId="26F19BCD"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7152" behindDoc="1" locked="0" layoutInCell="1" allowOverlap="1" wp14:anchorId="1BDCA95F" wp14:editId="77443888">
                  <wp:simplePos x="0" y="0"/>
                  <wp:positionH relativeFrom="column">
                    <wp:posOffset>37465</wp:posOffset>
                  </wp:positionH>
                  <wp:positionV relativeFrom="paragraph">
                    <wp:posOffset>21590</wp:posOffset>
                  </wp:positionV>
                  <wp:extent cx="640080" cy="640080"/>
                  <wp:effectExtent l="0" t="0" r="7620" b="7620"/>
                  <wp:wrapNone/>
                  <wp:docPr id="373500329" name="Imagen 21" descr="Eventos - Fasecol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descr="Eventos - Fasecolda"/>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0121856D" w14:textId="77777777" w:rsidTr="000B315C">
        <w:trPr>
          <w:trHeight w:val="1095"/>
        </w:trPr>
        <w:tc>
          <w:tcPr>
            <w:tcW w:w="1573" w:type="pct"/>
            <w:vAlign w:val="center"/>
            <w:hideMark/>
          </w:tcPr>
          <w:p w14:paraId="59E20CA6"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La Equidad Seguros de Vida Organismo Cooperativo, la cual podrá identificarse también con la denominación alternativa La Equidad Seguros de Vida-</w:t>
            </w:r>
          </w:p>
        </w:tc>
        <w:tc>
          <w:tcPr>
            <w:tcW w:w="1208" w:type="pct"/>
            <w:vAlign w:val="center"/>
            <w:hideMark/>
          </w:tcPr>
          <w:p w14:paraId="500C115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830008686-1</w:t>
            </w:r>
          </w:p>
        </w:tc>
        <w:tc>
          <w:tcPr>
            <w:tcW w:w="1110" w:type="pct"/>
            <w:vAlign w:val="center"/>
            <w:hideMark/>
          </w:tcPr>
          <w:p w14:paraId="7A02636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48ABC7EC" w14:textId="3D90C7B9"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8176" behindDoc="1" locked="0" layoutInCell="1" allowOverlap="1" wp14:anchorId="7B5A6B50" wp14:editId="52B9D0EC">
                  <wp:simplePos x="0" y="0"/>
                  <wp:positionH relativeFrom="column">
                    <wp:posOffset>-635</wp:posOffset>
                  </wp:positionH>
                  <wp:positionV relativeFrom="paragraph">
                    <wp:posOffset>215900</wp:posOffset>
                  </wp:positionV>
                  <wp:extent cx="648970" cy="389890"/>
                  <wp:effectExtent l="0" t="0" r="0" b="0"/>
                  <wp:wrapNone/>
                  <wp:docPr id="143976808" name="Imagen 20" descr="La Equidad Seguros - Seguros Coogranada | Red Coogr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La Equidad Seguros - Seguros Coogranada | Red Coogranada"/>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48970" cy="38989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1BFFD698" w14:textId="77777777" w:rsidTr="000B315C">
        <w:trPr>
          <w:trHeight w:val="1092"/>
        </w:trPr>
        <w:tc>
          <w:tcPr>
            <w:tcW w:w="1573" w:type="pct"/>
            <w:vAlign w:val="center"/>
            <w:hideMark/>
          </w:tcPr>
          <w:p w14:paraId="7E084E28"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lastRenderedPageBreak/>
              <w:t xml:space="preserve"> MAPFRE COLOMBIA VIDA SEGUROS S.A.</w:t>
            </w:r>
          </w:p>
        </w:tc>
        <w:tc>
          <w:tcPr>
            <w:tcW w:w="1208" w:type="pct"/>
            <w:vAlign w:val="center"/>
            <w:hideMark/>
          </w:tcPr>
          <w:p w14:paraId="1FAB5124"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830054904-6</w:t>
            </w:r>
          </w:p>
        </w:tc>
        <w:tc>
          <w:tcPr>
            <w:tcW w:w="1110" w:type="pct"/>
            <w:vAlign w:val="center"/>
            <w:hideMark/>
          </w:tcPr>
          <w:p w14:paraId="0A5493CB"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69B691AF" w14:textId="14649124"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699200" behindDoc="1" locked="0" layoutInCell="1" allowOverlap="1" wp14:anchorId="56D3D90B" wp14:editId="1FF2A59B">
                  <wp:simplePos x="0" y="0"/>
                  <wp:positionH relativeFrom="column">
                    <wp:posOffset>6985</wp:posOffset>
                  </wp:positionH>
                  <wp:positionV relativeFrom="paragraph">
                    <wp:posOffset>156845</wp:posOffset>
                  </wp:positionV>
                  <wp:extent cx="676275" cy="318770"/>
                  <wp:effectExtent l="0" t="0" r="9525" b="5080"/>
                  <wp:wrapNone/>
                  <wp:docPr id="1096979487" name="Imagen 19" descr="Jose Carpio nombrado nuevo CEO para MAPFRE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descr="Jose Carpio nombrado nuevo CEO para MAPFRE COLOMBIA"/>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76275" cy="31877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02B84B73" w14:textId="77777777" w:rsidTr="000B315C">
        <w:trPr>
          <w:trHeight w:val="1092"/>
        </w:trPr>
        <w:tc>
          <w:tcPr>
            <w:tcW w:w="1573" w:type="pct"/>
            <w:vAlign w:val="center"/>
            <w:hideMark/>
          </w:tcPr>
          <w:p w14:paraId="40D84DE6"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BMI</w:t>
            </w:r>
            <w:proofErr w:type="spellEnd"/>
            <w:r w:rsidRPr="00FB351A">
              <w:rPr>
                <w:rFonts w:ascii="Arial" w:hAnsi="Arial" w:cs="Arial"/>
                <w:sz w:val="20"/>
                <w:szCs w:val="20"/>
              </w:rPr>
              <w:t xml:space="preserve"> COLOMBIA COMPAÑÍA DE SEGUROS DE VIDA S.A. (en adelante la </w:t>
            </w:r>
            <w:proofErr w:type="spellStart"/>
            <w:r w:rsidRPr="00FB351A">
              <w:rPr>
                <w:rFonts w:ascii="Arial" w:hAnsi="Arial" w:cs="Arial"/>
                <w:sz w:val="20"/>
                <w:szCs w:val="20"/>
              </w:rPr>
              <w:t>BMI</w:t>
            </w:r>
            <w:proofErr w:type="spellEnd"/>
            <w:r w:rsidRPr="00FB351A">
              <w:rPr>
                <w:rFonts w:ascii="Arial" w:hAnsi="Arial" w:cs="Arial"/>
                <w:sz w:val="20"/>
                <w:szCs w:val="20"/>
              </w:rPr>
              <w:t xml:space="preserve"> COLOMBIA) y podrá utilizar la sigla de </w:t>
            </w:r>
            <w:proofErr w:type="spellStart"/>
            <w:r w:rsidRPr="00FB351A">
              <w:rPr>
                <w:rFonts w:ascii="Arial" w:hAnsi="Arial" w:cs="Arial"/>
                <w:sz w:val="20"/>
                <w:szCs w:val="20"/>
              </w:rPr>
              <w:t>BMI</w:t>
            </w:r>
            <w:proofErr w:type="spellEnd"/>
            <w:r w:rsidRPr="00FB351A">
              <w:rPr>
                <w:rFonts w:ascii="Arial" w:hAnsi="Arial" w:cs="Arial"/>
                <w:sz w:val="20"/>
                <w:szCs w:val="20"/>
              </w:rPr>
              <w:t xml:space="preserve"> COLOMBIA S.A.</w:t>
            </w:r>
          </w:p>
        </w:tc>
        <w:tc>
          <w:tcPr>
            <w:tcW w:w="1208" w:type="pct"/>
            <w:vAlign w:val="center"/>
            <w:hideMark/>
          </w:tcPr>
          <w:p w14:paraId="453151BD"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901061386-7</w:t>
            </w:r>
          </w:p>
        </w:tc>
        <w:tc>
          <w:tcPr>
            <w:tcW w:w="1110" w:type="pct"/>
            <w:vAlign w:val="center"/>
            <w:hideMark/>
          </w:tcPr>
          <w:p w14:paraId="101989B1"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3EC41076" w14:textId="788C8CF3"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700224" behindDoc="1" locked="0" layoutInCell="1" allowOverlap="1" wp14:anchorId="183A53F0" wp14:editId="62243B0D">
                  <wp:simplePos x="0" y="0"/>
                  <wp:positionH relativeFrom="column">
                    <wp:posOffset>17780</wp:posOffset>
                  </wp:positionH>
                  <wp:positionV relativeFrom="paragraph">
                    <wp:posOffset>273685</wp:posOffset>
                  </wp:positionV>
                  <wp:extent cx="659765" cy="396240"/>
                  <wp:effectExtent l="0" t="0" r="6985" b="3810"/>
                  <wp:wrapNone/>
                  <wp:docPr id="716173216" name="Imagen 18" descr="BMI Seguros Colombia - Uniandinos |Uniandi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BMI Seguros Colombia - Uniandinos |Uniandinos"/>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659765" cy="39624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21342475" w14:textId="77777777" w:rsidTr="000B315C">
        <w:trPr>
          <w:trHeight w:val="804"/>
        </w:trPr>
        <w:tc>
          <w:tcPr>
            <w:tcW w:w="1573" w:type="pct"/>
            <w:vAlign w:val="center"/>
            <w:hideMark/>
          </w:tcPr>
          <w:p w14:paraId="7333205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COMPAÑÍA DE SEGUROS COLSANITAS S.A.</w:t>
            </w:r>
          </w:p>
        </w:tc>
        <w:tc>
          <w:tcPr>
            <w:tcW w:w="1208" w:type="pct"/>
            <w:vAlign w:val="center"/>
            <w:hideMark/>
          </w:tcPr>
          <w:p w14:paraId="0B6B9D58"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901469580-2</w:t>
            </w:r>
          </w:p>
        </w:tc>
        <w:tc>
          <w:tcPr>
            <w:tcW w:w="1110" w:type="pct"/>
            <w:vAlign w:val="center"/>
            <w:hideMark/>
          </w:tcPr>
          <w:p w14:paraId="3A80025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5BE5FD52" w14:textId="28AECAD3"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701248" behindDoc="1" locked="0" layoutInCell="1" allowOverlap="1" wp14:anchorId="10B2E8F8" wp14:editId="5BA849CE">
                  <wp:simplePos x="0" y="0"/>
                  <wp:positionH relativeFrom="column">
                    <wp:posOffset>37465</wp:posOffset>
                  </wp:positionH>
                  <wp:positionV relativeFrom="paragraph">
                    <wp:posOffset>215265</wp:posOffset>
                  </wp:positionV>
                  <wp:extent cx="608965" cy="162560"/>
                  <wp:effectExtent l="0" t="0" r="635" b="8890"/>
                  <wp:wrapNone/>
                  <wp:docPr id="1476042387" name="Imagen 17" descr="Beneficio Seguro de Vida - Colsan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Beneficio Seguro de Vida - Colsanita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08965" cy="1625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3946FE4E" w14:textId="77777777" w:rsidTr="000B315C">
        <w:trPr>
          <w:trHeight w:val="804"/>
        </w:trPr>
        <w:tc>
          <w:tcPr>
            <w:tcW w:w="1573" w:type="pct"/>
            <w:vAlign w:val="center"/>
            <w:hideMark/>
          </w:tcPr>
          <w:p w14:paraId="68676508"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ASULADO</w:t>
            </w:r>
            <w:proofErr w:type="spellEnd"/>
            <w:r w:rsidRPr="00FB351A">
              <w:rPr>
                <w:rFonts w:ascii="Arial" w:hAnsi="Arial" w:cs="Arial"/>
                <w:sz w:val="20"/>
                <w:szCs w:val="20"/>
              </w:rPr>
              <w:t xml:space="preserve"> SEGUROS DE VIDA S.A.</w:t>
            </w:r>
          </w:p>
        </w:tc>
        <w:tc>
          <w:tcPr>
            <w:tcW w:w="1208" w:type="pct"/>
            <w:vAlign w:val="center"/>
            <w:hideMark/>
          </w:tcPr>
          <w:p w14:paraId="619BDD83"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901660669-6</w:t>
            </w:r>
          </w:p>
        </w:tc>
        <w:tc>
          <w:tcPr>
            <w:tcW w:w="1110" w:type="pct"/>
            <w:vAlign w:val="center"/>
            <w:hideMark/>
          </w:tcPr>
          <w:p w14:paraId="338DE33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Medellín (Antioquia)</w:t>
            </w:r>
          </w:p>
        </w:tc>
        <w:tc>
          <w:tcPr>
            <w:tcW w:w="1109" w:type="pct"/>
          </w:tcPr>
          <w:p w14:paraId="6552EC7A" w14:textId="284A0B9A"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702272" behindDoc="1" locked="0" layoutInCell="1" allowOverlap="1" wp14:anchorId="3AA03036" wp14:editId="1C3B416F">
                  <wp:simplePos x="0" y="0"/>
                  <wp:positionH relativeFrom="column">
                    <wp:posOffset>98425</wp:posOffset>
                  </wp:positionH>
                  <wp:positionV relativeFrom="paragraph">
                    <wp:posOffset>34925</wp:posOffset>
                  </wp:positionV>
                  <wp:extent cx="441960" cy="441960"/>
                  <wp:effectExtent l="0" t="0" r="0" b="0"/>
                  <wp:wrapNone/>
                  <wp:docPr id="307037057" name="Imagen 16" descr="Asulado Seguros de Vida S.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descr="Asulado Seguros de Vida S.A. | LinkedIn"/>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41960" cy="44196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07E98F7B" w14:textId="77777777" w:rsidTr="000B315C">
        <w:trPr>
          <w:trHeight w:val="930"/>
        </w:trPr>
        <w:tc>
          <w:tcPr>
            <w:tcW w:w="1573" w:type="pct"/>
            <w:vAlign w:val="center"/>
            <w:hideMark/>
          </w:tcPr>
          <w:p w14:paraId="7396C515" w14:textId="77777777" w:rsidR="00292E9C" w:rsidRPr="00FB351A" w:rsidRDefault="00292E9C" w:rsidP="00803115">
            <w:pPr>
              <w:jc w:val="both"/>
              <w:rPr>
                <w:rFonts w:ascii="Arial" w:hAnsi="Arial" w:cs="Arial"/>
                <w:sz w:val="20"/>
                <w:szCs w:val="20"/>
              </w:rPr>
            </w:pPr>
            <w:proofErr w:type="spellStart"/>
            <w:r w:rsidRPr="00FB351A">
              <w:rPr>
                <w:rFonts w:ascii="Arial" w:hAnsi="Arial" w:cs="Arial"/>
                <w:sz w:val="20"/>
                <w:szCs w:val="20"/>
              </w:rPr>
              <w:t>EKG</w:t>
            </w:r>
            <w:proofErr w:type="spellEnd"/>
            <w:r w:rsidRPr="00FB351A">
              <w:rPr>
                <w:rFonts w:ascii="Arial" w:hAnsi="Arial" w:cs="Arial"/>
                <w:sz w:val="20"/>
                <w:szCs w:val="20"/>
              </w:rPr>
              <w:t xml:space="preserve"> COMPAÑÍA DE SEGUROS DE VIDA S.A.</w:t>
            </w:r>
          </w:p>
        </w:tc>
        <w:tc>
          <w:tcPr>
            <w:tcW w:w="1208" w:type="pct"/>
            <w:vAlign w:val="center"/>
            <w:hideMark/>
          </w:tcPr>
          <w:p w14:paraId="7A13B328"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901716047-8</w:t>
            </w:r>
          </w:p>
        </w:tc>
        <w:tc>
          <w:tcPr>
            <w:tcW w:w="1110" w:type="pct"/>
            <w:vAlign w:val="center"/>
            <w:hideMark/>
          </w:tcPr>
          <w:p w14:paraId="60CD018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33C0D649" w14:textId="1037F89F"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703296" behindDoc="1" locked="0" layoutInCell="1" allowOverlap="1" wp14:anchorId="2E665159" wp14:editId="2BA10778">
                  <wp:simplePos x="0" y="0"/>
                  <wp:positionH relativeFrom="column">
                    <wp:posOffset>-635</wp:posOffset>
                  </wp:positionH>
                  <wp:positionV relativeFrom="paragraph">
                    <wp:posOffset>106045</wp:posOffset>
                  </wp:positionV>
                  <wp:extent cx="624840" cy="275590"/>
                  <wp:effectExtent l="0" t="0" r="3810" b="0"/>
                  <wp:wrapNone/>
                  <wp:docPr id="1760264929" name="Imagen 15" descr="Home | EKG SEGU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descr="Home | EKG SEGUROS"/>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24840" cy="27559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192D964B" w14:textId="77777777" w:rsidTr="000B315C">
        <w:trPr>
          <w:trHeight w:val="870"/>
        </w:trPr>
        <w:tc>
          <w:tcPr>
            <w:tcW w:w="1573" w:type="pct"/>
            <w:vAlign w:val="center"/>
            <w:hideMark/>
          </w:tcPr>
          <w:p w14:paraId="263216C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ANDINA COMPAÑÍA DE SEGUROS DE VIDA S.A. y también podrá ser denominada bajo la sigla ANDINA VIDA SEGUROS (la "Sociedad")</w:t>
            </w:r>
          </w:p>
        </w:tc>
        <w:tc>
          <w:tcPr>
            <w:tcW w:w="1208" w:type="pct"/>
            <w:vAlign w:val="center"/>
            <w:hideMark/>
          </w:tcPr>
          <w:p w14:paraId="6AA1D4B8"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901880351-3</w:t>
            </w:r>
          </w:p>
        </w:tc>
        <w:tc>
          <w:tcPr>
            <w:tcW w:w="1110" w:type="pct"/>
            <w:vAlign w:val="center"/>
            <w:hideMark/>
          </w:tcPr>
          <w:p w14:paraId="5D6A88A9"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109" w:type="pct"/>
          </w:tcPr>
          <w:p w14:paraId="5B0991DC" w14:textId="4A2911EE"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704320" behindDoc="1" locked="0" layoutInCell="1" allowOverlap="1" wp14:anchorId="264B92FC" wp14:editId="70A90A07">
                  <wp:simplePos x="0" y="0"/>
                  <wp:positionH relativeFrom="column">
                    <wp:posOffset>37465</wp:posOffset>
                  </wp:positionH>
                  <wp:positionV relativeFrom="paragraph">
                    <wp:posOffset>257175</wp:posOffset>
                  </wp:positionV>
                  <wp:extent cx="643890" cy="160655"/>
                  <wp:effectExtent l="0" t="0" r="3810" b="0"/>
                  <wp:wrapNone/>
                  <wp:docPr id="545028180" name="Imagen 14" descr="Tatiana Virguez Cartagena - Actuario Senior - Andina Compañia de Seguros de Vida  S.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descr="Tatiana Virguez Cartagena - Actuario Senior - Andina Compañia de Seguros de Vida  S.A. | LinkedIn"/>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643890" cy="160655"/>
                          </a:xfrm>
                          <a:prstGeom prst="rect">
                            <a:avLst/>
                          </a:prstGeom>
                          <a:noFill/>
                        </pic:spPr>
                      </pic:pic>
                    </a:graphicData>
                  </a:graphic>
                  <wp14:sizeRelH relativeFrom="page">
                    <wp14:pctWidth>0</wp14:pctWidth>
                  </wp14:sizeRelH>
                  <wp14:sizeRelV relativeFrom="page">
                    <wp14:pctHeight>0</wp14:pctHeight>
                  </wp14:sizeRelV>
                </wp:anchor>
              </w:drawing>
            </w:r>
          </w:p>
        </w:tc>
      </w:tr>
    </w:tbl>
    <w:p w14:paraId="04EB67E8" w14:textId="32E495C8" w:rsidR="00292E9C" w:rsidRPr="00FB351A" w:rsidRDefault="00292E9C" w:rsidP="00803115">
      <w:pPr>
        <w:pStyle w:val="Descripcin"/>
        <w:jc w:val="both"/>
        <w:rPr>
          <w:rFonts w:ascii="Arial" w:hAnsi="Arial" w:cs="Arial"/>
          <w:b w:val="0"/>
          <w:bCs w:val="0"/>
          <w:lang w:val="es-CO" w:eastAsia="es-CO"/>
        </w:rPr>
      </w:pPr>
      <w:r w:rsidRPr="00FB351A">
        <w:rPr>
          <w:rFonts w:ascii="Arial" w:hAnsi="Arial" w:cs="Arial"/>
          <w:b w:val="0"/>
          <w:bCs w:val="0"/>
        </w:rPr>
        <w:t xml:space="preserve">Cuadro Compañías de seguros de vida. Elaborado por el intermediario de seguros de la entidad </w:t>
      </w:r>
    </w:p>
    <w:p w14:paraId="55FDECA6" w14:textId="77777777" w:rsidR="00292E9C" w:rsidRPr="00FB351A" w:rsidRDefault="00292E9C" w:rsidP="00803115">
      <w:pPr>
        <w:jc w:val="both"/>
        <w:rPr>
          <w:rFonts w:ascii="Arial" w:hAnsi="Arial" w:cs="Arial"/>
          <w:sz w:val="20"/>
          <w:szCs w:val="20"/>
        </w:rPr>
      </w:pPr>
    </w:p>
    <w:p w14:paraId="096C6D15" w14:textId="77777777" w:rsidR="00292E9C" w:rsidRPr="00FB351A" w:rsidRDefault="00292E9C" w:rsidP="00803115">
      <w:pPr>
        <w:jc w:val="both"/>
        <w:rPr>
          <w:rFonts w:ascii="Arial" w:hAnsi="Arial" w:cs="Arial"/>
          <w:b/>
          <w:bCs/>
          <w:sz w:val="20"/>
          <w:szCs w:val="20"/>
          <w:lang w:val="es-MX"/>
        </w:rPr>
      </w:pPr>
      <w:r w:rsidRPr="00FB351A">
        <w:rPr>
          <w:rFonts w:ascii="Arial" w:hAnsi="Arial" w:cs="Arial"/>
          <w:b/>
          <w:bCs/>
          <w:sz w:val="20"/>
          <w:szCs w:val="20"/>
          <w:lang w:val="es-MX"/>
        </w:rPr>
        <w:t>Sociedades Cooperativas De Seguros (2) Supervigiladas Por La Superintendencia Financiera De Colombia</w:t>
      </w:r>
    </w:p>
    <w:p w14:paraId="1FA16AC4" w14:textId="77777777" w:rsidR="00292E9C" w:rsidRPr="00FB351A" w:rsidRDefault="00292E9C" w:rsidP="00803115">
      <w:pPr>
        <w:jc w:val="both"/>
        <w:rPr>
          <w:rFonts w:ascii="Arial" w:hAnsi="Arial" w:cs="Arial"/>
          <w:sz w:val="20"/>
          <w:szCs w:val="20"/>
          <w:lang w:val="es-MX"/>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182"/>
        <w:gridCol w:w="2355"/>
        <w:gridCol w:w="2043"/>
        <w:gridCol w:w="2039"/>
      </w:tblGrid>
      <w:tr w:rsidR="00292E9C" w:rsidRPr="00FB351A" w14:paraId="3758E194" w14:textId="77777777" w:rsidTr="000B315C">
        <w:trPr>
          <w:trHeight w:val="736"/>
        </w:trPr>
        <w:tc>
          <w:tcPr>
            <w:tcW w:w="1654" w:type="pct"/>
            <w:shd w:val="clear" w:color="auto" w:fill="DAE9F7"/>
            <w:vAlign w:val="center"/>
            <w:hideMark/>
          </w:tcPr>
          <w:p w14:paraId="0E899428" w14:textId="77777777" w:rsidR="00292E9C" w:rsidRPr="00FB351A" w:rsidRDefault="00292E9C" w:rsidP="00803115">
            <w:pPr>
              <w:jc w:val="both"/>
              <w:rPr>
                <w:rFonts w:ascii="Arial" w:hAnsi="Arial" w:cs="Arial"/>
                <w:b/>
                <w:bCs/>
                <w:sz w:val="20"/>
                <w:szCs w:val="20"/>
              </w:rPr>
            </w:pPr>
            <w:r w:rsidRPr="00FB351A">
              <w:rPr>
                <w:rFonts w:ascii="Arial" w:hAnsi="Arial" w:cs="Arial"/>
                <w:b/>
                <w:bCs/>
                <w:sz w:val="20"/>
                <w:szCs w:val="20"/>
              </w:rPr>
              <w:t>Denominación social de la Entidad</w:t>
            </w:r>
          </w:p>
        </w:tc>
        <w:tc>
          <w:tcPr>
            <w:tcW w:w="1224" w:type="pct"/>
            <w:shd w:val="clear" w:color="auto" w:fill="DAE9F7"/>
            <w:vAlign w:val="center"/>
            <w:hideMark/>
          </w:tcPr>
          <w:p w14:paraId="4F0589CA" w14:textId="77777777" w:rsidR="00292E9C" w:rsidRPr="00FB351A" w:rsidRDefault="00292E9C" w:rsidP="00803115">
            <w:pPr>
              <w:jc w:val="both"/>
              <w:rPr>
                <w:rFonts w:ascii="Arial" w:hAnsi="Arial" w:cs="Arial"/>
                <w:b/>
                <w:bCs/>
                <w:sz w:val="20"/>
                <w:szCs w:val="20"/>
              </w:rPr>
            </w:pPr>
            <w:proofErr w:type="spellStart"/>
            <w:r w:rsidRPr="00FB351A">
              <w:rPr>
                <w:rFonts w:ascii="Arial" w:hAnsi="Arial" w:cs="Arial"/>
                <w:b/>
                <w:bCs/>
                <w:sz w:val="20"/>
                <w:szCs w:val="20"/>
              </w:rPr>
              <w:t>NIT</w:t>
            </w:r>
            <w:proofErr w:type="spellEnd"/>
          </w:p>
        </w:tc>
        <w:tc>
          <w:tcPr>
            <w:tcW w:w="2122" w:type="pct"/>
            <w:gridSpan w:val="2"/>
            <w:shd w:val="clear" w:color="auto" w:fill="DAE9F7"/>
            <w:vAlign w:val="center"/>
            <w:hideMark/>
          </w:tcPr>
          <w:p w14:paraId="2283DA42" w14:textId="77777777" w:rsidR="00292E9C" w:rsidRPr="00FB351A" w:rsidRDefault="00292E9C" w:rsidP="00803115">
            <w:pPr>
              <w:jc w:val="both"/>
              <w:rPr>
                <w:rFonts w:ascii="Arial" w:hAnsi="Arial" w:cs="Arial"/>
                <w:b/>
                <w:bCs/>
                <w:sz w:val="20"/>
                <w:szCs w:val="20"/>
              </w:rPr>
            </w:pPr>
            <w:r w:rsidRPr="00FB351A">
              <w:rPr>
                <w:rFonts w:ascii="Arial" w:hAnsi="Arial" w:cs="Arial"/>
                <w:b/>
                <w:bCs/>
                <w:sz w:val="20"/>
                <w:szCs w:val="20"/>
              </w:rPr>
              <w:t>Domicilio</w:t>
            </w:r>
          </w:p>
        </w:tc>
      </w:tr>
      <w:tr w:rsidR="00292E9C" w:rsidRPr="00FB351A" w14:paraId="3FF7CD45" w14:textId="77777777" w:rsidTr="000B315C">
        <w:trPr>
          <w:trHeight w:val="1092"/>
        </w:trPr>
        <w:tc>
          <w:tcPr>
            <w:tcW w:w="1654" w:type="pct"/>
            <w:vAlign w:val="center"/>
            <w:hideMark/>
          </w:tcPr>
          <w:p w14:paraId="67D2CF2B"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LA EQUIDAD SEGUROS GENERALES ORGANISMO COOPERATIVO, la cual podrá identificarse también con la denominación alternativa "LA EQUIDAD GENERALES"</w:t>
            </w:r>
          </w:p>
        </w:tc>
        <w:tc>
          <w:tcPr>
            <w:tcW w:w="1224" w:type="pct"/>
            <w:vAlign w:val="center"/>
            <w:hideMark/>
          </w:tcPr>
          <w:p w14:paraId="1D628DBF"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860028415-5</w:t>
            </w:r>
          </w:p>
        </w:tc>
        <w:tc>
          <w:tcPr>
            <w:tcW w:w="1062" w:type="pct"/>
            <w:vAlign w:val="center"/>
            <w:hideMark/>
          </w:tcPr>
          <w:p w14:paraId="68E4AC28"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060" w:type="pct"/>
          </w:tcPr>
          <w:p w14:paraId="27AD5738" w14:textId="6D491B98"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705344" behindDoc="1" locked="0" layoutInCell="1" allowOverlap="1" wp14:anchorId="3C52843F" wp14:editId="2A6C5199">
                  <wp:simplePos x="0" y="0"/>
                  <wp:positionH relativeFrom="column">
                    <wp:posOffset>13970</wp:posOffset>
                  </wp:positionH>
                  <wp:positionV relativeFrom="paragraph">
                    <wp:posOffset>132715</wp:posOffset>
                  </wp:positionV>
                  <wp:extent cx="634365" cy="381000"/>
                  <wp:effectExtent l="0" t="0" r="0" b="0"/>
                  <wp:wrapNone/>
                  <wp:docPr id="637042902" name="Imagen 13" descr="La Equidad Seguros - Seguros Coogranada | Red Coogr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a Equidad Seguros - Seguros Coogranada | Red Coogranada"/>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634365" cy="381000"/>
                          </a:xfrm>
                          <a:prstGeom prst="rect">
                            <a:avLst/>
                          </a:prstGeom>
                          <a:noFill/>
                        </pic:spPr>
                      </pic:pic>
                    </a:graphicData>
                  </a:graphic>
                  <wp14:sizeRelH relativeFrom="page">
                    <wp14:pctWidth>0</wp14:pctWidth>
                  </wp14:sizeRelH>
                  <wp14:sizeRelV relativeFrom="page">
                    <wp14:pctHeight>0</wp14:pctHeight>
                  </wp14:sizeRelV>
                </wp:anchor>
              </w:drawing>
            </w:r>
          </w:p>
        </w:tc>
      </w:tr>
      <w:tr w:rsidR="00292E9C" w:rsidRPr="00FB351A" w14:paraId="2EBD1266" w14:textId="77777777" w:rsidTr="000B315C">
        <w:trPr>
          <w:trHeight w:val="1179"/>
        </w:trPr>
        <w:tc>
          <w:tcPr>
            <w:tcW w:w="1654" w:type="pct"/>
            <w:vAlign w:val="center"/>
            <w:hideMark/>
          </w:tcPr>
          <w:p w14:paraId="208AA650"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 xml:space="preserve">Aseguradora Solidaria de Colombia Entidad Cooperativa </w:t>
            </w:r>
          </w:p>
        </w:tc>
        <w:tc>
          <w:tcPr>
            <w:tcW w:w="1224" w:type="pct"/>
            <w:vAlign w:val="center"/>
            <w:hideMark/>
          </w:tcPr>
          <w:p w14:paraId="021B012A"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860524654-6</w:t>
            </w:r>
          </w:p>
        </w:tc>
        <w:tc>
          <w:tcPr>
            <w:tcW w:w="1062" w:type="pct"/>
            <w:vAlign w:val="center"/>
            <w:hideMark/>
          </w:tcPr>
          <w:p w14:paraId="61086147" w14:textId="77777777" w:rsidR="00292E9C" w:rsidRPr="00FB351A" w:rsidRDefault="00292E9C" w:rsidP="00803115">
            <w:pPr>
              <w:jc w:val="both"/>
              <w:rPr>
                <w:rFonts w:ascii="Arial" w:hAnsi="Arial" w:cs="Arial"/>
                <w:sz w:val="20"/>
                <w:szCs w:val="20"/>
              </w:rPr>
            </w:pPr>
            <w:r w:rsidRPr="00FB351A">
              <w:rPr>
                <w:rFonts w:ascii="Arial" w:hAnsi="Arial" w:cs="Arial"/>
                <w:sz w:val="20"/>
                <w:szCs w:val="20"/>
              </w:rPr>
              <w:t>Bogotá D.C.</w:t>
            </w:r>
          </w:p>
        </w:tc>
        <w:tc>
          <w:tcPr>
            <w:tcW w:w="1060" w:type="pct"/>
          </w:tcPr>
          <w:p w14:paraId="1988C367" w14:textId="39D3E6D9" w:rsidR="00292E9C" w:rsidRPr="00FB351A" w:rsidRDefault="00292E9C" w:rsidP="00803115">
            <w:pPr>
              <w:jc w:val="both"/>
              <w:rPr>
                <w:rFonts w:ascii="Arial" w:hAnsi="Arial" w:cs="Arial"/>
                <w:sz w:val="20"/>
                <w:szCs w:val="20"/>
              </w:rPr>
            </w:pPr>
            <w:r w:rsidRPr="00FB351A">
              <w:rPr>
                <w:rFonts w:ascii="Arial" w:hAnsi="Arial" w:cs="Arial"/>
                <w:noProof/>
                <w:sz w:val="20"/>
                <w:szCs w:val="20"/>
                <w:lang w:eastAsia="es-ES"/>
              </w:rPr>
              <w:drawing>
                <wp:anchor distT="0" distB="0" distL="114300" distR="114300" simplePos="0" relativeHeight="251706368" behindDoc="1" locked="0" layoutInCell="1" allowOverlap="1" wp14:anchorId="44A82F4A" wp14:editId="108C497E">
                  <wp:simplePos x="0" y="0"/>
                  <wp:positionH relativeFrom="column">
                    <wp:posOffset>10160</wp:posOffset>
                  </wp:positionH>
                  <wp:positionV relativeFrom="paragraph">
                    <wp:posOffset>136525</wp:posOffset>
                  </wp:positionV>
                  <wp:extent cx="676910" cy="388620"/>
                  <wp:effectExtent l="0" t="0" r="8890" b="0"/>
                  <wp:wrapNone/>
                  <wp:docPr id="828848652" name="Imagen 12" descr="Aseguradora Solidaria de Colombia Ltda. Entidad Cooperativa - Gestión  Solidaria MUTUALIS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descr="Aseguradora Solidaria de Colombia Ltda. Entidad Cooperativa - Gestión  Solidaria MUTUALISMO"/>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76910" cy="388620"/>
                          </a:xfrm>
                          <a:prstGeom prst="rect">
                            <a:avLst/>
                          </a:prstGeom>
                          <a:noFill/>
                        </pic:spPr>
                      </pic:pic>
                    </a:graphicData>
                  </a:graphic>
                  <wp14:sizeRelH relativeFrom="page">
                    <wp14:pctWidth>0</wp14:pctWidth>
                  </wp14:sizeRelH>
                  <wp14:sizeRelV relativeFrom="page">
                    <wp14:pctHeight>0</wp14:pctHeight>
                  </wp14:sizeRelV>
                </wp:anchor>
              </w:drawing>
            </w:r>
          </w:p>
        </w:tc>
      </w:tr>
    </w:tbl>
    <w:p w14:paraId="26778D93" w14:textId="0652DDD8" w:rsidR="00292E9C" w:rsidRPr="00FB351A" w:rsidRDefault="00292E9C" w:rsidP="00803115">
      <w:pPr>
        <w:pStyle w:val="Descripcin"/>
        <w:jc w:val="both"/>
        <w:rPr>
          <w:rFonts w:ascii="Arial" w:hAnsi="Arial" w:cs="Arial"/>
          <w:b w:val="0"/>
          <w:bCs w:val="0"/>
        </w:rPr>
      </w:pPr>
      <w:r w:rsidRPr="00FB351A">
        <w:rPr>
          <w:rFonts w:ascii="Arial" w:hAnsi="Arial" w:cs="Arial"/>
          <w:b w:val="0"/>
          <w:bCs w:val="0"/>
        </w:rPr>
        <w:t xml:space="preserve">Cuadro Cooperativas de seguros. Elaborado por el intermediario de seguros de la entidad </w:t>
      </w:r>
    </w:p>
    <w:p w14:paraId="537F14EC" w14:textId="77777777" w:rsidR="00292E9C" w:rsidRPr="00FB351A" w:rsidRDefault="00292E9C" w:rsidP="00803115">
      <w:pPr>
        <w:jc w:val="both"/>
        <w:rPr>
          <w:rFonts w:ascii="Arial" w:hAnsi="Arial" w:cs="Arial"/>
          <w:sz w:val="20"/>
          <w:szCs w:val="20"/>
        </w:rPr>
      </w:pPr>
    </w:p>
    <w:p w14:paraId="4D527760"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lastRenderedPageBreak/>
        <w:t>Las siguientes son las que, normalmente y con frecuencia, suscriben riesgos de entidades estatales para seguros de vida y generales, bien sea como proponentes plurales o como proponentes singulares:</w:t>
      </w:r>
    </w:p>
    <w:p w14:paraId="6FBA8F50" w14:textId="77777777" w:rsidR="00292E9C" w:rsidRPr="00FB351A" w:rsidRDefault="00292E9C" w:rsidP="00803115">
      <w:pPr>
        <w:jc w:val="both"/>
        <w:rPr>
          <w:rFonts w:ascii="Arial" w:hAnsi="Arial" w:cs="Arial"/>
          <w:bCs/>
          <w:color w:val="000000"/>
          <w:sz w:val="20"/>
          <w:szCs w:val="20"/>
        </w:rPr>
      </w:pPr>
    </w:p>
    <w:tbl>
      <w:tblPr>
        <w:tblW w:w="5000" w:type="pct"/>
        <w:tblCellMar>
          <w:left w:w="70" w:type="dxa"/>
          <w:right w:w="70" w:type="dxa"/>
        </w:tblCellMar>
        <w:tblLook w:val="04A0" w:firstRow="1" w:lastRow="0" w:firstColumn="1" w:lastColumn="0" w:noHBand="0" w:noVBand="1"/>
      </w:tblPr>
      <w:tblGrid>
        <w:gridCol w:w="790"/>
        <w:gridCol w:w="8839"/>
      </w:tblGrid>
      <w:tr w:rsidR="00292E9C" w:rsidRPr="00FB351A" w14:paraId="4ECBF231" w14:textId="77777777" w:rsidTr="000B315C">
        <w:trPr>
          <w:trHeight w:val="330"/>
        </w:trPr>
        <w:tc>
          <w:tcPr>
            <w:tcW w:w="5000" w:type="pct"/>
            <w:gridSpan w:val="2"/>
            <w:tcBorders>
              <w:top w:val="single" w:sz="4" w:space="0" w:color="auto"/>
              <w:left w:val="single" w:sz="4" w:space="0" w:color="auto"/>
              <w:bottom w:val="single" w:sz="4" w:space="0" w:color="auto"/>
              <w:right w:val="single" w:sz="4" w:space="0" w:color="auto"/>
            </w:tcBorders>
            <w:shd w:val="clear" w:color="000000" w:fill="D5DCE4"/>
          </w:tcPr>
          <w:p w14:paraId="6318F06A" w14:textId="77777777" w:rsidR="00292E9C" w:rsidRPr="00FB351A" w:rsidRDefault="00292E9C" w:rsidP="00803115">
            <w:pPr>
              <w:jc w:val="both"/>
              <w:rPr>
                <w:rFonts w:ascii="Arial" w:hAnsi="Arial" w:cs="Arial"/>
                <w:color w:val="000000"/>
                <w:sz w:val="20"/>
                <w:szCs w:val="20"/>
              </w:rPr>
            </w:pPr>
            <w:r w:rsidRPr="00FB351A">
              <w:rPr>
                <w:rFonts w:ascii="Arial" w:eastAsia="Batang" w:hAnsi="Arial" w:cs="Arial"/>
                <w:b/>
                <w:bCs/>
                <w:sz w:val="20"/>
                <w:szCs w:val="20"/>
              </w:rPr>
              <w:t>COMPAÑÍAS DE SEGUROS QUE PARTICIPAN EN PROCESOS DE SELECCIÓN ENTIDADES ESTATALES</w:t>
            </w:r>
          </w:p>
        </w:tc>
      </w:tr>
      <w:tr w:rsidR="00292E9C" w:rsidRPr="00FB351A" w14:paraId="2B69D128"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011719EC"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6E4A1739"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ASEGURADORA SOLIDARIA DE COLOMBIA EC</w:t>
            </w:r>
          </w:p>
        </w:tc>
      </w:tr>
      <w:tr w:rsidR="00292E9C" w:rsidRPr="00FB351A" w14:paraId="1AB0AC26"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1589BCAE"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2</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60182E2F" w14:textId="60CC882B" w:rsidR="00292E9C" w:rsidRPr="00FB351A" w:rsidRDefault="00292E9C" w:rsidP="00803115">
            <w:pPr>
              <w:jc w:val="both"/>
              <w:rPr>
                <w:rFonts w:ascii="Arial" w:hAnsi="Arial" w:cs="Arial"/>
                <w:color w:val="000000"/>
                <w:sz w:val="20"/>
                <w:szCs w:val="20"/>
              </w:rPr>
            </w:pPr>
            <w:proofErr w:type="spellStart"/>
            <w:r w:rsidRPr="00FB351A">
              <w:rPr>
                <w:rFonts w:ascii="Arial" w:hAnsi="Arial" w:cs="Arial"/>
                <w:color w:val="000000"/>
                <w:sz w:val="20"/>
                <w:szCs w:val="20"/>
              </w:rPr>
              <w:t>BMI</w:t>
            </w:r>
            <w:proofErr w:type="spellEnd"/>
            <w:r w:rsidRPr="00FB351A">
              <w:rPr>
                <w:rFonts w:ascii="Arial" w:hAnsi="Arial" w:cs="Arial"/>
                <w:color w:val="000000"/>
                <w:sz w:val="20"/>
                <w:szCs w:val="20"/>
              </w:rPr>
              <w:t xml:space="preserve"> COLOMBIA </w:t>
            </w:r>
            <w:r w:rsidR="00DD5D5E" w:rsidRPr="00FB351A">
              <w:rPr>
                <w:rFonts w:ascii="Arial" w:hAnsi="Arial" w:cs="Arial"/>
                <w:color w:val="000000"/>
                <w:sz w:val="20"/>
                <w:szCs w:val="20"/>
              </w:rPr>
              <w:t>COMPAÑÍA</w:t>
            </w:r>
            <w:r w:rsidRPr="00FB351A">
              <w:rPr>
                <w:rFonts w:ascii="Arial" w:hAnsi="Arial" w:cs="Arial"/>
                <w:color w:val="000000"/>
                <w:sz w:val="20"/>
                <w:szCs w:val="20"/>
              </w:rPr>
              <w:t xml:space="preserve"> DE SEGUROS DE VIDA S.A.</w:t>
            </w:r>
          </w:p>
        </w:tc>
      </w:tr>
      <w:tr w:rsidR="00292E9C" w:rsidRPr="00FB351A" w14:paraId="721520CE"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06C8F6F0"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3</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66B61373" w14:textId="49AB8BBC" w:rsidR="00292E9C" w:rsidRPr="00FB351A" w:rsidRDefault="00DD5D5E" w:rsidP="00803115">
            <w:pPr>
              <w:jc w:val="both"/>
              <w:rPr>
                <w:rFonts w:ascii="Arial" w:hAnsi="Arial" w:cs="Arial"/>
                <w:color w:val="000000"/>
                <w:sz w:val="20"/>
                <w:szCs w:val="20"/>
              </w:rPr>
            </w:pPr>
            <w:r w:rsidRPr="00FB351A">
              <w:rPr>
                <w:rFonts w:ascii="Arial" w:hAnsi="Arial" w:cs="Arial"/>
                <w:color w:val="000000"/>
                <w:sz w:val="20"/>
                <w:szCs w:val="20"/>
              </w:rPr>
              <w:t>COMPAÑÍA</w:t>
            </w:r>
            <w:r w:rsidR="00292E9C" w:rsidRPr="00FB351A">
              <w:rPr>
                <w:rFonts w:ascii="Arial" w:hAnsi="Arial" w:cs="Arial"/>
                <w:color w:val="000000"/>
                <w:sz w:val="20"/>
                <w:szCs w:val="20"/>
              </w:rPr>
              <w:t xml:space="preserve"> ASEGURADORA DE FIANZAS S. A</w:t>
            </w:r>
          </w:p>
        </w:tc>
      </w:tr>
      <w:tr w:rsidR="00292E9C" w:rsidRPr="00FB351A" w14:paraId="4D29CC7E"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2F986C9B"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4</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058B5433"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COLMENA SEGUROS DE VIDA SA</w:t>
            </w:r>
          </w:p>
        </w:tc>
      </w:tr>
      <w:tr w:rsidR="00292E9C" w:rsidRPr="00564F9B" w14:paraId="41FD75A6"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5796DECE"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5</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51EE674A" w14:textId="77777777" w:rsidR="00292E9C" w:rsidRPr="00FB351A" w:rsidRDefault="00292E9C" w:rsidP="00803115">
            <w:pPr>
              <w:jc w:val="both"/>
              <w:rPr>
                <w:rFonts w:ascii="Arial" w:hAnsi="Arial" w:cs="Arial"/>
                <w:color w:val="000000"/>
                <w:sz w:val="20"/>
                <w:szCs w:val="20"/>
                <w:lang w:val="pt-PT"/>
              </w:rPr>
            </w:pPr>
            <w:r w:rsidRPr="00FB351A">
              <w:rPr>
                <w:rFonts w:ascii="Arial" w:hAnsi="Arial" w:cs="Arial"/>
                <w:color w:val="000000"/>
                <w:sz w:val="20"/>
                <w:szCs w:val="20"/>
                <w:lang w:val="pt-PT"/>
              </w:rPr>
              <w:t>AXA COLPATRIA SEGUROS S.A.</w:t>
            </w:r>
          </w:p>
        </w:tc>
      </w:tr>
      <w:tr w:rsidR="00292E9C" w:rsidRPr="00FB351A" w14:paraId="4A67F45F"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33972D22"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6</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49AB444C"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CHUBB DE COLOMBIA S.A.</w:t>
            </w:r>
          </w:p>
        </w:tc>
      </w:tr>
      <w:tr w:rsidR="00292E9C" w:rsidRPr="00FB351A" w14:paraId="654002C1"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1116B569"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7</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2F3A28E7"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COMPAÑÍA MUNDIAL DE SEGUROS S.A.</w:t>
            </w:r>
          </w:p>
        </w:tc>
      </w:tr>
      <w:tr w:rsidR="00292E9C" w:rsidRPr="00FB351A" w14:paraId="390F5280"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63B681F9"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8</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6BA521D1" w14:textId="77777777" w:rsidR="00292E9C" w:rsidRPr="00FB351A" w:rsidRDefault="00292E9C" w:rsidP="00803115">
            <w:pPr>
              <w:jc w:val="both"/>
              <w:rPr>
                <w:rFonts w:ascii="Arial" w:hAnsi="Arial" w:cs="Arial"/>
                <w:color w:val="000000"/>
                <w:sz w:val="20"/>
                <w:szCs w:val="20"/>
              </w:rPr>
            </w:pPr>
            <w:proofErr w:type="spellStart"/>
            <w:r w:rsidRPr="00FB351A">
              <w:rPr>
                <w:rFonts w:ascii="Arial" w:hAnsi="Arial" w:cs="Arial"/>
                <w:color w:val="000000"/>
                <w:sz w:val="20"/>
                <w:szCs w:val="20"/>
              </w:rPr>
              <w:t>HDI</w:t>
            </w:r>
            <w:proofErr w:type="spellEnd"/>
            <w:r w:rsidRPr="00FB351A">
              <w:rPr>
                <w:rFonts w:ascii="Arial" w:hAnsi="Arial" w:cs="Arial"/>
                <w:color w:val="000000"/>
                <w:sz w:val="20"/>
                <w:szCs w:val="20"/>
              </w:rPr>
              <w:t xml:space="preserve"> SEGUROS COLOMBIA S.A.</w:t>
            </w:r>
          </w:p>
        </w:tc>
      </w:tr>
      <w:tr w:rsidR="00292E9C" w:rsidRPr="00FB351A" w14:paraId="41E8A85F"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1BDCD0D8"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9</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0144A7DE" w14:textId="77777777" w:rsidR="00292E9C" w:rsidRPr="00FB351A" w:rsidRDefault="00292E9C" w:rsidP="00803115">
            <w:pPr>
              <w:jc w:val="both"/>
              <w:rPr>
                <w:rFonts w:ascii="Arial" w:hAnsi="Arial" w:cs="Arial"/>
                <w:color w:val="000000"/>
                <w:sz w:val="20"/>
                <w:szCs w:val="20"/>
              </w:rPr>
            </w:pPr>
            <w:proofErr w:type="spellStart"/>
            <w:r w:rsidRPr="00FB351A">
              <w:rPr>
                <w:rFonts w:ascii="Arial" w:hAnsi="Arial" w:cs="Arial"/>
                <w:color w:val="000000"/>
                <w:sz w:val="20"/>
                <w:szCs w:val="20"/>
              </w:rPr>
              <w:t>SBS</w:t>
            </w:r>
            <w:proofErr w:type="spellEnd"/>
            <w:r w:rsidRPr="00FB351A">
              <w:rPr>
                <w:rFonts w:ascii="Arial" w:hAnsi="Arial" w:cs="Arial"/>
                <w:color w:val="000000"/>
                <w:sz w:val="20"/>
                <w:szCs w:val="20"/>
              </w:rPr>
              <w:t xml:space="preserve"> SEGUROS COLOMBIA SA</w:t>
            </w:r>
          </w:p>
        </w:tc>
      </w:tr>
      <w:tr w:rsidR="00292E9C" w:rsidRPr="00FB351A" w14:paraId="3B1F25A2"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15900B40"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10</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520C40CF"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LA PREVISORA S.A. COMPAÑÍA DE SEGUROS</w:t>
            </w:r>
          </w:p>
        </w:tc>
      </w:tr>
      <w:tr w:rsidR="00292E9C" w:rsidRPr="00FB351A" w14:paraId="7D8238A3"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34F388ED"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11</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7DD8B41A"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MAPFRE SEGUROS GENERALES DE COLOMBIA S.A.</w:t>
            </w:r>
          </w:p>
        </w:tc>
      </w:tr>
      <w:tr w:rsidR="00292E9C" w:rsidRPr="00FB351A" w14:paraId="226C1DB0"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07C3B456"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12</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79EA091A"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MAPFRE SEGUROS DE VIDA</w:t>
            </w:r>
          </w:p>
        </w:tc>
      </w:tr>
      <w:tr w:rsidR="00292E9C" w:rsidRPr="00FB351A" w14:paraId="1468618C"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28BBAA80"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13</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4288C7DE"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SEGUROS DEL ESTADO S.A.</w:t>
            </w:r>
          </w:p>
        </w:tc>
      </w:tr>
      <w:tr w:rsidR="00292E9C" w:rsidRPr="00FB351A" w14:paraId="3F0EBD8C"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0372FFCB"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14</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6DCBD09B"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SEGUROS DE VIDA DEL ESTADO SA</w:t>
            </w:r>
          </w:p>
        </w:tc>
      </w:tr>
      <w:tr w:rsidR="00292E9C" w:rsidRPr="00FB351A" w14:paraId="4FA128DC"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338A8BC9"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15</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65217562"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SEGUROS GENERALES SURAMERICANA S, A,</w:t>
            </w:r>
          </w:p>
        </w:tc>
      </w:tr>
      <w:tr w:rsidR="00292E9C" w:rsidRPr="00FB351A" w14:paraId="56A4EA34"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74A96E37"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16</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22F61C35"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SEGUROS DE VIDA SURAMERICANA</w:t>
            </w:r>
          </w:p>
        </w:tc>
      </w:tr>
      <w:tr w:rsidR="00292E9C" w:rsidRPr="00FB351A" w14:paraId="79F2EC31"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0FB9BBA3"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17</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63602186"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POSITIVA SA COMPAÑÍA DE SEGUROS</w:t>
            </w:r>
          </w:p>
        </w:tc>
      </w:tr>
      <w:tr w:rsidR="00292E9C" w:rsidRPr="00FB351A" w14:paraId="783C6EF7"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775BFDD2"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18</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1F256265"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ALLIANZ SEGUROS GENERALES</w:t>
            </w:r>
          </w:p>
        </w:tc>
      </w:tr>
      <w:tr w:rsidR="00292E9C" w:rsidRPr="00FB351A" w14:paraId="29AEC0F0"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4179F55D"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19</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7EC6BF88"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ALLIANZ SEGUROS DE VIDA</w:t>
            </w:r>
          </w:p>
        </w:tc>
      </w:tr>
      <w:tr w:rsidR="00292E9C" w:rsidRPr="00FB351A" w14:paraId="47B66C7E" w14:textId="77777777" w:rsidTr="000B315C">
        <w:trPr>
          <w:trHeight w:val="330"/>
        </w:trPr>
        <w:tc>
          <w:tcPr>
            <w:tcW w:w="410" w:type="pct"/>
            <w:tcBorders>
              <w:top w:val="nil"/>
              <w:left w:val="single" w:sz="4" w:space="0" w:color="auto"/>
              <w:bottom w:val="single" w:sz="4" w:space="0" w:color="auto"/>
              <w:right w:val="single" w:sz="4" w:space="0" w:color="auto"/>
            </w:tcBorders>
            <w:shd w:val="clear" w:color="000000" w:fill="F2F2F2"/>
          </w:tcPr>
          <w:p w14:paraId="302C8CD5"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20</w:t>
            </w:r>
          </w:p>
        </w:tc>
        <w:tc>
          <w:tcPr>
            <w:tcW w:w="4590" w:type="pct"/>
            <w:tcBorders>
              <w:top w:val="nil"/>
              <w:left w:val="single" w:sz="4" w:space="0" w:color="auto"/>
              <w:bottom w:val="single" w:sz="4" w:space="0" w:color="auto"/>
              <w:right w:val="single" w:sz="4" w:space="0" w:color="auto"/>
            </w:tcBorders>
            <w:shd w:val="clear" w:color="000000" w:fill="F2F2F2"/>
            <w:noWrap/>
            <w:vAlign w:val="center"/>
            <w:hideMark/>
          </w:tcPr>
          <w:p w14:paraId="38239275" w14:textId="77777777" w:rsidR="00292E9C" w:rsidRPr="00FB351A" w:rsidRDefault="00292E9C" w:rsidP="00803115">
            <w:pPr>
              <w:jc w:val="both"/>
              <w:rPr>
                <w:rFonts w:ascii="Arial" w:hAnsi="Arial" w:cs="Arial"/>
                <w:color w:val="000000"/>
                <w:sz w:val="20"/>
                <w:szCs w:val="20"/>
              </w:rPr>
            </w:pPr>
            <w:r w:rsidRPr="00FB351A">
              <w:rPr>
                <w:rFonts w:ascii="Arial" w:hAnsi="Arial" w:cs="Arial"/>
                <w:color w:val="000000"/>
                <w:sz w:val="20"/>
                <w:szCs w:val="20"/>
              </w:rPr>
              <w:t>SEGUROS DE VIDA AURORA</w:t>
            </w:r>
          </w:p>
        </w:tc>
      </w:tr>
    </w:tbl>
    <w:p w14:paraId="3C6CFD62" w14:textId="3415662F" w:rsidR="00292E9C" w:rsidRPr="00FB351A" w:rsidRDefault="00292E9C" w:rsidP="00803115">
      <w:pPr>
        <w:pStyle w:val="Descripcin"/>
        <w:jc w:val="both"/>
        <w:rPr>
          <w:rFonts w:ascii="Arial" w:hAnsi="Arial" w:cs="Arial"/>
          <w:b w:val="0"/>
          <w:bCs w:val="0"/>
          <w:lang w:val="es-CO" w:eastAsia="es-CO"/>
        </w:rPr>
      </w:pPr>
      <w:r w:rsidRPr="00FB351A">
        <w:rPr>
          <w:rFonts w:ascii="Arial" w:hAnsi="Arial" w:cs="Arial"/>
          <w:b w:val="0"/>
          <w:bCs w:val="0"/>
        </w:rPr>
        <w:t xml:space="preserve">Cuadro Aseguradoras que participan en proceso de selección. Elaborado por el intermediario de seguros de la entidad </w:t>
      </w:r>
    </w:p>
    <w:p w14:paraId="3C4169C0" w14:textId="77777777" w:rsidR="00292E9C" w:rsidRPr="00FB351A" w:rsidRDefault="00292E9C" w:rsidP="00803115">
      <w:pPr>
        <w:jc w:val="both"/>
        <w:rPr>
          <w:rFonts w:ascii="Arial" w:hAnsi="Arial" w:cs="Arial"/>
          <w:sz w:val="20"/>
          <w:szCs w:val="20"/>
        </w:rPr>
      </w:pPr>
    </w:p>
    <w:p w14:paraId="0CF48906" w14:textId="2CCE4D44" w:rsidR="00C66202" w:rsidRPr="00FB351A" w:rsidRDefault="00C66202" w:rsidP="00803115">
      <w:pPr>
        <w:jc w:val="both"/>
        <w:rPr>
          <w:rFonts w:ascii="Arial" w:hAnsi="Arial" w:cs="Arial"/>
          <w:sz w:val="20"/>
          <w:szCs w:val="20"/>
        </w:rPr>
      </w:pPr>
      <w:r w:rsidRPr="00FB351A">
        <w:rPr>
          <w:rFonts w:ascii="Arial" w:hAnsi="Arial" w:cs="Arial"/>
          <w:sz w:val="20"/>
          <w:szCs w:val="20"/>
        </w:rPr>
        <w:t xml:space="preserve">De acuerdo con el resumen ejecutivo de </w:t>
      </w:r>
      <w:proofErr w:type="spellStart"/>
      <w:r w:rsidRPr="00FB351A">
        <w:rPr>
          <w:rFonts w:ascii="Arial" w:hAnsi="Arial" w:cs="Arial"/>
          <w:sz w:val="20"/>
          <w:szCs w:val="20"/>
        </w:rPr>
        <w:t>Faecolda</w:t>
      </w:r>
      <w:proofErr w:type="spellEnd"/>
      <w:r w:rsidRPr="00FB351A">
        <w:rPr>
          <w:rFonts w:ascii="Arial" w:hAnsi="Arial" w:cs="Arial"/>
          <w:sz w:val="20"/>
          <w:szCs w:val="20"/>
        </w:rPr>
        <w:t xml:space="preserve">, con información con corte </w:t>
      </w:r>
      <w:r w:rsidR="004237A2" w:rsidRPr="00FB351A">
        <w:rPr>
          <w:rFonts w:ascii="Arial" w:hAnsi="Arial" w:cs="Arial"/>
          <w:sz w:val="20"/>
          <w:szCs w:val="20"/>
        </w:rPr>
        <w:t>agosto</w:t>
      </w:r>
      <w:r w:rsidRPr="00FB351A">
        <w:rPr>
          <w:rFonts w:ascii="Arial" w:hAnsi="Arial" w:cs="Arial"/>
          <w:sz w:val="20"/>
          <w:szCs w:val="20"/>
        </w:rPr>
        <w:t xml:space="preserve"> de </w:t>
      </w:r>
      <w:r w:rsidR="008D5BAB" w:rsidRPr="00FB351A">
        <w:rPr>
          <w:rFonts w:ascii="Arial" w:hAnsi="Arial" w:cs="Arial"/>
          <w:sz w:val="20"/>
          <w:szCs w:val="20"/>
        </w:rPr>
        <w:t>2026</w:t>
      </w:r>
      <w:r w:rsidRPr="00FB351A">
        <w:rPr>
          <w:rFonts w:ascii="Arial" w:hAnsi="Arial" w:cs="Arial"/>
          <w:sz w:val="20"/>
          <w:szCs w:val="20"/>
        </w:rPr>
        <w:t>, las aseguradoras que mayor participación en primas en el mercado, de acuerdo con los ramos que son objeto del futuro proceso de contratacion, son:</w:t>
      </w:r>
    </w:p>
    <w:p w14:paraId="5E19E5FA" w14:textId="77777777" w:rsidR="00C66202" w:rsidRPr="00FB351A" w:rsidRDefault="00C66202" w:rsidP="00803115">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0"/>
        <w:gridCol w:w="8839"/>
      </w:tblGrid>
      <w:tr w:rsidR="004E706F" w:rsidRPr="00FB351A" w14:paraId="74B3B541" w14:textId="77777777" w:rsidTr="00593C13">
        <w:trPr>
          <w:trHeight w:val="330"/>
        </w:trPr>
        <w:tc>
          <w:tcPr>
            <w:tcW w:w="410" w:type="pct"/>
            <w:shd w:val="clear" w:color="000000" w:fill="F2F2F2"/>
            <w:vAlign w:val="center"/>
          </w:tcPr>
          <w:p w14:paraId="1F8BB082" w14:textId="77777777" w:rsidR="004E706F" w:rsidRPr="00FB351A" w:rsidRDefault="004E706F" w:rsidP="00803115">
            <w:pPr>
              <w:jc w:val="both"/>
              <w:rPr>
                <w:rFonts w:ascii="Arial" w:hAnsi="Arial" w:cs="Arial"/>
                <w:color w:val="000000"/>
                <w:sz w:val="20"/>
                <w:szCs w:val="20"/>
              </w:rPr>
            </w:pPr>
            <w:r w:rsidRPr="00FB351A">
              <w:rPr>
                <w:rFonts w:ascii="Arial" w:hAnsi="Arial" w:cs="Arial"/>
                <w:color w:val="000000"/>
                <w:sz w:val="20"/>
                <w:szCs w:val="20"/>
              </w:rPr>
              <w:t>1</w:t>
            </w:r>
          </w:p>
        </w:tc>
        <w:tc>
          <w:tcPr>
            <w:tcW w:w="4590" w:type="pct"/>
            <w:shd w:val="clear" w:color="000000" w:fill="F2F2F2"/>
            <w:noWrap/>
            <w:vAlign w:val="center"/>
            <w:hideMark/>
          </w:tcPr>
          <w:p w14:paraId="4CFF2ED0" w14:textId="0D24E980" w:rsidR="004E706F" w:rsidRPr="00FB351A" w:rsidRDefault="00430992" w:rsidP="00803115">
            <w:pPr>
              <w:jc w:val="both"/>
              <w:rPr>
                <w:rFonts w:ascii="Arial" w:hAnsi="Arial" w:cs="Arial"/>
                <w:color w:val="000000"/>
                <w:sz w:val="20"/>
                <w:szCs w:val="20"/>
              </w:rPr>
            </w:pPr>
            <w:r w:rsidRPr="00FB351A">
              <w:rPr>
                <w:rFonts w:ascii="Arial" w:hAnsi="Arial" w:cs="Arial"/>
                <w:color w:val="000000"/>
                <w:sz w:val="20"/>
                <w:szCs w:val="20"/>
              </w:rPr>
              <w:t>SEGUROS GENERALES SURAMERICANA S, A,</w:t>
            </w:r>
          </w:p>
        </w:tc>
      </w:tr>
      <w:tr w:rsidR="00430992" w:rsidRPr="00FB351A" w14:paraId="4EDA3111" w14:textId="77777777" w:rsidTr="00593C13">
        <w:trPr>
          <w:trHeight w:val="330"/>
        </w:trPr>
        <w:tc>
          <w:tcPr>
            <w:tcW w:w="410" w:type="pct"/>
            <w:shd w:val="clear" w:color="000000" w:fill="F2F2F2"/>
            <w:vAlign w:val="center"/>
          </w:tcPr>
          <w:p w14:paraId="7CE4576B" w14:textId="686FB306" w:rsidR="00430992"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2</w:t>
            </w:r>
          </w:p>
        </w:tc>
        <w:tc>
          <w:tcPr>
            <w:tcW w:w="4590" w:type="pct"/>
            <w:shd w:val="clear" w:color="000000" w:fill="F2F2F2"/>
            <w:noWrap/>
            <w:vAlign w:val="center"/>
          </w:tcPr>
          <w:p w14:paraId="5EFA995B" w14:textId="47DA5E4E" w:rsidR="00430992" w:rsidRPr="00FB351A" w:rsidRDefault="002614C4" w:rsidP="00803115">
            <w:pPr>
              <w:jc w:val="both"/>
              <w:rPr>
                <w:rFonts w:ascii="Arial" w:hAnsi="Arial" w:cs="Arial"/>
                <w:color w:val="000000"/>
                <w:sz w:val="20"/>
                <w:szCs w:val="20"/>
              </w:rPr>
            </w:pPr>
            <w:r w:rsidRPr="00FB351A">
              <w:rPr>
                <w:rFonts w:ascii="Arial" w:hAnsi="Arial" w:cs="Arial"/>
                <w:color w:val="000000"/>
                <w:sz w:val="20"/>
                <w:szCs w:val="20"/>
              </w:rPr>
              <w:t>COMPAÑÍA MUNDIAL DE SEGUROS S.A.</w:t>
            </w:r>
          </w:p>
        </w:tc>
      </w:tr>
      <w:tr w:rsidR="00430992" w:rsidRPr="00FB351A" w14:paraId="490BE763" w14:textId="77777777" w:rsidTr="00593C13">
        <w:trPr>
          <w:trHeight w:val="330"/>
        </w:trPr>
        <w:tc>
          <w:tcPr>
            <w:tcW w:w="410" w:type="pct"/>
            <w:shd w:val="clear" w:color="000000" w:fill="F2F2F2"/>
            <w:vAlign w:val="center"/>
          </w:tcPr>
          <w:p w14:paraId="42F59B81" w14:textId="2033EA9D" w:rsidR="00430992"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3</w:t>
            </w:r>
          </w:p>
        </w:tc>
        <w:tc>
          <w:tcPr>
            <w:tcW w:w="4590" w:type="pct"/>
            <w:shd w:val="clear" w:color="000000" w:fill="F2F2F2"/>
            <w:noWrap/>
            <w:vAlign w:val="center"/>
          </w:tcPr>
          <w:p w14:paraId="635B850B" w14:textId="1F60A0AB" w:rsidR="00430992" w:rsidRPr="00FB351A" w:rsidRDefault="002614C4" w:rsidP="00803115">
            <w:pPr>
              <w:jc w:val="both"/>
              <w:rPr>
                <w:rFonts w:ascii="Arial" w:hAnsi="Arial" w:cs="Arial"/>
                <w:color w:val="000000"/>
                <w:sz w:val="20"/>
                <w:szCs w:val="20"/>
              </w:rPr>
            </w:pPr>
            <w:r w:rsidRPr="00FB351A">
              <w:rPr>
                <w:rFonts w:ascii="Arial" w:hAnsi="Arial" w:cs="Arial"/>
                <w:color w:val="000000"/>
                <w:sz w:val="20"/>
                <w:szCs w:val="20"/>
              </w:rPr>
              <w:t>LA PREVISORA S.A. COMPAÑÍA DE SEGUROS</w:t>
            </w:r>
          </w:p>
        </w:tc>
      </w:tr>
      <w:tr w:rsidR="00430992" w:rsidRPr="00564F9B" w14:paraId="7E450373" w14:textId="77777777" w:rsidTr="00593C13">
        <w:trPr>
          <w:trHeight w:val="330"/>
        </w:trPr>
        <w:tc>
          <w:tcPr>
            <w:tcW w:w="410" w:type="pct"/>
            <w:shd w:val="clear" w:color="000000" w:fill="F2F2F2"/>
            <w:vAlign w:val="center"/>
          </w:tcPr>
          <w:p w14:paraId="5AF26F2A" w14:textId="02BC3F10" w:rsidR="00430992"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4</w:t>
            </w:r>
          </w:p>
        </w:tc>
        <w:tc>
          <w:tcPr>
            <w:tcW w:w="4590" w:type="pct"/>
            <w:shd w:val="clear" w:color="000000" w:fill="F2F2F2"/>
            <w:noWrap/>
            <w:vAlign w:val="center"/>
          </w:tcPr>
          <w:p w14:paraId="219F7B2C" w14:textId="75334B8A" w:rsidR="00430992" w:rsidRPr="00FB351A" w:rsidRDefault="00430992" w:rsidP="00803115">
            <w:pPr>
              <w:jc w:val="both"/>
              <w:rPr>
                <w:rFonts w:ascii="Arial" w:hAnsi="Arial" w:cs="Arial"/>
                <w:color w:val="000000"/>
                <w:sz w:val="20"/>
                <w:szCs w:val="20"/>
                <w:lang w:val="pt-PT"/>
              </w:rPr>
            </w:pPr>
            <w:r w:rsidRPr="00FB351A">
              <w:rPr>
                <w:rFonts w:ascii="Arial" w:hAnsi="Arial" w:cs="Arial"/>
                <w:color w:val="000000"/>
                <w:sz w:val="20"/>
                <w:szCs w:val="20"/>
                <w:lang w:val="pt-PT"/>
              </w:rPr>
              <w:t xml:space="preserve">AXA COLPATRIA SEGUROS </w:t>
            </w:r>
            <w:r w:rsidR="001A0649" w:rsidRPr="00FB351A">
              <w:rPr>
                <w:rFonts w:ascii="Arial" w:hAnsi="Arial" w:cs="Arial"/>
                <w:color w:val="000000"/>
                <w:sz w:val="20"/>
                <w:szCs w:val="20"/>
                <w:lang w:val="pt-PT"/>
              </w:rPr>
              <w:t>S. A</w:t>
            </w:r>
          </w:p>
        </w:tc>
      </w:tr>
      <w:tr w:rsidR="00ED5C23" w:rsidRPr="00FB351A" w14:paraId="75B70167" w14:textId="77777777" w:rsidTr="00593C13">
        <w:trPr>
          <w:trHeight w:val="330"/>
        </w:trPr>
        <w:tc>
          <w:tcPr>
            <w:tcW w:w="410" w:type="pct"/>
            <w:shd w:val="clear" w:color="000000" w:fill="F2F2F2"/>
            <w:vAlign w:val="center"/>
          </w:tcPr>
          <w:p w14:paraId="37E32B40" w14:textId="0ACBFADE" w:rsidR="00ED5C23"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5</w:t>
            </w:r>
          </w:p>
        </w:tc>
        <w:tc>
          <w:tcPr>
            <w:tcW w:w="4590" w:type="pct"/>
            <w:shd w:val="clear" w:color="000000" w:fill="F2F2F2"/>
            <w:noWrap/>
            <w:vAlign w:val="center"/>
          </w:tcPr>
          <w:p w14:paraId="20FF1AE2" w14:textId="27BCCAB8" w:rsidR="00ED5C23" w:rsidRPr="00FB351A" w:rsidRDefault="00ED5C23" w:rsidP="00803115">
            <w:pPr>
              <w:jc w:val="both"/>
              <w:rPr>
                <w:rFonts w:ascii="Arial" w:hAnsi="Arial" w:cs="Arial"/>
                <w:color w:val="000000"/>
                <w:sz w:val="20"/>
                <w:szCs w:val="20"/>
              </w:rPr>
            </w:pPr>
            <w:r w:rsidRPr="00FB351A">
              <w:rPr>
                <w:rFonts w:ascii="Arial" w:hAnsi="Arial" w:cs="Arial"/>
                <w:color w:val="000000"/>
                <w:sz w:val="20"/>
                <w:szCs w:val="20"/>
              </w:rPr>
              <w:t>MAPFRE SEGUROS GENERALES DE COLOMBIA S.A.</w:t>
            </w:r>
          </w:p>
        </w:tc>
      </w:tr>
      <w:tr w:rsidR="00ED5C23" w:rsidRPr="00FB351A" w14:paraId="58207714" w14:textId="77777777" w:rsidTr="00593C13">
        <w:trPr>
          <w:trHeight w:val="330"/>
        </w:trPr>
        <w:tc>
          <w:tcPr>
            <w:tcW w:w="410" w:type="pct"/>
            <w:shd w:val="clear" w:color="000000" w:fill="F2F2F2"/>
            <w:vAlign w:val="center"/>
          </w:tcPr>
          <w:p w14:paraId="41ADD0AF" w14:textId="4E63D703" w:rsidR="00ED5C23"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lastRenderedPageBreak/>
              <w:t>6</w:t>
            </w:r>
          </w:p>
        </w:tc>
        <w:tc>
          <w:tcPr>
            <w:tcW w:w="4590" w:type="pct"/>
            <w:shd w:val="clear" w:color="000000" w:fill="F2F2F2"/>
            <w:noWrap/>
            <w:vAlign w:val="center"/>
          </w:tcPr>
          <w:p w14:paraId="442B9C85" w14:textId="430D7473" w:rsidR="00ED5C23" w:rsidRPr="00FB351A" w:rsidRDefault="005E387B" w:rsidP="00803115">
            <w:pPr>
              <w:jc w:val="both"/>
              <w:rPr>
                <w:rFonts w:ascii="Arial" w:hAnsi="Arial" w:cs="Arial"/>
                <w:color w:val="000000"/>
                <w:sz w:val="20"/>
                <w:szCs w:val="20"/>
              </w:rPr>
            </w:pPr>
            <w:r w:rsidRPr="00FB351A">
              <w:rPr>
                <w:rFonts w:ascii="Arial" w:hAnsi="Arial" w:cs="Arial"/>
                <w:color w:val="000000"/>
                <w:sz w:val="20"/>
                <w:szCs w:val="20"/>
              </w:rPr>
              <w:t>ALLIANZ SEGUROS GENERALES</w:t>
            </w:r>
          </w:p>
        </w:tc>
      </w:tr>
      <w:tr w:rsidR="00ED5C23" w:rsidRPr="00FB351A" w14:paraId="66B5ACD7" w14:textId="77777777" w:rsidTr="00593C13">
        <w:trPr>
          <w:trHeight w:val="330"/>
        </w:trPr>
        <w:tc>
          <w:tcPr>
            <w:tcW w:w="410" w:type="pct"/>
            <w:shd w:val="clear" w:color="000000" w:fill="F2F2F2"/>
            <w:vAlign w:val="center"/>
          </w:tcPr>
          <w:p w14:paraId="03D844A3" w14:textId="673C800B" w:rsidR="00ED5C23"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7</w:t>
            </w:r>
          </w:p>
        </w:tc>
        <w:tc>
          <w:tcPr>
            <w:tcW w:w="4590" w:type="pct"/>
            <w:shd w:val="clear" w:color="000000" w:fill="F2F2F2"/>
            <w:noWrap/>
            <w:vAlign w:val="center"/>
          </w:tcPr>
          <w:p w14:paraId="1ACDDD76" w14:textId="76392C6D" w:rsidR="00ED5C23" w:rsidRPr="00FB351A" w:rsidRDefault="005E387B" w:rsidP="00803115">
            <w:pPr>
              <w:jc w:val="both"/>
              <w:rPr>
                <w:rFonts w:ascii="Arial" w:hAnsi="Arial" w:cs="Arial"/>
                <w:color w:val="000000"/>
                <w:sz w:val="20"/>
                <w:szCs w:val="20"/>
              </w:rPr>
            </w:pPr>
            <w:proofErr w:type="spellStart"/>
            <w:r w:rsidRPr="00FB351A">
              <w:rPr>
                <w:rFonts w:ascii="Arial" w:hAnsi="Arial" w:cs="Arial"/>
                <w:color w:val="000000"/>
                <w:sz w:val="20"/>
                <w:szCs w:val="20"/>
              </w:rPr>
              <w:t>HDI</w:t>
            </w:r>
            <w:proofErr w:type="spellEnd"/>
            <w:r w:rsidRPr="00FB351A">
              <w:rPr>
                <w:rFonts w:ascii="Arial" w:hAnsi="Arial" w:cs="Arial"/>
                <w:color w:val="000000"/>
                <w:sz w:val="20"/>
                <w:szCs w:val="20"/>
              </w:rPr>
              <w:t xml:space="preserve"> SEGUROS COLOMBIA S.A.</w:t>
            </w:r>
          </w:p>
        </w:tc>
      </w:tr>
      <w:tr w:rsidR="00ED5C23" w:rsidRPr="00FB351A" w14:paraId="7D1BD8A1" w14:textId="77777777" w:rsidTr="00593C13">
        <w:trPr>
          <w:trHeight w:val="330"/>
        </w:trPr>
        <w:tc>
          <w:tcPr>
            <w:tcW w:w="410" w:type="pct"/>
            <w:shd w:val="clear" w:color="000000" w:fill="F2F2F2"/>
            <w:vAlign w:val="center"/>
          </w:tcPr>
          <w:p w14:paraId="77F6A5D3" w14:textId="1709217B" w:rsidR="00ED5C23"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8</w:t>
            </w:r>
          </w:p>
        </w:tc>
        <w:tc>
          <w:tcPr>
            <w:tcW w:w="4590" w:type="pct"/>
            <w:shd w:val="clear" w:color="000000" w:fill="F2F2F2"/>
            <w:noWrap/>
            <w:vAlign w:val="center"/>
          </w:tcPr>
          <w:p w14:paraId="4C448E81" w14:textId="3635C43D" w:rsidR="00ED5C23" w:rsidRPr="00FB351A" w:rsidRDefault="005E387B" w:rsidP="00803115">
            <w:pPr>
              <w:jc w:val="both"/>
              <w:rPr>
                <w:rFonts w:ascii="Arial" w:hAnsi="Arial" w:cs="Arial"/>
                <w:color w:val="000000"/>
                <w:sz w:val="20"/>
                <w:szCs w:val="20"/>
              </w:rPr>
            </w:pPr>
            <w:proofErr w:type="spellStart"/>
            <w:r w:rsidRPr="00FB351A">
              <w:rPr>
                <w:rFonts w:ascii="Arial" w:hAnsi="Arial" w:cs="Arial"/>
                <w:color w:val="000000"/>
                <w:sz w:val="20"/>
                <w:szCs w:val="20"/>
              </w:rPr>
              <w:t>SBS</w:t>
            </w:r>
            <w:proofErr w:type="spellEnd"/>
            <w:r w:rsidRPr="00FB351A">
              <w:rPr>
                <w:rFonts w:ascii="Arial" w:hAnsi="Arial" w:cs="Arial"/>
                <w:color w:val="000000"/>
                <w:sz w:val="20"/>
                <w:szCs w:val="20"/>
              </w:rPr>
              <w:t xml:space="preserve"> SEGUROS COLOMBIA SA  </w:t>
            </w:r>
          </w:p>
        </w:tc>
      </w:tr>
      <w:tr w:rsidR="00ED5C23" w:rsidRPr="00FB351A" w14:paraId="2A041436" w14:textId="77777777" w:rsidTr="00593C13">
        <w:trPr>
          <w:trHeight w:val="330"/>
        </w:trPr>
        <w:tc>
          <w:tcPr>
            <w:tcW w:w="410" w:type="pct"/>
            <w:shd w:val="clear" w:color="000000" w:fill="F2F2F2"/>
            <w:vAlign w:val="center"/>
          </w:tcPr>
          <w:p w14:paraId="50139403" w14:textId="54562C59" w:rsidR="00ED5C23"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9</w:t>
            </w:r>
          </w:p>
        </w:tc>
        <w:tc>
          <w:tcPr>
            <w:tcW w:w="4590" w:type="pct"/>
            <w:shd w:val="clear" w:color="000000" w:fill="F2F2F2"/>
            <w:noWrap/>
            <w:vAlign w:val="center"/>
          </w:tcPr>
          <w:p w14:paraId="1A221ECB" w14:textId="54FAA7DE" w:rsidR="00ED5C23" w:rsidRPr="00FB351A" w:rsidRDefault="005E387B" w:rsidP="00803115">
            <w:pPr>
              <w:jc w:val="both"/>
              <w:rPr>
                <w:rFonts w:ascii="Arial" w:hAnsi="Arial" w:cs="Arial"/>
                <w:color w:val="000000"/>
                <w:sz w:val="20"/>
                <w:szCs w:val="20"/>
              </w:rPr>
            </w:pPr>
            <w:r w:rsidRPr="00FB351A">
              <w:rPr>
                <w:rFonts w:ascii="Arial" w:hAnsi="Arial" w:cs="Arial"/>
                <w:color w:val="000000"/>
                <w:sz w:val="20"/>
                <w:szCs w:val="20"/>
              </w:rPr>
              <w:t>ASEGURADORA SOLIDARIA DE COLOMBIA EC</w:t>
            </w:r>
          </w:p>
        </w:tc>
      </w:tr>
      <w:tr w:rsidR="00ED5C23" w:rsidRPr="00FB351A" w14:paraId="31947BBA" w14:textId="77777777" w:rsidTr="00593C13">
        <w:trPr>
          <w:trHeight w:val="330"/>
        </w:trPr>
        <w:tc>
          <w:tcPr>
            <w:tcW w:w="410" w:type="pct"/>
            <w:shd w:val="clear" w:color="000000" w:fill="F2F2F2"/>
            <w:vAlign w:val="center"/>
          </w:tcPr>
          <w:p w14:paraId="758D7245" w14:textId="7F7415D2" w:rsidR="00ED5C23" w:rsidRPr="00FB351A" w:rsidRDefault="00593C13" w:rsidP="00803115">
            <w:pPr>
              <w:jc w:val="both"/>
              <w:rPr>
                <w:rFonts w:ascii="Arial" w:hAnsi="Arial" w:cs="Arial"/>
                <w:color w:val="000000"/>
                <w:sz w:val="20"/>
                <w:szCs w:val="20"/>
              </w:rPr>
            </w:pPr>
            <w:r w:rsidRPr="00FB351A">
              <w:rPr>
                <w:rFonts w:ascii="Arial" w:hAnsi="Arial" w:cs="Arial"/>
                <w:color w:val="000000"/>
                <w:sz w:val="20"/>
                <w:szCs w:val="20"/>
              </w:rPr>
              <w:t>10</w:t>
            </w:r>
          </w:p>
        </w:tc>
        <w:tc>
          <w:tcPr>
            <w:tcW w:w="4590" w:type="pct"/>
            <w:shd w:val="clear" w:color="000000" w:fill="F2F2F2"/>
            <w:noWrap/>
            <w:vAlign w:val="center"/>
          </w:tcPr>
          <w:p w14:paraId="4E65C71D" w14:textId="232DC7F5" w:rsidR="00ED5C23" w:rsidRPr="00FB351A" w:rsidRDefault="00ED5C23" w:rsidP="00803115">
            <w:pPr>
              <w:jc w:val="both"/>
              <w:rPr>
                <w:rFonts w:ascii="Arial" w:hAnsi="Arial" w:cs="Arial"/>
                <w:color w:val="000000"/>
                <w:sz w:val="20"/>
                <w:szCs w:val="20"/>
              </w:rPr>
            </w:pPr>
            <w:r w:rsidRPr="00FB351A">
              <w:rPr>
                <w:rFonts w:ascii="Arial" w:hAnsi="Arial" w:cs="Arial"/>
                <w:color w:val="000000"/>
                <w:sz w:val="20"/>
                <w:szCs w:val="20"/>
              </w:rPr>
              <w:t>CHUBB DE COLOMBIA S.A.</w:t>
            </w:r>
          </w:p>
        </w:tc>
      </w:tr>
    </w:tbl>
    <w:p w14:paraId="5059BA91" w14:textId="77777777" w:rsidR="00C66202" w:rsidRPr="00FB351A" w:rsidRDefault="00C66202" w:rsidP="00803115">
      <w:pPr>
        <w:jc w:val="both"/>
        <w:rPr>
          <w:rFonts w:ascii="Arial" w:hAnsi="Arial" w:cs="Arial"/>
          <w:sz w:val="20"/>
          <w:szCs w:val="20"/>
        </w:rPr>
      </w:pPr>
    </w:p>
    <w:p w14:paraId="6E454C15" w14:textId="77777777" w:rsidR="00C66202" w:rsidRPr="00FB351A" w:rsidRDefault="00C66202" w:rsidP="00803115">
      <w:pPr>
        <w:jc w:val="both"/>
        <w:rPr>
          <w:rFonts w:ascii="Arial" w:hAnsi="Arial" w:cs="Arial"/>
          <w:sz w:val="20"/>
          <w:szCs w:val="20"/>
        </w:rPr>
      </w:pPr>
    </w:p>
    <w:p w14:paraId="4540EED1" w14:textId="77A443D7" w:rsidR="00C66202" w:rsidRPr="00FB351A" w:rsidRDefault="002614C4" w:rsidP="00803115">
      <w:pPr>
        <w:jc w:val="both"/>
        <w:rPr>
          <w:rFonts w:ascii="Arial" w:hAnsi="Arial" w:cs="Arial"/>
          <w:sz w:val="20"/>
          <w:szCs w:val="20"/>
        </w:rPr>
      </w:pPr>
      <w:r w:rsidRPr="00FB351A">
        <w:rPr>
          <w:rFonts w:ascii="Arial" w:hAnsi="Arial" w:cs="Arial"/>
          <w:noProof/>
          <w:sz w:val="20"/>
          <w:szCs w:val="20"/>
        </w:rPr>
        <w:drawing>
          <wp:inline distT="0" distB="0" distL="0" distR="0" wp14:anchorId="73CB844A" wp14:editId="75538A18">
            <wp:extent cx="6120765" cy="3206115"/>
            <wp:effectExtent l="0" t="0" r="0" b="0"/>
            <wp:docPr id="11504193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19340" name=""/>
                    <pic:cNvPicPr/>
                  </pic:nvPicPr>
                  <pic:blipFill>
                    <a:blip r:embed="rId93"/>
                    <a:stretch>
                      <a:fillRect/>
                    </a:stretch>
                  </pic:blipFill>
                  <pic:spPr>
                    <a:xfrm>
                      <a:off x="0" y="0"/>
                      <a:ext cx="6120765" cy="3206115"/>
                    </a:xfrm>
                    <a:prstGeom prst="rect">
                      <a:avLst/>
                    </a:prstGeom>
                  </pic:spPr>
                </pic:pic>
              </a:graphicData>
            </a:graphic>
          </wp:inline>
        </w:drawing>
      </w:r>
    </w:p>
    <w:p w14:paraId="4BC4AB7D" w14:textId="6F9F1295" w:rsidR="00FC4905" w:rsidRPr="00FB351A" w:rsidRDefault="00FC4905" w:rsidP="00803115">
      <w:pPr>
        <w:jc w:val="both"/>
        <w:rPr>
          <w:rFonts w:ascii="Arial" w:hAnsi="Arial" w:cs="Arial"/>
          <w:sz w:val="20"/>
          <w:szCs w:val="20"/>
          <w:lang w:eastAsia="es-ES"/>
        </w:rPr>
      </w:pPr>
      <w:r w:rsidRPr="00FB351A">
        <w:rPr>
          <w:rFonts w:ascii="Arial" w:hAnsi="Arial" w:cs="Arial"/>
          <w:sz w:val="20"/>
          <w:szCs w:val="20"/>
          <w:lang w:eastAsia="es-ES"/>
        </w:rPr>
        <w:t xml:space="preserve">Gráfica Primas emitidas por aseguradora. Imagen tomada de Visualizador inteligente de cifras de </w:t>
      </w:r>
      <w:proofErr w:type="spellStart"/>
      <w:r w:rsidRPr="00FB351A">
        <w:rPr>
          <w:rFonts w:ascii="Arial" w:hAnsi="Arial" w:cs="Arial"/>
          <w:sz w:val="20"/>
          <w:szCs w:val="20"/>
          <w:lang w:eastAsia="es-ES"/>
        </w:rPr>
        <w:t>Fasecolda</w:t>
      </w:r>
      <w:proofErr w:type="spellEnd"/>
    </w:p>
    <w:p w14:paraId="40EDE712" w14:textId="77777777" w:rsidR="007C0D43" w:rsidRPr="00FB351A" w:rsidRDefault="007C0D43" w:rsidP="00803115">
      <w:pPr>
        <w:jc w:val="both"/>
        <w:rPr>
          <w:rFonts w:ascii="Arial" w:hAnsi="Arial" w:cs="Arial"/>
          <w:sz w:val="20"/>
          <w:szCs w:val="20"/>
        </w:rPr>
      </w:pPr>
    </w:p>
    <w:p w14:paraId="3482B9BA" w14:textId="637201ED" w:rsidR="00292E9C" w:rsidRPr="00FB351A" w:rsidRDefault="00292E9C">
      <w:pPr>
        <w:pStyle w:val="Prrafodelista"/>
        <w:numPr>
          <w:ilvl w:val="1"/>
          <w:numId w:val="38"/>
        </w:numPr>
        <w:contextualSpacing/>
        <w:jc w:val="both"/>
        <w:rPr>
          <w:rFonts w:ascii="Arial" w:hAnsi="Arial" w:cs="Arial"/>
          <w:b/>
          <w:bCs/>
          <w:color w:val="000000"/>
          <w:sz w:val="20"/>
          <w:szCs w:val="20"/>
          <w:lang w:val="es-ES_tradnl"/>
        </w:rPr>
      </w:pPr>
      <w:r w:rsidRPr="00FB351A">
        <w:rPr>
          <w:rFonts w:ascii="Arial" w:hAnsi="Arial" w:cs="Arial"/>
          <w:b/>
          <w:bCs/>
          <w:color w:val="000000"/>
          <w:sz w:val="20"/>
          <w:szCs w:val="20"/>
          <w:lang w:val="es-ES_tradnl"/>
        </w:rPr>
        <w:t>Análisis de la oferta Modelo de Abastecimiento Estratégico</w:t>
      </w:r>
    </w:p>
    <w:p w14:paraId="161BD948" w14:textId="77777777" w:rsidR="00292E9C" w:rsidRPr="00FB351A" w:rsidRDefault="00292E9C" w:rsidP="00803115">
      <w:pPr>
        <w:contextualSpacing/>
        <w:jc w:val="both"/>
        <w:rPr>
          <w:rFonts w:ascii="Arial" w:hAnsi="Arial" w:cs="Arial"/>
          <w:b/>
          <w:bCs/>
          <w:color w:val="000000"/>
          <w:sz w:val="20"/>
          <w:szCs w:val="20"/>
          <w:lang w:val="es-ES_tradnl"/>
        </w:rPr>
      </w:pPr>
    </w:p>
    <w:p w14:paraId="381C3DBC" w14:textId="77777777" w:rsidR="00526AE2" w:rsidRPr="00FB351A" w:rsidRDefault="00292E9C" w:rsidP="00526AE2">
      <w:pPr>
        <w:contextualSpacing/>
        <w:jc w:val="both"/>
        <w:rPr>
          <w:rFonts w:ascii="Arial" w:hAnsi="Arial" w:cs="Arial"/>
          <w:color w:val="000000"/>
          <w:sz w:val="20"/>
          <w:szCs w:val="20"/>
        </w:rPr>
      </w:pPr>
      <w:r w:rsidRPr="00FB351A">
        <w:rPr>
          <w:rFonts w:ascii="Arial" w:hAnsi="Arial" w:cs="Arial"/>
          <w:color w:val="000000"/>
          <w:sz w:val="20"/>
          <w:szCs w:val="20"/>
        </w:rPr>
        <w:t xml:space="preserve">La Agencia de Desarrollo Rural - ADR </w:t>
      </w:r>
      <w:r w:rsidR="00526AE2" w:rsidRPr="00FB351A">
        <w:rPr>
          <w:rFonts w:ascii="Arial" w:hAnsi="Arial" w:cs="Arial"/>
          <w:color w:val="000000"/>
          <w:sz w:val="20"/>
          <w:szCs w:val="20"/>
        </w:rPr>
        <w:t xml:space="preserve">incluye el comportamiento de la oferta de seguros de acuerdo con la herramienta del modelo de abastecimiento estratégico de la Agencia de Contratación Colombia Compra Eficiente, para mostrar, la oferta de servicios de seguros a nivel nacional, en lo corrido del año 2025 (desde el 01 de enero hasta el 30 de julio de 2026), en la clasificación </w:t>
      </w:r>
      <w:proofErr w:type="spellStart"/>
      <w:r w:rsidR="00526AE2" w:rsidRPr="00FB351A">
        <w:rPr>
          <w:rFonts w:ascii="Arial" w:hAnsi="Arial" w:cs="Arial"/>
          <w:color w:val="000000"/>
          <w:sz w:val="20"/>
          <w:szCs w:val="20"/>
        </w:rPr>
        <w:t>UNSPSC</w:t>
      </w:r>
      <w:proofErr w:type="spellEnd"/>
      <w:r w:rsidR="00526AE2" w:rsidRPr="00FB351A">
        <w:rPr>
          <w:rFonts w:ascii="Arial" w:hAnsi="Arial" w:cs="Arial"/>
          <w:color w:val="000000"/>
          <w:sz w:val="20"/>
          <w:szCs w:val="20"/>
        </w:rPr>
        <w:t xml:space="preserve">   841315 y 841316, registrados en plataforma </w:t>
      </w:r>
      <w:proofErr w:type="spellStart"/>
      <w:r w:rsidR="00526AE2" w:rsidRPr="00FB351A">
        <w:rPr>
          <w:rFonts w:ascii="Arial" w:hAnsi="Arial" w:cs="Arial"/>
          <w:color w:val="000000"/>
          <w:sz w:val="20"/>
          <w:szCs w:val="20"/>
        </w:rPr>
        <w:t>SECOP</w:t>
      </w:r>
      <w:proofErr w:type="spellEnd"/>
      <w:r w:rsidR="00526AE2" w:rsidRPr="00FB351A">
        <w:rPr>
          <w:rFonts w:ascii="Arial" w:hAnsi="Arial" w:cs="Arial"/>
          <w:color w:val="000000"/>
          <w:sz w:val="20"/>
          <w:szCs w:val="20"/>
        </w:rPr>
        <w:t xml:space="preserve"> II</w:t>
      </w:r>
    </w:p>
    <w:p w14:paraId="2E7920D3" w14:textId="77777777" w:rsidR="00526AE2" w:rsidRPr="00FB351A" w:rsidRDefault="00526AE2" w:rsidP="00526AE2">
      <w:pPr>
        <w:contextualSpacing/>
        <w:jc w:val="both"/>
        <w:rPr>
          <w:rFonts w:ascii="Arial" w:hAnsi="Arial" w:cs="Arial"/>
          <w:color w:val="000000"/>
          <w:sz w:val="20"/>
          <w:szCs w:val="20"/>
        </w:rPr>
      </w:pPr>
    </w:p>
    <w:p w14:paraId="77ED1C16" w14:textId="77777777" w:rsidR="00526AE2" w:rsidRPr="00FB351A" w:rsidRDefault="00526AE2">
      <w:pPr>
        <w:numPr>
          <w:ilvl w:val="0"/>
          <w:numId w:val="33"/>
        </w:numPr>
        <w:contextualSpacing/>
        <w:jc w:val="both"/>
        <w:rPr>
          <w:rFonts w:ascii="Arial" w:hAnsi="Arial" w:cs="Arial"/>
          <w:color w:val="000000"/>
          <w:sz w:val="20"/>
          <w:szCs w:val="20"/>
        </w:rPr>
      </w:pPr>
      <w:r w:rsidRPr="00FB351A">
        <w:rPr>
          <w:rFonts w:ascii="Arial" w:hAnsi="Arial" w:cs="Arial"/>
          <w:color w:val="000000"/>
          <w:sz w:val="20"/>
          <w:szCs w:val="20"/>
        </w:rPr>
        <w:t>Numero de proveedores</w:t>
      </w:r>
    </w:p>
    <w:p w14:paraId="5E5B653C" w14:textId="77777777" w:rsidR="00526AE2" w:rsidRPr="00FB351A" w:rsidRDefault="00526AE2" w:rsidP="00526AE2">
      <w:pPr>
        <w:contextualSpacing/>
        <w:jc w:val="both"/>
        <w:rPr>
          <w:rFonts w:ascii="Arial" w:hAnsi="Arial" w:cs="Arial"/>
          <w:color w:val="000000"/>
          <w:sz w:val="20"/>
          <w:szCs w:val="20"/>
        </w:rPr>
      </w:pPr>
    </w:p>
    <w:p w14:paraId="7347A8B4" w14:textId="77777777" w:rsidR="00526AE2" w:rsidRPr="00FB351A" w:rsidRDefault="00526AE2" w:rsidP="00526AE2">
      <w:pPr>
        <w:contextualSpacing/>
        <w:jc w:val="both"/>
        <w:rPr>
          <w:rFonts w:ascii="Arial" w:hAnsi="Arial" w:cs="Arial"/>
          <w:color w:val="000000"/>
          <w:sz w:val="20"/>
          <w:szCs w:val="20"/>
        </w:rPr>
      </w:pPr>
      <w:r w:rsidRPr="00FB351A">
        <w:rPr>
          <w:rFonts w:ascii="Arial" w:hAnsi="Arial" w:cs="Arial"/>
          <w:color w:val="000000"/>
          <w:sz w:val="20"/>
          <w:szCs w:val="20"/>
        </w:rPr>
        <w:t>En lo corrido del año 2026 se registran alrededor de 67 proveedores entre singulares y plurales. El proveedor singular con mayor cantidad de contratos adjudicados y celebrado ha sido la Aseguradora Solidaria de Colombia con un total de 343 contratos suscritos; el proveedor singular con la mayor concentración de primas en pago de seguros ha sido La Previsora SA con más de 45 mil millones, tal y como se evidencia en la siguiente imagen</w:t>
      </w:r>
    </w:p>
    <w:p w14:paraId="1F1FEF8A" w14:textId="2A55FB3D" w:rsidR="00526AE2" w:rsidRPr="00FB351A" w:rsidRDefault="00526AE2" w:rsidP="00526AE2">
      <w:pPr>
        <w:contextualSpacing/>
        <w:jc w:val="center"/>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04ACE16E" wp14:editId="666E2388">
            <wp:extent cx="5932805" cy="467995"/>
            <wp:effectExtent l="0" t="0" r="0" b="8255"/>
            <wp:docPr id="100433803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32805" cy="467995"/>
                    </a:xfrm>
                    <a:prstGeom prst="rect">
                      <a:avLst/>
                    </a:prstGeom>
                    <a:noFill/>
                    <a:ln>
                      <a:noFill/>
                    </a:ln>
                  </pic:spPr>
                </pic:pic>
              </a:graphicData>
            </a:graphic>
          </wp:inline>
        </w:drawing>
      </w:r>
    </w:p>
    <w:p w14:paraId="27353536" w14:textId="77777777" w:rsidR="00526AE2" w:rsidRPr="00FB351A" w:rsidRDefault="00526AE2" w:rsidP="00526AE2">
      <w:pPr>
        <w:contextualSpacing/>
        <w:jc w:val="both"/>
        <w:rPr>
          <w:rFonts w:ascii="Arial" w:hAnsi="Arial" w:cs="Arial"/>
          <w:color w:val="000000"/>
          <w:sz w:val="20"/>
          <w:szCs w:val="20"/>
        </w:rPr>
      </w:pPr>
    </w:p>
    <w:p w14:paraId="3F47154F" w14:textId="56E19851" w:rsidR="00526AE2" w:rsidRPr="00FB351A" w:rsidRDefault="00526AE2" w:rsidP="00526AE2">
      <w:pPr>
        <w:contextualSpacing/>
        <w:jc w:val="center"/>
        <w:rPr>
          <w:rFonts w:ascii="Arial" w:hAnsi="Arial" w:cs="Arial"/>
          <w:color w:val="000000"/>
          <w:sz w:val="20"/>
          <w:szCs w:val="20"/>
        </w:rPr>
      </w:pPr>
      <w:r w:rsidRPr="00FB351A">
        <w:rPr>
          <w:rFonts w:ascii="Arial" w:hAnsi="Arial" w:cs="Arial"/>
          <w:noProof/>
          <w:color w:val="000000"/>
          <w:sz w:val="20"/>
          <w:szCs w:val="20"/>
        </w:rPr>
        <w:drawing>
          <wp:inline distT="0" distB="0" distL="0" distR="0" wp14:anchorId="7750DC2D" wp14:editId="690A9ACD">
            <wp:extent cx="5932805" cy="2402840"/>
            <wp:effectExtent l="0" t="0" r="0" b="0"/>
            <wp:docPr id="932735481"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932805" cy="2402840"/>
                    </a:xfrm>
                    <a:prstGeom prst="rect">
                      <a:avLst/>
                    </a:prstGeom>
                    <a:noFill/>
                    <a:ln>
                      <a:noFill/>
                    </a:ln>
                  </pic:spPr>
                </pic:pic>
              </a:graphicData>
            </a:graphic>
          </wp:inline>
        </w:drawing>
      </w:r>
    </w:p>
    <w:p w14:paraId="2509567C" w14:textId="77777777" w:rsidR="00526AE2" w:rsidRPr="00FB351A" w:rsidRDefault="00526AE2" w:rsidP="00526AE2">
      <w:pPr>
        <w:contextualSpacing/>
        <w:jc w:val="both"/>
        <w:rPr>
          <w:rFonts w:ascii="Arial" w:hAnsi="Arial" w:cs="Arial"/>
          <w:color w:val="000000"/>
          <w:sz w:val="20"/>
          <w:szCs w:val="20"/>
        </w:rPr>
      </w:pPr>
      <w:r w:rsidRPr="00FB351A">
        <w:rPr>
          <w:rFonts w:ascii="Arial" w:hAnsi="Arial" w:cs="Arial"/>
          <w:color w:val="000000"/>
          <w:sz w:val="20"/>
          <w:szCs w:val="20"/>
        </w:rPr>
        <w:t xml:space="preserve">Gráfica Valor estimado y número de contratos por proveedor singular clasificación </w:t>
      </w:r>
      <w:proofErr w:type="spellStart"/>
      <w:r w:rsidRPr="00FB351A">
        <w:rPr>
          <w:rFonts w:ascii="Arial" w:hAnsi="Arial" w:cs="Arial"/>
          <w:color w:val="000000"/>
          <w:sz w:val="20"/>
          <w:szCs w:val="20"/>
        </w:rPr>
        <w:t>UNPSC</w:t>
      </w:r>
      <w:proofErr w:type="spellEnd"/>
      <w:r w:rsidRPr="00FB351A">
        <w:rPr>
          <w:rFonts w:ascii="Arial" w:hAnsi="Arial" w:cs="Arial"/>
          <w:color w:val="000000"/>
          <w:sz w:val="20"/>
          <w:szCs w:val="20"/>
        </w:rPr>
        <w:t xml:space="preserve"> 841315-841316. Imagen tomada de: https://www.colombiacompra.gov.co/content/herramienta-de-visualizacion-para-el-analisis-de-la-demanda-y-de-la-oferta</w:t>
      </w:r>
    </w:p>
    <w:p w14:paraId="7247A444" w14:textId="77777777" w:rsidR="00526AE2" w:rsidRPr="00FB351A" w:rsidRDefault="00526AE2" w:rsidP="00526AE2">
      <w:pPr>
        <w:contextualSpacing/>
        <w:jc w:val="both"/>
        <w:rPr>
          <w:rFonts w:ascii="Arial" w:hAnsi="Arial" w:cs="Arial"/>
          <w:color w:val="000000"/>
          <w:sz w:val="20"/>
          <w:szCs w:val="20"/>
        </w:rPr>
      </w:pPr>
    </w:p>
    <w:p w14:paraId="4175C102" w14:textId="77777777" w:rsidR="00526AE2" w:rsidRPr="00FB351A" w:rsidRDefault="00526AE2" w:rsidP="00526AE2">
      <w:pPr>
        <w:contextualSpacing/>
        <w:jc w:val="both"/>
        <w:rPr>
          <w:rFonts w:ascii="Arial" w:hAnsi="Arial" w:cs="Arial"/>
          <w:color w:val="000000"/>
          <w:sz w:val="20"/>
          <w:szCs w:val="20"/>
        </w:rPr>
      </w:pPr>
      <w:r w:rsidRPr="00FB351A">
        <w:rPr>
          <w:rFonts w:ascii="Arial" w:hAnsi="Arial" w:cs="Arial"/>
          <w:color w:val="000000"/>
          <w:sz w:val="20"/>
          <w:szCs w:val="20"/>
        </w:rPr>
        <w:t>El 45.49% del total de contratos adjudicados (771), han sido para proponentes plurales, quienes han recibido el pago de primas del 44.3% del total, tal y como se evidencia en la siguiente gráfica</w:t>
      </w:r>
    </w:p>
    <w:p w14:paraId="5D7A50C0" w14:textId="77777777" w:rsidR="00526AE2" w:rsidRPr="00FB351A" w:rsidRDefault="00526AE2" w:rsidP="00526AE2">
      <w:pPr>
        <w:contextualSpacing/>
        <w:jc w:val="both"/>
        <w:rPr>
          <w:rFonts w:ascii="Arial" w:hAnsi="Arial" w:cs="Arial"/>
          <w:color w:val="000000"/>
          <w:sz w:val="20"/>
          <w:szCs w:val="20"/>
        </w:rPr>
      </w:pPr>
    </w:p>
    <w:p w14:paraId="3878CC96" w14:textId="2E4F76E3" w:rsidR="00526AE2" w:rsidRPr="00FB351A" w:rsidRDefault="00526AE2" w:rsidP="00526AE2">
      <w:pPr>
        <w:contextualSpacing/>
        <w:jc w:val="center"/>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741B926C" wp14:editId="2C5404F8">
            <wp:extent cx="5645785" cy="3168650"/>
            <wp:effectExtent l="0" t="0" r="0" b="0"/>
            <wp:docPr id="1732362579"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645785" cy="3168650"/>
                    </a:xfrm>
                    <a:prstGeom prst="rect">
                      <a:avLst/>
                    </a:prstGeom>
                    <a:noFill/>
                    <a:ln>
                      <a:noFill/>
                    </a:ln>
                  </pic:spPr>
                </pic:pic>
              </a:graphicData>
            </a:graphic>
          </wp:inline>
        </w:drawing>
      </w:r>
    </w:p>
    <w:p w14:paraId="0D4D737B" w14:textId="77777777" w:rsidR="00526AE2" w:rsidRPr="00FB351A" w:rsidRDefault="00526AE2" w:rsidP="00526AE2">
      <w:pPr>
        <w:contextualSpacing/>
        <w:jc w:val="both"/>
        <w:rPr>
          <w:rFonts w:ascii="Arial" w:hAnsi="Arial" w:cs="Arial"/>
          <w:color w:val="000000"/>
          <w:sz w:val="20"/>
          <w:szCs w:val="20"/>
        </w:rPr>
      </w:pPr>
    </w:p>
    <w:p w14:paraId="6F53F91E" w14:textId="77777777" w:rsidR="00526AE2" w:rsidRPr="00FB351A" w:rsidRDefault="00526AE2" w:rsidP="00526AE2">
      <w:pPr>
        <w:contextualSpacing/>
        <w:jc w:val="both"/>
        <w:rPr>
          <w:rFonts w:ascii="Arial" w:hAnsi="Arial" w:cs="Arial"/>
          <w:color w:val="000000"/>
          <w:sz w:val="20"/>
          <w:szCs w:val="20"/>
        </w:rPr>
      </w:pPr>
      <w:r w:rsidRPr="00FB351A">
        <w:rPr>
          <w:rFonts w:ascii="Arial" w:hAnsi="Arial" w:cs="Arial"/>
          <w:color w:val="000000"/>
          <w:sz w:val="20"/>
          <w:szCs w:val="20"/>
        </w:rPr>
        <w:t xml:space="preserve">Gráfica Cantidad de contratos y valor de contratos con proveedores plurales clasificación </w:t>
      </w:r>
      <w:proofErr w:type="spellStart"/>
      <w:r w:rsidRPr="00FB351A">
        <w:rPr>
          <w:rFonts w:ascii="Arial" w:hAnsi="Arial" w:cs="Arial"/>
          <w:color w:val="000000"/>
          <w:sz w:val="20"/>
          <w:szCs w:val="20"/>
        </w:rPr>
        <w:t>UNPSC</w:t>
      </w:r>
      <w:proofErr w:type="spellEnd"/>
      <w:r w:rsidRPr="00FB351A">
        <w:rPr>
          <w:rFonts w:ascii="Arial" w:hAnsi="Arial" w:cs="Arial"/>
          <w:color w:val="000000"/>
          <w:sz w:val="20"/>
          <w:szCs w:val="20"/>
        </w:rPr>
        <w:t xml:space="preserve"> 841315-841316. Imagen tomada de: https://www.colombiacompra.gov.co/content/herramienta-de-visualizacion-para-el-analisis-de-la-demanda-y-de-la-oferta</w:t>
      </w:r>
    </w:p>
    <w:p w14:paraId="0388E006" w14:textId="77777777" w:rsidR="00526AE2" w:rsidRPr="00FB351A" w:rsidRDefault="00526AE2" w:rsidP="00526AE2">
      <w:pPr>
        <w:contextualSpacing/>
        <w:jc w:val="both"/>
        <w:rPr>
          <w:rFonts w:ascii="Arial" w:hAnsi="Arial" w:cs="Arial"/>
          <w:color w:val="000000"/>
          <w:sz w:val="20"/>
          <w:szCs w:val="20"/>
        </w:rPr>
      </w:pPr>
    </w:p>
    <w:p w14:paraId="3506FDDA" w14:textId="77777777" w:rsidR="00526AE2" w:rsidRPr="00FB351A" w:rsidRDefault="00526AE2">
      <w:pPr>
        <w:numPr>
          <w:ilvl w:val="0"/>
          <w:numId w:val="33"/>
        </w:numPr>
        <w:contextualSpacing/>
        <w:jc w:val="both"/>
        <w:rPr>
          <w:rFonts w:ascii="Arial" w:hAnsi="Arial" w:cs="Arial"/>
          <w:color w:val="000000"/>
          <w:sz w:val="20"/>
          <w:szCs w:val="20"/>
        </w:rPr>
      </w:pPr>
      <w:r w:rsidRPr="00FB351A">
        <w:rPr>
          <w:rFonts w:ascii="Arial" w:hAnsi="Arial" w:cs="Arial"/>
          <w:color w:val="000000"/>
          <w:sz w:val="20"/>
          <w:szCs w:val="20"/>
        </w:rPr>
        <w:t>Modalidad de Contratación.</w:t>
      </w:r>
    </w:p>
    <w:p w14:paraId="68456C75" w14:textId="77777777" w:rsidR="00526AE2" w:rsidRPr="00FB351A" w:rsidRDefault="00526AE2" w:rsidP="00526AE2">
      <w:pPr>
        <w:contextualSpacing/>
        <w:jc w:val="both"/>
        <w:rPr>
          <w:rFonts w:ascii="Arial" w:hAnsi="Arial" w:cs="Arial"/>
          <w:color w:val="000000"/>
          <w:sz w:val="20"/>
          <w:szCs w:val="20"/>
        </w:rPr>
      </w:pPr>
    </w:p>
    <w:p w14:paraId="4A5EC3A8" w14:textId="77777777" w:rsidR="00526AE2" w:rsidRPr="00FB351A" w:rsidRDefault="00526AE2" w:rsidP="00526AE2">
      <w:pPr>
        <w:contextualSpacing/>
        <w:jc w:val="both"/>
        <w:rPr>
          <w:rFonts w:ascii="Arial" w:hAnsi="Arial" w:cs="Arial"/>
          <w:color w:val="000000"/>
          <w:sz w:val="20"/>
          <w:szCs w:val="20"/>
        </w:rPr>
      </w:pPr>
      <w:r w:rsidRPr="00FB351A">
        <w:rPr>
          <w:rFonts w:ascii="Arial" w:hAnsi="Arial" w:cs="Arial"/>
          <w:color w:val="000000"/>
          <w:sz w:val="20"/>
          <w:szCs w:val="20"/>
        </w:rPr>
        <w:t>La modalidad de selección de contratista que predomina es la licitación pública.</w:t>
      </w:r>
    </w:p>
    <w:p w14:paraId="3084E73D" w14:textId="77777777" w:rsidR="00526AE2" w:rsidRPr="00FB351A" w:rsidRDefault="00526AE2" w:rsidP="00526AE2">
      <w:pPr>
        <w:contextualSpacing/>
        <w:jc w:val="both"/>
        <w:rPr>
          <w:rFonts w:ascii="Arial" w:hAnsi="Arial" w:cs="Arial"/>
          <w:color w:val="000000"/>
          <w:sz w:val="20"/>
          <w:szCs w:val="20"/>
        </w:rPr>
      </w:pPr>
    </w:p>
    <w:p w14:paraId="75A7D584" w14:textId="137123D2" w:rsidR="00526AE2" w:rsidRPr="00FB351A" w:rsidRDefault="00526AE2" w:rsidP="00526AE2">
      <w:pPr>
        <w:contextualSpacing/>
        <w:jc w:val="center"/>
        <w:rPr>
          <w:rFonts w:ascii="Arial" w:hAnsi="Arial" w:cs="Arial"/>
          <w:color w:val="000000"/>
          <w:sz w:val="20"/>
          <w:szCs w:val="20"/>
        </w:rPr>
      </w:pPr>
      <w:r w:rsidRPr="00FB351A">
        <w:rPr>
          <w:rFonts w:ascii="Arial" w:hAnsi="Arial" w:cs="Arial"/>
          <w:noProof/>
          <w:color w:val="000000"/>
          <w:sz w:val="20"/>
          <w:szCs w:val="20"/>
        </w:rPr>
        <w:lastRenderedPageBreak/>
        <w:drawing>
          <wp:inline distT="0" distB="0" distL="0" distR="0" wp14:anchorId="60CD1E9C" wp14:editId="5FA68CB7">
            <wp:extent cx="5549900" cy="3115310"/>
            <wp:effectExtent l="0" t="0" r="0" b="8890"/>
            <wp:docPr id="141574925"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549900" cy="3115310"/>
                    </a:xfrm>
                    <a:prstGeom prst="rect">
                      <a:avLst/>
                    </a:prstGeom>
                    <a:noFill/>
                    <a:ln>
                      <a:noFill/>
                    </a:ln>
                  </pic:spPr>
                </pic:pic>
              </a:graphicData>
            </a:graphic>
          </wp:inline>
        </w:drawing>
      </w:r>
    </w:p>
    <w:p w14:paraId="42B7184C" w14:textId="77777777" w:rsidR="00526AE2" w:rsidRPr="00FB351A" w:rsidRDefault="00526AE2" w:rsidP="00526AE2">
      <w:pPr>
        <w:contextualSpacing/>
        <w:jc w:val="both"/>
        <w:rPr>
          <w:rFonts w:ascii="Arial" w:hAnsi="Arial" w:cs="Arial"/>
          <w:color w:val="000000"/>
          <w:sz w:val="20"/>
          <w:szCs w:val="20"/>
        </w:rPr>
      </w:pPr>
      <w:r w:rsidRPr="00FB351A">
        <w:rPr>
          <w:rFonts w:ascii="Arial" w:hAnsi="Arial" w:cs="Arial"/>
          <w:color w:val="000000"/>
          <w:sz w:val="20"/>
          <w:szCs w:val="20"/>
        </w:rPr>
        <w:t xml:space="preserve">Gráfica Valor total estimado por modalidad de selección. clasificación </w:t>
      </w:r>
      <w:proofErr w:type="spellStart"/>
      <w:r w:rsidRPr="00FB351A">
        <w:rPr>
          <w:rFonts w:ascii="Arial" w:hAnsi="Arial" w:cs="Arial"/>
          <w:color w:val="000000"/>
          <w:sz w:val="20"/>
          <w:szCs w:val="20"/>
        </w:rPr>
        <w:t>UNPSC</w:t>
      </w:r>
      <w:proofErr w:type="spellEnd"/>
      <w:r w:rsidRPr="00FB351A">
        <w:rPr>
          <w:rFonts w:ascii="Arial" w:hAnsi="Arial" w:cs="Arial"/>
          <w:color w:val="000000"/>
          <w:sz w:val="20"/>
          <w:szCs w:val="20"/>
        </w:rPr>
        <w:t xml:space="preserve"> 841315-841316. Imagen tomada de: </w:t>
      </w:r>
      <w:hyperlink r:id="rId98" w:history="1">
        <w:r w:rsidRPr="00FB351A">
          <w:rPr>
            <w:rStyle w:val="Hipervnculo"/>
            <w:rFonts w:ascii="Arial" w:hAnsi="Arial" w:cs="Arial"/>
            <w:sz w:val="20"/>
            <w:szCs w:val="20"/>
          </w:rPr>
          <w:t>https://www.colombiacompra.gov.co/content/herramienta-de-visualizacion-para-el-analisis-de-la-demanda-y-de-la-oferta</w:t>
        </w:r>
      </w:hyperlink>
      <w:r w:rsidRPr="00FB351A">
        <w:rPr>
          <w:rFonts w:ascii="Arial" w:hAnsi="Arial" w:cs="Arial"/>
          <w:color w:val="000000"/>
          <w:sz w:val="20"/>
          <w:szCs w:val="20"/>
        </w:rPr>
        <w:t>.</w:t>
      </w:r>
    </w:p>
    <w:p w14:paraId="0F6CBEA6" w14:textId="052BF275" w:rsidR="00292E9C" w:rsidRPr="00FB351A" w:rsidRDefault="00292E9C" w:rsidP="00526AE2">
      <w:pPr>
        <w:contextualSpacing/>
        <w:jc w:val="both"/>
        <w:rPr>
          <w:rFonts w:ascii="Arial" w:hAnsi="Arial" w:cs="Arial"/>
          <w:bCs/>
          <w:color w:val="000000"/>
          <w:sz w:val="20"/>
          <w:szCs w:val="20"/>
        </w:rPr>
      </w:pPr>
    </w:p>
    <w:p w14:paraId="59DAA3F8" w14:textId="74FD8DF4" w:rsidR="00292E9C" w:rsidRPr="00FB351A" w:rsidRDefault="00292E9C">
      <w:pPr>
        <w:pStyle w:val="Prrafodelista"/>
        <w:numPr>
          <w:ilvl w:val="1"/>
          <w:numId w:val="38"/>
        </w:numPr>
        <w:jc w:val="both"/>
        <w:rPr>
          <w:rFonts w:ascii="Arial" w:hAnsi="Arial" w:cs="Arial"/>
          <w:b/>
          <w:bCs/>
          <w:color w:val="000000"/>
          <w:sz w:val="20"/>
          <w:szCs w:val="20"/>
        </w:rPr>
      </w:pPr>
      <w:r w:rsidRPr="00FB351A">
        <w:rPr>
          <w:rFonts w:ascii="Arial" w:hAnsi="Arial" w:cs="Arial"/>
          <w:b/>
          <w:bCs/>
          <w:color w:val="000000"/>
          <w:sz w:val="20"/>
          <w:szCs w:val="20"/>
        </w:rPr>
        <w:t>Identificación de las MiPymes en los procesos de Seguros</w:t>
      </w:r>
    </w:p>
    <w:p w14:paraId="33D14DBE" w14:textId="77777777" w:rsidR="00292E9C" w:rsidRPr="00FB351A" w:rsidRDefault="00292E9C" w:rsidP="00803115">
      <w:pPr>
        <w:ind w:left="720"/>
        <w:jc w:val="both"/>
        <w:rPr>
          <w:rFonts w:ascii="Arial" w:hAnsi="Arial" w:cs="Arial"/>
          <w:b/>
          <w:bCs/>
          <w:color w:val="000000"/>
          <w:sz w:val="20"/>
          <w:szCs w:val="20"/>
        </w:rPr>
      </w:pPr>
    </w:p>
    <w:p w14:paraId="7FA03408"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El Decreto Nacional 957 del 05 de junio de 2019 Por el cual se adiciona el capítulo 13 al Título 1 de la Parte 2 del Libro 2 del Decreto 1074 de 2015, Decreto Único del Sector Comercio, Industria y Turismo y se reglamenta el artículo 2º de la Ley 590 de 2000, modificado por el artículo 43 de la Ley 1450 de 2011, definió el tamaño de las empresas tomando como criterio exclusivo los ingresos por actividades ordinarias anuales de la respectiva empresa, indicando además que El nivel de ingresos por actividades ordinarias anuales con base en el cual se determina el tamaño empresarial variará dependiendo del sector económico en el cual la empresa desarrolle su actividad.</w:t>
      </w:r>
    </w:p>
    <w:p w14:paraId="3FF91815" w14:textId="77777777" w:rsidR="00292E9C" w:rsidRPr="00FB351A" w:rsidRDefault="00292E9C" w:rsidP="00803115">
      <w:pPr>
        <w:jc w:val="both"/>
        <w:rPr>
          <w:rFonts w:ascii="Arial" w:hAnsi="Arial" w:cs="Arial"/>
          <w:bCs/>
          <w:color w:val="000000"/>
          <w:sz w:val="20"/>
          <w:szCs w:val="20"/>
        </w:rPr>
      </w:pPr>
    </w:p>
    <w:p w14:paraId="521DBD29"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Por tanto, para efectos de la clasificación del tamaño empresarial se utilizarán, con base en el criterio previsto en las disposiciones de la norma anteriormente relacionada, los siguientes rangos para determinar el valor de los ingresos por actividades ordinarias anuales de acuerdo con el sector económico de que se trate:</w:t>
      </w:r>
    </w:p>
    <w:p w14:paraId="59EEBE70" w14:textId="77777777" w:rsidR="00292E9C" w:rsidRPr="00FB351A" w:rsidRDefault="00292E9C" w:rsidP="00803115">
      <w:pPr>
        <w:jc w:val="both"/>
        <w:rPr>
          <w:rFonts w:ascii="Arial" w:hAnsi="Arial" w:cs="Arial"/>
          <w:bCs/>
          <w:color w:val="000000"/>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25"/>
        <w:gridCol w:w="1777"/>
        <w:gridCol w:w="2856"/>
        <w:gridCol w:w="3165"/>
      </w:tblGrid>
      <w:tr w:rsidR="00526AE2" w:rsidRPr="00FB351A" w14:paraId="58E419FB" w14:textId="77777777" w:rsidTr="009B3AAD">
        <w:trPr>
          <w:trHeight w:val="20"/>
          <w:tblHeader/>
          <w:tblCellSpacing w:w="15" w:type="dxa"/>
        </w:trPr>
        <w:tc>
          <w:tcPr>
            <w:tcW w:w="919"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051B484"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Sector Económico</w:t>
            </w:r>
          </w:p>
        </w:tc>
        <w:tc>
          <w:tcPr>
            <w:tcW w:w="880"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5986CB7F"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Microempresa</w:t>
            </w:r>
          </w:p>
        </w:tc>
        <w:tc>
          <w:tcPr>
            <w:tcW w:w="1508"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339B309"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Pequeña Empresa</w:t>
            </w:r>
          </w:p>
        </w:tc>
        <w:tc>
          <w:tcPr>
            <w:tcW w:w="1617"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79637B5"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Mediana Empresa</w:t>
            </w:r>
          </w:p>
        </w:tc>
      </w:tr>
      <w:tr w:rsidR="00526AE2" w:rsidRPr="00FB351A" w14:paraId="13EB1EC7" w14:textId="77777777" w:rsidTr="009B3AAD">
        <w:trPr>
          <w:trHeight w:val="20"/>
          <w:tblCellSpacing w:w="15" w:type="dxa"/>
        </w:trPr>
        <w:tc>
          <w:tcPr>
            <w:tcW w:w="91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59C82"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Manufacturero</w:t>
            </w:r>
          </w:p>
        </w:tc>
        <w:tc>
          <w:tcPr>
            <w:tcW w:w="88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11F766"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Hasta 23.563 </w:t>
            </w:r>
            <w:proofErr w:type="spellStart"/>
            <w:r w:rsidRPr="00FB351A">
              <w:rPr>
                <w:rFonts w:ascii="Arial" w:hAnsi="Arial" w:cs="Arial"/>
                <w:color w:val="000000"/>
              </w:rPr>
              <w:t>UVT</w:t>
            </w:r>
            <w:proofErr w:type="spellEnd"/>
          </w:p>
        </w:tc>
        <w:tc>
          <w:tcPr>
            <w:tcW w:w="150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4CEB88"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Mayor a 23.563 y hasta 204.995 </w:t>
            </w:r>
            <w:proofErr w:type="spellStart"/>
            <w:r w:rsidRPr="00FB351A">
              <w:rPr>
                <w:rFonts w:ascii="Arial" w:hAnsi="Arial" w:cs="Arial"/>
                <w:color w:val="000000"/>
              </w:rPr>
              <w:t>UVT</w:t>
            </w:r>
            <w:proofErr w:type="spellEnd"/>
          </w:p>
        </w:tc>
        <w:tc>
          <w:tcPr>
            <w:tcW w:w="161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F49453"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Mayor a 204.995 y hasta 1.736.565 </w:t>
            </w:r>
            <w:proofErr w:type="spellStart"/>
            <w:r w:rsidRPr="00FB351A">
              <w:rPr>
                <w:rFonts w:ascii="Arial" w:hAnsi="Arial" w:cs="Arial"/>
                <w:color w:val="000000"/>
              </w:rPr>
              <w:t>UVT</w:t>
            </w:r>
            <w:proofErr w:type="spellEnd"/>
          </w:p>
        </w:tc>
      </w:tr>
      <w:tr w:rsidR="00526AE2" w:rsidRPr="00FB351A" w14:paraId="4CFDD390" w14:textId="77777777" w:rsidTr="009B3AAD">
        <w:trPr>
          <w:trHeight w:val="20"/>
          <w:tblCellSpacing w:w="15" w:type="dxa"/>
        </w:trPr>
        <w:tc>
          <w:tcPr>
            <w:tcW w:w="91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087E0D"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lastRenderedPageBreak/>
              <w:t>Servicios*</w:t>
            </w:r>
          </w:p>
        </w:tc>
        <w:tc>
          <w:tcPr>
            <w:tcW w:w="88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D896AE"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Hasta 32.988 </w:t>
            </w:r>
            <w:proofErr w:type="spellStart"/>
            <w:r w:rsidRPr="00FB351A">
              <w:rPr>
                <w:rFonts w:ascii="Arial" w:hAnsi="Arial" w:cs="Arial"/>
                <w:color w:val="000000"/>
              </w:rPr>
              <w:t>UVT</w:t>
            </w:r>
            <w:proofErr w:type="spellEnd"/>
          </w:p>
        </w:tc>
        <w:tc>
          <w:tcPr>
            <w:tcW w:w="150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1988E0"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Mayor a 32.988 y hasta 131.951 </w:t>
            </w:r>
            <w:proofErr w:type="spellStart"/>
            <w:r w:rsidRPr="00FB351A">
              <w:rPr>
                <w:rFonts w:ascii="Arial" w:hAnsi="Arial" w:cs="Arial"/>
                <w:color w:val="000000"/>
              </w:rPr>
              <w:t>UVT</w:t>
            </w:r>
            <w:proofErr w:type="spellEnd"/>
          </w:p>
        </w:tc>
        <w:tc>
          <w:tcPr>
            <w:tcW w:w="161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A4AFEC"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Mayor a 131.951 y hasta 483.034 </w:t>
            </w:r>
            <w:proofErr w:type="spellStart"/>
            <w:r w:rsidRPr="00FB351A">
              <w:rPr>
                <w:rFonts w:ascii="Arial" w:hAnsi="Arial" w:cs="Arial"/>
                <w:color w:val="000000"/>
              </w:rPr>
              <w:t>UVT</w:t>
            </w:r>
            <w:proofErr w:type="spellEnd"/>
          </w:p>
        </w:tc>
      </w:tr>
      <w:tr w:rsidR="00526AE2" w:rsidRPr="00FB351A" w14:paraId="77EDCFDD" w14:textId="77777777" w:rsidTr="009B3AAD">
        <w:trPr>
          <w:trHeight w:val="20"/>
          <w:tblCellSpacing w:w="15" w:type="dxa"/>
        </w:trPr>
        <w:tc>
          <w:tcPr>
            <w:tcW w:w="919"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AA2B8E"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Comercio</w:t>
            </w:r>
          </w:p>
        </w:tc>
        <w:tc>
          <w:tcPr>
            <w:tcW w:w="88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55C42C"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Hasta 44.769 </w:t>
            </w:r>
            <w:proofErr w:type="spellStart"/>
            <w:r w:rsidRPr="00FB351A">
              <w:rPr>
                <w:rFonts w:ascii="Arial" w:hAnsi="Arial" w:cs="Arial"/>
                <w:color w:val="000000"/>
              </w:rPr>
              <w:t>UVT</w:t>
            </w:r>
            <w:proofErr w:type="spellEnd"/>
          </w:p>
        </w:tc>
        <w:tc>
          <w:tcPr>
            <w:tcW w:w="1508"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53A0CF"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Mayor a 44.769 y hasta 431.196 </w:t>
            </w:r>
            <w:proofErr w:type="spellStart"/>
            <w:r w:rsidRPr="00FB351A">
              <w:rPr>
                <w:rFonts w:ascii="Arial" w:hAnsi="Arial" w:cs="Arial"/>
                <w:color w:val="000000"/>
              </w:rPr>
              <w:t>UVT</w:t>
            </w:r>
            <w:proofErr w:type="spellEnd"/>
          </w:p>
        </w:tc>
        <w:tc>
          <w:tcPr>
            <w:tcW w:w="161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4CC9FE"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Mayor a 431.196 y hasta 2.160.692 </w:t>
            </w:r>
            <w:proofErr w:type="spellStart"/>
            <w:r w:rsidRPr="00FB351A">
              <w:rPr>
                <w:rFonts w:ascii="Arial" w:hAnsi="Arial" w:cs="Arial"/>
                <w:color w:val="000000"/>
              </w:rPr>
              <w:t>UVT</w:t>
            </w:r>
            <w:proofErr w:type="spellEnd"/>
          </w:p>
        </w:tc>
      </w:tr>
      <w:tr w:rsidR="00526AE2" w:rsidRPr="00FB351A" w14:paraId="001E3751" w14:textId="77777777" w:rsidTr="009B3AAD">
        <w:trPr>
          <w:trHeight w:val="20"/>
          <w:tblCellSpacing w:w="15" w:type="dxa"/>
        </w:trPr>
        <w:tc>
          <w:tcPr>
            <w:tcW w:w="4969" w:type="pct"/>
            <w:gridSpan w:val="4"/>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94C5322"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 xml:space="preserve">Para efectos del presente Proceso de Contratación (Programa de Seguros), la actividad económica de las compañías aseguradoras y corredores de seguros se clasifica dentro del Sector Servicios. Por tanto, la acreditación del tamaño empresarial para acceder a los beneficios o incentivos de MiPymes se evaluará exclusivamente bajo los rangos de </w:t>
            </w:r>
            <w:proofErr w:type="spellStart"/>
            <w:r w:rsidRPr="00FB351A">
              <w:rPr>
                <w:rFonts w:ascii="Arial" w:hAnsi="Arial" w:cs="Arial"/>
                <w:color w:val="000000"/>
              </w:rPr>
              <w:t>UVT</w:t>
            </w:r>
            <w:proofErr w:type="spellEnd"/>
            <w:r w:rsidRPr="00FB351A">
              <w:rPr>
                <w:rFonts w:ascii="Arial" w:hAnsi="Arial" w:cs="Arial"/>
                <w:color w:val="000000"/>
              </w:rPr>
              <w:t xml:space="preserve"> correspondientes a dicho sector.</w:t>
            </w:r>
          </w:p>
        </w:tc>
      </w:tr>
    </w:tbl>
    <w:p w14:paraId="6018C994" w14:textId="3E7F7024" w:rsidR="00292E9C" w:rsidRPr="00FB351A" w:rsidRDefault="00292E9C" w:rsidP="00803115">
      <w:pPr>
        <w:pStyle w:val="Descripcin"/>
        <w:jc w:val="both"/>
        <w:rPr>
          <w:rFonts w:ascii="Arial" w:hAnsi="Arial" w:cs="Arial"/>
          <w:b w:val="0"/>
          <w:bCs w:val="0"/>
          <w:lang w:val="es-CO" w:eastAsia="es-CO"/>
        </w:rPr>
      </w:pPr>
      <w:r w:rsidRPr="00FB351A">
        <w:rPr>
          <w:rFonts w:ascii="Arial" w:hAnsi="Arial" w:cs="Arial"/>
          <w:b w:val="0"/>
          <w:bCs w:val="0"/>
        </w:rPr>
        <w:t xml:space="preserve">Cuadro Tamaño empresarial según ingresos por </w:t>
      </w:r>
      <w:proofErr w:type="spellStart"/>
      <w:r w:rsidRPr="00FB351A">
        <w:rPr>
          <w:rFonts w:ascii="Arial" w:hAnsi="Arial" w:cs="Arial"/>
          <w:b w:val="0"/>
          <w:bCs w:val="0"/>
        </w:rPr>
        <w:t>UVT</w:t>
      </w:r>
      <w:proofErr w:type="spellEnd"/>
      <w:r w:rsidRPr="00FB351A">
        <w:rPr>
          <w:rFonts w:ascii="Arial" w:hAnsi="Arial" w:cs="Arial"/>
          <w:b w:val="0"/>
          <w:bCs w:val="0"/>
        </w:rPr>
        <w:t>. Tomado del artículo 2.2.1.13.2.2 del Decreto 957 de 05 de junio de 2019. Disponible en: https://www.mipymes.gov.co/temas-de-interes/definicion-tamano-empresarial-micro-pequena-median</w:t>
      </w:r>
    </w:p>
    <w:p w14:paraId="31FA15BF" w14:textId="77777777" w:rsidR="00292E9C" w:rsidRPr="00FB351A" w:rsidRDefault="00292E9C" w:rsidP="00803115">
      <w:pPr>
        <w:jc w:val="both"/>
        <w:rPr>
          <w:rFonts w:ascii="Arial" w:hAnsi="Arial" w:cs="Arial"/>
          <w:bCs/>
          <w:color w:val="000000"/>
          <w:sz w:val="20"/>
          <w:szCs w:val="20"/>
        </w:rPr>
      </w:pPr>
    </w:p>
    <w:p w14:paraId="62211833" w14:textId="77777777" w:rsidR="00292E9C" w:rsidRPr="00FB351A" w:rsidRDefault="00292E9C" w:rsidP="00803115">
      <w:pPr>
        <w:jc w:val="both"/>
        <w:rPr>
          <w:rFonts w:ascii="Arial" w:hAnsi="Arial" w:cs="Arial"/>
          <w:bCs/>
          <w:color w:val="000000"/>
          <w:sz w:val="20"/>
          <w:szCs w:val="20"/>
        </w:rPr>
      </w:pPr>
      <w:bookmarkStart w:id="30" w:name="_Hlk218495254"/>
      <w:r w:rsidRPr="00FB351A">
        <w:rPr>
          <w:rFonts w:ascii="Arial" w:hAnsi="Arial" w:cs="Arial"/>
          <w:bCs/>
          <w:color w:val="000000"/>
          <w:sz w:val="20"/>
          <w:szCs w:val="20"/>
        </w:rPr>
        <w:t>Según la Resolución 000238 del 15 de diciembre de 2025 de la Unidad Administrativa Especial Dirección de Impuestos y Aduanas Nacionales (DIAN), estableció el valor de la Unidad de Valor Tributario (</w:t>
      </w:r>
      <w:proofErr w:type="spellStart"/>
      <w:r w:rsidRPr="00FB351A">
        <w:rPr>
          <w:rFonts w:ascii="Arial" w:hAnsi="Arial" w:cs="Arial"/>
          <w:bCs/>
          <w:color w:val="000000"/>
          <w:sz w:val="20"/>
          <w:szCs w:val="20"/>
        </w:rPr>
        <w:t>UVT</w:t>
      </w:r>
      <w:proofErr w:type="spellEnd"/>
      <w:r w:rsidRPr="00FB351A">
        <w:rPr>
          <w:rFonts w:ascii="Arial" w:hAnsi="Arial" w:cs="Arial"/>
          <w:bCs/>
          <w:color w:val="000000"/>
          <w:sz w:val="20"/>
          <w:szCs w:val="20"/>
        </w:rPr>
        <w:t>) para el año 2026 quedó en $ 52.374.</w:t>
      </w:r>
    </w:p>
    <w:p w14:paraId="2AAA583C" w14:textId="77777777" w:rsidR="00292E9C" w:rsidRPr="00FB351A" w:rsidRDefault="00292E9C" w:rsidP="00803115">
      <w:pPr>
        <w:jc w:val="both"/>
        <w:rPr>
          <w:rFonts w:ascii="Arial" w:hAnsi="Arial" w:cs="Arial"/>
          <w:bCs/>
          <w:color w:val="000000"/>
          <w:sz w:val="20"/>
          <w:szCs w:val="20"/>
        </w:rPr>
      </w:pPr>
    </w:p>
    <w:p w14:paraId="6407CB5D"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 xml:space="preserve">También precisa que para efectos de convertir en valores absolutos las cifras y valores expresados en </w:t>
      </w:r>
      <w:proofErr w:type="spellStart"/>
      <w:r w:rsidRPr="00FB351A">
        <w:rPr>
          <w:rFonts w:ascii="Arial" w:hAnsi="Arial" w:cs="Arial"/>
          <w:bCs/>
          <w:color w:val="000000"/>
          <w:sz w:val="20"/>
          <w:szCs w:val="20"/>
        </w:rPr>
        <w:t>UVT</w:t>
      </w:r>
      <w:proofErr w:type="spellEnd"/>
      <w:r w:rsidRPr="00FB351A">
        <w:rPr>
          <w:rFonts w:ascii="Arial" w:hAnsi="Arial" w:cs="Arial"/>
          <w:bCs/>
          <w:color w:val="000000"/>
          <w:sz w:val="20"/>
          <w:szCs w:val="20"/>
        </w:rPr>
        <w:t xml:space="preserve"> aplicables a las disposiciones relativas a los impuestos y obligaciones administrados por la DIAN, debe multiplicarse el número de las </w:t>
      </w:r>
      <w:proofErr w:type="spellStart"/>
      <w:r w:rsidRPr="00FB351A">
        <w:rPr>
          <w:rFonts w:ascii="Arial" w:hAnsi="Arial" w:cs="Arial"/>
          <w:bCs/>
          <w:color w:val="000000"/>
          <w:sz w:val="20"/>
          <w:szCs w:val="20"/>
        </w:rPr>
        <w:t>UVT</w:t>
      </w:r>
      <w:proofErr w:type="spellEnd"/>
      <w:r w:rsidRPr="00FB351A">
        <w:rPr>
          <w:rFonts w:ascii="Arial" w:hAnsi="Arial" w:cs="Arial"/>
          <w:bCs/>
          <w:color w:val="000000"/>
          <w:sz w:val="20"/>
          <w:szCs w:val="20"/>
        </w:rPr>
        <w:t xml:space="preserve"> por su valor y el resultado se aproxima de acuerdo con el procedimiento de aproximaciones establecido en el inciso 6 del artículo 868 del </w:t>
      </w:r>
      <w:proofErr w:type="spellStart"/>
      <w:r w:rsidRPr="00FB351A">
        <w:rPr>
          <w:rFonts w:ascii="Arial" w:hAnsi="Arial" w:cs="Arial"/>
          <w:bCs/>
          <w:color w:val="000000"/>
          <w:sz w:val="20"/>
          <w:szCs w:val="20"/>
        </w:rPr>
        <w:t>E.T</w:t>
      </w:r>
      <w:proofErr w:type="spellEnd"/>
      <w:r w:rsidRPr="00FB351A">
        <w:rPr>
          <w:rFonts w:ascii="Arial" w:hAnsi="Arial" w:cs="Arial"/>
          <w:bCs/>
          <w:color w:val="000000"/>
          <w:sz w:val="20"/>
          <w:szCs w:val="20"/>
        </w:rPr>
        <w:t>.</w:t>
      </w:r>
    </w:p>
    <w:p w14:paraId="1A119943" w14:textId="77777777" w:rsidR="00292E9C" w:rsidRPr="00FB351A" w:rsidRDefault="00292E9C" w:rsidP="00803115">
      <w:pPr>
        <w:jc w:val="both"/>
        <w:rPr>
          <w:rFonts w:ascii="Arial" w:hAnsi="Arial" w:cs="Arial"/>
          <w:bCs/>
          <w:color w:val="000000"/>
          <w:sz w:val="20"/>
          <w:szCs w:val="20"/>
        </w:rPr>
      </w:pPr>
    </w:p>
    <w:p w14:paraId="30315716"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De acuerdo con lo anterior, los rangos para determinar el valor de los ingresos por actividades ordinarias anuales de acuerdo con el sector económico de que se trate quedan de la siguiente manera:</w:t>
      </w:r>
    </w:p>
    <w:bookmarkEnd w:id="30"/>
    <w:p w14:paraId="6FE6C639" w14:textId="77777777" w:rsidR="00292E9C" w:rsidRPr="00FB351A" w:rsidRDefault="00292E9C" w:rsidP="00803115">
      <w:pPr>
        <w:jc w:val="both"/>
        <w:rPr>
          <w:rFonts w:ascii="Arial" w:hAnsi="Arial" w:cs="Arial"/>
          <w:bCs/>
          <w:color w:val="000000"/>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25"/>
        <w:gridCol w:w="1845"/>
        <w:gridCol w:w="2893"/>
        <w:gridCol w:w="3060"/>
      </w:tblGrid>
      <w:tr w:rsidR="00526AE2" w:rsidRPr="00FB351A" w14:paraId="1FF35538" w14:textId="77777777" w:rsidTr="009B3AAD">
        <w:trPr>
          <w:trHeight w:val="20"/>
          <w:tblHeader/>
          <w:tblCellSpacing w:w="15" w:type="dxa"/>
        </w:trPr>
        <w:tc>
          <w:tcPr>
            <w:tcW w:w="884"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02B86B79"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Sector Económico</w:t>
            </w:r>
          </w:p>
        </w:tc>
        <w:tc>
          <w:tcPr>
            <w:tcW w:w="957"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77FFC178"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Microempresa</w:t>
            </w:r>
          </w:p>
        </w:tc>
        <w:tc>
          <w:tcPr>
            <w:tcW w:w="1502"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29AE017F"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Pequeña Empresa</w:t>
            </w:r>
          </w:p>
        </w:tc>
        <w:tc>
          <w:tcPr>
            <w:tcW w:w="1580" w:type="pct"/>
            <w:tcBorders>
              <w:top w:val="single" w:sz="6" w:space="0" w:color="C4C7C5"/>
              <w:left w:val="single" w:sz="6" w:space="0" w:color="C4C7C5"/>
              <w:bottom w:val="single" w:sz="6" w:space="0" w:color="C4C7C5"/>
              <w:right w:val="single" w:sz="6" w:space="0" w:color="C4C7C5"/>
            </w:tcBorders>
            <w:shd w:val="clear" w:color="auto" w:fill="C1E4F5"/>
            <w:tcMar>
              <w:top w:w="120" w:type="dxa"/>
              <w:left w:w="180" w:type="dxa"/>
              <w:bottom w:w="120" w:type="dxa"/>
              <w:right w:w="180" w:type="dxa"/>
            </w:tcMar>
            <w:vAlign w:val="center"/>
            <w:hideMark/>
          </w:tcPr>
          <w:p w14:paraId="137C3B15"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Mediana Empresa</w:t>
            </w:r>
          </w:p>
        </w:tc>
      </w:tr>
      <w:tr w:rsidR="00526AE2" w:rsidRPr="00FB351A" w14:paraId="75CB46C6" w14:textId="77777777" w:rsidTr="009B3AAD">
        <w:trPr>
          <w:trHeight w:val="20"/>
          <w:tblCellSpacing w:w="15" w:type="dxa"/>
        </w:trPr>
        <w:tc>
          <w:tcPr>
            <w:tcW w:w="88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190ED9"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Manufacturero</w:t>
            </w:r>
          </w:p>
        </w:tc>
        <w:tc>
          <w:tcPr>
            <w:tcW w:w="95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B7BF1"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Hasta $ 1.234.088.562</w:t>
            </w:r>
          </w:p>
        </w:tc>
        <w:tc>
          <w:tcPr>
            <w:tcW w:w="150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AE8F9C"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De $ 1.234.088.563 hasta $ 10.736.408.130</w:t>
            </w:r>
          </w:p>
        </w:tc>
        <w:tc>
          <w:tcPr>
            <w:tcW w:w="158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C84351"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De $ 10.736.408.131 hasta $ 90.950.855.310</w:t>
            </w:r>
          </w:p>
        </w:tc>
      </w:tr>
      <w:tr w:rsidR="00526AE2" w:rsidRPr="00FB351A" w14:paraId="65647D34" w14:textId="77777777" w:rsidTr="009B3AAD">
        <w:trPr>
          <w:trHeight w:val="20"/>
          <w:tblCellSpacing w:w="15" w:type="dxa"/>
        </w:trPr>
        <w:tc>
          <w:tcPr>
            <w:tcW w:w="88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71DA8"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Servicios</w:t>
            </w:r>
          </w:p>
        </w:tc>
        <w:tc>
          <w:tcPr>
            <w:tcW w:w="95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E97619"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Hasta $ 1.727.713.512</w:t>
            </w:r>
          </w:p>
        </w:tc>
        <w:tc>
          <w:tcPr>
            <w:tcW w:w="150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645C2C"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De $ 1.727.713.513 hasta $ 6.910.801.674</w:t>
            </w:r>
          </w:p>
        </w:tc>
        <w:tc>
          <w:tcPr>
            <w:tcW w:w="158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30DB93"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De $ 6.910.801.675 hasta $ 25.298.422.716</w:t>
            </w:r>
          </w:p>
        </w:tc>
      </w:tr>
      <w:tr w:rsidR="00526AE2" w:rsidRPr="00FB351A" w14:paraId="73049D37" w14:textId="77777777" w:rsidTr="009B3AAD">
        <w:trPr>
          <w:trHeight w:val="20"/>
          <w:tblCellSpacing w:w="15" w:type="dxa"/>
        </w:trPr>
        <w:tc>
          <w:tcPr>
            <w:tcW w:w="884"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2415D2"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Comercio</w:t>
            </w:r>
          </w:p>
        </w:tc>
        <w:tc>
          <w:tcPr>
            <w:tcW w:w="957"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602A4"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Hasta $ 2.344.731.606</w:t>
            </w:r>
          </w:p>
        </w:tc>
        <w:tc>
          <w:tcPr>
            <w:tcW w:w="1502"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800FE3"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De $ 2.344.731.607 hasta $ 22.583.459.304</w:t>
            </w:r>
          </w:p>
        </w:tc>
        <w:tc>
          <w:tcPr>
            <w:tcW w:w="1580" w:type="pct"/>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EE6E27" w14:textId="77777777" w:rsidR="00526AE2" w:rsidRPr="00FB351A" w:rsidRDefault="00526AE2" w:rsidP="00526AE2">
            <w:pPr>
              <w:pStyle w:val="Descripcin"/>
              <w:jc w:val="both"/>
              <w:rPr>
                <w:rFonts w:ascii="Arial" w:hAnsi="Arial" w:cs="Arial"/>
                <w:color w:val="000000"/>
              </w:rPr>
            </w:pPr>
            <w:r w:rsidRPr="00FB351A">
              <w:rPr>
                <w:rFonts w:ascii="Arial" w:hAnsi="Arial" w:cs="Arial"/>
                <w:color w:val="000000"/>
              </w:rPr>
              <w:t>De $ 22.583.459.305 hasta $ 113.164.082.808</w:t>
            </w:r>
          </w:p>
        </w:tc>
      </w:tr>
    </w:tbl>
    <w:p w14:paraId="03A9D397" w14:textId="33FDF430" w:rsidR="00292E9C" w:rsidRPr="00FB351A" w:rsidRDefault="00292E9C" w:rsidP="00803115">
      <w:pPr>
        <w:pStyle w:val="Descripcin"/>
        <w:jc w:val="both"/>
        <w:rPr>
          <w:rFonts w:ascii="Arial" w:hAnsi="Arial" w:cs="Arial"/>
          <w:b w:val="0"/>
          <w:bCs w:val="0"/>
          <w:lang w:val="es-CO" w:eastAsia="es-CO"/>
        </w:rPr>
      </w:pPr>
      <w:r w:rsidRPr="00FB351A">
        <w:rPr>
          <w:rFonts w:ascii="Arial" w:hAnsi="Arial" w:cs="Arial"/>
          <w:b w:val="0"/>
          <w:bCs w:val="0"/>
          <w:color w:val="000000"/>
          <w:lang w:val="es-CO"/>
        </w:rPr>
        <w:t> </w:t>
      </w:r>
      <w:r w:rsidRPr="00FB351A">
        <w:rPr>
          <w:rFonts w:ascii="Arial" w:hAnsi="Arial" w:cs="Arial"/>
          <w:b w:val="0"/>
          <w:bCs w:val="0"/>
        </w:rPr>
        <w:t xml:space="preserve">Cuadro Tamaño empresarial según ingresos por pesos ($). Elaborado por el intermediario de seguros de la entidad </w:t>
      </w:r>
    </w:p>
    <w:p w14:paraId="2526EC6C" w14:textId="77777777" w:rsidR="00292E9C" w:rsidRPr="00FB351A" w:rsidRDefault="00292E9C" w:rsidP="00803115">
      <w:pPr>
        <w:jc w:val="both"/>
        <w:rPr>
          <w:rFonts w:ascii="Arial" w:hAnsi="Arial" w:cs="Arial"/>
          <w:bCs/>
          <w:color w:val="000000"/>
          <w:sz w:val="20"/>
          <w:szCs w:val="20"/>
        </w:rPr>
      </w:pPr>
    </w:p>
    <w:p w14:paraId="4A12A086" w14:textId="69784585" w:rsidR="00053792" w:rsidRPr="00FB351A" w:rsidRDefault="00053792" w:rsidP="00803115">
      <w:pPr>
        <w:jc w:val="both"/>
        <w:rPr>
          <w:rFonts w:ascii="Arial" w:hAnsi="Arial" w:cs="Arial"/>
          <w:bCs/>
          <w:color w:val="000000"/>
          <w:sz w:val="20"/>
          <w:szCs w:val="20"/>
        </w:rPr>
      </w:pPr>
      <w:r w:rsidRPr="00FB351A">
        <w:rPr>
          <w:rFonts w:ascii="Arial" w:hAnsi="Arial" w:cs="Arial"/>
          <w:bCs/>
          <w:color w:val="000000"/>
          <w:sz w:val="20"/>
          <w:szCs w:val="20"/>
        </w:rPr>
        <w:lastRenderedPageBreak/>
        <w:t xml:space="preserve">Se consulta el informe de </w:t>
      </w:r>
      <w:r w:rsidRPr="00FB351A">
        <w:rPr>
          <w:rFonts w:ascii="Arial" w:hAnsi="Arial" w:cs="Arial"/>
          <w:bCs/>
          <w:color w:val="000000"/>
          <w:sz w:val="20"/>
          <w:szCs w:val="20"/>
          <w:u w:val="single"/>
        </w:rPr>
        <w:t>estado de resultados</w:t>
      </w:r>
      <w:r w:rsidRPr="00FB351A">
        <w:rPr>
          <w:rFonts w:ascii="Arial" w:hAnsi="Arial" w:cs="Arial"/>
          <w:bCs/>
          <w:color w:val="000000"/>
          <w:sz w:val="20"/>
          <w:szCs w:val="20"/>
        </w:rPr>
        <w:t xml:space="preserve"> que reporta el gremio asegurador a la Superintendencia Financiera de Colombia y que se refleja en el Resumen ejecutivo de </w:t>
      </w:r>
      <w:proofErr w:type="spellStart"/>
      <w:r w:rsidRPr="00FB351A">
        <w:rPr>
          <w:rFonts w:ascii="Arial" w:hAnsi="Arial" w:cs="Arial"/>
          <w:bCs/>
          <w:color w:val="000000"/>
          <w:sz w:val="20"/>
          <w:szCs w:val="20"/>
        </w:rPr>
        <w:t>Fasecolda</w:t>
      </w:r>
      <w:proofErr w:type="spellEnd"/>
      <w:r w:rsidRPr="00FB351A">
        <w:rPr>
          <w:rFonts w:ascii="Arial" w:hAnsi="Arial" w:cs="Arial"/>
          <w:bCs/>
          <w:color w:val="000000"/>
          <w:sz w:val="20"/>
          <w:szCs w:val="20"/>
        </w:rPr>
        <w:t xml:space="preserve"> con corte a </w:t>
      </w:r>
      <w:r w:rsidR="00467192" w:rsidRPr="00FB351A">
        <w:rPr>
          <w:rFonts w:ascii="Arial" w:hAnsi="Arial" w:cs="Arial"/>
          <w:bCs/>
          <w:color w:val="000000"/>
          <w:sz w:val="20"/>
          <w:szCs w:val="20"/>
        </w:rPr>
        <w:t>febrero</w:t>
      </w:r>
      <w:r w:rsidRPr="00FB351A">
        <w:rPr>
          <w:rFonts w:ascii="Arial" w:hAnsi="Arial" w:cs="Arial"/>
          <w:bCs/>
          <w:color w:val="000000"/>
          <w:sz w:val="20"/>
          <w:szCs w:val="20"/>
        </w:rPr>
        <w:t xml:space="preserve"> de </w:t>
      </w:r>
      <w:r w:rsidR="00467192" w:rsidRPr="00FB351A">
        <w:rPr>
          <w:rFonts w:ascii="Arial" w:hAnsi="Arial" w:cs="Arial"/>
          <w:bCs/>
          <w:color w:val="000000"/>
          <w:sz w:val="20"/>
          <w:szCs w:val="20"/>
        </w:rPr>
        <w:t>2026</w:t>
      </w:r>
      <w:r w:rsidRPr="00FB351A">
        <w:rPr>
          <w:rFonts w:ascii="Arial" w:hAnsi="Arial" w:cs="Arial"/>
          <w:bCs/>
          <w:color w:val="000000"/>
          <w:sz w:val="20"/>
          <w:szCs w:val="20"/>
        </w:rPr>
        <w:t xml:space="preserve">, encontrando que todas las aseguradoras que operan en el país superan el monto mínimo en </w:t>
      </w:r>
      <w:proofErr w:type="spellStart"/>
      <w:r w:rsidRPr="00FB351A">
        <w:rPr>
          <w:rFonts w:ascii="Arial" w:hAnsi="Arial" w:cs="Arial"/>
          <w:bCs/>
          <w:color w:val="000000"/>
          <w:sz w:val="20"/>
          <w:szCs w:val="20"/>
        </w:rPr>
        <w:t>UVT</w:t>
      </w:r>
      <w:proofErr w:type="spellEnd"/>
      <w:r w:rsidRPr="00FB351A">
        <w:rPr>
          <w:rFonts w:ascii="Arial" w:hAnsi="Arial" w:cs="Arial"/>
          <w:bCs/>
          <w:color w:val="000000"/>
          <w:sz w:val="20"/>
          <w:szCs w:val="20"/>
        </w:rPr>
        <w:t xml:space="preserve"> para el sector servicios para clasificarse como MiPymes:</w:t>
      </w:r>
    </w:p>
    <w:p w14:paraId="3DAC535F" w14:textId="77777777" w:rsidR="00292E9C" w:rsidRPr="00FB351A" w:rsidRDefault="00292E9C" w:rsidP="00803115">
      <w:pPr>
        <w:jc w:val="both"/>
        <w:rPr>
          <w:rFonts w:ascii="Arial" w:hAnsi="Arial" w:cs="Arial"/>
          <w:bCs/>
          <w:color w:val="000000"/>
          <w:sz w:val="20"/>
          <w:szCs w:val="20"/>
        </w:rPr>
      </w:pPr>
    </w:p>
    <w:p w14:paraId="170733EA" w14:textId="4ED3416B" w:rsidR="00292E9C" w:rsidRPr="00FB351A" w:rsidRDefault="007A6470" w:rsidP="00803115">
      <w:pPr>
        <w:jc w:val="both"/>
        <w:rPr>
          <w:rFonts w:ascii="Arial" w:hAnsi="Arial" w:cs="Arial"/>
          <w:bCs/>
          <w:color w:val="000000"/>
          <w:sz w:val="20"/>
          <w:szCs w:val="20"/>
        </w:rPr>
      </w:pPr>
      <w:r w:rsidRPr="00FB351A">
        <w:rPr>
          <w:rFonts w:ascii="Arial" w:hAnsi="Arial" w:cs="Arial"/>
          <w:bCs/>
          <w:noProof/>
          <w:color w:val="000000"/>
          <w:sz w:val="20"/>
          <w:szCs w:val="20"/>
        </w:rPr>
        <w:drawing>
          <wp:inline distT="0" distB="0" distL="0" distR="0" wp14:anchorId="043A740B" wp14:editId="5D883E84">
            <wp:extent cx="5937885" cy="1555750"/>
            <wp:effectExtent l="0" t="0" r="5715" b="6350"/>
            <wp:docPr id="45173709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37885" cy="1555750"/>
                    </a:xfrm>
                    <a:prstGeom prst="rect">
                      <a:avLst/>
                    </a:prstGeom>
                    <a:noFill/>
                    <a:ln>
                      <a:noFill/>
                    </a:ln>
                  </pic:spPr>
                </pic:pic>
              </a:graphicData>
            </a:graphic>
          </wp:inline>
        </w:drawing>
      </w:r>
    </w:p>
    <w:p w14:paraId="0A5F47AA" w14:textId="77777777" w:rsidR="00292E9C" w:rsidRPr="00FB351A" w:rsidRDefault="00292E9C" w:rsidP="00803115">
      <w:pPr>
        <w:pStyle w:val="Descripcin"/>
        <w:jc w:val="both"/>
        <w:rPr>
          <w:rFonts w:ascii="Arial" w:eastAsia="Batang" w:hAnsi="Arial" w:cs="Arial"/>
          <w:b w:val="0"/>
          <w:bCs w:val="0"/>
          <w:lang w:val="es-CO"/>
        </w:rPr>
      </w:pPr>
      <w:r w:rsidRPr="00FB351A">
        <w:rPr>
          <w:rFonts w:ascii="Arial" w:hAnsi="Arial" w:cs="Arial"/>
          <w:b w:val="0"/>
          <w:bCs w:val="0"/>
        </w:rPr>
        <w:t xml:space="preserve">Gráfica </w:t>
      </w:r>
      <w:r w:rsidRPr="00FB351A">
        <w:rPr>
          <w:rFonts w:ascii="Arial" w:hAnsi="Arial" w:cs="Arial"/>
          <w:b w:val="0"/>
          <w:bCs w:val="0"/>
        </w:rPr>
        <w:fldChar w:fldCharType="begin"/>
      </w:r>
      <w:r w:rsidRPr="00FB351A">
        <w:rPr>
          <w:rFonts w:ascii="Arial" w:hAnsi="Arial" w:cs="Arial"/>
          <w:b w:val="0"/>
          <w:bCs w:val="0"/>
        </w:rPr>
        <w:instrText xml:space="preserve"> SEQ Gráfica \* ARABIC </w:instrText>
      </w:r>
      <w:r w:rsidRPr="00FB351A">
        <w:rPr>
          <w:rFonts w:ascii="Arial" w:hAnsi="Arial" w:cs="Arial"/>
          <w:b w:val="0"/>
          <w:bCs w:val="0"/>
        </w:rPr>
        <w:fldChar w:fldCharType="separate"/>
      </w:r>
      <w:r w:rsidRPr="00FB351A">
        <w:rPr>
          <w:rFonts w:ascii="Arial" w:hAnsi="Arial" w:cs="Arial"/>
          <w:b w:val="0"/>
          <w:bCs w:val="0"/>
          <w:noProof/>
        </w:rPr>
        <w:t>29</w:t>
      </w:r>
      <w:r w:rsidRPr="00FB351A">
        <w:rPr>
          <w:rFonts w:ascii="Arial" w:hAnsi="Arial" w:cs="Arial"/>
          <w:b w:val="0"/>
          <w:bCs w:val="0"/>
        </w:rPr>
        <w:fldChar w:fldCharType="end"/>
      </w:r>
      <w:r w:rsidRPr="00FB351A">
        <w:rPr>
          <w:rFonts w:ascii="Arial" w:hAnsi="Arial" w:cs="Arial"/>
          <w:b w:val="0"/>
          <w:bCs w:val="0"/>
        </w:rPr>
        <w:t xml:space="preserve"> Estado de resultados compañías de seguros generales. Tomado de Resumen ejecutivo </w:t>
      </w:r>
      <w:proofErr w:type="spellStart"/>
      <w:r w:rsidRPr="00FB351A">
        <w:rPr>
          <w:rFonts w:ascii="Arial" w:hAnsi="Arial" w:cs="Arial"/>
          <w:b w:val="0"/>
          <w:bCs w:val="0"/>
        </w:rPr>
        <w:t>FASECOLDA</w:t>
      </w:r>
      <w:proofErr w:type="spellEnd"/>
    </w:p>
    <w:p w14:paraId="1ADE44D0" w14:textId="33887ABC" w:rsidR="00292E9C" w:rsidRPr="00FB351A" w:rsidRDefault="007A6470" w:rsidP="00803115">
      <w:pPr>
        <w:jc w:val="both"/>
        <w:rPr>
          <w:rFonts w:ascii="Arial" w:hAnsi="Arial" w:cs="Arial"/>
          <w:bCs/>
          <w:color w:val="000000"/>
          <w:sz w:val="20"/>
          <w:szCs w:val="20"/>
        </w:rPr>
      </w:pPr>
      <w:r w:rsidRPr="00FB351A">
        <w:rPr>
          <w:rFonts w:ascii="Arial" w:hAnsi="Arial" w:cs="Arial"/>
          <w:bCs/>
          <w:noProof/>
          <w:color w:val="000000"/>
          <w:sz w:val="20"/>
          <w:szCs w:val="20"/>
        </w:rPr>
        <w:drawing>
          <wp:inline distT="0" distB="0" distL="0" distR="0" wp14:anchorId="211811F4" wp14:editId="03497134">
            <wp:extent cx="5937885" cy="2007235"/>
            <wp:effectExtent l="0" t="0" r="5715" b="0"/>
            <wp:docPr id="452315359"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37885" cy="2007235"/>
                    </a:xfrm>
                    <a:prstGeom prst="rect">
                      <a:avLst/>
                    </a:prstGeom>
                    <a:noFill/>
                    <a:ln>
                      <a:noFill/>
                    </a:ln>
                  </pic:spPr>
                </pic:pic>
              </a:graphicData>
            </a:graphic>
          </wp:inline>
        </w:drawing>
      </w:r>
    </w:p>
    <w:p w14:paraId="5C029AAE" w14:textId="0CF7E95D" w:rsidR="00292E9C" w:rsidRPr="00FB351A" w:rsidRDefault="00292E9C" w:rsidP="00803115">
      <w:pPr>
        <w:pStyle w:val="Descripcin"/>
        <w:jc w:val="both"/>
        <w:rPr>
          <w:rFonts w:ascii="Arial" w:eastAsia="Batang" w:hAnsi="Arial" w:cs="Arial"/>
          <w:b w:val="0"/>
          <w:bCs w:val="0"/>
          <w:lang w:val="es-CO"/>
        </w:rPr>
      </w:pPr>
      <w:r w:rsidRPr="00FB351A">
        <w:rPr>
          <w:rFonts w:ascii="Arial" w:hAnsi="Arial" w:cs="Arial"/>
          <w:b w:val="0"/>
          <w:bCs w:val="0"/>
        </w:rPr>
        <w:t xml:space="preserve">Gráfica Estado de resultados compañías de seguros de vida. Tomado de Resumen ejecutivo </w:t>
      </w:r>
      <w:proofErr w:type="spellStart"/>
      <w:r w:rsidRPr="00FB351A">
        <w:rPr>
          <w:rFonts w:ascii="Arial" w:hAnsi="Arial" w:cs="Arial"/>
          <w:b w:val="0"/>
          <w:bCs w:val="0"/>
        </w:rPr>
        <w:t>FASECOLDA</w:t>
      </w:r>
      <w:proofErr w:type="spellEnd"/>
    </w:p>
    <w:p w14:paraId="6AF4EB1C" w14:textId="77777777" w:rsidR="00292E9C" w:rsidRPr="00FB351A" w:rsidRDefault="00292E9C" w:rsidP="00803115">
      <w:pPr>
        <w:jc w:val="both"/>
        <w:rPr>
          <w:rFonts w:ascii="Arial" w:hAnsi="Arial" w:cs="Arial"/>
          <w:bCs/>
          <w:color w:val="000000"/>
          <w:sz w:val="20"/>
          <w:szCs w:val="20"/>
        </w:rPr>
      </w:pPr>
    </w:p>
    <w:p w14:paraId="1EBFDF8E" w14:textId="6981767E"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 xml:space="preserve">Disponible en: </w:t>
      </w:r>
      <w:hyperlink r:id="rId101" w:history="1">
        <w:r w:rsidR="005C2F65" w:rsidRPr="00FB351A">
          <w:rPr>
            <w:rFonts w:ascii="Arial" w:hAnsi="Arial" w:cs="Arial"/>
            <w:bCs/>
            <w:color w:val="000000"/>
            <w:sz w:val="20"/>
            <w:szCs w:val="20"/>
          </w:rPr>
          <w:t>https://www.fasecolda.com/informacion-financiera/</w:t>
        </w:r>
      </w:hyperlink>
    </w:p>
    <w:p w14:paraId="169A7A9E" w14:textId="77777777" w:rsidR="005C2F65" w:rsidRPr="00FB351A" w:rsidRDefault="005C2F65" w:rsidP="00803115">
      <w:pPr>
        <w:jc w:val="both"/>
        <w:rPr>
          <w:rFonts w:ascii="Arial" w:hAnsi="Arial" w:cs="Arial"/>
          <w:bCs/>
          <w:color w:val="000000"/>
          <w:sz w:val="20"/>
          <w:szCs w:val="20"/>
        </w:rPr>
      </w:pPr>
    </w:p>
    <w:p w14:paraId="41F00F5F"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 xml:space="preserve">Señalando cómo se establecieron las empresas referentes del análisis de MiPymes, se tiene como resultado que las compañías de seguros presentan una clasificación de </w:t>
      </w:r>
      <w:r w:rsidRPr="00FB351A">
        <w:rPr>
          <w:rFonts w:ascii="Arial" w:hAnsi="Arial" w:cs="Arial"/>
          <w:bCs/>
          <w:color w:val="000000"/>
          <w:sz w:val="20"/>
          <w:szCs w:val="20"/>
          <w:u w:val="single"/>
        </w:rPr>
        <w:t>Gran Empresa</w:t>
      </w:r>
      <w:r w:rsidRPr="00FB351A">
        <w:rPr>
          <w:rFonts w:ascii="Arial" w:hAnsi="Arial" w:cs="Arial"/>
          <w:bCs/>
          <w:color w:val="000000"/>
          <w:sz w:val="20"/>
          <w:szCs w:val="20"/>
        </w:rPr>
        <w:t>, de conformidad con las cifras que reporta la industria aseguradora colombiana en relación con el patrimonio total y conforme con lo señalado por el Estatuto Orgánico del Sistema Financiero, que en su artículo [2–0138] Art. 80. 1- modificado por la Ley 795 de 2003, art. 16.- Capitales mínimos de las instituciones financieras indica que para las entidades aseguradoras, con excepción de aquellas que tengan como objeto exclusivo el ofrecimiento del ramo de seguro de crédito a la exportación y de aquellas que efectúen actividades propias de las compañías reaseguradoras, el capital mínimo será de cinco mil quinientos millones de pesos ($5.500.000.000.00), el cual se ajustará anualmente en forma automática en el mismo sentido y porcentaje en que varíe el índice de precios al consumidor que suministre el DANE.</w:t>
      </w:r>
    </w:p>
    <w:p w14:paraId="318A7F9C" w14:textId="77777777" w:rsidR="00292E9C" w:rsidRPr="00FB351A" w:rsidRDefault="00292E9C" w:rsidP="00803115">
      <w:pPr>
        <w:jc w:val="both"/>
        <w:rPr>
          <w:rFonts w:ascii="Arial" w:hAnsi="Arial" w:cs="Arial"/>
          <w:bCs/>
          <w:color w:val="000000"/>
          <w:sz w:val="20"/>
          <w:szCs w:val="20"/>
        </w:rPr>
      </w:pPr>
    </w:p>
    <w:p w14:paraId="294E642E"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lastRenderedPageBreak/>
        <w:t xml:space="preserve">Finalmente, frente al análisis de MIPYMES, se tiene como resultado que las compañías de seguros presentan una clasificación de Gran Empresa, la cual es corroborada, además, directamente en el certificado de cámara de comercio expedido para cada una de ellas. </w:t>
      </w:r>
    </w:p>
    <w:p w14:paraId="3F6610C1" w14:textId="77777777" w:rsidR="00292E9C" w:rsidRPr="00FB351A" w:rsidRDefault="00292E9C" w:rsidP="00803115">
      <w:pPr>
        <w:jc w:val="both"/>
        <w:rPr>
          <w:rFonts w:ascii="Arial" w:hAnsi="Arial" w:cs="Arial"/>
          <w:bCs/>
          <w:color w:val="000000"/>
          <w:sz w:val="20"/>
          <w:szCs w:val="20"/>
        </w:rPr>
      </w:pPr>
    </w:p>
    <w:tbl>
      <w:tblPr>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6087"/>
        <w:gridCol w:w="1418"/>
        <w:gridCol w:w="2114"/>
      </w:tblGrid>
      <w:tr w:rsidR="00C330EA" w:rsidRPr="00FB351A" w14:paraId="612CDA60" w14:textId="77777777" w:rsidTr="00367394">
        <w:trPr>
          <w:trHeight w:val="20"/>
        </w:trPr>
        <w:tc>
          <w:tcPr>
            <w:tcW w:w="3164" w:type="pct"/>
            <w:shd w:val="clear" w:color="auto" w:fill="DBE5F1" w:themeFill="accent1" w:themeFillTint="33"/>
            <w:vAlign w:val="center"/>
            <w:hideMark/>
          </w:tcPr>
          <w:p w14:paraId="51D22991" w14:textId="77777777" w:rsidR="00C330EA" w:rsidRPr="00FB351A" w:rsidRDefault="00C330EA" w:rsidP="00367394">
            <w:pPr>
              <w:jc w:val="center"/>
              <w:rPr>
                <w:rFonts w:ascii="Arial" w:hAnsi="Arial" w:cs="Arial"/>
                <w:b/>
                <w:bCs/>
                <w:sz w:val="20"/>
                <w:szCs w:val="20"/>
              </w:rPr>
            </w:pPr>
            <w:r w:rsidRPr="00FB351A">
              <w:rPr>
                <w:rFonts w:ascii="Arial" w:hAnsi="Arial" w:cs="Arial"/>
                <w:b/>
                <w:bCs/>
                <w:color w:val="000000"/>
                <w:sz w:val="20"/>
                <w:szCs w:val="20"/>
              </w:rPr>
              <w:t>PROVEEDOR</w:t>
            </w:r>
          </w:p>
        </w:tc>
        <w:tc>
          <w:tcPr>
            <w:tcW w:w="737" w:type="pct"/>
            <w:shd w:val="clear" w:color="auto" w:fill="DBE5F1" w:themeFill="accent1" w:themeFillTint="33"/>
            <w:vAlign w:val="center"/>
            <w:hideMark/>
          </w:tcPr>
          <w:p w14:paraId="06917D0A" w14:textId="77777777" w:rsidR="00C330EA" w:rsidRPr="00FB351A" w:rsidRDefault="00C330EA" w:rsidP="00367394">
            <w:pPr>
              <w:jc w:val="center"/>
              <w:rPr>
                <w:rFonts w:ascii="Arial" w:hAnsi="Arial" w:cs="Arial"/>
                <w:b/>
                <w:bCs/>
                <w:sz w:val="20"/>
                <w:szCs w:val="20"/>
              </w:rPr>
            </w:pPr>
            <w:proofErr w:type="spellStart"/>
            <w:r w:rsidRPr="00FB351A">
              <w:rPr>
                <w:rFonts w:ascii="Arial" w:hAnsi="Arial" w:cs="Arial"/>
                <w:b/>
                <w:bCs/>
                <w:sz w:val="20"/>
                <w:szCs w:val="20"/>
              </w:rPr>
              <w:t>NIT</w:t>
            </w:r>
            <w:proofErr w:type="spellEnd"/>
          </w:p>
        </w:tc>
        <w:tc>
          <w:tcPr>
            <w:tcW w:w="1099" w:type="pct"/>
            <w:shd w:val="clear" w:color="auto" w:fill="DBE5F1" w:themeFill="accent1" w:themeFillTint="33"/>
            <w:vAlign w:val="center"/>
          </w:tcPr>
          <w:p w14:paraId="1676A88D" w14:textId="77777777" w:rsidR="00C330EA" w:rsidRPr="00FB351A" w:rsidRDefault="00C330EA" w:rsidP="00367394">
            <w:pPr>
              <w:jc w:val="center"/>
              <w:rPr>
                <w:rFonts w:ascii="Arial" w:hAnsi="Arial" w:cs="Arial"/>
                <w:b/>
                <w:bCs/>
                <w:sz w:val="20"/>
                <w:szCs w:val="20"/>
              </w:rPr>
            </w:pPr>
            <w:r w:rsidRPr="00FB351A">
              <w:rPr>
                <w:rFonts w:ascii="Arial" w:hAnsi="Arial" w:cs="Arial"/>
                <w:b/>
                <w:bCs/>
                <w:color w:val="000000"/>
                <w:sz w:val="20"/>
                <w:szCs w:val="20"/>
              </w:rPr>
              <w:t>CLASIFICACIÓN -TAMAÑO EMPRESA</w:t>
            </w:r>
          </w:p>
        </w:tc>
      </w:tr>
      <w:tr w:rsidR="00C330EA" w:rsidRPr="00FB351A" w14:paraId="6D266D65" w14:textId="77777777" w:rsidTr="00367394">
        <w:trPr>
          <w:trHeight w:val="20"/>
        </w:trPr>
        <w:tc>
          <w:tcPr>
            <w:tcW w:w="3164" w:type="pct"/>
            <w:vAlign w:val="center"/>
            <w:hideMark/>
          </w:tcPr>
          <w:p w14:paraId="10C274B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Allianz Seguros S.A.</w:t>
            </w:r>
          </w:p>
        </w:tc>
        <w:tc>
          <w:tcPr>
            <w:tcW w:w="737" w:type="pct"/>
            <w:vAlign w:val="center"/>
            <w:hideMark/>
          </w:tcPr>
          <w:p w14:paraId="0F0429CF"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860026182-5</w:t>
            </w:r>
          </w:p>
        </w:tc>
        <w:tc>
          <w:tcPr>
            <w:tcW w:w="1099" w:type="pct"/>
            <w:vAlign w:val="center"/>
          </w:tcPr>
          <w:p w14:paraId="2DC4ACD0" w14:textId="77777777"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7BD0F08" w14:textId="77777777" w:rsidTr="00367394">
        <w:trPr>
          <w:trHeight w:val="20"/>
        </w:trPr>
        <w:tc>
          <w:tcPr>
            <w:tcW w:w="3164" w:type="pct"/>
            <w:vAlign w:val="center"/>
            <w:hideMark/>
          </w:tcPr>
          <w:p w14:paraId="763FA09E"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CHUBB SEGUROS COLOMBIA S.A.</w:t>
            </w:r>
          </w:p>
        </w:tc>
        <w:tc>
          <w:tcPr>
            <w:tcW w:w="737" w:type="pct"/>
            <w:vAlign w:val="center"/>
            <w:hideMark/>
          </w:tcPr>
          <w:p w14:paraId="0201C104"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860026518-6</w:t>
            </w:r>
          </w:p>
        </w:tc>
        <w:tc>
          <w:tcPr>
            <w:tcW w:w="1099" w:type="pct"/>
            <w:vAlign w:val="center"/>
          </w:tcPr>
          <w:p w14:paraId="1856746C" w14:textId="5C5418AA"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555B937E" w14:textId="77777777" w:rsidTr="00367394">
        <w:trPr>
          <w:trHeight w:val="20"/>
        </w:trPr>
        <w:tc>
          <w:tcPr>
            <w:tcW w:w="3164" w:type="pct"/>
            <w:vAlign w:val="center"/>
            <w:hideMark/>
          </w:tcPr>
          <w:p w14:paraId="3AF66E70"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"AXA Colpatria Seguros S.A." (en adelante la "Sociedad")</w:t>
            </w:r>
          </w:p>
        </w:tc>
        <w:tc>
          <w:tcPr>
            <w:tcW w:w="737" w:type="pct"/>
            <w:vAlign w:val="center"/>
            <w:hideMark/>
          </w:tcPr>
          <w:p w14:paraId="1AF791EF"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860002184-6</w:t>
            </w:r>
          </w:p>
        </w:tc>
        <w:tc>
          <w:tcPr>
            <w:tcW w:w="1099" w:type="pct"/>
            <w:vAlign w:val="center"/>
          </w:tcPr>
          <w:p w14:paraId="26A65019" w14:textId="214325C0"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7CEF8FFC" w14:textId="77777777" w:rsidTr="00367394">
        <w:trPr>
          <w:trHeight w:val="20"/>
        </w:trPr>
        <w:tc>
          <w:tcPr>
            <w:tcW w:w="3164" w:type="pct"/>
            <w:vAlign w:val="center"/>
            <w:hideMark/>
          </w:tcPr>
          <w:p w14:paraId="35361C65"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NACIONAL DE SEGUROS S.A. COMPAÑÍA DE SEGUROS GENERALES, y podrá utilizar válidamente las siglas "NACIONAL DE SEGUROS" o "</w:t>
            </w:r>
            <w:proofErr w:type="spellStart"/>
            <w:r w:rsidRPr="00FB351A">
              <w:rPr>
                <w:rFonts w:ascii="Arial" w:hAnsi="Arial" w:cs="Arial"/>
                <w:sz w:val="20"/>
                <w:szCs w:val="20"/>
              </w:rPr>
              <w:t>NS</w:t>
            </w:r>
            <w:proofErr w:type="spellEnd"/>
            <w:r w:rsidRPr="00FB351A">
              <w:rPr>
                <w:rFonts w:ascii="Arial" w:hAnsi="Arial" w:cs="Arial"/>
                <w:sz w:val="20"/>
                <w:szCs w:val="20"/>
              </w:rPr>
              <w:t>"</w:t>
            </w:r>
          </w:p>
        </w:tc>
        <w:tc>
          <w:tcPr>
            <w:tcW w:w="737" w:type="pct"/>
            <w:vAlign w:val="center"/>
            <w:hideMark/>
          </w:tcPr>
          <w:p w14:paraId="77EC1D70"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860002527-9</w:t>
            </w:r>
          </w:p>
        </w:tc>
        <w:tc>
          <w:tcPr>
            <w:tcW w:w="1099" w:type="pct"/>
            <w:vAlign w:val="center"/>
          </w:tcPr>
          <w:p w14:paraId="38324E38" w14:textId="280BF11F"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7348E92F" w14:textId="77777777" w:rsidTr="00367394">
        <w:trPr>
          <w:trHeight w:val="20"/>
        </w:trPr>
        <w:tc>
          <w:tcPr>
            <w:tcW w:w="3164" w:type="pct"/>
            <w:vAlign w:val="center"/>
            <w:hideMark/>
          </w:tcPr>
          <w:p w14:paraId="0D73A7FE"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Compañía Aseguradora de Fianzas S.A., Confianza Sigla: Seguros Confianza S.A.</w:t>
            </w:r>
          </w:p>
        </w:tc>
        <w:tc>
          <w:tcPr>
            <w:tcW w:w="737" w:type="pct"/>
            <w:vAlign w:val="center"/>
            <w:hideMark/>
          </w:tcPr>
          <w:p w14:paraId="29006F0D"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860070374-9</w:t>
            </w:r>
          </w:p>
        </w:tc>
        <w:tc>
          <w:tcPr>
            <w:tcW w:w="1099" w:type="pct"/>
            <w:vAlign w:val="center"/>
          </w:tcPr>
          <w:p w14:paraId="10B10CE8" w14:textId="6D2DF8D7"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7CECD99C" w14:textId="77777777" w:rsidTr="00367394">
        <w:trPr>
          <w:trHeight w:val="20"/>
        </w:trPr>
        <w:tc>
          <w:tcPr>
            <w:tcW w:w="3164" w:type="pct"/>
            <w:vAlign w:val="center"/>
            <w:hideMark/>
          </w:tcPr>
          <w:p w14:paraId="4F26A62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ZURICH COLOMBIA SEGUROS S.A.</w:t>
            </w:r>
          </w:p>
        </w:tc>
        <w:tc>
          <w:tcPr>
            <w:tcW w:w="737" w:type="pct"/>
            <w:vAlign w:val="center"/>
            <w:hideMark/>
          </w:tcPr>
          <w:p w14:paraId="18C156ED"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860002534-0</w:t>
            </w:r>
          </w:p>
        </w:tc>
        <w:tc>
          <w:tcPr>
            <w:tcW w:w="1099" w:type="pct"/>
            <w:vAlign w:val="center"/>
          </w:tcPr>
          <w:p w14:paraId="4C308861" w14:textId="17B0545B"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5BE5B9D" w14:textId="77777777" w:rsidTr="00367394">
        <w:trPr>
          <w:trHeight w:val="20"/>
        </w:trPr>
        <w:tc>
          <w:tcPr>
            <w:tcW w:w="3164" w:type="pct"/>
            <w:vAlign w:val="center"/>
            <w:hideMark/>
          </w:tcPr>
          <w:p w14:paraId="256536DA"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HDI</w:t>
            </w:r>
            <w:proofErr w:type="spellEnd"/>
            <w:r w:rsidRPr="00FB351A">
              <w:rPr>
                <w:rFonts w:ascii="Arial" w:hAnsi="Arial" w:cs="Arial"/>
                <w:sz w:val="20"/>
                <w:szCs w:val="20"/>
              </w:rPr>
              <w:t xml:space="preserve"> SEGUROS COLOMBIA SA</w:t>
            </w:r>
          </w:p>
        </w:tc>
        <w:tc>
          <w:tcPr>
            <w:tcW w:w="737" w:type="pct"/>
            <w:vAlign w:val="center"/>
            <w:hideMark/>
          </w:tcPr>
          <w:p w14:paraId="36F6025E"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860039988-0</w:t>
            </w:r>
          </w:p>
        </w:tc>
        <w:tc>
          <w:tcPr>
            <w:tcW w:w="1099" w:type="pct"/>
            <w:vAlign w:val="center"/>
          </w:tcPr>
          <w:p w14:paraId="16C59A55" w14:textId="62A0F176"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6A980EE" w14:textId="77777777" w:rsidTr="00367394">
        <w:trPr>
          <w:trHeight w:val="20"/>
        </w:trPr>
        <w:tc>
          <w:tcPr>
            <w:tcW w:w="3164" w:type="pct"/>
            <w:vAlign w:val="center"/>
            <w:hideMark/>
          </w:tcPr>
          <w:p w14:paraId="62CD5A5E"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Compañía Mundial de Seguros S.A.  Sigla:  SEGUROS MUNDIAL</w:t>
            </w:r>
          </w:p>
        </w:tc>
        <w:tc>
          <w:tcPr>
            <w:tcW w:w="737" w:type="pct"/>
            <w:vAlign w:val="center"/>
            <w:hideMark/>
          </w:tcPr>
          <w:p w14:paraId="7B10BB2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860037013-6</w:t>
            </w:r>
          </w:p>
        </w:tc>
        <w:tc>
          <w:tcPr>
            <w:tcW w:w="1099" w:type="pct"/>
            <w:vAlign w:val="center"/>
          </w:tcPr>
          <w:p w14:paraId="4BE90D21" w14:textId="535C23DE"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11022C76" w14:textId="77777777" w:rsidTr="00367394">
        <w:trPr>
          <w:trHeight w:val="20"/>
        </w:trPr>
        <w:tc>
          <w:tcPr>
            <w:tcW w:w="3164" w:type="pct"/>
            <w:vAlign w:val="center"/>
            <w:hideMark/>
          </w:tcPr>
          <w:p w14:paraId="6FC4116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SEGUROS GENERALES SURAMERICANA S.A. pudiendo emplear la sigla "Seguros Generales SURA"</w:t>
            </w:r>
          </w:p>
        </w:tc>
        <w:tc>
          <w:tcPr>
            <w:tcW w:w="737" w:type="pct"/>
            <w:vAlign w:val="center"/>
            <w:hideMark/>
          </w:tcPr>
          <w:p w14:paraId="4FDCD903"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890903407-9</w:t>
            </w:r>
          </w:p>
        </w:tc>
        <w:tc>
          <w:tcPr>
            <w:tcW w:w="1099" w:type="pct"/>
            <w:vAlign w:val="center"/>
          </w:tcPr>
          <w:p w14:paraId="667E2945" w14:textId="10D8D9FD"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15F5C32D" w14:textId="77777777" w:rsidTr="00367394">
        <w:trPr>
          <w:trHeight w:val="20"/>
        </w:trPr>
        <w:tc>
          <w:tcPr>
            <w:tcW w:w="3164" w:type="pct"/>
            <w:vAlign w:val="center"/>
            <w:hideMark/>
          </w:tcPr>
          <w:p w14:paraId="1B707007"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SBS</w:t>
            </w:r>
            <w:proofErr w:type="spellEnd"/>
            <w:r w:rsidRPr="00FB351A">
              <w:rPr>
                <w:rFonts w:ascii="Arial" w:hAnsi="Arial" w:cs="Arial"/>
                <w:sz w:val="20"/>
                <w:szCs w:val="20"/>
              </w:rPr>
              <w:t xml:space="preserve"> SEGUROS COLOMBIA S.A., pero podrá usar las siglas </w:t>
            </w:r>
            <w:proofErr w:type="spellStart"/>
            <w:r w:rsidRPr="00FB351A">
              <w:rPr>
                <w:rFonts w:ascii="Arial" w:hAnsi="Arial" w:cs="Arial"/>
                <w:sz w:val="20"/>
                <w:szCs w:val="20"/>
              </w:rPr>
              <w:t>SBS</w:t>
            </w:r>
            <w:proofErr w:type="spellEnd"/>
            <w:r w:rsidRPr="00FB351A">
              <w:rPr>
                <w:rFonts w:ascii="Arial" w:hAnsi="Arial" w:cs="Arial"/>
                <w:sz w:val="20"/>
                <w:szCs w:val="20"/>
              </w:rPr>
              <w:t xml:space="preserve"> SEGUROS o </w:t>
            </w:r>
            <w:proofErr w:type="spellStart"/>
            <w:r w:rsidRPr="00FB351A">
              <w:rPr>
                <w:rFonts w:ascii="Arial" w:hAnsi="Arial" w:cs="Arial"/>
                <w:sz w:val="20"/>
                <w:szCs w:val="20"/>
              </w:rPr>
              <w:t>SBS</w:t>
            </w:r>
            <w:proofErr w:type="spellEnd"/>
            <w:r w:rsidRPr="00FB351A">
              <w:rPr>
                <w:rFonts w:ascii="Arial" w:hAnsi="Arial" w:cs="Arial"/>
                <w:sz w:val="20"/>
                <w:szCs w:val="20"/>
              </w:rPr>
              <w:t xml:space="preserve"> COLOMBIA o </w:t>
            </w:r>
            <w:proofErr w:type="spellStart"/>
            <w:r w:rsidRPr="00FB351A">
              <w:rPr>
                <w:rFonts w:ascii="Arial" w:hAnsi="Arial" w:cs="Arial"/>
                <w:sz w:val="20"/>
                <w:szCs w:val="20"/>
              </w:rPr>
              <w:t>SBSEGUROS</w:t>
            </w:r>
            <w:proofErr w:type="spellEnd"/>
          </w:p>
        </w:tc>
        <w:tc>
          <w:tcPr>
            <w:tcW w:w="737" w:type="pct"/>
            <w:vAlign w:val="center"/>
            <w:hideMark/>
          </w:tcPr>
          <w:p w14:paraId="4386891F"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860037707-9</w:t>
            </w:r>
          </w:p>
        </w:tc>
        <w:tc>
          <w:tcPr>
            <w:tcW w:w="1099" w:type="pct"/>
            <w:vAlign w:val="center"/>
          </w:tcPr>
          <w:p w14:paraId="1B47362B" w14:textId="6A2F6652"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DB87C8D" w14:textId="77777777" w:rsidTr="00367394">
        <w:trPr>
          <w:trHeight w:val="20"/>
        </w:trPr>
        <w:tc>
          <w:tcPr>
            <w:tcW w:w="3164" w:type="pct"/>
            <w:vAlign w:val="center"/>
            <w:hideMark/>
          </w:tcPr>
          <w:p w14:paraId="104D47A1"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La Previsora S.A. Compañía de Seguros, y podrá usar la sigla "LA PREVISORA S.A."</w:t>
            </w:r>
          </w:p>
        </w:tc>
        <w:tc>
          <w:tcPr>
            <w:tcW w:w="737" w:type="pct"/>
            <w:vAlign w:val="center"/>
            <w:hideMark/>
          </w:tcPr>
          <w:p w14:paraId="7FC19A64"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860002400-2</w:t>
            </w:r>
          </w:p>
        </w:tc>
        <w:tc>
          <w:tcPr>
            <w:tcW w:w="1099" w:type="pct"/>
            <w:vAlign w:val="center"/>
          </w:tcPr>
          <w:p w14:paraId="414CE34B" w14:textId="37754676"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13E64C51" w14:textId="77777777" w:rsidTr="00367394">
        <w:trPr>
          <w:trHeight w:val="20"/>
        </w:trPr>
        <w:tc>
          <w:tcPr>
            <w:tcW w:w="3164" w:type="pct"/>
            <w:vAlign w:val="center"/>
            <w:hideMark/>
          </w:tcPr>
          <w:p w14:paraId="698F11ED"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Seguros Alfa S.A.</w:t>
            </w:r>
          </w:p>
        </w:tc>
        <w:tc>
          <w:tcPr>
            <w:tcW w:w="737" w:type="pct"/>
            <w:vAlign w:val="center"/>
            <w:hideMark/>
          </w:tcPr>
          <w:p w14:paraId="30AF8FBC"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860031979-8</w:t>
            </w:r>
          </w:p>
        </w:tc>
        <w:tc>
          <w:tcPr>
            <w:tcW w:w="1099" w:type="pct"/>
            <w:vAlign w:val="center"/>
          </w:tcPr>
          <w:p w14:paraId="5A29E295" w14:textId="291CDB36"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1BAA3B8" w14:textId="77777777" w:rsidTr="00367394">
        <w:trPr>
          <w:trHeight w:val="20"/>
        </w:trPr>
        <w:tc>
          <w:tcPr>
            <w:tcW w:w="3164" w:type="pct"/>
            <w:vAlign w:val="center"/>
            <w:hideMark/>
          </w:tcPr>
          <w:p w14:paraId="050A7F45"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 xml:space="preserve">Mapfre Seguros Generales de Colombia S.A. </w:t>
            </w:r>
            <w:r w:rsidRPr="00FB351A">
              <w:rPr>
                <w:rFonts w:ascii="Arial" w:hAnsi="Arial" w:cs="Arial"/>
                <w:sz w:val="20"/>
                <w:szCs w:val="20"/>
              </w:rPr>
              <w:br/>
              <w:t>Sigla: MAPFRE SEGUROS</w:t>
            </w:r>
          </w:p>
        </w:tc>
        <w:tc>
          <w:tcPr>
            <w:tcW w:w="737" w:type="pct"/>
            <w:vAlign w:val="center"/>
            <w:hideMark/>
          </w:tcPr>
          <w:p w14:paraId="7EC1243F"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891700037-9</w:t>
            </w:r>
          </w:p>
        </w:tc>
        <w:tc>
          <w:tcPr>
            <w:tcW w:w="1099" w:type="pct"/>
            <w:vAlign w:val="center"/>
          </w:tcPr>
          <w:p w14:paraId="52988F34" w14:textId="53125EE3"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5E1D0667" w14:textId="77777777" w:rsidTr="00367394">
        <w:trPr>
          <w:trHeight w:val="20"/>
        </w:trPr>
        <w:tc>
          <w:tcPr>
            <w:tcW w:w="3164" w:type="pct"/>
            <w:vAlign w:val="center"/>
            <w:hideMark/>
          </w:tcPr>
          <w:p w14:paraId="30279DEA"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Seguros Comerciales Bolívar S.A.</w:t>
            </w:r>
          </w:p>
        </w:tc>
        <w:tc>
          <w:tcPr>
            <w:tcW w:w="737" w:type="pct"/>
            <w:vAlign w:val="center"/>
            <w:hideMark/>
          </w:tcPr>
          <w:p w14:paraId="7AE1EC33"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860002180-7</w:t>
            </w:r>
          </w:p>
        </w:tc>
        <w:tc>
          <w:tcPr>
            <w:tcW w:w="1099" w:type="pct"/>
            <w:vAlign w:val="center"/>
          </w:tcPr>
          <w:p w14:paraId="482F6AB2" w14:textId="02CF141E"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537C98AE" w14:textId="77777777" w:rsidTr="00367394">
        <w:trPr>
          <w:trHeight w:val="20"/>
        </w:trPr>
        <w:tc>
          <w:tcPr>
            <w:tcW w:w="3164" w:type="pct"/>
            <w:vAlign w:val="center"/>
            <w:hideMark/>
          </w:tcPr>
          <w:p w14:paraId="1A8B922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Seguros del Estado S.A.</w:t>
            </w:r>
          </w:p>
        </w:tc>
        <w:tc>
          <w:tcPr>
            <w:tcW w:w="737" w:type="pct"/>
            <w:vAlign w:val="center"/>
            <w:hideMark/>
          </w:tcPr>
          <w:p w14:paraId="7772E238"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860009578-6</w:t>
            </w:r>
          </w:p>
        </w:tc>
        <w:tc>
          <w:tcPr>
            <w:tcW w:w="1099" w:type="pct"/>
            <w:vAlign w:val="center"/>
          </w:tcPr>
          <w:p w14:paraId="0D5D6872" w14:textId="5D437AB8"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072CB317" w14:textId="77777777" w:rsidTr="00367394">
        <w:trPr>
          <w:trHeight w:val="20"/>
        </w:trPr>
        <w:tc>
          <w:tcPr>
            <w:tcW w:w="3164" w:type="pct"/>
            <w:vAlign w:val="center"/>
            <w:hideMark/>
          </w:tcPr>
          <w:p w14:paraId="6DFA3F0C"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Segurexpo</w:t>
            </w:r>
            <w:proofErr w:type="spellEnd"/>
            <w:r w:rsidRPr="00FB351A">
              <w:rPr>
                <w:rFonts w:ascii="Arial" w:hAnsi="Arial" w:cs="Arial"/>
                <w:sz w:val="20"/>
                <w:szCs w:val="20"/>
              </w:rPr>
              <w:t xml:space="preserve"> de Colombia S.A. Aseguradora de Crédito y del Comercio Exterior. Denominación simple de </w:t>
            </w:r>
            <w:proofErr w:type="spellStart"/>
            <w:r w:rsidRPr="00FB351A">
              <w:rPr>
                <w:rFonts w:ascii="Arial" w:hAnsi="Arial" w:cs="Arial"/>
                <w:sz w:val="20"/>
                <w:szCs w:val="20"/>
              </w:rPr>
              <w:t>SEGUREXPO</w:t>
            </w:r>
            <w:proofErr w:type="spellEnd"/>
          </w:p>
        </w:tc>
        <w:tc>
          <w:tcPr>
            <w:tcW w:w="737" w:type="pct"/>
            <w:vAlign w:val="center"/>
            <w:hideMark/>
          </w:tcPr>
          <w:p w14:paraId="3451A885"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860009195-9</w:t>
            </w:r>
          </w:p>
        </w:tc>
        <w:tc>
          <w:tcPr>
            <w:tcW w:w="1099" w:type="pct"/>
            <w:vAlign w:val="center"/>
          </w:tcPr>
          <w:p w14:paraId="3BBAC537" w14:textId="00C7CB0D"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309E1B3" w14:textId="77777777" w:rsidTr="00367394">
        <w:trPr>
          <w:trHeight w:val="20"/>
        </w:trPr>
        <w:tc>
          <w:tcPr>
            <w:tcW w:w="3164" w:type="pct"/>
            <w:shd w:val="clear" w:color="000000" w:fill="FFFFFF"/>
            <w:vAlign w:val="center"/>
            <w:hideMark/>
          </w:tcPr>
          <w:p w14:paraId="58DF203E"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BBVA Seguros Colombia S.A. Pudiendo utilizar indistintamente, para todos los efectos legales, el nombre BBVA Seguros</w:t>
            </w:r>
          </w:p>
        </w:tc>
        <w:tc>
          <w:tcPr>
            <w:tcW w:w="737" w:type="pct"/>
            <w:vAlign w:val="center"/>
            <w:hideMark/>
          </w:tcPr>
          <w:p w14:paraId="02E4CEC8"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800226098-4</w:t>
            </w:r>
          </w:p>
        </w:tc>
        <w:tc>
          <w:tcPr>
            <w:tcW w:w="1099" w:type="pct"/>
            <w:vAlign w:val="center"/>
          </w:tcPr>
          <w:p w14:paraId="1EDD837C" w14:textId="0BC572EA"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CCF490C" w14:textId="77777777" w:rsidTr="00367394">
        <w:trPr>
          <w:trHeight w:val="20"/>
        </w:trPr>
        <w:tc>
          <w:tcPr>
            <w:tcW w:w="3164" w:type="pct"/>
            <w:vAlign w:val="center"/>
            <w:hideMark/>
          </w:tcPr>
          <w:p w14:paraId="1D245C9B"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SOLUNION COLOMBIA SEGUROS DE CRÉDITO S.A. Sigla: SOLUNION S.A.</w:t>
            </w:r>
          </w:p>
        </w:tc>
        <w:tc>
          <w:tcPr>
            <w:tcW w:w="737" w:type="pct"/>
            <w:vAlign w:val="center"/>
            <w:hideMark/>
          </w:tcPr>
          <w:p w14:paraId="17017237"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811019190-7</w:t>
            </w:r>
          </w:p>
        </w:tc>
        <w:tc>
          <w:tcPr>
            <w:tcW w:w="1099" w:type="pct"/>
            <w:vAlign w:val="center"/>
          </w:tcPr>
          <w:p w14:paraId="2D875B88" w14:textId="30D62F89"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11C4AF1A" w14:textId="77777777" w:rsidTr="00367394">
        <w:trPr>
          <w:trHeight w:val="20"/>
        </w:trPr>
        <w:tc>
          <w:tcPr>
            <w:tcW w:w="3164" w:type="pct"/>
            <w:vAlign w:val="center"/>
            <w:hideMark/>
          </w:tcPr>
          <w:p w14:paraId="773226A0"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Cardif</w:t>
            </w:r>
            <w:proofErr w:type="spellEnd"/>
            <w:r w:rsidRPr="00FB351A">
              <w:rPr>
                <w:rFonts w:ascii="Arial" w:hAnsi="Arial" w:cs="Arial"/>
                <w:sz w:val="20"/>
                <w:szCs w:val="20"/>
              </w:rPr>
              <w:t xml:space="preserve"> Colombia Seguros Generales S.A.</w:t>
            </w:r>
          </w:p>
        </w:tc>
        <w:tc>
          <w:tcPr>
            <w:tcW w:w="737" w:type="pct"/>
            <w:vAlign w:val="center"/>
            <w:hideMark/>
          </w:tcPr>
          <w:p w14:paraId="5A00BD1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900200435-3</w:t>
            </w:r>
          </w:p>
        </w:tc>
        <w:tc>
          <w:tcPr>
            <w:tcW w:w="1099" w:type="pct"/>
            <w:vAlign w:val="center"/>
          </w:tcPr>
          <w:p w14:paraId="6962E3A9" w14:textId="23EA6669"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68C8430" w14:textId="77777777" w:rsidTr="00367394">
        <w:trPr>
          <w:trHeight w:val="20"/>
        </w:trPr>
        <w:tc>
          <w:tcPr>
            <w:tcW w:w="3164" w:type="pct"/>
            <w:vAlign w:val="center"/>
            <w:hideMark/>
          </w:tcPr>
          <w:p w14:paraId="417E30B7" w14:textId="4A2CDD32"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JMALUCELLITRAVELERS</w:t>
            </w:r>
            <w:proofErr w:type="spellEnd"/>
            <w:r w:rsidRPr="00FB351A">
              <w:rPr>
                <w:rFonts w:ascii="Arial" w:hAnsi="Arial" w:cs="Arial"/>
                <w:sz w:val="20"/>
                <w:szCs w:val="20"/>
              </w:rPr>
              <w:t xml:space="preserve"> SEGUROS S.A. (en adelante la "COMPAÑÍA ASEGURADORA" o la "Sociedad</w:t>
            </w:r>
            <w:r w:rsidR="00367394" w:rsidRPr="00FB351A">
              <w:rPr>
                <w:rFonts w:ascii="Arial" w:hAnsi="Arial" w:cs="Arial"/>
                <w:sz w:val="20"/>
                <w:szCs w:val="20"/>
              </w:rPr>
              <w:t>”) Sigla</w:t>
            </w:r>
            <w:r w:rsidRPr="00FB351A">
              <w:rPr>
                <w:rFonts w:ascii="Arial" w:hAnsi="Arial" w:cs="Arial"/>
                <w:sz w:val="20"/>
                <w:szCs w:val="20"/>
              </w:rPr>
              <w:t xml:space="preserve"> : </w:t>
            </w:r>
            <w:proofErr w:type="spellStart"/>
            <w:r w:rsidRPr="00FB351A">
              <w:rPr>
                <w:rFonts w:ascii="Arial" w:hAnsi="Arial" w:cs="Arial"/>
                <w:sz w:val="20"/>
                <w:szCs w:val="20"/>
              </w:rPr>
              <w:t>JMALUCELLITRAVELERS</w:t>
            </w:r>
            <w:proofErr w:type="spellEnd"/>
            <w:r w:rsidRPr="00FB351A">
              <w:rPr>
                <w:rFonts w:ascii="Arial" w:hAnsi="Arial" w:cs="Arial"/>
                <w:sz w:val="20"/>
                <w:szCs w:val="20"/>
              </w:rPr>
              <w:t xml:space="preserve"> SEGUROS S.A.</w:t>
            </w:r>
          </w:p>
        </w:tc>
        <w:tc>
          <w:tcPr>
            <w:tcW w:w="737" w:type="pct"/>
            <w:vAlign w:val="center"/>
            <w:hideMark/>
          </w:tcPr>
          <w:p w14:paraId="211FC622"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900488151-3</w:t>
            </w:r>
          </w:p>
        </w:tc>
        <w:tc>
          <w:tcPr>
            <w:tcW w:w="1099" w:type="pct"/>
            <w:vAlign w:val="center"/>
          </w:tcPr>
          <w:p w14:paraId="5B00BE2C" w14:textId="72679ED9"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2EC2D6D8" w14:textId="77777777" w:rsidTr="00367394">
        <w:trPr>
          <w:trHeight w:val="20"/>
        </w:trPr>
        <w:tc>
          <w:tcPr>
            <w:tcW w:w="3164" w:type="pct"/>
            <w:vAlign w:val="center"/>
            <w:hideMark/>
          </w:tcPr>
          <w:p w14:paraId="17B7F5FD"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COFACE</w:t>
            </w:r>
            <w:proofErr w:type="spellEnd"/>
            <w:r w:rsidRPr="00FB351A">
              <w:rPr>
                <w:rFonts w:ascii="Arial" w:hAnsi="Arial" w:cs="Arial"/>
                <w:sz w:val="20"/>
                <w:szCs w:val="20"/>
              </w:rPr>
              <w:t xml:space="preserve"> COLOMBIA SEGUROS DE CRÉDITO S.A.  (en adelante: "COMPAÑÍA ASEGURADORA"</w:t>
            </w:r>
          </w:p>
        </w:tc>
        <w:tc>
          <w:tcPr>
            <w:tcW w:w="737" w:type="pct"/>
            <w:vAlign w:val="center"/>
            <w:hideMark/>
          </w:tcPr>
          <w:p w14:paraId="0764A881"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900679634-9</w:t>
            </w:r>
          </w:p>
        </w:tc>
        <w:tc>
          <w:tcPr>
            <w:tcW w:w="1099" w:type="pct"/>
            <w:vAlign w:val="center"/>
          </w:tcPr>
          <w:p w14:paraId="3BA11C2E" w14:textId="0C45E515"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AB744C4" w14:textId="77777777" w:rsidTr="00367394">
        <w:trPr>
          <w:trHeight w:val="20"/>
        </w:trPr>
        <w:tc>
          <w:tcPr>
            <w:tcW w:w="3164" w:type="pct"/>
            <w:vAlign w:val="center"/>
            <w:hideMark/>
          </w:tcPr>
          <w:p w14:paraId="03B8F6E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 xml:space="preserve">BERKLEY INTERNATIONAL SEGUROS COLOMBIA S.A.  Sigla "BERKLEY COLOMBIA </w:t>
            </w:r>
            <w:proofErr w:type="spellStart"/>
            <w:r w:rsidRPr="00FB351A">
              <w:rPr>
                <w:rFonts w:ascii="Arial" w:hAnsi="Arial" w:cs="Arial"/>
                <w:sz w:val="20"/>
                <w:szCs w:val="20"/>
              </w:rPr>
              <w:t>SEGUROAS</w:t>
            </w:r>
            <w:proofErr w:type="spellEnd"/>
            <w:r w:rsidRPr="00FB351A">
              <w:rPr>
                <w:rFonts w:ascii="Arial" w:hAnsi="Arial" w:cs="Arial"/>
                <w:sz w:val="20"/>
                <w:szCs w:val="20"/>
              </w:rPr>
              <w:t>", "BERKLEY SEGUROS" Y "BERKLEY"</w:t>
            </w:r>
          </w:p>
        </w:tc>
        <w:tc>
          <w:tcPr>
            <w:tcW w:w="737" w:type="pct"/>
            <w:vAlign w:val="center"/>
            <w:hideMark/>
          </w:tcPr>
          <w:p w14:paraId="69E5055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900814916-1</w:t>
            </w:r>
          </w:p>
        </w:tc>
        <w:tc>
          <w:tcPr>
            <w:tcW w:w="1099" w:type="pct"/>
            <w:vAlign w:val="center"/>
          </w:tcPr>
          <w:p w14:paraId="120A9308" w14:textId="70720442"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631C2A45" w14:textId="77777777" w:rsidTr="00367394">
        <w:trPr>
          <w:trHeight w:val="20"/>
        </w:trPr>
        <w:tc>
          <w:tcPr>
            <w:tcW w:w="3164" w:type="pct"/>
            <w:vAlign w:val="center"/>
            <w:hideMark/>
          </w:tcPr>
          <w:p w14:paraId="23D5E92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COLMENA SEGUROS GENERALES S.A.</w:t>
            </w:r>
          </w:p>
        </w:tc>
        <w:tc>
          <w:tcPr>
            <w:tcW w:w="737" w:type="pct"/>
            <w:vAlign w:val="center"/>
            <w:hideMark/>
          </w:tcPr>
          <w:p w14:paraId="605E1764"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901521912-6</w:t>
            </w:r>
          </w:p>
        </w:tc>
        <w:tc>
          <w:tcPr>
            <w:tcW w:w="1099" w:type="pct"/>
            <w:vAlign w:val="center"/>
          </w:tcPr>
          <w:p w14:paraId="14B44733" w14:textId="611A4991"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57F3E44E" w14:textId="77777777" w:rsidTr="00367394">
        <w:trPr>
          <w:trHeight w:val="20"/>
        </w:trPr>
        <w:tc>
          <w:tcPr>
            <w:tcW w:w="3164" w:type="pct"/>
            <w:vAlign w:val="center"/>
            <w:hideMark/>
          </w:tcPr>
          <w:p w14:paraId="4A8E827D" w14:textId="389835DE" w:rsidR="00C330EA" w:rsidRPr="00FB351A" w:rsidRDefault="00C330EA" w:rsidP="00367394">
            <w:pPr>
              <w:jc w:val="center"/>
              <w:rPr>
                <w:rFonts w:ascii="Arial" w:hAnsi="Arial" w:cs="Arial"/>
                <w:sz w:val="20"/>
                <w:szCs w:val="20"/>
              </w:rPr>
            </w:pPr>
            <w:r w:rsidRPr="00FB351A">
              <w:rPr>
                <w:rFonts w:ascii="Arial" w:hAnsi="Arial" w:cs="Arial"/>
                <w:sz w:val="20"/>
                <w:szCs w:val="20"/>
              </w:rPr>
              <w:t>EVEREST COMPAÑÍA DE SEGUROS GENERALES COLOMBIA S.A. ("la Sociedad</w:t>
            </w:r>
            <w:r w:rsidR="00367394" w:rsidRPr="00FB351A">
              <w:rPr>
                <w:rFonts w:ascii="Arial" w:hAnsi="Arial" w:cs="Arial"/>
                <w:sz w:val="20"/>
                <w:szCs w:val="20"/>
              </w:rPr>
              <w:t>”) y</w:t>
            </w:r>
            <w:r w:rsidRPr="00FB351A">
              <w:rPr>
                <w:rFonts w:ascii="Arial" w:hAnsi="Arial" w:cs="Arial"/>
                <w:sz w:val="20"/>
                <w:szCs w:val="20"/>
              </w:rPr>
              <w:t xml:space="preserve"> también podrá ser denominada bajo la sigla EVEREST SEGUROS COLOMBIA</w:t>
            </w:r>
          </w:p>
        </w:tc>
        <w:tc>
          <w:tcPr>
            <w:tcW w:w="737" w:type="pct"/>
            <w:vAlign w:val="center"/>
            <w:hideMark/>
          </w:tcPr>
          <w:p w14:paraId="5830E50D"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901839751-3</w:t>
            </w:r>
          </w:p>
        </w:tc>
        <w:tc>
          <w:tcPr>
            <w:tcW w:w="1099" w:type="pct"/>
            <w:vAlign w:val="center"/>
          </w:tcPr>
          <w:p w14:paraId="66D01649" w14:textId="4885279A"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05D1B272" w14:textId="77777777" w:rsidTr="00367394">
        <w:trPr>
          <w:trHeight w:val="20"/>
        </w:trPr>
        <w:tc>
          <w:tcPr>
            <w:tcW w:w="3164" w:type="pct"/>
            <w:vAlign w:val="center"/>
            <w:hideMark/>
          </w:tcPr>
          <w:p w14:paraId="428A72DB"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lastRenderedPageBreak/>
              <w:t>QUÁLITAS</w:t>
            </w:r>
            <w:proofErr w:type="spellEnd"/>
            <w:r w:rsidRPr="00FB351A">
              <w:rPr>
                <w:rFonts w:ascii="Arial" w:hAnsi="Arial" w:cs="Arial"/>
                <w:sz w:val="20"/>
                <w:szCs w:val="20"/>
              </w:rPr>
              <w:t xml:space="preserve"> COMPAÑÍA DE SEGUROS COLOMBIA S.A.</w:t>
            </w:r>
          </w:p>
        </w:tc>
        <w:tc>
          <w:tcPr>
            <w:tcW w:w="737" w:type="pct"/>
            <w:vAlign w:val="center"/>
            <w:hideMark/>
          </w:tcPr>
          <w:p w14:paraId="54651253"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901849037-5</w:t>
            </w:r>
          </w:p>
        </w:tc>
        <w:tc>
          <w:tcPr>
            <w:tcW w:w="1099" w:type="pct"/>
            <w:vAlign w:val="center"/>
          </w:tcPr>
          <w:p w14:paraId="447CE107" w14:textId="374D1650"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AC038E0" w14:textId="77777777" w:rsidTr="00367394">
        <w:tblPrEx>
          <w:tblBorders>
            <w:insideH w:val="single" w:sz="8" w:space="0" w:color="auto"/>
            <w:insideV w:val="single" w:sz="8" w:space="0" w:color="auto"/>
          </w:tblBorders>
        </w:tblPrEx>
        <w:trPr>
          <w:trHeight w:val="20"/>
        </w:trPr>
        <w:tc>
          <w:tcPr>
            <w:tcW w:w="3164" w:type="pct"/>
            <w:vAlign w:val="center"/>
            <w:hideMark/>
          </w:tcPr>
          <w:p w14:paraId="58B77E47"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Allianz Seguros de Vida S.A.</w:t>
            </w:r>
          </w:p>
        </w:tc>
        <w:tc>
          <w:tcPr>
            <w:tcW w:w="737" w:type="pct"/>
            <w:vAlign w:val="center"/>
            <w:hideMark/>
          </w:tcPr>
          <w:p w14:paraId="127452D8"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860027404-1</w:t>
            </w:r>
          </w:p>
        </w:tc>
        <w:tc>
          <w:tcPr>
            <w:tcW w:w="1099" w:type="pct"/>
            <w:vAlign w:val="center"/>
          </w:tcPr>
          <w:p w14:paraId="139AF546" w14:textId="235DCCF6"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4C56229" w14:textId="77777777" w:rsidTr="00367394">
        <w:tblPrEx>
          <w:tblBorders>
            <w:insideH w:val="single" w:sz="8" w:space="0" w:color="auto"/>
            <w:insideV w:val="single" w:sz="8" w:space="0" w:color="auto"/>
          </w:tblBorders>
        </w:tblPrEx>
        <w:trPr>
          <w:trHeight w:val="20"/>
        </w:trPr>
        <w:tc>
          <w:tcPr>
            <w:tcW w:w="3164" w:type="pct"/>
            <w:vAlign w:val="center"/>
            <w:hideMark/>
          </w:tcPr>
          <w:p w14:paraId="7B52B6EC" w14:textId="2D89A97D" w:rsidR="00C330EA" w:rsidRPr="00FB351A" w:rsidRDefault="00C330EA" w:rsidP="00367394">
            <w:pPr>
              <w:jc w:val="center"/>
              <w:rPr>
                <w:rFonts w:ascii="Arial" w:hAnsi="Arial" w:cs="Arial"/>
                <w:sz w:val="20"/>
                <w:szCs w:val="20"/>
              </w:rPr>
            </w:pPr>
            <w:r w:rsidRPr="00FB351A">
              <w:rPr>
                <w:rFonts w:ascii="Arial" w:hAnsi="Arial" w:cs="Arial"/>
                <w:sz w:val="20"/>
                <w:szCs w:val="20"/>
              </w:rPr>
              <w:t xml:space="preserve">"AXA </w:t>
            </w:r>
            <w:r w:rsidR="00367394" w:rsidRPr="00FB351A">
              <w:rPr>
                <w:rFonts w:ascii="Arial" w:hAnsi="Arial" w:cs="Arial"/>
                <w:sz w:val="20"/>
                <w:szCs w:val="20"/>
              </w:rPr>
              <w:t>Colpatria Seguros</w:t>
            </w:r>
            <w:r w:rsidRPr="00FB351A">
              <w:rPr>
                <w:rFonts w:ascii="Arial" w:hAnsi="Arial" w:cs="Arial"/>
                <w:sz w:val="20"/>
                <w:szCs w:val="20"/>
              </w:rPr>
              <w:t xml:space="preserve"> de Vida S.A." (en adelante la "Sociedad")</w:t>
            </w:r>
          </w:p>
        </w:tc>
        <w:tc>
          <w:tcPr>
            <w:tcW w:w="737" w:type="pct"/>
            <w:vAlign w:val="center"/>
            <w:hideMark/>
          </w:tcPr>
          <w:p w14:paraId="2F407BDD"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860002183-9</w:t>
            </w:r>
          </w:p>
        </w:tc>
        <w:tc>
          <w:tcPr>
            <w:tcW w:w="1099" w:type="pct"/>
            <w:vAlign w:val="center"/>
          </w:tcPr>
          <w:p w14:paraId="57DC9823" w14:textId="608CC14C"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6739E857" w14:textId="77777777" w:rsidTr="00367394">
        <w:tblPrEx>
          <w:tblBorders>
            <w:insideH w:val="single" w:sz="8" w:space="0" w:color="auto"/>
            <w:insideV w:val="single" w:sz="8" w:space="0" w:color="auto"/>
          </w:tblBorders>
        </w:tblPrEx>
        <w:trPr>
          <w:trHeight w:val="20"/>
        </w:trPr>
        <w:tc>
          <w:tcPr>
            <w:tcW w:w="3164" w:type="pct"/>
            <w:vAlign w:val="center"/>
            <w:hideMark/>
          </w:tcPr>
          <w:p w14:paraId="6353AADD"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Compañía de Seguros Bolívar S.A.  Denominación "SEGUROS BOLÍVAR S.A.".</w:t>
            </w:r>
          </w:p>
        </w:tc>
        <w:tc>
          <w:tcPr>
            <w:tcW w:w="737" w:type="pct"/>
            <w:vAlign w:val="center"/>
            <w:hideMark/>
          </w:tcPr>
          <w:p w14:paraId="1BCED6AD"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860002503-2</w:t>
            </w:r>
          </w:p>
        </w:tc>
        <w:tc>
          <w:tcPr>
            <w:tcW w:w="1099" w:type="pct"/>
            <w:vAlign w:val="center"/>
          </w:tcPr>
          <w:p w14:paraId="690E5E06" w14:textId="12E068D6"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ABF3038" w14:textId="77777777" w:rsidTr="00367394">
        <w:tblPrEx>
          <w:tblBorders>
            <w:insideH w:val="single" w:sz="8" w:space="0" w:color="auto"/>
            <w:insideV w:val="single" w:sz="8" w:space="0" w:color="auto"/>
          </w:tblBorders>
        </w:tblPrEx>
        <w:trPr>
          <w:trHeight w:val="20"/>
        </w:trPr>
        <w:tc>
          <w:tcPr>
            <w:tcW w:w="3164" w:type="pct"/>
            <w:vAlign w:val="center"/>
            <w:hideMark/>
          </w:tcPr>
          <w:p w14:paraId="33933B7B"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Compañía de Seguros de Vida Aurora S.A.</w:t>
            </w:r>
          </w:p>
        </w:tc>
        <w:tc>
          <w:tcPr>
            <w:tcW w:w="737" w:type="pct"/>
            <w:vAlign w:val="center"/>
            <w:hideMark/>
          </w:tcPr>
          <w:p w14:paraId="325DAA6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860022137-5</w:t>
            </w:r>
          </w:p>
        </w:tc>
        <w:tc>
          <w:tcPr>
            <w:tcW w:w="1099" w:type="pct"/>
            <w:vAlign w:val="center"/>
          </w:tcPr>
          <w:p w14:paraId="4E5F57FC" w14:textId="4622A69E"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985794D" w14:textId="77777777" w:rsidTr="00367394">
        <w:tblPrEx>
          <w:tblBorders>
            <w:insideH w:val="single" w:sz="8" w:space="0" w:color="auto"/>
            <w:insideV w:val="single" w:sz="8" w:space="0" w:color="auto"/>
          </w:tblBorders>
        </w:tblPrEx>
        <w:trPr>
          <w:trHeight w:val="20"/>
        </w:trPr>
        <w:tc>
          <w:tcPr>
            <w:tcW w:w="3164" w:type="pct"/>
            <w:vAlign w:val="center"/>
            <w:hideMark/>
          </w:tcPr>
          <w:p w14:paraId="53A9ADBB" w14:textId="29B400AA"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SKANDIA</w:t>
            </w:r>
            <w:proofErr w:type="spellEnd"/>
            <w:r w:rsidRPr="00FB351A">
              <w:rPr>
                <w:rFonts w:ascii="Arial" w:hAnsi="Arial" w:cs="Arial"/>
                <w:sz w:val="20"/>
                <w:szCs w:val="20"/>
              </w:rPr>
              <w:t xml:space="preserve"> COMPAÑÍA </w:t>
            </w:r>
            <w:r w:rsidR="00367394" w:rsidRPr="00FB351A">
              <w:rPr>
                <w:rFonts w:ascii="Arial" w:hAnsi="Arial" w:cs="Arial"/>
                <w:sz w:val="20"/>
                <w:szCs w:val="20"/>
              </w:rPr>
              <w:t>DE SEGUROS</w:t>
            </w:r>
            <w:r w:rsidRPr="00FB351A">
              <w:rPr>
                <w:rFonts w:ascii="Arial" w:hAnsi="Arial" w:cs="Arial"/>
                <w:sz w:val="20"/>
                <w:szCs w:val="20"/>
              </w:rPr>
              <w:t xml:space="preserve"> DE VIDA S.A., pudiendo en el desarrollo de su objeto social utilizar la sigla </w:t>
            </w:r>
            <w:proofErr w:type="spellStart"/>
            <w:r w:rsidRPr="00FB351A">
              <w:rPr>
                <w:rFonts w:ascii="Arial" w:hAnsi="Arial" w:cs="Arial"/>
                <w:sz w:val="20"/>
                <w:szCs w:val="20"/>
              </w:rPr>
              <w:t>SKANDIA</w:t>
            </w:r>
            <w:proofErr w:type="spellEnd"/>
            <w:r w:rsidRPr="00FB351A">
              <w:rPr>
                <w:rFonts w:ascii="Arial" w:hAnsi="Arial" w:cs="Arial"/>
                <w:sz w:val="20"/>
                <w:szCs w:val="20"/>
              </w:rPr>
              <w:t xml:space="preserve"> SEGUROS DE VIDA S.A.</w:t>
            </w:r>
          </w:p>
        </w:tc>
        <w:tc>
          <w:tcPr>
            <w:tcW w:w="737" w:type="pct"/>
            <w:vAlign w:val="center"/>
            <w:hideMark/>
          </w:tcPr>
          <w:p w14:paraId="2F7AD38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860002504-1</w:t>
            </w:r>
          </w:p>
        </w:tc>
        <w:tc>
          <w:tcPr>
            <w:tcW w:w="1099" w:type="pct"/>
            <w:vAlign w:val="center"/>
          </w:tcPr>
          <w:p w14:paraId="1611876F" w14:textId="3A5EE32D"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6FBDEAB8" w14:textId="77777777" w:rsidTr="00367394">
        <w:tblPrEx>
          <w:tblBorders>
            <w:insideH w:val="single" w:sz="8" w:space="0" w:color="auto"/>
            <w:insideV w:val="single" w:sz="8" w:space="0" w:color="auto"/>
          </w:tblBorders>
        </w:tblPrEx>
        <w:trPr>
          <w:trHeight w:val="20"/>
        </w:trPr>
        <w:tc>
          <w:tcPr>
            <w:tcW w:w="3164" w:type="pct"/>
            <w:vAlign w:val="center"/>
            <w:hideMark/>
          </w:tcPr>
          <w:p w14:paraId="508B5FDB"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Seguros de Vida Suramericana S.A. pudiendo emplear la sigla "Seguros de Vida SURA"</w:t>
            </w:r>
          </w:p>
        </w:tc>
        <w:tc>
          <w:tcPr>
            <w:tcW w:w="737" w:type="pct"/>
            <w:vAlign w:val="center"/>
            <w:hideMark/>
          </w:tcPr>
          <w:p w14:paraId="0DE92915"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890903790-5</w:t>
            </w:r>
          </w:p>
        </w:tc>
        <w:tc>
          <w:tcPr>
            <w:tcW w:w="1099" w:type="pct"/>
            <w:vAlign w:val="center"/>
          </w:tcPr>
          <w:p w14:paraId="44D9B9E9" w14:textId="653DFEC7"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2BCE8F22" w14:textId="77777777" w:rsidTr="00367394">
        <w:tblPrEx>
          <w:tblBorders>
            <w:insideH w:val="single" w:sz="8" w:space="0" w:color="auto"/>
            <w:insideV w:val="single" w:sz="8" w:space="0" w:color="auto"/>
          </w:tblBorders>
        </w:tblPrEx>
        <w:trPr>
          <w:trHeight w:val="20"/>
        </w:trPr>
        <w:tc>
          <w:tcPr>
            <w:tcW w:w="3164" w:type="pct"/>
            <w:vAlign w:val="center"/>
            <w:hideMark/>
          </w:tcPr>
          <w:p w14:paraId="63E29532" w14:textId="081C61A8"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Metlife</w:t>
            </w:r>
            <w:proofErr w:type="spellEnd"/>
            <w:r w:rsidRPr="00FB351A">
              <w:rPr>
                <w:rFonts w:ascii="Arial" w:hAnsi="Arial" w:cs="Arial"/>
                <w:sz w:val="20"/>
                <w:szCs w:val="20"/>
              </w:rPr>
              <w:t xml:space="preserve"> Colombia Seguros de Vida S.A. Siglas: "METLIFE COLOMBIA </w:t>
            </w:r>
            <w:r w:rsidR="00367394" w:rsidRPr="00FB351A">
              <w:rPr>
                <w:rFonts w:ascii="Arial" w:hAnsi="Arial" w:cs="Arial"/>
                <w:sz w:val="20"/>
                <w:szCs w:val="20"/>
              </w:rPr>
              <w:t>S. A</w:t>
            </w:r>
          </w:p>
        </w:tc>
        <w:tc>
          <w:tcPr>
            <w:tcW w:w="737" w:type="pct"/>
            <w:vAlign w:val="center"/>
            <w:hideMark/>
          </w:tcPr>
          <w:p w14:paraId="06827EDA"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860002398-5</w:t>
            </w:r>
          </w:p>
        </w:tc>
        <w:tc>
          <w:tcPr>
            <w:tcW w:w="1099" w:type="pct"/>
            <w:vAlign w:val="center"/>
          </w:tcPr>
          <w:p w14:paraId="574922F2" w14:textId="1663F26F"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7AB93563" w14:textId="77777777" w:rsidTr="00367394">
        <w:tblPrEx>
          <w:tblBorders>
            <w:insideH w:val="single" w:sz="8" w:space="0" w:color="auto"/>
            <w:insideV w:val="single" w:sz="8" w:space="0" w:color="auto"/>
          </w:tblBorders>
        </w:tblPrEx>
        <w:trPr>
          <w:trHeight w:val="20"/>
        </w:trPr>
        <w:tc>
          <w:tcPr>
            <w:tcW w:w="3164" w:type="pct"/>
            <w:vAlign w:val="center"/>
            <w:hideMark/>
          </w:tcPr>
          <w:p w14:paraId="2E55D070"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Pan American Life de Colombia Compañía de Seguros S.A.</w:t>
            </w:r>
          </w:p>
        </w:tc>
        <w:tc>
          <w:tcPr>
            <w:tcW w:w="737" w:type="pct"/>
            <w:vAlign w:val="center"/>
            <w:hideMark/>
          </w:tcPr>
          <w:p w14:paraId="2D2A1E4C"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860038299-1</w:t>
            </w:r>
          </w:p>
        </w:tc>
        <w:tc>
          <w:tcPr>
            <w:tcW w:w="1099" w:type="pct"/>
            <w:vAlign w:val="center"/>
          </w:tcPr>
          <w:p w14:paraId="43D919A2" w14:textId="13585382"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ECCD182" w14:textId="77777777" w:rsidTr="00367394">
        <w:tblPrEx>
          <w:tblBorders>
            <w:insideH w:val="single" w:sz="8" w:space="0" w:color="auto"/>
            <w:insideV w:val="single" w:sz="8" w:space="0" w:color="auto"/>
          </w:tblBorders>
        </w:tblPrEx>
        <w:trPr>
          <w:trHeight w:val="20"/>
        </w:trPr>
        <w:tc>
          <w:tcPr>
            <w:tcW w:w="3164" w:type="pct"/>
            <w:vAlign w:val="center"/>
            <w:hideMark/>
          </w:tcPr>
          <w:p w14:paraId="2E42197E"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 xml:space="preserve">Seguros de Vida Alfa S.A. </w:t>
            </w:r>
            <w:proofErr w:type="spellStart"/>
            <w:r w:rsidRPr="00FB351A">
              <w:rPr>
                <w:rFonts w:ascii="Arial" w:hAnsi="Arial" w:cs="Arial"/>
                <w:sz w:val="20"/>
                <w:szCs w:val="20"/>
              </w:rPr>
              <w:t>Vidalfa</w:t>
            </w:r>
            <w:proofErr w:type="spellEnd"/>
            <w:r w:rsidRPr="00FB351A">
              <w:rPr>
                <w:rFonts w:ascii="Arial" w:hAnsi="Arial" w:cs="Arial"/>
                <w:sz w:val="20"/>
                <w:szCs w:val="20"/>
              </w:rPr>
              <w:t xml:space="preserve"> S.A.</w:t>
            </w:r>
          </w:p>
        </w:tc>
        <w:tc>
          <w:tcPr>
            <w:tcW w:w="737" w:type="pct"/>
            <w:vAlign w:val="center"/>
            <w:hideMark/>
          </w:tcPr>
          <w:p w14:paraId="38D8BA6F"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860503617-3</w:t>
            </w:r>
          </w:p>
        </w:tc>
        <w:tc>
          <w:tcPr>
            <w:tcW w:w="1099" w:type="pct"/>
            <w:vAlign w:val="center"/>
          </w:tcPr>
          <w:p w14:paraId="6D750EFC" w14:textId="3E886B22"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135E1A10" w14:textId="77777777" w:rsidTr="00367394">
        <w:tblPrEx>
          <w:tblBorders>
            <w:insideH w:val="single" w:sz="8" w:space="0" w:color="auto"/>
            <w:insideV w:val="single" w:sz="8" w:space="0" w:color="auto"/>
          </w:tblBorders>
        </w:tblPrEx>
        <w:trPr>
          <w:trHeight w:val="20"/>
        </w:trPr>
        <w:tc>
          <w:tcPr>
            <w:tcW w:w="3164" w:type="pct"/>
            <w:vAlign w:val="center"/>
            <w:hideMark/>
          </w:tcPr>
          <w:p w14:paraId="528E3AB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Seguros de Vida del Estado S.A.</w:t>
            </w:r>
          </w:p>
        </w:tc>
        <w:tc>
          <w:tcPr>
            <w:tcW w:w="737" w:type="pct"/>
            <w:vAlign w:val="center"/>
            <w:hideMark/>
          </w:tcPr>
          <w:p w14:paraId="356FA48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860009174-4</w:t>
            </w:r>
          </w:p>
        </w:tc>
        <w:tc>
          <w:tcPr>
            <w:tcW w:w="1099" w:type="pct"/>
            <w:vAlign w:val="center"/>
          </w:tcPr>
          <w:p w14:paraId="17076FF0" w14:textId="1282C714"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0B7EA557" w14:textId="77777777" w:rsidTr="00367394">
        <w:tblPrEx>
          <w:tblBorders>
            <w:insideH w:val="single" w:sz="8" w:space="0" w:color="auto"/>
            <w:insideV w:val="single" w:sz="8" w:space="0" w:color="auto"/>
          </w:tblBorders>
        </w:tblPrEx>
        <w:trPr>
          <w:trHeight w:val="20"/>
        </w:trPr>
        <w:tc>
          <w:tcPr>
            <w:tcW w:w="3164" w:type="pct"/>
            <w:vAlign w:val="center"/>
            <w:hideMark/>
          </w:tcPr>
          <w:p w14:paraId="1C1AA36B" w14:textId="270E8E69" w:rsidR="00C330EA" w:rsidRPr="00FB351A" w:rsidRDefault="00367394" w:rsidP="00367394">
            <w:pPr>
              <w:jc w:val="center"/>
              <w:rPr>
                <w:rFonts w:ascii="Arial" w:hAnsi="Arial" w:cs="Arial"/>
                <w:sz w:val="20"/>
                <w:szCs w:val="20"/>
              </w:rPr>
            </w:pPr>
            <w:r w:rsidRPr="00FB351A">
              <w:rPr>
                <w:rFonts w:ascii="Arial" w:hAnsi="Arial" w:cs="Arial"/>
                <w:sz w:val="20"/>
                <w:szCs w:val="20"/>
              </w:rPr>
              <w:t>Global Seguros</w:t>
            </w:r>
            <w:r w:rsidR="00C330EA" w:rsidRPr="00FB351A">
              <w:rPr>
                <w:rFonts w:ascii="Arial" w:hAnsi="Arial" w:cs="Arial"/>
                <w:sz w:val="20"/>
                <w:szCs w:val="20"/>
              </w:rPr>
              <w:t xml:space="preserve"> de Vida S.A. Sigla GLOBAL SEGUROS</w:t>
            </w:r>
          </w:p>
        </w:tc>
        <w:tc>
          <w:tcPr>
            <w:tcW w:w="737" w:type="pct"/>
            <w:vAlign w:val="center"/>
            <w:hideMark/>
          </w:tcPr>
          <w:p w14:paraId="44FBFDE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860002182-1</w:t>
            </w:r>
          </w:p>
        </w:tc>
        <w:tc>
          <w:tcPr>
            <w:tcW w:w="1099" w:type="pct"/>
            <w:vAlign w:val="center"/>
          </w:tcPr>
          <w:p w14:paraId="1248BCC6" w14:textId="3E1C07EF"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1D0F1B7" w14:textId="77777777" w:rsidTr="00367394">
        <w:tblPrEx>
          <w:tblBorders>
            <w:insideH w:val="single" w:sz="8" w:space="0" w:color="auto"/>
            <w:insideV w:val="single" w:sz="8" w:space="0" w:color="auto"/>
          </w:tblBorders>
        </w:tblPrEx>
        <w:trPr>
          <w:trHeight w:val="20"/>
        </w:trPr>
        <w:tc>
          <w:tcPr>
            <w:tcW w:w="3164" w:type="pct"/>
            <w:vAlign w:val="center"/>
            <w:hideMark/>
          </w:tcPr>
          <w:p w14:paraId="1499B0EE" w14:textId="0BD12CEC" w:rsidR="00C330EA" w:rsidRPr="00FB351A" w:rsidRDefault="00367394" w:rsidP="00367394">
            <w:pPr>
              <w:jc w:val="center"/>
              <w:rPr>
                <w:rFonts w:ascii="Arial" w:hAnsi="Arial" w:cs="Arial"/>
                <w:sz w:val="20"/>
                <w:szCs w:val="20"/>
              </w:rPr>
            </w:pPr>
            <w:r w:rsidRPr="00FB351A">
              <w:rPr>
                <w:rFonts w:ascii="Arial" w:hAnsi="Arial" w:cs="Arial"/>
                <w:sz w:val="20"/>
                <w:szCs w:val="20"/>
              </w:rPr>
              <w:t>Positiva Compañía</w:t>
            </w:r>
            <w:r w:rsidR="00C330EA" w:rsidRPr="00FB351A">
              <w:rPr>
                <w:rFonts w:ascii="Arial" w:hAnsi="Arial" w:cs="Arial"/>
                <w:sz w:val="20"/>
                <w:szCs w:val="20"/>
              </w:rPr>
              <w:t xml:space="preserve"> de Seguros S.A.</w:t>
            </w:r>
          </w:p>
        </w:tc>
        <w:tc>
          <w:tcPr>
            <w:tcW w:w="737" w:type="pct"/>
            <w:vAlign w:val="center"/>
            <w:hideMark/>
          </w:tcPr>
          <w:p w14:paraId="67256862"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860011153-6</w:t>
            </w:r>
          </w:p>
        </w:tc>
        <w:tc>
          <w:tcPr>
            <w:tcW w:w="1099" w:type="pct"/>
            <w:vAlign w:val="center"/>
          </w:tcPr>
          <w:p w14:paraId="21227436" w14:textId="5469221B"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03179B36" w14:textId="77777777" w:rsidTr="00367394">
        <w:tblPrEx>
          <w:tblBorders>
            <w:insideH w:val="single" w:sz="8" w:space="0" w:color="auto"/>
            <w:insideV w:val="single" w:sz="8" w:space="0" w:color="auto"/>
          </w:tblBorders>
        </w:tblPrEx>
        <w:trPr>
          <w:trHeight w:val="20"/>
        </w:trPr>
        <w:tc>
          <w:tcPr>
            <w:tcW w:w="3164" w:type="pct"/>
            <w:vAlign w:val="center"/>
            <w:hideMark/>
          </w:tcPr>
          <w:p w14:paraId="07D5D8DE" w14:textId="1CB6BB63" w:rsidR="00C330EA" w:rsidRPr="00FB351A" w:rsidRDefault="00C330EA" w:rsidP="00367394">
            <w:pPr>
              <w:jc w:val="center"/>
              <w:rPr>
                <w:rFonts w:ascii="Arial" w:hAnsi="Arial" w:cs="Arial"/>
                <w:sz w:val="20"/>
                <w:szCs w:val="20"/>
              </w:rPr>
            </w:pPr>
            <w:r w:rsidRPr="00FB351A">
              <w:rPr>
                <w:rFonts w:ascii="Arial" w:hAnsi="Arial" w:cs="Arial"/>
                <w:sz w:val="20"/>
                <w:szCs w:val="20"/>
              </w:rPr>
              <w:t xml:space="preserve">COLMENA SEGUROS RIESGOS LABORALES S.A., pudiendo actuar bajo las denominaciones </w:t>
            </w:r>
            <w:r w:rsidR="00367394" w:rsidRPr="00FB351A">
              <w:rPr>
                <w:rFonts w:ascii="Arial" w:hAnsi="Arial" w:cs="Arial"/>
                <w:sz w:val="20"/>
                <w:szCs w:val="20"/>
              </w:rPr>
              <w:t>de “</w:t>
            </w:r>
            <w:r w:rsidRPr="00FB351A">
              <w:rPr>
                <w:rFonts w:ascii="Arial" w:hAnsi="Arial" w:cs="Arial"/>
                <w:sz w:val="20"/>
                <w:szCs w:val="20"/>
              </w:rPr>
              <w:t>RIESGOS LABORALES COLMENA S.A. COMPAÑÍA DE SEGUROS DE VIDA" y bajo las siguientes siglas "RIESGOS LABORALES COLMENA" o "ARL COLMENA" o "COLMENA RIESGOS LABORALES" o "COLMENA ARL"</w:t>
            </w:r>
          </w:p>
        </w:tc>
        <w:tc>
          <w:tcPr>
            <w:tcW w:w="737" w:type="pct"/>
            <w:vAlign w:val="center"/>
            <w:hideMark/>
          </w:tcPr>
          <w:p w14:paraId="31ED78E4"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800226175-3</w:t>
            </w:r>
          </w:p>
        </w:tc>
        <w:tc>
          <w:tcPr>
            <w:tcW w:w="1099" w:type="pct"/>
            <w:vAlign w:val="center"/>
          </w:tcPr>
          <w:p w14:paraId="7E439E2A" w14:textId="604E4E2F"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0243E626" w14:textId="77777777" w:rsidTr="00367394">
        <w:tblPrEx>
          <w:tblBorders>
            <w:insideH w:val="single" w:sz="8" w:space="0" w:color="auto"/>
            <w:insideV w:val="single" w:sz="8" w:space="0" w:color="auto"/>
          </w:tblBorders>
        </w:tblPrEx>
        <w:trPr>
          <w:trHeight w:val="20"/>
        </w:trPr>
        <w:tc>
          <w:tcPr>
            <w:tcW w:w="3164" w:type="pct"/>
            <w:shd w:val="clear" w:color="000000" w:fill="FFFFFF"/>
            <w:vAlign w:val="center"/>
            <w:hideMark/>
          </w:tcPr>
          <w:p w14:paraId="3BAA1419" w14:textId="1ADD17E5" w:rsidR="00C330EA" w:rsidRPr="00FB351A" w:rsidRDefault="00C330EA" w:rsidP="00367394">
            <w:pPr>
              <w:jc w:val="center"/>
              <w:rPr>
                <w:rFonts w:ascii="Arial" w:hAnsi="Arial" w:cs="Arial"/>
                <w:sz w:val="20"/>
                <w:szCs w:val="20"/>
              </w:rPr>
            </w:pPr>
            <w:r w:rsidRPr="00FB351A">
              <w:rPr>
                <w:rFonts w:ascii="Arial" w:hAnsi="Arial" w:cs="Arial"/>
                <w:sz w:val="20"/>
                <w:szCs w:val="20"/>
              </w:rPr>
              <w:t>BBVA Seguros de Vida Colombia S.A. pudiendo utilizar indistintamente, para todos los efectos legales, el nombre BBVA Seguros de Vida</w:t>
            </w:r>
          </w:p>
        </w:tc>
        <w:tc>
          <w:tcPr>
            <w:tcW w:w="737" w:type="pct"/>
            <w:vAlign w:val="center"/>
            <w:hideMark/>
          </w:tcPr>
          <w:p w14:paraId="06D1E6BE"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800240882-0</w:t>
            </w:r>
          </w:p>
        </w:tc>
        <w:tc>
          <w:tcPr>
            <w:tcW w:w="1099" w:type="pct"/>
            <w:vAlign w:val="center"/>
          </w:tcPr>
          <w:p w14:paraId="3D8DC178" w14:textId="371A3BE3"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02203619" w14:textId="77777777" w:rsidTr="00367394">
        <w:tblPrEx>
          <w:tblBorders>
            <w:insideH w:val="single" w:sz="8" w:space="0" w:color="auto"/>
            <w:insideV w:val="single" w:sz="8" w:space="0" w:color="auto"/>
          </w:tblBorders>
        </w:tblPrEx>
        <w:trPr>
          <w:trHeight w:val="20"/>
        </w:trPr>
        <w:tc>
          <w:tcPr>
            <w:tcW w:w="3164" w:type="pct"/>
            <w:vAlign w:val="center"/>
            <w:hideMark/>
          </w:tcPr>
          <w:p w14:paraId="01E0F33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La Equidad Seguros de Vida Organismo Cooperativo, la cual podrá identificarse también con la denominación alternativa La Equidad Seguros de Vida-</w:t>
            </w:r>
          </w:p>
        </w:tc>
        <w:tc>
          <w:tcPr>
            <w:tcW w:w="737" w:type="pct"/>
            <w:vAlign w:val="center"/>
            <w:hideMark/>
          </w:tcPr>
          <w:p w14:paraId="2DDF02F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830008686-1</w:t>
            </w:r>
          </w:p>
        </w:tc>
        <w:tc>
          <w:tcPr>
            <w:tcW w:w="1099" w:type="pct"/>
            <w:vAlign w:val="center"/>
          </w:tcPr>
          <w:p w14:paraId="5F816583" w14:textId="04785301"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3DB7D566" w14:textId="77777777" w:rsidTr="00367394">
        <w:tblPrEx>
          <w:tblBorders>
            <w:insideH w:val="single" w:sz="8" w:space="0" w:color="auto"/>
            <w:insideV w:val="single" w:sz="8" w:space="0" w:color="auto"/>
          </w:tblBorders>
        </w:tblPrEx>
        <w:trPr>
          <w:trHeight w:val="20"/>
        </w:trPr>
        <w:tc>
          <w:tcPr>
            <w:tcW w:w="3164" w:type="pct"/>
            <w:vAlign w:val="center"/>
            <w:hideMark/>
          </w:tcPr>
          <w:p w14:paraId="28C818F4" w14:textId="2EEA764C" w:rsidR="00C330EA" w:rsidRPr="00FB351A" w:rsidRDefault="00C330EA" w:rsidP="00367394">
            <w:pPr>
              <w:jc w:val="center"/>
              <w:rPr>
                <w:rFonts w:ascii="Arial" w:hAnsi="Arial" w:cs="Arial"/>
                <w:sz w:val="20"/>
                <w:szCs w:val="20"/>
              </w:rPr>
            </w:pPr>
            <w:r w:rsidRPr="00FB351A">
              <w:rPr>
                <w:rFonts w:ascii="Arial" w:hAnsi="Arial" w:cs="Arial"/>
                <w:sz w:val="20"/>
                <w:szCs w:val="20"/>
              </w:rPr>
              <w:t>MAPFRE COLOMBIA VIDA SEGUROS S.A.</w:t>
            </w:r>
          </w:p>
        </w:tc>
        <w:tc>
          <w:tcPr>
            <w:tcW w:w="737" w:type="pct"/>
            <w:vAlign w:val="center"/>
            <w:hideMark/>
          </w:tcPr>
          <w:p w14:paraId="1F720124"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830054904-6</w:t>
            </w:r>
          </w:p>
        </w:tc>
        <w:tc>
          <w:tcPr>
            <w:tcW w:w="1099" w:type="pct"/>
            <w:vAlign w:val="center"/>
          </w:tcPr>
          <w:p w14:paraId="73A28AE8" w14:textId="1714F12F"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ABFDE01" w14:textId="77777777" w:rsidTr="00367394">
        <w:tblPrEx>
          <w:tblBorders>
            <w:insideH w:val="single" w:sz="8" w:space="0" w:color="auto"/>
            <w:insideV w:val="single" w:sz="8" w:space="0" w:color="auto"/>
          </w:tblBorders>
        </w:tblPrEx>
        <w:trPr>
          <w:trHeight w:val="20"/>
        </w:trPr>
        <w:tc>
          <w:tcPr>
            <w:tcW w:w="3164" w:type="pct"/>
            <w:vAlign w:val="center"/>
            <w:hideMark/>
          </w:tcPr>
          <w:p w14:paraId="50829247"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BMI</w:t>
            </w:r>
            <w:proofErr w:type="spellEnd"/>
            <w:r w:rsidRPr="00FB351A">
              <w:rPr>
                <w:rFonts w:ascii="Arial" w:hAnsi="Arial" w:cs="Arial"/>
                <w:sz w:val="20"/>
                <w:szCs w:val="20"/>
              </w:rPr>
              <w:t xml:space="preserve"> COLOMBIA COMPAÑÍA DE SEGUROS DE VIDA S.A. (en adelante la </w:t>
            </w:r>
            <w:proofErr w:type="spellStart"/>
            <w:r w:rsidRPr="00FB351A">
              <w:rPr>
                <w:rFonts w:ascii="Arial" w:hAnsi="Arial" w:cs="Arial"/>
                <w:sz w:val="20"/>
                <w:szCs w:val="20"/>
              </w:rPr>
              <w:t>BMI</w:t>
            </w:r>
            <w:proofErr w:type="spellEnd"/>
            <w:r w:rsidRPr="00FB351A">
              <w:rPr>
                <w:rFonts w:ascii="Arial" w:hAnsi="Arial" w:cs="Arial"/>
                <w:sz w:val="20"/>
                <w:szCs w:val="20"/>
              </w:rPr>
              <w:t xml:space="preserve"> COLOMBIA) y podrá utilizar la sigla de </w:t>
            </w:r>
            <w:proofErr w:type="spellStart"/>
            <w:r w:rsidRPr="00FB351A">
              <w:rPr>
                <w:rFonts w:ascii="Arial" w:hAnsi="Arial" w:cs="Arial"/>
                <w:sz w:val="20"/>
                <w:szCs w:val="20"/>
              </w:rPr>
              <w:t>BMI</w:t>
            </w:r>
            <w:proofErr w:type="spellEnd"/>
            <w:r w:rsidRPr="00FB351A">
              <w:rPr>
                <w:rFonts w:ascii="Arial" w:hAnsi="Arial" w:cs="Arial"/>
                <w:sz w:val="20"/>
                <w:szCs w:val="20"/>
              </w:rPr>
              <w:t xml:space="preserve"> COLOMBIA S.A.</w:t>
            </w:r>
          </w:p>
        </w:tc>
        <w:tc>
          <w:tcPr>
            <w:tcW w:w="737" w:type="pct"/>
            <w:vAlign w:val="center"/>
            <w:hideMark/>
          </w:tcPr>
          <w:p w14:paraId="3C32A109"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901061386-7</w:t>
            </w:r>
          </w:p>
        </w:tc>
        <w:tc>
          <w:tcPr>
            <w:tcW w:w="1099" w:type="pct"/>
            <w:vAlign w:val="center"/>
          </w:tcPr>
          <w:p w14:paraId="7D5897AE" w14:textId="197544CF"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269A5B6E" w14:textId="77777777" w:rsidTr="00367394">
        <w:tblPrEx>
          <w:tblBorders>
            <w:insideH w:val="single" w:sz="8" w:space="0" w:color="auto"/>
            <w:insideV w:val="single" w:sz="8" w:space="0" w:color="auto"/>
          </w:tblBorders>
        </w:tblPrEx>
        <w:trPr>
          <w:trHeight w:val="20"/>
        </w:trPr>
        <w:tc>
          <w:tcPr>
            <w:tcW w:w="3164" w:type="pct"/>
            <w:vAlign w:val="center"/>
            <w:hideMark/>
          </w:tcPr>
          <w:p w14:paraId="3DB4A681"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COMPAÑÍA DE SEGUROS COLSANITAS S.A.</w:t>
            </w:r>
          </w:p>
        </w:tc>
        <w:tc>
          <w:tcPr>
            <w:tcW w:w="737" w:type="pct"/>
            <w:vAlign w:val="center"/>
            <w:hideMark/>
          </w:tcPr>
          <w:p w14:paraId="56646A0B"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901469580-2</w:t>
            </w:r>
          </w:p>
        </w:tc>
        <w:tc>
          <w:tcPr>
            <w:tcW w:w="1099" w:type="pct"/>
            <w:vAlign w:val="center"/>
          </w:tcPr>
          <w:p w14:paraId="65451743" w14:textId="42DD7D89"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34A8F70" w14:textId="77777777" w:rsidTr="00367394">
        <w:tblPrEx>
          <w:tblBorders>
            <w:insideH w:val="single" w:sz="8" w:space="0" w:color="auto"/>
            <w:insideV w:val="single" w:sz="8" w:space="0" w:color="auto"/>
          </w:tblBorders>
        </w:tblPrEx>
        <w:trPr>
          <w:trHeight w:val="20"/>
        </w:trPr>
        <w:tc>
          <w:tcPr>
            <w:tcW w:w="3164" w:type="pct"/>
            <w:vAlign w:val="center"/>
            <w:hideMark/>
          </w:tcPr>
          <w:p w14:paraId="0AB248A1"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ASULADO</w:t>
            </w:r>
            <w:proofErr w:type="spellEnd"/>
            <w:r w:rsidRPr="00FB351A">
              <w:rPr>
                <w:rFonts w:ascii="Arial" w:hAnsi="Arial" w:cs="Arial"/>
                <w:sz w:val="20"/>
                <w:szCs w:val="20"/>
              </w:rPr>
              <w:t xml:space="preserve"> SEGUROS DE VIDA S.A.</w:t>
            </w:r>
          </w:p>
        </w:tc>
        <w:tc>
          <w:tcPr>
            <w:tcW w:w="737" w:type="pct"/>
            <w:vAlign w:val="center"/>
            <w:hideMark/>
          </w:tcPr>
          <w:p w14:paraId="74990EC5"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901660669-6</w:t>
            </w:r>
          </w:p>
        </w:tc>
        <w:tc>
          <w:tcPr>
            <w:tcW w:w="1099" w:type="pct"/>
            <w:vAlign w:val="center"/>
          </w:tcPr>
          <w:p w14:paraId="2ED883F1" w14:textId="4625BD6C"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4AC891A7" w14:textId="77777777" w:rsidTr="00367394">
        <w:tblPrEx>
          <w:tblBorders>
            <w:insideH w:val="single" w:sz="8" w:space="0" w:color="auto"/>
            <w:insideV w:val="single" w:sz="8" w:space="0" w:color="auto"/>
          </w:tblBorders>
        </w:tblPrEx>
        <w:trPr>
          <w:trHeight w:val="20"/>
        </w:trPr>
        <w:tc>
          <w:tcPr>
            <w:tcW w:w="3164" w:type="pct"/>
            <w:vAlign w:val="center"/>
            <w:hideMark/>
          </w:tcPr>
          <w:p w14:paraId="1E6DA231" w14:textId="77777777" w:rsidR="00C330EA" w:rsidRPr="00FB351A" w:rsidRDefault="00C330EA" w:rsidP="00367394">
            <w:pPr>
              <w:jc w:val="center"/>
              <w:rPr>
                <w:rFonts w:ascii="Arial" w:hAnsi="Arial" w:cs="Arial"/>
                <w:sz w:val="20"/>
                <w:szCs w:val="20"/>
              </w:rPr>
            </w:pPr>
            <w:proofErr w:type="spellStart"/>
            <w:r w:rsidRPr="00FB351A">
              <w:rPr>
                <w:rFonts w:ascii="Arial" w:hAnsi="Arial" w:cs="Arial"/>
                <w:sz w:val="20"/>
                <w:szCs w:val="20"/>
              </w:rPr>
              <w:t>EKG</w:t>
            </w:r>
            <w:proofErr w:type="spellEnd"/>
            <w:r w:rsidRPr="00FB351A">
              <w:rPr>
                <w:rFonts w:ascii="Arial" w:hAnsi="Arial" w:cs="Arial"/>
                <w:sz w:val="20"/>
                <w:szCs w:val="20"/>
              </w:rPr>
              <w:t xml:space="preserve"> COMPAÑÍA DE SEGUROS DE VIDA S.A.</w:t>
            </w:r>
          </w:p>
        </w:tc>
        <w:tc>
          <w:tcPr>
            <w:tcW w:w="737" w:type="pct"/>
            <w:vAlign w:val="center"/>
            <w:hideMark/>
          </w:tcPr>
          <w:p w14:paraId="6EF3F7DB"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901716047-8</w:t>
            </w:r>
          </w:p>
        </w:tc>
        <w:tc>
          <w:tcPr>
            <w:tcW w:w="1099" w:type="pct"/>
            <w:vAlign w:val="center"/>
          </w:tcPr>
          <w:p w14:paraId="20788665" w14:textId="30E0AB1B"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272CF139" w14:textId="77777777" w:rsidTr="00367394">
        <w:tblPrEx>
          <w:tblBorders>
            <w:insideH w:val="single" w:sz="8" w:space="0" w:color="auto"/>
            <w:insideV w:val="single" w:sz="8" w:space="0" w:color="auto"/>
          </w:tblBorders>
        </w:tblPrEx>
        <w:trPr>
          <w:trHeight w:val="20"/>
        </w:trPr>
        <w:tc>
          <w:tcPr>
            <w:tcW w:w="3164" w:type="pct"/>
            <w:vAlign w:val="center"/>
            <w:hideMark/>
          </w:tcPr>
          <w:p w14:paraId="0B88A005"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ANDINA COMPAÑÍA DE SEGUROS DE VIDA S.A. y también podrá ser denominada bajo la sigla ANDINA VIDA SEGUROS (la "Sociedad")</w:t>
            </w:r>
          </w:p>
        </w:tc>
        <w:tc>
          <w:tcPr>
            <w:tcW w:w="737" w:type="pct"/>
            <w:vAlign w:val="center"/>
            <w:hideMark/>
          </w:tcPr>
          <w:p w14:paraId="136F85F5"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901880351-3</w:t>
            </w:r>
          </w:p>
        </w:tc>
        <w:tc>
          <w:tcPr>
            <w:tcW w:w="1099" w:type="pct"/>
            <w:vAlign w:val="center"/>
          </w:tcPr>
          <w:p w14:paraId="3872CCF0" w14:textId="3611009A"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6EEED614" w14:textId="77777777" w:rsidTr="00367394">
        <w:tblPrEx>
          <w:tblBorders>
            <w:insideH w:val="single" w:sz="8" w:space="0" w:color="auto"/>
            <w:insideV w:val="single" w:sz="8" w:space="0" w:color="auto"/>
          </w:tblBorders>
        </w:tblPrEx>
        <w:trPr>
          <w:trHeight w:val="20"/>
        </w:trPr>
        <w:tc>
          <w:tcPr>
            <w:tcW w:w="3164" w:type="pct"/>
            <w:vAlign w:val="center"/>
            <w:hideMark/>
          </w:tcPr>
          <w:p w14:paraId="022EEFFA"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LA EQUIDAD SEGUROS GENERALES ORGANISMO COOPERATIVO, la cual podrá identificarse también con la denominación alternativa "LA EQUIDAD GENERALES"</w:t>
            </w:r>
          </w:p>
        </w:tc>
        <w:tc>
          <w:tcPr>
            <w:tcW w:w="737" w:type="pct"/>
            <w:vAlign w:val="center"/>
            <w:hideMark/>
          </w:tcPr>
          <w:p w14:paraId="5DB8FC3F"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860028415-5</w:t>
            </w:r>
          </w:p>
        </w:tc>
        <w:tc>
          <w:tcPr>
            <w:tcW w:w="1099" w:type="pct"/>
            <w:vAlign w:val="center"/>
          </w:tcPr>
          <w:p w14:paraId="1CB1E019" w14:textId="4550ECF6"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C330EA" w:rsidRPr="00FB351A" w14:paraId="6F33B2AD" w14:textId="77777777" w:rsidTr="00367394">
        <w:tblPrEx>
          <w:tblBorders>
            <w:insideH w:val="single" w:sz="8" w:space="0" w:color="auto"/>
            <w:insideV w:val="single" w:sz="8" w:space="0" w:color="auto"/>
          </w:tblBorders>
        </w:tblPrEx>
        <w:trPr>
          <w:trHeight w:val="20"/>
        </w:trPr>
        <w:tc>
          <w:tcPr>
            <w:tcW w:w="3164" w:type="pct"/>
            <w:vAlign w:val="center"/>
            <w:hideMark/>
          </w:tcPr>
          <w:p w14:paraId="5B97A38B" w14:textId="73C90DBC" w:rsidR="00C330EA" w:rsidRPr="00FB351A" w:rsidRDefault="00C330EA" w:rsidP="00367394">
            <w:pPr>
              <w:jc w:val="center"/>
              <w:rPr>
                <w:rFonts w:ascii="Arial" w:hAnsi="Arial" w:cs="Arial"/>
                <w:sz w:val="20"/>
                <w:szCs w:val="20"/>
              </w:rPr>
            </w:pPr>
            <w:r w:rsidRPr="00FB351A">
              <w:rPr>
                <w:rFonts w:ascii="Arial" w:hAnsi="Arial" w:cs="Arial"/>
                <w:sz w:val="20"/>
                <w:szCs w:val="20"/>
              </w:rPr>
              <w:t>Aseguradora Solidaria de Colombia Entidad Cooperativa</w:t>
            </w:r>
          </w:p>
        </w:tc>
        <w:tc>
          <w:tcPr>
            <w:tcW w:w="737" w:type="pct"/>
            <w:vAlign w:val="center"/>
            <w:hideMark/>
          </w:tcPr>
          <w:p w14:paraId="6369E316" w14:textId="77777777" w:rsidR="00C330EA" w:rsidRPr="00FB351A" w:rsidRDefault="00C330EA" w:rsidP="00367394">
            <w:pPr>
              <w:jc w:val="center"/>
              <w:rPr>
                <w:rFonts w:ascii="Arial" w:hAnsi="Arial" w:cs="Arial"/>
                <w:sz w:val="20"/>
                <w:szCs w:val="20"/>
              </w:rPr>
            </w:pPr>
            <w:r w:rsidRPr="00FB351A">
              <w:rPr>
                <w:rFonts w:ascii="Arial" w:hAnsi="Arial" w:cs="Arial"/>
                <w:sz w:val="20"/>
                <w:szCs w:val="20"/>
              </w:rPr>
              <w:t>860524654-6</w:t>
            </w:r>
          </w:p>
        </w:tc>
        <w:tc>
          <w:tcPr>
            <w:tcW w:w="1099" w:type="pct"/>
            <w:vAlign w:val="center"/>
          </w:tcPr>
          <w:p w14:paraId="7039A9CB" w14:textId="4C9F6B1D" w:rsidR="00C330EA" w:rsidRPr="00FB351A" w:rsidRDefault="00C330EA" w:rsidP="00367394">
            <w:pPr>
              <w:jc w:val="center"/>
              <w:rPr>
                <w:rFonts w:ascii="Arial" w:hAnsi="Arial" w:cs="Arial"/>
                <w:sz w:val="20"/>
                <w:szCs w:val="20"/>
              </w:rPr>
            </w:pPr>
            <w:r w:rsidRPr="00FB351A">
              <w:rPr>
                <w:rFonts w:ascii="Arial" w:hAnsi="Arial" w:cs="Arial"/>
                <w:bCs/>
                <w:color w:val="000000"/>
                <w:sz w:val="20"/>
                <w:szCs w:val="20"/>
              </w:rPr>
              <w:t>Gran Empresa</w:t>
            </w:r>
          </w:p>
        </w:tc>
      </w:tr>
      <w:tr w:rsidR="00E37C77" w:rsidRPr="00FB351A" w14:paraId="4A254FAC" w14:textId="77777777" w:rsidTr="00E37C77">
        <w:tblPrEx>
          <w:tblBorders>
            <w:insideH w:val="single" w:sz="8" w:space="0" w:color="auto"/>
            <w:insideV w:val="single" w:sz="8" w:space="0" w:color="auto"/>
          </w:tblBorders>
        </w:tblPrEx>
        <w:trPr>
          <w:trHeight w:val="20"/>
        </w:trPr>
        <w:tc>
          <w:tcPr>
            <w:tcW w:w="5000" w:type="pct"/>
            <w:gridSpan w:val="3"/>
            <w:vAlign w:val="center"/>
          </w:tcPr>
          <w:p w14:paraId="6DFAD0B3" w14:textId="59A4B33A" w:rsidR="00E37C77" w:rsidRPr="00FB351A" w:rsidRDefault="00E37C77" w:rsidP="00367394">
            <w:pPr>
              <w:jc w:val="center"/>
              <w:rPr>
                <w:rFonts w:ascii="Arial" w:hAnsi="Arial" w:cs="Arial"/>
                <w:bCs/>
                <w:color w:val="000000"/>
                <w:sz w:val="20"/>
                <w:szCs w:val="20"/>
              </w:rPr>
            </w:pPr>
            <w:r w:rsidRPr="00FB351A">
              <w:rPr>
                <w:rFonts w:ascii="Arial" w:hAnsi="Arial" w:cs="Arial"/>
                <w:bCs/>
                <w:i/>
                <w:iCs/>
                <w:color w:val="000000"/>
                <w:sz w:val="20"/>
                <w:szCs w:val="20"/>
              </w:rPr>
              <w:t xml:space="preserve">De acuerdo con los parámetros establecidos en el Decreto 957 de 2019, la totalidad de las compañías de seguros legalmente constituidas en el país y vigiladas por la Superintendencia Financiera de Colombia </w:t>
            </w:r>
            <w:r w:rsidRPr="00FB351A">
              <w:rPr>
                <w:rFonts w:ascii="Arial" w:hAnsi="Arial" w:cs="Arial"/>
                <w:bCs/>
                <w:i/>
                <w:iCs/>
                <w:color w:val="000000"/>
                <w:sz w:val="20"/>
                <w:szCs w:val="20"/>
              </w:rPr>
              <w:lastRenderedPageBreak/>
              <w:t>superan ampliamente los topes de ingresos por actividades ordinarias anuales (</w:t>
            </w:r>
            <w:proofErr w:type="spellStart"/>
            <w:r w:rsidRPr="00FB351A">
              <w:rPr>
                <w:rFonts w:ascii="Arial" w:hAnsi="Arial" w:cs="Arial"/>
                <w:bCs/>
                <w:i/>
                <w:iCs/>
                <w:color w:val="000000"/>
                <w:sz w:val="20"/>
                <w:szCs w:val="20"/>
              </w:rPr>
              <w:t>UVT</w:t>
            </w:r>
            <w:proofErr w:type="spellEnd"/>
            <w:r w:rsidRPr="00FB351A">
              <w:rPr>
                <w:rFonts w:ascii="Arial" w:hAnsi="Arial" w:cs="Arial"/>
                <w:bCs/>
                <w:i/>
                <w:iCs/>
                <w:color w:val="000000"/>
                <w:sz w:val="20"/>
                <w:szCs w:val="20"/>
              </w:rPr>
              <w:t xml:space="preserve">) definidos para el Sector Servicios. Esto se debe a las exigencias normativas de capital mínimo, patrimonio técnico y constitución de reservas que demanda la operación del negocio asegurador, por lo que el 100% de los posibles proveedores directos (aseguradoras) ostentan la calidad de </w:t>
            </w:r>
            <w:r w:rsidRPr="00FB351A">
              <w:rPr>
                <w:rFonts w:ascii="Arial" w:hAnsi="Arial" w:cs="Arial"/>
                <w:b/>
                <w:bCs/>
                <w:i/>
                <w:iCs/>
                <w:color w:val="000000"/>
                <w:sz w:val="20"/>
                <w:szCs w:val="20"/>
              </w:rPr>
              <w:t>Gran Empresa</w:t>
            </w:r>
            <w:r w:rsidRPr="00FB351A">
              <w:rPr>
                <w:rFonts w:ascii="Arial" w:hAnsi="Arial" w:cs="Arial"/>
                <w:bCs/>
                <w:i/>
                <w:iCs/>
                <w:color w:val="000000"/>
                <w:sz w:val="20"/>
                <w:szCs w:val="20"/>
              </w:rPr>
              <w:t>.</w:t>
            </w:r>
          </w:p>
        </w:tc>
      </w:tr>
    </w:tbl>
    <w:p w14:paraId="480BFE49" w14:textId="7CF78A89" w:rsidR="00873EE7" w:rsidRPr="00FB351A" w:rsidRDefault="00873EE7" w:rsidP="00803115">
      <w:pPr>
        <w:pStyle w:val="Descripcin"/>
        <w:jc w:val="both"/>
        <w:rPr>
          <w:rFonts w:ascii="Arial" w:hAnsi="Arial" w:cs="Arial"/>
          <w:b w:val="0"/>
          <w:bCs w:val="0"/>
          <w:color w:val="000000"/>
          <w:lang w:val="es-CO"/>
        </w:rPr>
      </w:pPr>
      <w:r w:rsidRPr="00FB351A">
        <w:rPr>
          <w:rFonts w:ascii="Arial" w:hAnsi="Arial" w:cs="Arial"/>
          <w:b w:val="0"/>
          <w:bCs w:val="0"/>
        </w:rPr>
        <w:lastRenderedPageBreak/>
        <w:t xml:space="preserve">Cuadro Empresa de seguros calificadas con tamaño empresarial de gran empresa. Elaborado por el intermediario de seguros de la entidad JARGU S.A. Corredores de seguros </w:t>
      </w:r>
    </w:p>
    <w:p w14:paraId="646A022D" w14:textId="77777777" w:rsidR="00292E9C" w:rsidRPr="00FB351A" w:rsidRDefault="00292E9C" w:rsidP="00803115">
      <w:pPr>
        <w:jc w:val="both"/>
        <w:rPr>
          <w:rFonts w:ascii="Arial" w:hAnsi="Arial" w:cs="Arial"/>
          <w:bCs/>
          <w:color w:val="000000"/>
          <w:sz w:val="20"/>
          <w:szCs w:val="20"/>
        </w:rPr>
      </w:pPr>
    </w:p>
    <w:p w14:paraId="51E272C8" w14:textId="77777777" w:rsidR="00292E9C" w:rsidRPr="00FB351A" w:rsidRDefault="00292E9C" w:rsidP="00803115">
      <w:pPr>
        <w:jc w:val="both"/>
        <w:rPr>
          <w:rFonts w:ascii="Arial" w:hAnsi="Arial" w:cs="Arial"/>
          <w:bCs/>
          <w:color w:val="000000"/>
          <w:sz w:val="20"/>
          <w:szCs w:val="20"/>
        </w:rPr>
      </w:pPr>
      <w:r w:rsidRPr="00FB351A">
        <w:rPr>
          <w:rFonts w:ascii="Arial" w:hAnsi="Arial" w:cs="Arial"/>
          <w:bCs/>
          <w:color w:val="000000"/>
          <w:sz w:val="20"/>
          <w:szCs w:val="20"/>
        </w:rPr>
        <w:t xml:space="preserve">A efectos de lo anterior y de conformidad con el artículo 2.2.1.2.4.2.18 del Decreto 1082 de 2015, adicionado a este por el artículo 3 del Decreto 1860 de 2021, no se establecen condiciones habilitantes diferenciales para las MiPymes, por cuanto las empresas del sector no están clasificadas como medianas o pequeñas empresas. </w:t>
      </w:r>
    </w:p>
    <w:p w14:paraId="775A34D9" w14:textId="77777777" w:rsidR="00292E9C" w:rsidRPr="00FB351A" w:rsidRDefault="00292E9C" w:rsidP="00803115">
      <w:pPr>
        <w:jc w:val="both"/>
        <w:rPr>
          <w:rFonts w:ascii="Arial" w:hAnsi="Arial" w:cs="Arial"/>
          <w:sz w:val="20"/>
          <w:szCs w:val="20"/>
        </w:rPr>
      </w:pPr>
    </w:p>
    <w:p w14:paraId="5AAA7300" w14:textId="66A58C67" w:rsidR="00292E9C" w:rsidRPr="00FB351A" w:rsidRDefault="00292E9C">
      <w:pPr>
        <w:pStyle w:val="Prrafodelista"/>
        <w:numPr>
          <w:ilvl w:val="2"/>
          <w:numId w:val="38"/>
        </w:numPr>
        <w:tabs>
          <w:tab w:val="left" w:pos="318"/>
        </w:tabs>
        <w:overflowPunct w:val="0"/>
        <w:autoSpaceDE w:val="0"/>
        <w:autoSpaceDN w:val="0"/>
        <w:adjustRightInd w:val="0"/>
        <w:jc w:val="both"/>
        <w:textAlignment w:val="baseline"/>
        <w:rPr>
          <w:rFonts w:ascii="Arial" w:eastAsia="Batang" w:hAnsi="Arial" w:cs="Arial"/>
          <w:b/>
          <w:bCs/>
          <w:sz w:val="20"/>
          <w:szCs w:val="20"/>
        </w:rPr>
      </w:pPr>
      <w:r w:rsidRPr="00FB351A">
        <w:rPr>
          <w:rFonts w:ascii="Arial" w:eastAsia="Batang" w:hAnsi="Arial" w:cs="Arial"/>
          <w:b/>
          <w:bCs/>
          <w:sz w:val="20"/>
          <w:szCs w:val="20"/>
        </w:rPr>
        <w:t>Análisis Sobre La Pertinencia De La División Del Proceso En Lotes O Segmentos (Art. 2.2.1.2.4.2.19 Del Decreto 1082 De 2015, Adicionado Por El Art. 6 Del Decreto 142 De 2023)</w:t>
      </w:r>
    </w:p>
    <w:p w14:paraId="580A9EBD"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2A78AD66"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El artículo 2.2.1.2.4.2.19. del Decreto 1082 de 2015 establece, la obligación de las entidades estatales en sus procesos de contratación, de promover la división en lotes o segmentos, que faciliten la participación de las MiPymes.</w:t>
      </w:r>
    </w:p>
    <w:p w14:paraId="72A0FBBE"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24E69220"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 xml:space="preserve">De acuerdo con el análisis del sector, y en específico, lo descrito en el numeral 5.1.3 de este documento, no existen proveedores de seguros en el mercado, que tengan el tamaño empresarial de MiPymes. </w:t>
      </w:r>
    </w:p>
    <w:p w14:paraId="3C8090E5"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2B436EAB"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Por lo tanto, de acuerdo con la particularidad del presente proceso y que este criterio se establece para facilitar la participación de MiPymes, no es factible su aplicación, toda vez que las empresas del sector asegurador no están clasificadas como medianas o pequeñas empresas. Las compañías de seguros presentan una clasificación de Gran Empresa, de conformidad con las cifras que reporta la industria aseguradora colombiana en relación con el patrimonio total y conforme con lo señalado por el Estatuto Orgánico del Sistema Financiero,</w:t>
      </w:r>
    </w:p>
    <w:p w14:paraId="54F968EA"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7F3ACE31" w14:textId="5CC9FF9A"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 xml:space="preserve">No obstante, considerando la particularidad técnica del mercado asegurador, se ha establecido estructurar el proceso de selección en </w:t>
      </w:r>
      <w:r w:rsidR="00BB01C9" w:rsidRPr="00FB351A">
        <w:rPr>
          <w:rFonts w:ascii="Arial" w:eastAsia="Batang" w:hAnsi="Arial" w:cs="Arial"/>
          <w:sz w:val="20"/>
          <w:szCs w:val="20"/>
        </w:rPr>
        <w:t>cuatro</w:t>
      </w:r>
      <w:r w:rsidRPr="00FB351A">
        <w:rPr>
          <w:rFonts w:ascii="Arial" w:eastAsia="Batang" w:hAnsi="Arial" w:cs="Arial"/>
          <w:sz w:val="20"/>
          <w:szCs w:val="20"/>
        </w:rPr>
        <w:t xml:space="preserve"> (</w:t>
      </w:r>
      <w:r w:rsidR="00BB01C9" w:rsidRPr="00FB351A">
        <w:rPr>
          <w:rFonts w:ascii="Arial" w:eastAsia="Batang" w:hAnsi="Arial" w:cs="Arial"/>
          <w:sz w:val="20"/>
          <w:szCs w:val="20"/>
        </w:rPr>
        <w:t>4</w:t>
      </w:r>
      <w:r w:rsidRPr="00FB351A">
        <w:rPr>
          <w:rFonts w:ascii="Arial" w:eastAsia="Batang" w:hAnsi="Arial" w:cs="Arial"/>
          <w:sz w:val="20"/>
          <w:szCs w:val="20"/>
        </w:rPr>
        <w:t>) lotes o grupos de pólizas de seguros, que permiten la participación plural de oferentes, la recepción de ofertas competitivas y la reducción del riesgo de desierta de un seguro.</w:t>
      </w:r>
    </w:p>
    <w:p w14:paraId="0E05314E"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7841286B" w14:textId="3B505E1A"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 xml:space="preserve">Lo anterior, porque no es desconocido para el mercado asegurador las dificultades que presentan actualmente en la contratación de algunos seguros, especialmente en el seguro de responsabilidad civil para servidores públicos con ocasión de la alta siniestralidad en frecuencia y severidad que presenta el ramo, </w:t>
      </w:r>
      <w:r w:rsidR="00FF6187" w:rsidRPr="00FB351A">
        <w:rPr>
          <w:rFonts w:ascii="Arial" w:eastAsia="Batang" w:hAnsi="Arial" w:cs="Arial"/>
          <w:sz w:val="20"/>
          <w:szCs w:val="20"/>
        </w:rPr>
        <w:t xml:space="preserve">e incluso las pólizas para las </w:t>
      </w:r>
      <w:r w:rsidR="001C4AF6" w:rsidRPr="00FB351A">
        <w:rPr>
          <w:rFonts w:ascii="Arial" w:eastAsia="Batang" w:hAnsi="Arial" w:cs="Arial"/>
          <w:sz w:val="20"/>
          <w:szCs w:val="20"/>
        </w:rPr>
        <w:t>obras</w:t>
      </w:r>
      <w:r w:rsidR="00FF6187" w:rsidRPr="00FB351A">
        <w:rPr>
          <w:rFonts w:ascii="Arial" w:eastAsia="Batang" w:hAnsi="Arial" w:cs="Arial"/>
          <w:sz w:val="20"/>
          <w:szCs w:val="20"/>
        </w:rPr>
        <w:t xml:space="preserve"> civiles como el </w:t>
      </w:r>
      <w:r w:rsidR="001C4AF6" w:rsidRPr="00FB351A">
        <w:rPr>
          <w:rFonts w:ascii="Arial" w:eastAsia="Batang" w:hAnsi="Arial" w:cs="Arial"/>
          <w:sz w:val="20"/>
          <w:szCs w:val="20"/>
        </w:rPr>
        <w:t>Triángulo</w:t>
      </w:r>
      <w:r w:rsidR="00FF6187" w:rsidRPr="00FB351A">
        <w:rPr>
          <w:rFonts w:ascii="Arial" w:eastAsia="Batang" w:hAnsi="Arial" w:cs="Arial"/>
          <w:sz w:val="20"/>
          <w:szCs w:val="20"/>
        </w:rPr>
        <w:t xml:space="preserve"> del Tolima</w:t>
      </w:r>
      <w:r w:rsidR="001C4AF6" w:rsidRPr="00FB351A">
        <w:rPr>
          <w:rFonts w:ascii="Arial" w:eastAsia="Batang" w:hAnsi="Arial" w:cs="Arial"/>
          <w:sz w:val="20"/>
          <w:szCs w:val="20"/>
        </w:rPr>
        <w:t xml:space="preserve"> que tienen características especiales de riesgo, </w:t>
      </w:r>
      <w:r w:rsidRPr="00FB351A">
        <w:rPr>
          <w:rFonts w:ascii="Arial" w:eastAsia="Batang" w:hAnsi="Arial" w:cs="Arial"/>
          <w:sz w:val="20"/>
          <w:szCs w:val="20"/>
        </w:rPr>
        <w:t>situación que influyó en la clasificación de tales productos en grupos de seguros independientes con presupuesto diferencial que hace parte de todo el proceso de selección.</w:t>
      </w:r>
    </w:p>
    <w:p w14:paraId="76B87BB7"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p>
    <w:p w14:paraId="1E6F1C96" w14:textId="77777777" w:rsidR="00292E9C" w:rsidRPr="00FB351A" w:rsidRDefault="00292E9C" w:rsidP="00803115">
      <w:pPr>
        <w:tabs>
          <w:tab w:val="left" w:pos="318"/>
        </w:tabs>
        <w:overflowPunct w:val="0"/>
        <w:autoSpaceDE w:val="0"/>
        <w:autoSpaceDN w:val="0"/>
        <w:adjustRightInd w:val="0"/>
        <w:jc w:val="both"/>
        <w:textAlignment w:val="baseline"/>
        <w:rPr>
          <w:rFonts w:ascii="Arial" w:eastAsia="Batang" w:hAnsi="Arial" w:cs="Arial"/>
          <w:sz w:val="20"/>
          <w:szCs w:val="20"/>
        </w:rPr>
      </w:pPr>
      <w:r w:rsidRPr="00FB351A">
        <w:rPr>
          <w:rFonts w:ascii="Arial" w:eastAsia="Batang" w:hAnsi="Arial" w:cs="Arial"/>
          <w:sz w:val="20"/>
          <w:szCs w:val="20"/>
        </w:rPr>
        <w:t xml:space="preserve">Finalmente, la Entidad es consciente de las limitaciones existentes en el mercado asegurador para el ofrecimiento de ciertos ramos de seguros. Se resalta la necesidad y conveniencia de la estructuración del proceso de selección por grupos de seguros </w:t>
      </w:r>
    </w:p>
    <w:p w14:paraId="5A0B06F3" w14:textId="77777777" w:rsidR="00E45DE8" w:rsidRPr="00FB351A" w:rsidRDefault="00E45DE8" w:rsidP="00803115">
      <w:pPr>
        <w:tabs>
          <w:tab w:val="left" w:pos="2955"/>
        </w:tabs>
        <w:autoSpaceDE w:val="0"/>
        <w:autoSpaceDN w:val="0"/>
        <w:adjustRightInd w:val="0"/>
        <w:jc w:val="both"/>
        <w:rPr>
          <w:rFonts w:ascii="Arial" w:eastAsia="Arial Narrow" w:hAnsi="Arial" w:cs="Arial"/>
          <w:sz w:val="20"/>
          <w:szCs w:val="20"/>
        </w:rPr>
      </w:pPr>
    </w:p>
    <w:p w14:paraId="51472FB8" w14:textId="77777777" w:rsidR="00292E9C" w:rsidRPr="00FB351A" w:rsidRDefault="00292E9C" w:rsidP="00803115">
      <w:pPr>
        <w:widowControl w:val="0"/>
        <w:autoSpaceDE w:val="0"/>
        <w:autoSpaceDN w:val="0"/>
        <w:jc w:val="both"/>
        <w:rPr>
          <w:rFonts w:ascii="Arial" w:hAnsi="Arial" w:cs="Arial"/>
          <w:b/>
          <w:color w:val="000000"/>
          <w:sz w:val="20"/>
          <w:szCs w:val="20"/>
        </w:rPr>
      </w:pPr>
      <w:r w:rsidRPr="00FB351A">
        <w:rPr>
          <w:rFonts w:ascii="Arial" w:hAnsi="Arial" w:cs="Arial"/>
          <w:b/>
          <w:color w:val="000000"/>
          <w:sz w:val="20"/>
          <w:szCs w:val="20"/>
        </w:rPr>
        <w:br w:type="page"/>
      </w:r>
    </w:p>
    <w:p w14:paraId="330AA25B" w14:textId="7F883C2F" w:rsidR="00A17BCC" w:rsidRPr="00FB351A" w:rsidRDefault="00A17BCC">
      <w:pPr>
        <w:pStyle w:val="Prrafodelista"/>
        <w:widowControl w:val="0"/>
        <w:numPr>
          <w:ilvl w:val="0"/>
          <w:numId w:val="38"/>
        </w:numPr>
        <w:suppressAutoHyphens/>
        <w:autoSpaceDE w:val="0"/>
        <w:contextualSpacing/>
        <w:jc w:val="both"/>
        <w:rPr>
          <w:rFonts w:ascii="Arial" w:hAnsi="Arial" w:cs="Arial"/>
          <w:b/>
          <w:color w:val="000000"/>
          <w:sz w:val="20"/>
          <w:szCs w:val="20"/>
        </w:rPr>
      </w:pPr>
      <w:r w:rsidRPr="00FB351A">
        <w:rPr>
          <w:rFonts w:ascii="Arial" w:hAnsi="Arial" w:cs="Arial"/>
          <w:b/>
          <w:color w:val="000000"/>
          <w:sz w:val="20"/>
          <w:szCs w:val="20"/>
        </w:rPr>
        <w:lastRenderedPageBreak/>
        <w:t>ESTUDIO DE MERCADO.</w:t>
      </w:r>
    </w:p>
    <w:p w14:paraId="3FBF902B" w14:textId="77777777" w:rsidR="00A17BCC" w:rsidRPr="00FB351A" w:rsidRDefault="00A17BCC" w:rsidP="00803115">
      <w:pPr>
        <w:autoSpaceDE w:val="0"/>
        <w:autoSpaceDN w:val="0"/>
        <w:adjustRightInd w:val="0"/>
        <w:jc w:val="both"/>
        <w:rPr>
          <w:rFonts w:ascii="Arial" w:eastAsia="Arial Narrow" w:hAnsi="Arial" w:cs="Arial"/>
          <w:sz w:val="20"/>
          <w:szCs w:val="20"/>
        </w:rPr>
      </w:pPr>
    </w:p>
    <w:p w14:paraId="4B745B59" w14:textId="6132993E" w:rsidR="004402A0" w:rsidRPr="00FB351A" w:rsidRDefault="004402A0">
      <w:pPr>
        <w:pStyle w:val="Prrafodelista"/>
        <w:numPr>
          <w:ilvl w:val="1"/>
          <w:numId w:val="38"/>
        </w:numPr>
        <w:jc w:val="both"/>
        <w:rPr>
          <w:rFonts w:ascii="Arial" w:hAnsi="Arial" w:cs="Arial"/>
          <w:b/>
          <w:sz w:val="20"/>
          <w:szCs w:val="20"/>
        </w:rPr>
      </w:pPr>
      <w:bookmarkStart w:id="31" w:name="_Hlk118204159"/>
      <w:bookmarkEnd w:id="29"/>
      <w:r w:rsidRPr="00FB351A">
        <w:rPr>
          <w:rFonts w:ascii="Arial" w:hAnsi="Arial" w:cs="Arial"/>
          <w:b/>
          <w:color w:val="000000"/>
          <w:sz w:val="20"/>
          <w:szCs w:val="20"/>
          <w:lang w:eastAsia="en-US"/>
        </w:rPr>
        <w:t>Estructura de costos</w:t>
      </w:r>
    </w:p>
    <w:p w14:paraId="49E135E1" w14:textId="77777777" w:rsidR="004402A0" w:rsidRPr="00FB351A" w:rsidRDefault="004402A0" w:rsidP="00803115">
      <w:pPr>
        <w:jc w:val="both"/>
        <w:rPr>
          <w:rFonts w:ascii="Arial" w:hAnsi="Arial" w:cs="Arial"/>
          <w:b/>
          <w:color w:val="000000"/>
          <w:sz w:val="20"/>
          <w:szCs w:val="20"/>
          <w:lang w:eastAsia="en-US"/>
        </w:rPr>
      </w:pPr>
    </w:p>
    <w:p w14:paraId="5FDCDCB1"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Para determinar el costo de prima los seguros, se debe realizar una operación aritmética que consiste en multiplicar el valor asegurado proyectado para el seguro, por la tasa; el resultado se prorratea por la vigencia requerida para luego sacar los impuestos de ley (IVA).</w:t>
      </w:r>
    </w:p>
    <w:p w14:paraId="370B57FB" w14:textId="77777777" w:rsidR="004402A0" w:rsidRPr="00FB351A" w:rsidRDefault="004402A0" w:rsidP="00803115">
      <w:pPr>
        <w:jc w:val="both"/>
        <w:rPr>
          <w:rFonts w:ascii="Arial" w:hAnsi="Arial" w:cs="Arial"/>
          <w:iCs/>
          <w:color w:val="000000"/>
          <w:sz w:val="20"/>
          <w:szCs w:val="20"/>
          <w:lang w:eastAsia="en-US"/>
        </w:rPr>
      </w:pPr>
    </w:p>
    <w:p w14:paraId="493AFE51"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En este contexto, la tasa, compuesta según el principio de suficiencia por la tasa de riesgo, los gastos de administración, los gastos de adquisición (intermediación) y la utilidad esperada en la operación del seguro, reflejados en la prima comercial, no obedece a porcentajes fijos o uniformes, sino que, por el contrario, es precisamente la valoración y ponderación de dichos factores lo que permite al asegurador competir en el mercado ofreciendo mejores condiciones. Esto se logra en la medida en que, salvo la tasa de riesgo, los demás elementos permiten un manejo flexible por encontrarse vinculados a la estructura organizacional y administrativa de cada entidad aseguradora</w:t>
      </w:r>
      <w:r w:rsidRPr="00FB351A">
        <w:rPr>
          <w:rStyle w:val="Refdenotaalpie"/>
          <w:rFonts w:ascii="Arial" w:hAnsi="Arial" w:cs="Arial"/>
          <w:iCs/>
          <w:color w:val="000000"/>
          <w:sz w:val="20"/>
          <w:szCs w:val="20"/>
          <w:lang w:eastAsia="en-US"/>
        </w:rPr>
        <w:footnoteReference w:id="16"/>
      </w:r>
      <w:r w:rsidRPr="00FB351A">
        <w:rPr>
          <w:rFonts w:ascii="Arial" w:hAnsi="Arial" w:cs="Arial"/>
          <w:iCs/>
          <w:color w:val="000000"/>
          <w:sz w:val="20"/>
          <w:szCs w:val="20"/>
          <w:lang w:eastAsia="en-US"/>
        </w:rPr>
        <w:t>.</w:t>
      </w:r>
    </w:p>
    <w:p w14:paraId="773B43DC" w14:textId="77777777" w:rsidR="004402A0" w:rsidRPr="00FB351A" w:rsidRDefault="004402A0" w:rsidP="00803115">
      <w:pPr>
        <w:jc w:val="both"/>
        <w:rPr>
          <w:rFonts w:ascii="Arial" w:hAnsi="Arial" w:cs="Arial"/>
          <w:iCs/>
          <w:color w:val="000000"/>
          <w:sz w:val="20"/>
          <w:szCs w:val="20"/>
          <w:lang w:eastAsia="en-US"/>
        </w:rPr>
      </w:pPr>
    </w:p>
    <w:p w14:paraId="37A75857"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Todo lo anterior, teniendo en cuenta que, para la determinación de las tasas y la estructura de costos de los seguros, las aseguradoras deben tener en cuenta aspectos como siniestralidad, gastos de administración, costos de reaseguro, recargo comercial (utilidad esperada) entre otros conceptos, razón por la cual los porcentajes establecidos para cada póliza se encuentran acordes con las condiciones actuales del mercado asegurador.</w:t>
      </w:r>
    </w:p>
    <w:p w14:paraId="29F4E08B" w14:textId="77777777" w:rsidR="004402A0" w:rsidRPr="00FB351A" w:rsidRDefault="004402A0" w:rsidP="00803115">
      <w:pPr>
        <w:jc w:val="both"/>
        <w:rPr>
          <w:rFonts w:ascii="Arial" w:hAnsi="Arial" w:cs="Arial"/>
          <w:b/>
          <w:sz w:val="20"/>
          <w:szCs w:val="20"/>
        </w:rPr>
      </w:pPr>
    </w:p>
    <w:p w14:paraId="3256ED4B" w14:textId="77777777" w:rsidR="004402A0" w:rsidRPr="00FB351A" w:rsidRDefault="004402A0" w:rsidP="00803115">
      <w:pPr>
        <w:jc w:val="both"/>
        <w:rPr>
          <w:rFonts w:ascii="Arial" w:hAnsi="Arial" w:cs="Arial"/>
          <w:bCs/>
          <w:sz w:val="20"/>
          <w:szCs w:val="20"/>
        </w:rPr>
      </w:pPr>
      <w:r w:rsidRPr="00FB351A">
        <w:rPr>
          <w:rFonts w:ascii="Arial" w:hAnsi="Arial" w:cs="Arial"/>
          <w:bCs/>
          <w:sz w:val="20"/>
          <w:szCs w:val="20"/>
        </w:rPr>
        <w:t xml:space="preserve">La estructura de costos de los seguros se basa en elementos esenciales como el interés asegurable, el riesgo (ubicación, tipo de bien, construcción), la prima (precio), y la obligación condicional del asegurador, donde la prima se calcula con base en el valor asegurado, el riesgo evaluado (con guías como la de vehículos de </w:t>
      </w:r>
      <w:proofErr w:type="spellStart"/>
      <w:r w:rsidRPr="00FB351A">
        <w:rPr>
          <w:rFonts w:ascii="Arial" w:hAnsi="Arial" w:cs="Arial"/>
          <w:bCs/>
          <w:sz w:val="20"/>
          <w:szCs w:val="20"/>
        </w:rPr>
        <w:t>Fasecolda</w:t>
      </w:r>
      <w:proofErr w:type="spellEnd"/>
      <w:r w:rsidRPr="00FB351A">
        <w:rPr>
          <w:rFonts w:ascii="Arial" w:hAnsi="Arial" w:cs="Arial"/>
          <w:bCs/>
          <w:sz w:val="20"/>
          <w:szCs w:val="20"/>
        </w:rPr>
        <w:t>) y gastos administrativos y técnicos de la aseguradora.</w:t>
      </w:r>
    </w:p>
    <w:p w14:paraId="3EF3D5C0" w14:textId="77777777" w:rsidR="004402A0" w:rsidRPr="00FB351A" w:rsidRDefault="004402A0" w:rsidP="00803115">
      <w:pPr>
        <w:jc w:val="both"/>
        <w:rPr>
          <w:rFonts w:ascii="Arial" w:hAnsi="Arial" w:cs="Arial"/>
          <w:iCs/>
          <w:color w:val="000000"/>
          <w:sz w:val="20"/>
          <w:szCs w:val="20"/>
          <w:lang w:eastAsia="en-US"/>
        </w:rPr>
      </w:pPr>
    </w:p>
    <w:p w14:paraId="2B5C004A" w14:textId="7E4B9564" w:rsidR="004402A0" w:rsidRPr="00FB351A" w:rsidRDefault="004402A0">
      <w:pPr>
        <w:pStyle w:val="Prrafodelista"/>
        <w:numPr>
          <w:ilvl w:val="2"/>
          <w:numId w:val="38"/>
        </w:numPr>
        <w:jc w:val="both"/>
        <w:rPr>
          <w:rFonts w:ascii="Arial" w:hAnsi="Arial" w:cs="Arial"/>
          <w:b/>
          <w:iCs/>
          <w:color w:val="000000"/>
          <w:sz w:val="20"/>
          <w:szCs w:val="20"/>
          <w:lang w:eastAsia="en-US"/>
        </w:rPr>
      </w:pPr>
      <w:r w:rsidRPr="00FB351A">
        <w:rPr>
          <w:rFonts w:ascii="Arial" w:hAnsi="Arial" w:cs="Arial"/>
          <w:b/>
          <w:iCs/>
          <w:color w:val="000000"/>
          <w:sz w:val="20"/>
          <w:szCs w:val="20"/>
          <w:lang w:eastAsia="en-US"/>
        </w:rPr>
        <w:t>La siniestralidad como factor importante para el cálculo de la prima</w:t>
      </w:r>
    </w:p>
    <w:p w14:paraId="0383F30C" w14:textId="77777777" w:rsidR="004402A0" w:rsidRPr="00FB351A" w:rsidRDefault="004402A0" w:rsidP="00803115">
      <w:pPr>
        <w:jc w:val="both"/>
        <w:rPr>
          <w:rFonts w:ascii="Arial" w:hAnsi="Arial" w:cs="Arial"/>
          <w:iCs/>
          <w:color w:val="000000"/>
          <w:sz w:val="20"/>
          <w:szCs w:val="20"/>
          <w:lang w:eastAsia="en-US"/>
        </w:rPr>
      </w:pPr>
    </w:p>
    <w:p w14:paraId="780FD6DE"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La siniestralidad constituye el factor más importante para considerar la prima pura de riesgo. Este análisis en primera medida considera la siniestralidad particular de la entidad. El segundo aspecto para considerar es la experiencia siniestral propia de la aseguradora, es decir, las estadísticas de siniestralidad correspondientes a los siniestros pagados y en reserva que la aseguradora tiene durante cierto periodo de tiempo que corresponde habitualmente a la generada durante los últimos 3 a 5 años y finalmente la siniestralidad de la industria en general por ramo, sector, región.</w:t>
      </w:r>
    </w:p>
    <w:p w14:paraId="12B2F5BE" w14:textId="77777777" w:rsidR="004402A0" w:rsidRPr="00FB351A" w:rsidRDefault="004402A0" w:rsidP="00803115">
      <w:pPr>
        <w:jc w:val="both"/>
        <w:rPr>
          <w:rFonts w:ascii="Arial" w:hAnsi="Arial" w:cs="Arial"/>
          <w:iCs/>
          <w:color w:val="000000"/>
          <w:sz w:val="20"/>
          <w:szCs w:val="20"/>
          <w:lang w:eastAsia="en-US"/>
        </w:rPr>
      </w:pPr>
    </w:p>
    <w:p w14:paraId="768A2D7F"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Las aseguradoras realizan múltiples análisis de siniestralidad con el fin de ajustar sus tasas acordes al riesgo que van a asumir, esto incluye estudiar la siniestralidad de cada ramo por amparo, por ejemplo, analizan el creciente número de reclamaciones por hurto de equipos móviles en las pólizas de Todo Riesgo Daños Materiales, las afectaciones de la asistencia en viaje en las pólizas de automóviles o las crecientes reclamaciones por infidelidad y riesgos financieros en el sector. </w:t>
      </w:r>
    </w:p>
    <w:p w14:paraId="2E00592C" w14:textId="77777777" w:rsidR="004402A0" w:rsidRPr="00FB351A" w:rsidRDefault="004402A0" w:rsidP="00803115">
      <w:pPr>
        <w:jc w:val="both"/>
        <w:rPr>
          <w:rFonts w:ascii="Arial" w:hAnsi="Arial" w:cs="Arial"/>
          <w:iCs/>
          <w:color w:val="000000"/>
          <w:sz w:val="20"/>
          <w:szCs w:val="20"/>
          <w:lang w:eastAsia="en-US"/>
        </w:rPr>
      </w:pPr>
    </w:p>
    <w:p w14:paraId="5E69C686"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Existen eventos que por su severidad afectan la siniestralidad del sector generando aumentos en la tasa de prima de seguro. </w:t>
      </w:r>
    </w:p>
    <w:p w14:paraId="1167CEF6" w14:textId="77777777" w:rsidR="00CE0E5F" w:rsidRPr="00FB351A" w:rsidRDefault="00CE0E5F" w:rsidP="00803115">
      <w:pPr>
        <w:jc w:val="both"/>
        <w:rPr>
          <w:rFonts w:ascii="Arial" w:hAnsi="Arial" w:cs="Arial"/>
          <w:iCs/>
          <w:color w:val="000000"/>
          <w:sz w:val="20"/>
          <w:szCs w:val="20"/>
          <w:lang w:eastAsia="en-US"/>
        </w:rPr>
      </w:pPr>
    </w:p>
    <w:p w14:paraId="3DA09806" w14:textId="3F253DB0" w:rsidR="00CE0E5F" w:rsidRPr="00FB351A" w:rsidRDefault="00CE0E5F">
      <w:pPr>
        <w:pStyle w:val="Prrafodelista"/>
        <w:numPr>
          <w:ilvl w:val="2"/>
          <w:numId w:val="38"/>
        </w:num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Impacto de Eventos Catastróficos Recientes en la Estructuración del Programa de Seguros (Sismo del 10 de agosto de 2026)</w:t>
      </w:r>
    </w:p>
    <w:p w14:paraId="54F4E164" w14:textId="77777777" w:rsidR="00CE0E5F" w:rsidRPr="00FB351A" w:rsidRDefault="00CE0E5F" w:rsidP="00CE0E5F">
      <w:pPr>
        <w:jc w:val="both"/>
        <w:rPr>
          <w:rFonts w:ascii="Arial" w:hAnsi="Arial" w:cs="Arial"/>
          <w:b/>
          <w:bCs/>
          <w:iCs/>
          <w:color w:val="000000"/>
          <w:sz w:val="20"/>
          <w:szCs w:val="20"/>
          <w:lang w:eastAsia="en-US"/>
        </w:rPr>
      </w:pPr>
    </w:p>
    <w:p w14:paraId="1BB3379E" w14:textId="77777777" w:rsidR="00DE3C9C" w:rsidRDefault="00DE3C9C" w:rsidP="00CE0E5F">
      <w:pPr>
        <w:jc w:val="both"/>
        <w:rPr>
          <w:rFonts w:ascii="Arial" w:hAnsi="Arial" w:cs="Arial"/>
          <w:bCs/>
          <w:iCs/>
          <w:color w:val="000000"/>
          <w:sz w:val="20"/>
          <w:szCs w:val="20"/>
          <w:lang w:eastAsia="en-US"/>
        </w:rPr>
      </w:pPr>
    </w:p>
    <w:p w14:paraId="683B18F3" w14:textId="77777777" w:rsidR="00DE3C9C" w:rsidRDefault="00DE3C9C" w:rsidP="00DE3C9C">
      <w:pPr>
        <w:jc w:val="both"/>
        <w:rPr>
          <w:rFonts w:ascii="Arial" w:hAnsi="Arial" w:cs="Arial"/>
          <w:bCs/>
          <w:iCs/>
          <w:color w:val="000000"/>
          <w:sz w:val="20"/>
          <w:szCs w:val="20"/>
          <w:lang w:eastAsia="en-US"/>
        </w:rPr>
      </w:pPr>
      <w:r w:rsidRPr="00FF7AF4">
        <w:rPr>
          <w:rFonts w:ascii="Arial" w:hAnsi="Arial" w:cs="Arial"/>
          <w:bCs/>
          <w:iCs/>
          <w:color w:val="000000"/>
          <w:sz w:val="20"/>
          <w:szCs w:val="20"/>
          <w:lang w:eastAsia="en-US"/>
        </w:rPr>
        <w:t>La industria aseguradora en Colombia estima que el impacto patrimonial derivado del terremoto del pasado 10 de agosto continúa reconfigurando las proyecciones financieras del sector asegurador. De acuerdo con el último reporte emitido por la Federación de Aseguradores de Colombia (</w:t>
      </w:r>
      <w:proofErr w:type="spellStart"/>
      <w:r w:rsidRPr="00FF7AF4">
        <w:rPr>
          <w:rFonts w:ascii="Arial" w:hAnsi="Arial" w:cs="Arial"/>
          <w:bCs/>
          <w:iCs/>
          <w:color w:val="000000"/>
          <w:sz w:val="20"/>
          <w:szCs w:val="20"/>
          <w:lang w:eastAsia="en-US"/>
        </w:rPr>
        <w:t>Fasecolda</w:t>
      </w:r>
      <w:proofErr w:type="spellEnd"/>
      <w:r w:rsidRPr="00FF7AF4">
        <w:rPr>
          <w:rFonts w:ascii="Arial" w:hAnsi="Arial" w:cs="Arial"/>
          <w:bCs/>
          <w:iCs/>
          <w:color w:val="000000"/>
          <w:sz w:val="20"/>
          <w:szCs w:val="20"/>
          <w:lang w:eastAsia="en-US"/>
        </w:rPr>
        <w:t>), el valor asegurado asociado a los siniestros reportados alcanzó un nuevo máximo de $5,5 billones de pesos. Esta cifra representa un salto significativo en el pasivo contingente que asume la industria, registrando un incremento neto de $1 billón de pesos en tan solo una semana.</w:t>
      </w:r>
    </w:p>
    <w:p w14:paraId="3E391DD6" w14:textId="77777777" w:rsidR="00DE3C9C" w:rsidRPr="00FF7AF4" w:rsidRDefault="00DE3C9C" w:rsidP="00DE3C9C">
      <w:pPr>
        <w:jc w:val="both"/>
        <w:rPr>
          <w:rFonts w:ascii="Arial" w:hAnsi="Arial" w:cs="Arial"/>
          <w:bCs/>
          <w:iCs/>
          <w:color w:val="000000"/>
          <w:sz w:val="20"/>
          <w:szCs w:val="20"/>
          <w:lang w:eastAsia="en-US"/>
        </w:rPr>
      </w:pPr>
    </w:p>
    <w:p w14:paraId="303A6260" w14:textId="77777777" w:rsidR="00DE3C9C" w:rsidRPr="00FF7AF4" w:rsidRDefault="00DE3C9C" w:rsidP="00DE3C9C">
      <w:pPr>
        <w:jc w:val="both"/>
        <w:rPr>
          <w:rFonts w:ascii="Arial" w:hAnsi="Arial" w:cs="Arial"/>
          <w:bCs/>
          <w:iCs/>
          <w:color w:val="000000"/>
          <w:sz w:val="20"/>
          <w:szCs w:val="20"/>
          <w:lang w:eastAsia="en-US"/>
        </w:rPr>
      </w:pPr>
      <w:r w:rsidRPr="00FF7AF4">
        <w:rPr>
          <w:rFonts w:ascii="Arial" w:hAnsi="Arial" w:cs="Arial"/>
          <w:bCs/>
          <w:iCs/>
          <w:color w:val="000000"/>
          <w:sz w:val="20"/>
          <w:szCs w:val="20"/>
          <w:lang w:eastAsia="en-US"/>
        </w:rPr>
        <w:t>La magnitud de esta contingencia se traduce en un volumen de 85.496 reclamaciones formales recibidas por las diferentes compañías desde el momento de la catástrofe, sumando 962 solicitudes adicionales en los últimos siete días de corte, en Colombia.</w:t>
      </w:r>
    </w:p>
    <w:p w14:paraId="4ADCC93A" w14:textId="77777777" w:rsidR="00DE3C9C" w:rsidRPr="00FF7AF4" w:rsidRDefault="00DE3C9C" w:rsidP="00DE3C9C">
      <w:pPr>
        <w:jc w:val="both"/>
        <w:rPr>
          <w:rFonts w:ascii="Arial" w:hAnsi="Arial" w:cs="Arial"/>
          <w:bCs/>
          <w:iCs/>
          <w:color w:val="000000"/>
          <w:sz w:val="20"/>
          <w:szCs w:val="20"/>
          <w:lang w:eastAsia="en-US"/>
        </w:rPr>
      </w:pPr>
      <w:r w:rsidRPr="00FF7AF4">
        <w:rPr>
          <w:rFonts w:ascii="Arial" w:hAnsi="Arial" w:cs="Arial"/>
          <w:bCs/>
          <w:iCs/>
          <w:color w:val="000000"/>
          <w:sz w:val="20"/>
          <w:szCs w:val="20"/>
          <w:lang w:eastAsia="en-US"/>
        </w:rPr>
        <w:t> </w:t>
      </w:r>
    </w:p>
    <w:p w14:paraId="1320936F" w14:textId="77777777" w:rsidR="00DE3C9C" w:rsidRPr="00FF7AF4" w:rsidRDefault="00DE3C9C" w:rsidP="00DE3C9C">
      <w:pPr>
        <w:jc w:val="both"/>
        <w:rPr>
          <w:rFonts w:ascii="Arial" w:hAnsi="Arial" w:cs="Arial"/>
          <w:bCs/>
          <w:iCs/>
          <w:color w:val="000000"/>
          <w:sz w:val="20"/>
          <w:szCs w:val="20"/>
          <w:lang w:eastAsia="en-US"/>
        </w:rPr>
      </w:pPr>
      <w:r w:rsidRPr="00FF7AF4">
        <w:rPr>
          <w:rFonts w:ascii="Arial" w:hAnsi="Arial" w:cs="Arial"/>
          <w:bCs/>
          <w:iCs/>
          <w:color w:val="000000"/>
          <w:sz w:val="20"/>
          <w:szCs w:val="20"/>
          <w:lang w:eastAsia="en-US"/>
        </w:rPr>
        <w:t>Al desglosar la concentración del riesgo y la afectación sectorial, el mayor peso macroeconómico recae por los recientes incendios y el terremoto, el cual acumula 61.250 siniestros y concentra una estimación de pago equivalente a $4 billones. En un segundo nivel de impacto se ubica el rubro de seguros de hogar, que reporta 18.755 reclamaciones con un valor estimado de $541.000 millones, reflejando el daño estructural sobre los bienes residenciales.</w:t>
      </w:r>
    </w:p>
    <w:p w14:paraId="63C4C93C" w14:textId="77777777" w:rsidR="00DE3C9C" w:rsidRPr="00FF7AF4" w:rsidRDefault="00DE3C9C" w:rsidP="00DE3C9C">
      <w:pPr>
        <w:jc w:val="both"/>
        <w:rPr>
          <w:rFonts w:ascii="Arial" w:hAnsi="Arial" w:cs="Arial"/>
          <w:bCs/>
          <w:iCs/>
          <w:color w:val="000000"/>
          <w:sz w:val="20"/>
          <w:szCs w:val="20"/>
          <w:lang w:eastAsia="en-US"/>
        </w:rPr>
      </w:pPr>
      <w:r w:rsidRPr="00FF7AF4">
        <w:rPr>
          <w:rFonts w:ascii="Arial" w:hAnsi="Arial" w:cs="Arial"/>
          <w:bCs/>
          <w:iCs/>
          <w:color w:val="000000"/>
          <w:sz w:val="20"/>
          <w:szCs w:val="20"/>
          <w:lang w:eastAsia="en-US"/>
        </w:rPr>
        <w:t> </w:t>
      </w:r>
    </w:p>
    <w:p w14:paraId="0F6900AE" w14:textId="77777777" w:rsidR="00DE3C9C" w:rsidRPr="00FF7AF4" w:rsidRDefault="00DE3C9C" w:rsidP="00DE3C9C">
      <w:pPr>
        <w:jc w:val="both"/>
        <w:rPr>
          <w:rFonts w:ascii="Arial" w:hAnsi="Arial" w:cs="Arial"/>
          <w:bCs/>
          <w:iCs/>
          <w:color w:val="000000"/>
          <w:sz w:val="20"/>
          <w:szCs w:val="20"/>
          <w:lang w:eastAsia="en-US"/>
        </w:rPr>
      </w:pPr>
      <w:r w:rsidRPr="00FF7AF4">
        <w:rPr>
          <w:rFonts w:ascii="Arial" w:hAnsi="Arial" w:cs="Arial"/>
          <w:bCs/>
          <w:iCs/>
          <w:color w:val="000000"/>
          <w:sz w:val="20"/>
          <w:szCs w:val="20"/>
          <w:lang w:eastAsia="en-US"/>
        </w:rPr>
        <w:t xml:space="preserve">Sobre el particular, y en recientes reuniones adelantadas por nuestra Gerencia y Subgerencias Técnicas con varios Brókeres de Reaseguros, así como con diferentes aseguradoras han puesto de presente el impacto económico que representa para todas las partes, llegando a considerar que para las pólizas de </w:t>
      </w:r>
      <w:proofErr w:type="spellStart"/>
      <w:r w:rsidRPr="00FF7AF4">
        <w:rPr>
          <w:rFonts w:ascii="Arial" w:hAnsi="Arial" w:cs="Arial"/>
          <w:bCs/>
          <w:iCs/>
          <w:color w:val="000000"/>
          <w:sz w:val="20"/>
          <w:szCs w:val="20"/>
          <w:lang w:eastAsia="en-US"/>
        </w:rPr>
        <w:t>TRDM</w:t>
      </w:r>
      <w:proofErr w:type="spellEnd"/>
      <w:r w:rsidRPr="00FF7AF4">
        <w:rPr>
          <w:rFonts w:ascii="Arial" w:hAnsi="Arial" w:cs="Arial"/>
          <w:bCs/>
          <w:iCs/>
          <w:color w:val="000000"/>
          <w:sz w:val="20"/>
          <w:szCs w:val="20"/>
          <w:lang w:eastAsia="en-US"/>
        </w:rPr>
        <w:t xml:space="preserve"> - Amparo de Terremoto, presentará unos incrementos que podrían oscilar entre un 20% y 25%, para este amparo.</w:t>
      </w:r>
    </w:p>
    <w:p w14:paraId="7AC4BAB1" w14:textId="77777777" w:rsidR="00DE3C9C" w:rsidRDefault="00DE3C9C" w:rsidP="00CE0E5F">
      <w:pPr>
        <w:jc w:val="both"/>
        <w:rPr>
          <w:rFonts w:ascii="Arial" w:hAnsi="Arial" w:cs="Arial"/>
          <w:bCs/>
          <w:iCs/>
          <w:color w:val="000000"/>
          <w:sz w:val="20"/>
          <w:szCs w:val="20"/>
          <w:lang w:eastAsia="en-US"/>
        </w:rPr>
      </w:pPr>
    </w:p>
    <w:p w14:paraId="5177908B" w14:textId="45697BF2"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Cs/>
          <w:iCs/>
          <w:color w:val="000000"/>
          <w:sz w:val="20"/>
          <w:szCs w:val="20"/>
          <w:lang w:eastAsia="en-US"/>
        </w:rPr>
        <w:t xml:space="preserve">Para la adecuada planeación del presente proceso de contratación, la </w:t>
      </w:r>
      <w:r w:rsidR="002900F6" w:rsidRPr="00FB351A">
        <w:rPr>
          <w:rFonts w:ascii="Arial" w:hAnsi="Arial" w:cs="Arial"/>
          <w:bCs/>
          <w:iCs/>
          <w:color w:val="000000"/>
          <w:sz w:val="20"/>
          <w:szCs w:val="20"/>
          <w:lang w:eastAsia="en-US"/>
        </w:rPr>
        <w:t>Agencia de Desarrollo Rural - ADR</w:t>
      </w:r>
      <w:r w:rsidRPr="00FB351A">
        <w:rPr>
          <w:rFonts w:ascii="Arial" w:hAnsi="Arial" w:cs="Arial"/>
          <w:bCs/>
          <w:iCs/>
          <w:color w:val="000000"/>
          <w:sz w:val="20"/>
          <w:szCs w:val="20"/>
          <w:lang w:eastAsia="en-US"/>
        </w:rPr>
        <w:t xml:space="preserve"> ha evaluado el comportamiento reciente del mercado asegurador y reasegurador nacional e internacional, el cual constituye la fuente directa de provisión del servicio requerido.</w:t>
      </w:r>
    </w:p>
    <w:p w14:paraId="72F10ED1" w14:textId="77777777" w:rsidR="00CE0E5F" w:rsidRPr="00FB351A" w:rsidRDefault="00CE0E5F" w:rsidP="00CE0E5F">
      <w:pPr>
        <w:jc w:val="both"/>
        <w:rPr>
          <w:rFonts w:ascii="Arial" w:hAnsi="Arial" w:cs="Arial"/>
          <w:bCs/>
          <w:iCs/>
          <w:color w:val="000000"/>
          <w:sz w:val="20"/>
          <w:szCs w:val="20"/>
          <w:lang w:eastAsia="en-US"/>
        </w:rPr>
      </w:pPr>
    </w:p>
    <w:p w14:paraId="24D25E77" w14:textId="77777777"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Cs/>
          <w:iCs/>
          <w:color w:val="000000"/>
          <w:sz w:val="20"/>
          <w:szCs w:val="20"/>
          <w:lang w:eastAsia="en-US"/>
        </w:rPr>
        <w:t xml:space="preserve">Dentro de este análisis, resulta imperativo documentar el impacto del evento sísmico de magnitud 7.4 en la escala de </w:t>
      </w:r>
      <w:proofErr w:type="spellStart"/>
      <w:r w:rsidRPr="00FB351A">
        <w:rPr>
          <w:rFonts w:ascii="Arial" w:hAnsi="Arial" w:cs="Arial"/>
          <w:bCs/>
          <w:iCs/>
          <w:color w:val="000000"/>
          <w:sz w:val="20"/>
          <w:szCs w:val="20"/>
          <w:lang w:eastAsia="en-US"/>
        </w:rPr>
        <w:t>richter</w:t>
      </w:r>
      <w:proofErr w:type="spellEnd"/>
      <w:r w:rsidRPr="00FB351A">
        <w:rPr>
          <w:rFonts w:ascii="Arial" w:hAnsi="Arial" w:cs="Arial"/>
          <w:bCs/>
          <w:iCs/>
          <w:color w:val="000000"/>
          <w:sz w:val="20"/>
          <w:szCs w:val="20"/>
          <w:lang w:eastAsia="en-US"/>
        </w:rPr>
        <w:t xml:space="preserve"> ocurrido el pasado 10 de agosto de 2026, con epicentro en San José del Palmar (Chocó). </w:t>
      </w:r>
    </w:p>
    <w:p w14:paraId="357EBC7E" w14:textId="77777777" w:rsidR="00CE0E5F" w:rsidRPr="00FB351A" w:rsidRDefault="00CE0E5F" w:rsidP="00CE0E5F">
      <w:pPr>
        <w:jc w:val="both"/>
        <w:rPr>
          <w:rFonts w:ascii="Arial" w:hAnsi="Arial" w:cs="Arial"/>
          <w:bCs/>
          <w:iCs/>
          <w:color w:val="000000"/>
          <w:sz w:val="20"/>
          <w:szCs w:val="20"/>
          <w:lang w:eastAsia="en-US"/>
        </w:rPr>
      </w:pPr>
    </w:p>
    <w:p w14:paraId="5A120FA1" w14:textId="77777777"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Cs/>
          <w:iCs/>
          <w:color w:val="000000"/>
          <w:sz w:val="20"/>
          <w:szCs w:val="20"/>
          <w:lang w:eastAsia="en-US"/>
        </w:rPr>
        <w:t>Este fenómeno natural, que generó afectaciones en más de 16 departamentos del país, ha provocado una alteración técnica y financiera inmediata en las políticas de suscripción de riesgos catastróficos por parte de la industria aseguradora, lo cual incide directamente en la estructuración de la presente licitación pública en los siguientes aspectos:</w:t>
      </w:r>
    </w:p>
    <w:p w14:paraId="01EE75E0" w14:textId="77777777" w:rsidR="00CE0E5F" w:rsidRPr="00FB351A" w:rsidRDefault="00CE0E5F" w:rsidP="00CE0E5F">
      <w:pPr>
        <w:jc w:val="both"/>
        <w:rPr>
          <w:rFonts w:ascii="Arial" w:hAnsi="Arial" w:cs="Arial"/>
          <w:bCs/>
          <w:iCs/>
          <w:color w:val="000000"/>
          <w:sz w:val="20"/>
          <w:szCs w:val="20"/>
          <w:lang w:eastAsia="en-US"/>
        </w:rPr>
      </w:pPr>
    </w:p>
    <w:p w14:paraId="342CB272" w14:textId="77777777"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
          <w:bCs/>
          <w:iCs/>
          <w:color w:val="000000"/>
          <w:sz w:val="20"/>
          <w:szCs w:val="20"/>
          <w:lang w:eastAsia="en-US"/>
        </w:rPr>
        <w:t>A. Endurecimiento del Mercado Reasegurador y Ajuste Tarifario (Hard Market):</w:t>
      </w:r>
      <w:r w:rsidRPr="00FB351A">
        <w:rPr>
          <w:rFonts w:ascii="Arial" w:hAnsi="Arial" w:cs="Arial"/>
          <w:bCs/>
          <w:iCs/>
          <w:color w:val="000000"/>
          <w:sz w:val="20"/>
          <w:szCs w:val="20"/>
          <w:lang w:eastAsia="en-US"/>
        </w:rPr>
        <w:t xml:space="preserve"> La materialización de un evento sísmico de gran magnitud en el territorio nacional genera una contracción natural en la capacidad disponible (contratos automáticos y facultativos) otorgada por los reaseguradores internacionales a las compañías locales. En consecuencia, el mercado atraviesa un ciclo de endurecimiento (</w:t>
      </w:r>
      <w:r w:rsidRPr="00FB351A">
        <w:rPr>
          <w:rFonts w:ascii="Arial" w:hAnsi="Arial" w:cs="Arial"/>
          <w:bCs/>
          <w:i/>
          <w:iCs/>
          <w:color w:val="000000"/>
          <w:sz w:val="20"/>
          <w:szCs w:val="20"/>
          <w:lang w:eastAsia="en-US"/>
        </w:rPr>
        <w:t>Hard Market</w:t>
      </w:r>
      <w:r w:rsidRPr="00FB351A">
        <w:rPr>
          <w:rFonts w:ascii="Arial" w:hAnsi="Arial" w:cs="Arial"/>
          <w:bCs/>
          <w:iCs/>
          <w:color w:val="000000"/>
          <w:sz w:val="20"/>
          <w:szCs w:val="20"/>
          <w:lang w:eastAsia="en-US"/>
        </w:rPr>
        <w:t xml:space="preserve">), lo que se traduce en una presión al alza sobre las tasas puras de riesgo para el amparo de Terremoto, Temblor y Erupción Volcánica (TERI). </w:t>
      </w:r>
    </w:p>
    <w:p w14:paraId="31C68F5E" w14:textId="77777777" w:rsidR="00CE0E5F" w:rsidRPr="00FB351A" w:rsidRDefault="00CE0E5F" w:rsidP="00CE0E5F">
      <w:pPr>
        <w:jc w:val="both"/>
        <w:rPr>
          <w:rFonts w:ascii="Arial" w:hAnsi="Arial" w:cs="Arial"/>
          <w:bCs/>
          <w:iCs/>
          <w:color w:val="000000"/>
          <w:sz w:val="20"/>
          <w:szCs w:val="20"/>
          <w:lang w:eastAsia="en-US"/>
        </w:rPr>
      </w:pPr>
    </w:p>
    <w:p w14:paraId="2976CC5C" w14:textId="0479906C"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Cs/>
          <w:iCs/>
          <w:color w:val="000000"/>
          <w:sz w:val="20"/>
          <w:szCs w:val="20"/>
          <w:lang w:eastAsia="en-US"/>
        </w:rPr>
        <w:t xml:space="preserve">Para la </w:t>
      </w:r>
      <w:r w:rsidR="002900F6" w:rsidRPr="00FB351A">
        <w:rPr>
          <w:rFonts w:ascii="Arial" w:hAnsi="Arial" w:cs="Arial"/>
          <w:bCs/>
          <w:iCs/>
          <w:color w:val="000000"/>
          <w:sz w:val="20"/>
          <w:szCs w:val="20"/>
          <w:lang w:eastAsia="en-US"/>
        </w:rPr>
        <w:t>Agencia de Desarrollo Rural - ADR</w:t>
      </w:r>
      <w:r w:rsidRPr="00FB351A">
        <w:rPr>
          <w:rFonts w:ascii="Arial" w:hAnsi="Arial" w:cs="Arial"/>
          <w:bCs/>
          <w:iCs/>
          <w:color w:val="000000"/>
          <w:sz w:val="20"/>
          <w:szCs w:val="20"/>
          <w:lang w:eastAsia="en-US"/>
        </w:rPr>
        <w:t>, entidad que cuenta con un vasto patrimonio inmobiliario a nivel nacional, este factor macroeconómico justifica el ajuste en la proyección del Presupuesto Oficial estimado, previendo el incremento tarifario ineludible exigido por el mercado para el ramo de Todo Riesgo Daños Materiales.</w:t>
      </w:r>
    </w:p>
    <w:p w14:paraId="4D8ABCA3" w14:textId="77777777" w:rsidR="00CE0E5F" w:rsidRPr="00FB351A" w:rsidRDefault="00CE0E5F" w:rsidP="00CE0E5F">
      <w:pPr>
        <w:jc w:val="both"/>
        <w:rPr>
          <w:rFonts w:ascii="Arial" w:hAnsi="Arial" w:cs="Arial"/>
          <w:bCs/>
          <w:iCs/>
          <w:color w:val="000000"/>
          <w:sz w:val="20"/>
          <w:szCs w:val="20"/>
          <w:lang w:eastAsia="en-US"/>
        </w:rPr>
      </w:pPr>
    </w:p>
    <w:p w14:paraId="5E73A389" w14:textId="77777777"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
          <w:bCs/>
          <w:iCs/>
          <w:color w:val="000000"/>
          <w:sz w:val="20"/>
          <w:szCs w:val="20"/>
          <w:lang w:eastAsia="en-US"/>
        </w:rPr>
        <w:lastRenderedPageBreak/>
        <w:t>B. Ajuste Técnico en Deducibles y Límites de Indemnización:</w:t>
      </w:r>
      <w:r w:rsidRPr="00FB351A">
        <w:rPr>
          <w:rFonts w:ascii="Arial" w:hAnsi="Arial" w:cs="Arial"/>
          <w:bCs/>
          <w:iCs/>
          <w:color w:val="000000"/>
          <w:sz w:val="20"/>
          <w:szCs w:val="20"/>
          <w:lang w:eastAsia="en-US"/>
        </w:rPr>
        <w:t xml:space="preserve"> Derivado de la alta siniestralidad acumulada que el sector asegurador debe absorber tras el evento del 10 de agosto, las políticas de suscripción se han vuelto más restrictivas. El análisis de mercado evidencia que las compañías aseguradoras impondrán deducibles más altos para los eventos catastróficos (generalmente expresados en porcentajes sobre el valor asegurable de la ubicación afectada, con mínimos de mayor cuantía). </w:t>
      </w:r>
    </w:p>
    <w:p w14:paraId="1555B54F" w14:textId="77777777" w:rsidR="00CE0E5F" w:rsidRPr="00FB351A" w:rsidRDefault="00CE0E5F" w:rsidP="00CE0E5F">
      <w:pPr>
        <w:jc w:val="both"/>
        <w:rPr>
          <w:rFonts w:ascii="Arial" w:hAnsi="Arial" w:cs="Arial"/>
          <w:bCs/>
          <w:iCs/>
          <w:color w:val="000000"/>
          <w:sz w:val="20"/>
          <w:szCs w:val="20"/>
          <w:lang w:eastAsia="en-US"/>
        </w:rPr>
      </w:pPr>
    </w:p>
    <w:p w14:paraId="141958D1" w14:textId="3CE75775"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
          <w:bCs/>
          <w:iCs/>
          <w:color w:val="000000"/>
          <w:sz w:val="20"/>
          <w:szCs w:val="20"/>
          <w:lang w:eastAsia="en-US"/>
        </w:rPr>
        <w:t>C. Rigurosidad en la Información Técnica (</w:t>
      </w:r>
      <w:proofErr w:type="spellStart"/>
      <w:r w:rsidRPr="00FB351A">
        <w:rPr>
          <w:rFonts w:ascii="Arial" w:hAnsi="Arial" w:cs="Arial"/>
          <w:b/>
          <w:bCs/>
          <w:iCs/>
          <w:color w:val="000000"/>
          <w:sz w:val="20"/>
          <w:szCs w:val="20"/>
          <w:lang w:eastAsia="en-US"/>
        </w:rPr>
        <w:t>Underwriting</w:t>
      </w:r>
      <w:proofErr w:type="spellEnd"/>
      <w:r w:rsidRPr="00FB351A">
        <w:rPr>
          <w:rFonts w:ascii="Arial" w:hAnsi="Arial" w:cs="Arial"/>
          <w:b/>
          <w:bCs/>
          <w:iCs/>
          <w:color w:val="000000"/>
          <w:sz w:val="20"/>
          <w:szCs w:val="20"/>
          <w:lang w:eastAsia="en-US"/>
        </w:rPr>
        <w:t>):</w:t>
      </w:r>
      <w:r w:rsidRPr="00FB351A">
        <w:rPr>
          <w:rFonts w:ascii="Arial" w:hAnsi="Arial" w:cs="Arial"/>
          <w:bCs/>
          <w:iCs/>
          <w:color w:val="000000"/>
          <w:sz w:val="20"/>
          <w:szCs w:val="20"/>
          <w:lang w:eastAsia="en-US"/>
        </w:rPr>
        <w:t xml:space="preserve"> El reciente sismo ha elevado los estándares de evaluación de riesgos (</w:t>
      </w:r>
      <w:proofErr w:type="spellStart"/>
      <w:r w:rsidRPr="00FB351A">
        <w:rPr>
          <w:rFonts w:ascii="Arial" w:hAnsi="Arial" w:cs="Arial"/>
          <w:bCs/>
          <w:i/>
          <w:iCs/>
          <w:color w:val="000000"/>
          <w:sz w:val="20"/>
          <w:szCs w:val="20"/>
          <w:lang w:eastAsia="en-US"/>
        </w:rPr>
        <w:t>underwriting</w:t>
      </w:r>
      <w:proofErr w:type="spellEnd"/>
      <w:r w:rsidRPr="00FB351A">
        <w:rPr>
          <w:rFonts w:ascii="Arial" w:hAnsi="Arial" w:cs="Arial"/>
          <w:bCs/>
          <w:iCs/>
          <w:color w:val="000000"/>
          <w:sz w:val="20"/>
          <w:szCs w:val="20"/>
          <w:lang w:eastAsia="en-US"/>
        </w:rPr>
        <w:t xml:space="preserve">) por parte de las aseguradoras. Para otorgar cobertura sobre el patrimonio de la Institución, el mercado exige certidumbre sobre la vulnerabilidad física de los activos. Por tal razón, </w:t>
      </w:r>
      <w:r w:rsidR="00DE72A7" w:rsidRPr="00FB351A">
        <w:rPr>
          <w:rFonts w:ascii="Arial" w:hAnsi="Arial" w:cs="Arial"/>
          <w:bCs/>
          <w:iCs/>
          <w:color w:val="000000"/>
          <w:sz w:val="20"/>
          <w:szCs w:val="20"/>
          <w:lang w:eastAsia="en-US"/>
        </w:rPr>
        <w:t>la Agencia de Desarrollo Rural - ADR</w:t>
      </w:r>
      <w:r w:rsidRPr="00FB351A">
        <w:rPr>
          <w:rFonts w:ascii="Arial" w:hAnsi="Arial" w:cs="Arial"/>
          <w:bCs/>
          <w:iCs/>
          <w:color w:val="000000"/>
          <w:sz w:val="20"/>
          <w:szCs w:val="20"/>
          <w:lang w:eastAsia="en-US"/>
        </w:rPr>
        <w:t xml:space="preserve"> ha consolidado un Anexo No </w:t>
      </w:r>
      <w:r w:rsidR="005471C0" w:rsidRPr="00FB351A">
        <w:rPr>
          <w:rFonts w:ascii="Arial" w:hAnsi="Arial" w:cs="Arial"/>
          <w:bCs/>
          <w:iCs/>
          <w:color w:val="000000"/>
          <w:sz w:val="20"/>
          <w:szCs w:val="20"/>
          <w:lang w:eastAsia="en-US"/>
        </w:rPr>
        <w:t>1 Condiciones Técnicas Básicas Obligatorias</w:t>
      </w:r>
      <w:r w:rsidRPr="00FB351A">
        <w:rPr>
          <w:rFonts w:ascii="Arial" w:hAnsi="Arial" w:cs="Arial"/>
          <w:bCs/>
          <w:iCs/>
          <w:color w:val="000000"/>
          <w:sz w:val="20"/>
          <w:szCs w:val="20"/>
          <w:lang w:eastAsia="en-US"/>
        </w:rPr>
        <w:t xml:space="preserve"> exhaustivo que detalla la relación de inmuebles, mitigando la asimetría de información y evitando que las aseguradoras apliquen sobretasas por incertidumbre o declinen su participación.</w:t>
      </w:r>
    </w:p>
    <w:p w14:paraId="2B70F77C" w14:textId="77777777" w:rsidR="00CE0E5F" w:rsidRPr="00FB351A" w:rsidRDefault="00CE0E5F" w:rsidP="00CE0E5F">
      <w:pPr>
        <w:jc w:val="both"/>
        <w:rPr>
          <w:rFonts w:ascii="Arial" w:hAnsi="Arial" w:cs="Arial"/>
          <w:bCs/>
          <w:iCs/>
          <w:color w:val="000000"/>
          <w:sz w:val="20"/>
          <w:szCs w:val="20"/>
          <w:lang w:eastAsia="en-US"/>
        </w:rPr>
      </w:pPr>
    </w:p>
    <w:p w14:paraId="27D3144F" w14:textId="77777777" w:rsidR="00CE0E5F" w:rsidRPr="00FB351A" w:rsidRDefault="00CE0E5F" w:rsidP="00CE0E5F">
      <w:pPr>
        <w:jc w:val="both"/>
        <w:rPr>
          <w:rFonts w:ascii="Arial" w:hAnsi="Arial" w:cs="Arial"/>
          <w:bCs/>
          <w:iCs/>
          <w:color w:val="000000"/>
          <w:sz w:val="20"/>
          <w:szCs w:val="20"/>
          <w:lang w:eastAsia="en-US"/>
        </w:rPr>
      </w:pPr>
      <w:r w:rsidRPr="00FB351A">
        <w:rPr>
          <w:rFonts w:ascii="Arial" w:hAnsi="Arial" w:cs="Arial"/>
          <w:b/>
          <w:bCs/>
          <w:iCs/>
          <w:color w:val="000000"/>
          <w:sz w:val="20"/>
          <w:szCs w:val="20"/>
          <w:lang w:eastAsia="en-US"/>
        </w:rPr>
        <w:t>D. Promoción de los proponentes plurales para la Atomización del Riesgo:</w:t>
      </w:r>
      <w:r w:rsidRPr="00FB351A">
        <w:rPr>
          <w:rFonts w:ascii="Arial" w:hAnsi="Arial" w:cs="Arial"/>
          <w:bCs/>
          <w:iCs/>
          <w:color w:val="000000"/>
          <w:sz w:val="20"/>
          <w:szCs w:val="20"/>
          <w:lang w:eastAsia="en-US"/>
        </w:rPr>
        <w:t xml:space="preserve"> Dada la alta concentración de valores asegurables de la Entidad y la reciente sensibilidad del mercado frente al riesgo sísmico, la capacidad de retención individual de una sola compañía aseguradora resulta insuficiente. Por lo tanto, el presente proceso de selección permite y promueve expresamente la participación bajo la figura de esquemas asociativos (Uniones Temporales o Consorcios). Esta medida garantiza que el riesgo se diluya de manera segura entre varias compañías del sector, asegurando el músculo financiero y el respaldo necesario frente a eventuales eventos de la naturaleza de carácter catastrófico.</w:t>
      </w:r>
    </w:p>
    <w:p w14:paraId="67BEE061" w14:textId="77777777" w:rsidR="00CE0E5F" w:rsidRPr="00FB351A" w:rsidRDefault="00CE0E5F" w:rsidP="00CE0E5F">
      <w:pPr>
        <w:jc w:val="both"/>
        <w:rPr>
          <w:rFonts w:ascii="Arial" w:hAnsi="Arial" w:cs="Arial"/>
          <w:bCs/>
          <w:iCs/>
          <w:color w:val="000000"/>
          <w:sz w:val="20"/>
          <w:szCs w:val="20"/>
          <w:lang w:eastAsia="en-US"/>
        </w:rPr>
      </w:pPr>
    </w:p>
    <w:p w14:paraId="20B2E698" w14:textId="77777777" w:rsidR="00CE0E5F" w:rsidRDefault="00CE0E5F" w:rsidP="00CE0E5F">
      <w:pPr>
        <w:jc w:val="both"/>
        <w:rPr>
          <w:rFonts w:ascii="Arial" w:hAnsi="Arial" w:cs="Arial"/>
          <w:bCs/>
          <w:iCs/>
          <w:color w:val="000000"/>
          <w:sz w:val="20"/>
          <w:szCs w:val="20"/>
          <w:lang w:eastAsia="en-US"/>
        </w:rPr>
      </w:pPr>
      <w:r w:rsidRPr="00FB351A">
        <w:rPr>
          <w:rFonts w:ascii="Arial" w:hAnsi="Arial" w:cs="Arial"/>
          <w:bCs/>
          <w:iCs/>
          <w:color w:val="000000"/>
          <w:sz w:val="20"/>
          <w:szCs w:val="20"/>
          <w:lang w:eastAsia="en-US"/>
        </w:rPr>
        <w:t>En consideración a las alteraciones tarifarias y de suscripción derivadas del sismo del 10 de agosto de 2026, el Presupuesto Oficial estimado, la exigencia de amparos y la estructuración de los deducibles del presente proceso licitatorio responden a la realidad actual y comprobable del mercado asegurador. Lo anterior da estricto cumplimiento al principio de planeación y economía contemplado en el Estatuto General de Contratación de la Administración Pública, garantizando la viabilidad del proceso y la protección efectiva del patrimonio estatal.</w:t>
      </w:r>
    </w:p>
    <w:p w14:paraId="1AF1DED8" w14:textId="77777777" w:rsidR="004402A0" w:rsidRPr="00FB351A" w:rsidRDefault="004402A0" w:rsidP="00803115">
      <w:pPr>
        <w:ind w:right="88"/>
        <w:jc w:val="both"/>
        <w:rPr>
          <w:rFonts w:ascii="Arial" w:hAnsi="Arial" w:cs="Arial"/>
          <w:sz w:val="20"/>
          <w:szCs w:val="20"/>
        </w:rPr>
      </w:pPr>
    </w:p>
    <w:p w14:paraId="4BFEC7FB" w14:textId="18E0B453" w:rsidR="004402A0" w:rsidRPr="00FB351A" w:rsidRDefault="00AD0544">
      <w:pPr>
        <w:numPr>
          <w:ilvl w:val="2"/>
          <w:numId w:val="38"/>
        </w:num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Valores asegurados</w:t>
      </w:r>
      <w:r w:rsidR="004402A0" w:rsidRPr="00FB351A">
        <w:rPr>
          <w:rFonts w:ascii="Arial" w:hAnsi="Arial" w:cs="Arial"/>
          <w:b/>
          <w:bCs/>
          <w:iCs/>
          <w:color w:val="000000"/>
          <w:sz w:val="20"/>
          <w:szCs w:val="20"/>
          <w:lang w:eastAsia="en-US"/>
        </w:rPr>
        <w:t>.</w:t>
      </w:r>
    </w:p>
    <w:p w14:paraId="084AB4EA" w14:textId="77777777" w:rsidR="004402A0" w:rsidRPr="00FB351A" w:rsidRDefault="004402A0" w:rsidP="00803115">
      <w:pPr>
        <w:jc w:val="both"/>
        <w:rPr>
          <w:rFonts w:ascii="Arial" w:hAnsi="Arial" w:cs="Arial"/>
          <w:iCs/>
          <w:color w:val="000000"/>
          <w:sz w:val="20"/>
          <w:szCs w:val="20"/>
          <w:lang w:eastAsia="en-US"/>
        </w:rPr>
      </w:pPr>
    </w:p>
    <w:p w14:paraId="350B287C" w14:textId="77777777" w:rsidR="004402A0" w:rsidRPr="00FB351A" w:rsidRDefault="004402A0">
      <w:pPr>
        <w:numPr>
          <w:ilvl w:val="0"/>
          <w:numId w:val="29"/>
        </w:num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Seguros reales: </w:t>
      </w:r>
    </w:p>
    <w:p w14:paraId="081CEEB9" w14:textId="77777777" w:rsidR="004402A0" w:rsidRPr="00FB351A" w:rsidRDefault="004402A0" w:rsidP="00803115">
      <w:pPr>
        <w:jc w:val="both"/>
        <w:rPr>
          <w:rFonts w:ascii="Arial" w:hAnsi="Arial" w:cs="Arial"/>
          <w:iCs/>
          <w:color w:val="000000"/>
          <w:sz w:val="20"/>
          <w:szCs w:val="20"/>
          <w:lang w:eastAsia="en-US"/>
        </w:rPr>
      </w:pPr>
    </w:p>
    <w:p w14:paraId="58FEE23B"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El valor asegurado de estas pólizas se toma de la actualización de bienes y valores asegurados que reportan las áreas de almacén y demás áreas encargadas del suministro de esta información, con fecha de corte para el mes de estructuración de costos del estudio de mercado, con las inclusiones y exclusiones (bajas) de Edificios, contenidos, muebles y enseres, Equipo Eléctricos, Electrónicos y de Comunicación (incluidos equipos móviles y portátiles, software y licencias), Equipo y Maquinaría y Mercancías ocurridas durante la última vigencia.</w:t>
      </w:r>
    </w:p>
    <w:p w14:paraId="4539E606" w14:textId="77777777" w:rsidR="004402A0" w:rsidRPr="00FB351A" w:rsidRDefault="004402A0" w:rsidP="00803115">
      <w:pPr>
        <w:jc w:val="both"/>
        <w:rPr>
          <w:rFonts w:ascii="Arial" w:hAnsi="Arial" w:cs="Arial"/>
          <w:iCs/>
          <w:color w:val="000000"/>
          <w:sz w:val="20"/>
          <w:szCs w:val="20"/>
          <w:lang w:eastAsia="en-US"/>
        </w:rPr>
      </w:pPr>
    </w:p>
    <w:p w14:paraId="16798516" w14:textId="33F7033E" w:rsidR="00910D0D" w:rsidRPr="00910D0D" w:rsidRDefault="00340F39" w:rsidP="00910D0D">
      <w:pPr>
        <w:jc w:val="both"/>
        <w:rPr>
          <w:rFonts w:ascii="Arial" w:hAnsi="Arial" w:cs="Arial"/>
          <w:iCs/>
          <w:strike/>
          <w:color w:val="000000"/>
          <w:sz w:val="20"/>
          <w:szCs w:val="20"/>
          <w:lang w:eastAsia="en-US"/>
        </w:rPr>
      </w:pPr>
      <w:r>
        <w:rPr>
          <w:rFonts w:ascii="Arial" w:hAnsi="Arial" w:cs="Arial"/>
          <w:iCs/>
          <w:strike/>
          <w:color w:val="000000"/>
          <w:sz w:val="20"/>
          <w:szCs w:val="20"/>
          <w:lang w:eastAsia="en-US"/>
        </w:rPr>
        <w:t>.</w:t>
      </w:r>
      <w:r w:rsidR="00910D0D" w:rsidRPr="00910D0D">
        <w:rPr>
          <w:rFonts w:ascii="Arial" w:hAnsi="Arial" w:cs="Arial"/>
          <w:iCs/>
          <w:strike/>
          <w:color w:val="000000"/>
          <w:sz w:val="20"/>
          <w:szCs w:val="20"/>
          <w:lang w:eastAsia="en-US"/>
        </w:rPr>
        <w:t xml:space="preserve">, </w:t>
      </w:r>
    </w:p>
    <w:p w14:paraId="4827AAA5" w14:textId="77777777" w:rsidR="007106FD" w:rsidRPr="00FB351A" w:rsidRDefault="007106FD" w:rsidP="00803115">
      <w:pPr>
        <w:jc w:val="both"/>
        <w:rPr>
          <w:rFonts w:ascii="Arial" w:hAnsi="Arial" w:cs="Arial"/>
          <w:iCs/>
          <w:color w:val="000000"/>
          <w:sz w:val="20"/>
          <w:szCs w:val="20"/>
          <w:lang w:eastAsia="en-US"/>
        </w:rPr>
      </w:pPr>
    </w:p>
    <w:p w14:paraId="1E706974" w14:textId="77777777" w:rsidR="007106FD" w:rsidRPr="00FB351A" w:rsidRDefault="007106FD">
      <w:pPr>
        <w:numPr>
          <w:ilvl w:val="0"/>
          <w:numId w:val="29"/>
        </w:numPr>
        <w:jc w:val="both"/>
        <w:rPr>
          <w:rFonts w:ascii="Arial" w:hAnsi="Arial" w:cs="Arial"/>
          <w:iCs/>
          <w:color w:val="000000"/>
          <w:sz w:val="20"/>
          <w:szCs w:val="20"/>
          <w:lang w:eastAsia="en-US"/>
        </w:rPr>
      </w:pPr>
      <w:r w:rsidRPr="00FB351A">
        <w:rPr>
          <w:rFonts w:ascii="Arial" w:hAnsi="Arial" w:cs="Arial"/>
          <w:iCs/>
          <w:color w:val="000000"/>
          <w:sz w:val="20"/>
          <w:szCs w:val="20"/>
          <w:lang w:eastAsia="en-US"/>
        </w:rPr>
        <w:t>Índice Variable</w:t>
      </w:r>
    </w:p>
    <w:p w14:paraId="598A38E4" w14:textId="77777777" w:rsidR="007106FD" w:rsidRPr="00FB351A" w:rsidRDefault="007106FD" w:rsidP="007106FD">
      <w:pPr>
        <w:jc w:val="both"/>
        <w:rPr>
          <w:rFonts w:ascii="Arial" w:hAnsi="Arial" w:cs="Arial"/>
          <w:iCs/>
          <w:color w:val="000000"/>
          <w:sz w:val="20"/>
          <w:szCs w:val="20"/>
          <w:lang w:eastAsia="en-US"/>
        </w:rPr>
      </w:pPr>
    </w:p>
    <w:p w14:paraId="26B5740C"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val="es-ES" w:eastAsia="en-US"/>
        </w:rPr>
        <w:t>Es una modalidad de actualización del valor asegurado que busca corregir el efecto de la inflación. Se puede utilizar para algunos o para la totalidad de los bienes asegurados de acuerdo con las necesidades del asegurado</w:t>
      </w:r>
    </w:p>
    <w:p w14:paraId="1A31B572" w14:textId="77777777" w:rsidR="007106FD" w:rsidRPr="00FB351A" w:rsidRDefault="007106FD" w:rsidP="007106FD">
      <w:pPr>
        <w:jc w:val="both"/>
        <w:rPr>
          <w:rFonts w:ascii="Arial" w:hAnsi="Arial" w:cs="Arial"/>
          <w:iCs/>
          <w:color w:val="000000"/>
          <w:sz w:val="20"/>
          <w:szCs w:val="20"/>
          <w:lang w:eastAsia="en-US"/>
        </w:rPr>
      </w:pPr>
    </w:p>
    <w:p w14:paraId="000A9C07"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En el diseño técnico y actuarial de los contratos de seguro, especialmente en ramos de daños de vigencia prolongada como Incendio, Terremoto, Copropiedades o Cumplimiento, la incorporación de un mecanismo </w:t>
      </w:r>
      <w:r w:rsidRPr="00FB351A">
        <w:rPr>
          <w:rFonts w:ascii="Arial" w:hAnsi="Arial" w:cs="Arial"/>
          <w:iCs/>
          <w:color w:val="000000"/>
          <w:sz w:val="20"/>
          <w:szCs w:val="20"/>
          <w:lang w:eastAsia="en-US"/>
        </w:rPr>
        <w:lastRenderedPageBreak/>
        <w:t xml:space="preserve">de </w:t>
      </w:r>
      <w:r w:rsidRPr="00FB351A">
        <w:rPr>
          <w:rFonts w:ascii="Arial" w:hAnsi="Arial" w:cs="Arial"/>
          <w:b/>
          <w:bCs/>
          <w:iCs/>
          <w:color w:val="000000"/>
          <w:sz w:val="20"/>
          <w:szCs w:val="20"/>
          <w:lang w:eastAsia="en-US"/>
        </w:rPr>
        <w:t>índice variable</w:t>
      </w:r>
      <w:r w:rsidRPr="00FB351A">
        <w:rPr>
          <w:rFonts w:ascii="Arial" w:hAnsi="Arial" w:cs="Arial"/>
          <w:iCs/>
          <w:color w:val="000000"/>
          <w:sz w:val="20"/>
          <w:szCs w:val="20"/>
          <w:lang w:eastAsia="en-US"/>
        </w:rPr>
        <w:t xml:space="preserve"> no es un elemento accesorio, sino una necesidad estructural. Su propósito fundamental es preservar la equivalencia de las prestaciones a lo largo del tiempo frente a las fluctuaciones macroeconómicas.</w:t>
      </w:r>
    </w:p>
    <w:p w14:paraId="32106234" w14:textId="77777777" w:rsidR="007106FD" w:rsidRPr="00FB351A" w:rsidRDefault="007106FD" w:rsidP="007106FD">
      <w:pPr>
        <w:jc w:val="both"/>
        <w:rPr>
          <w:rFonts w:ascii="Arial" w:hAnsi="Arial" w:cs="Arial"/>
          <w:iCs/>
          <w:color w:val="000000"/>
          <w:sz w:val="20"/>
          <w:szCs w:val="20"/>
          <w:lang w:eastAsia="en-US"/>
        </w:rPr>
      </w:pPr>
    </w:p>
    <w:p w14:paraId="39943E6F"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Mitigación de la </w:t>
      </w:r>
      <w:proofErr w:type="spellStart"/>
      <w:r w:rsidRPr="00FB351A">
        <w:rPr>
          <w:rFonts w:ascii="Arial" w:hAnsi="Arial" w:cs="Arial"/>
          <w:iCs/>
          <w:color w:val="000000"/>
          <w:sz w:val="20"/>
          <w:szCs w:val="20"/>
          <w:lang w:eastAsia="en-US"/>
        </w:rPr>
        <w:t>Infraasegurabilidad</w:t>
      </w:r>
      <w:proofErr w:type="spellEnd"/>
      <w:r w:rsidRPr="00FB351A">
        <w:rPr>
          <w:rFonts w:ascii="Arial" w:hAnsi="Arial" w:cs="Arial"/>
          <w:iCs/>
          <w:color w:val="000000"/>
          <w:sz w:val="20"/>
          <w:szCs w:val="20"/>
          <w:lang w:eastAsia="en-US"/>
        </w:rPr>
        <w:t xml:space="preserve"> y el Principio Indemnizatorio: El contrato de seguro se rige estrictamente por el principio indemnizatorio: la indemnización no puede constituir fuente de enriquecimiento, pero debe reparar íntegramente el daño sufrido.</w:t>
      </w:r>
    </w:p>
    <w:p w14:paraId="072BEBC3"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Si una suma asegurada permanece fija en economías expuestas a presiones inflacionarias (como el incremento anual del Índice de Precios al Consumidor o costos de construcción), el valor real del bien asegurado se desvía drásticamente de su valor de reposición.</w:t>
      </w:r>
    </w:p>
    <w:p w14:paraId="3B005D99" w14:textId="77777777" w:rsidR="007106FD" w:rsidRPr="00FB351A" w:rsidRDefault="007106FD" w:rsidP="007106FD">
      <w:pPr>
        <w:jc w:val="both"/>
        <w:rPr>
          <w:rFonts w:ascii="Arial" w:hAnsi="Arial" w:cs="Arial"/>
          <w:iCs/>
          <w:color w:val="000000"/>
          <w:sz w:val="20"/>
          <w:szCs w:val="20"/>
          <w:lang w:eastAsia="en-US"/>
        </w:rPr>
      </w:pPr>
    </w:p>
    <w:p w14:paraId="1813948B"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El índice variable ajusta automáticamente la suma asegurada y la prima correspondiente, evitando que el asegurado caiga en una situación de </w:t>
      </w:r>
      <w:proofErr w:type="spellStart"/>
      <w:r w:rsidRPr="00FB351A">
        <w:rPr>
          <w:rFonts w:ascii="Arial" w:hAnsi="Arial" w:cs="Arial"/>
          <w:b/>
          <w:bCs/>
          <w:iCs/>
          <w:color w:val="000000"/>
          <w:sz w:val="20"/>
          <w:szCs w:val="20"/>
          <w:lang w:eastAsia="en-US"/>
        </w:rPr>
        <w:t>infraaseguro</w:t>
      </w:r>
      <w:proofErr w:type="spellEnd"/>
      <w:r w:rsidRPr="00FB351A">
        <w:rPr>
          <w:rFonts w:ascii="Arial" w:hAnsi="Arial" w:cs="Arial"/>
          <w:iCs/>
          <w:color w:val="000000"/>
          <w:sz w:val="20"/>
          <w:szCs w:val="20"/>
          <w:lang w:eastAsia="en-US"/>
        </w:rPr>
        <w:t xml:space="preserve"> involuntario al momento del siniestro.</w:t>
      </w:r>
    </w:p>
    <w:p w14:paraId="423669CB" w14:textId="77777777" w:rsidR="007106FD" w:rsidRPr="00FB351A" w:rsidRDefault="007106FD" w:rsidP="007106FD">
      <w:pPr>
        <w:jc w:val="both"/>
        <w:rPr>
          <w:rFonts w:ascii="Arial" w:hAnsi="Arial" w:cs="Arial"/>
          <w:iCs/>
          <w:color w:val="000000"/>
          <w:sz w:val="20"/>
          <w:szCs w:val="20"/>
          <w:lang w:eastAsia="en-US"/>
        </w:rPr>
      </w:pPr>
    </w:p>
    <w:p w14:paraId="3C856DA8" w14:textId="77777777" w:rsidR="007106FD"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Dinámica de Costos de Reconstrucción y Siniestralidad: Los costos asociados a la reparación o reconstrucción de siniestros (materiales de construcción, mano de obra especializada, maquinaria e insumos importados) no evolucionan al mismo ritmo que la inflación general.</w:t>
      </w:r>
    </w:p>
    <w:p w14:paraId="0D6A5F4B" w14:textId="77777777" w:rsidR="00740A71" w:rsidRPr="00FB351A" w:rsidRDefault="00740A71" w:rsidP="007106FD">
      <w:pPr>
        <w:jc w:val="both"/>
        <w:rPr>
          <w:rFonts w:ascii="Arial" w:hAnsi="Arial" w:cs="Arial"/>
          <w:iCs/>
          <w:color w:val="000000"/>
          <w:sz w:val="20"/>
          <w:szCs w:val="20"/>
          <w:lang w:eastAsia="en-US"/>
        </w:rPr>
      </w:pPr>
    </w:p>
    <w:p w14:paraId="65CCA8DC" w14:textId="77777777" w:rsidR="007106FD"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Los índices sectoriales específicos (como los costos de edificaciones o índices cambiarios) reflejan de manera más fiel la realidad del mercado de siniestros.</w:t>
      </w:r>
    </w:p>
    <w:p w14:paraId="70E8FFF9" w14:textId="77777777" w:rsidR="00740A71" w:rsidRPr="00FB351A" w:rsidRDefault="00740A71" w:rsidP="007106FD">
      <w:pPr>
        <w:jc w:val="both"/>
        <w:rPr>
          <w:rFonts w:ascii="Arial" w:hAnsi="Arial" w:cs="Arial"/>
          <w:iCs/>
          <w:color w:val="000000"/>
          <w:sz w:val="20"/>
          <w:szCs w:val="20"/>
          <w:lang w:eastAsia="en-US"/>
        </w:rPr>
      </w:pPr>
    </w:p>
    <w:p w14:paraId="7776F029"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Permitir un ajuste variable garantiza que la reserva técnica constituida por la aseguradora mantenga la suficiencia financiera para honrar pagos futuros sin desequilibrar su patrimonio técnico.</w:t>
      </w:r>
    </w:p>
    <w:p w14:paraId="28E858D8" w14:textId="77777777" w:rsidR="007106FD" w:rsidRPr="00FB351A" w:rsidRDefault="007106FD" w:rsidP="007106FD">
      <w:pPr>
        <w:jc w:val="both"/>
        <w:rPr>
          <w:rFonts w:ascii="Arial" w:hAnsi="Arial" w:cs="Arial"/>
          <w:iCs/>
          <w:color w:val="000000"/>
          <w:sz w:val="20"/>
          <w:szCs w:val="20"/>
          <w:lang w:eastAsia="en-US"/>
        </w:rPr>
      </w:pPr>
    </w:p>
    <w:p w14:paraId="74A52B5C"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Sostenibilidad Técnica de la Cartera y Suficiencia de Prima: Desde la perspectiva de la suficiencia técnica de la prima (requisito regulatorio exigido por los marcos de supervisión financiera): </w:t>
      </w:r>
    </w:p>
    <w:p w14:paraId="11A03C10" w14:textId="77777777" w:rsidR="007106FD" w:rsidRPr="00FB351A" w:rsidRDefault="007106FD" w:rsidP="007106FD">
      <w:pPr>
        <w:jc w:val="both"/>
        <w:rPr>
          <w:rFonts w:ascii="Arial" w:hAnsi="Arial" w:cs="Arial"/>
          <w:iCs/>
          <w:color w:val="000000"/>
          <w:sz w:val="20"/>
          <w:szCs w:val="20"/>
          <w:lang w:eastAsia="en-US"/>
        </w:rPr>
      </w:pPr>
    </w:p>
    <w:p w14:paraId="7F7D60E7" w14:textId="77777777" w:rsidR="007106FD"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El cálculo actuarial de la prima se basa en la exposición al riesgo multiplicada por la suma asegurada. Si la suma asegurada se rezaga frente a la inflación, la prima recaudada se vuelve insuficiente para cubrir la siniestralidad esperada en términos reales.</w:t>
      </w:r>
    </w:p>
    <w:p w14:paraId="5EC2E01C" w14:textId="77777777" w:rsidR="00740A71" w:rsidRPr="00FB351A" w:rsidRDefault="00740A71" w:rsidP="007106FD">
      <w:pPr>
        <w:jc w:val="both"/>
        <w:rPr>
          <w:rFonts w:ascii="Arial" w:hAnsi="Arial" w:cs="Arial"/>
          <w:iCs/>
          <w:color w:val="000000"/>
          <w:sz w:val="20"/>
          <w:szCs w:val="20"/>
          <w:lang w:eastAsia="en-US"/>
        </w:rPr>
      </w:pPr>
    </w:p>
    <w:p w14:paraId="07FB811F"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El índice variable alinea de manera constante el valor expuesto al riesgo con la prima cobrada, protegiendo tanto la solvencia de la entidad aseguradora como la estabilidad del programa de reaseguro que respalda dichos riesgos.</w:t>
      </w:r>
    </w:p>
    <w:p w14:paraId="63F699B5" w14:textId="77777777" w:rsidR="00E3190D" w:rsidRDefault="00E3190D" w:rsidP="007106FD">
      <w:pPr>
        <w:jc w:val="both"/>
        <w:rPr>
          <w:rFonts w:ascii="Arial" w:hAnsi="Arial" w:cs="Arial"/>
          <w:iCs/>
          <w:color w:val="000000"/>
          <w:sz w:val="20"/>
          <w:szCs w:val="20"/>
          <w:lang w:eastAsia="en-US"/>
        </w:rPr>
      </w:pPr>
    </w:p>
    <w:p w14:paraId="6809C90C" w14:textId="77777777" w:rsidR="00FA7CE2" w:rsidRDefault="00FA7CE2" w:rsidP="00FA7CE2">
      <w:pPr>
        <w:jc w:val="both"/>
        <w:rPr>
          <w:rFonts w:ascii="Arial" w:hAnsi="Arial" w:cs="Arial"/>
          <w:iCs/>
          <w:color w:val="000000"/>
          <w:sz w:val="20"/>
          <w:szCs w:val="20"/>
          <w:lang w:eastAsia="en-US"/>
        </w:rPr>
      </w:pPr>
      <w:r>
        <w:rPr>
          <w:rFonts w:ascii="Arial" w:hAnsi="Arial" w:cs="Arial"/>
          <w:iCs/>
          <w:color w:val="000000"/>
          <w:sz w:val="20"/>
          <w:szCs w:val="20"/>
          <w:lang w:eastAsia="en-US"/>
        </w:rPr>
        <w:t xml:space="preserve">Como la Entidad no cuenta con avalúos recientes de </w:t>
      </w:r>
      <w:r w:rsidRPr="00DB581D">
        <w:rPr>
          <w:rFonts w:ascii="Arial" w:hAnsi="Arial" w:cs="Arial"/>
          <w:iCs/>
          <w:color w:val="000000"/>
          <w:sz w:val="20"/>
          <w:szCs w:val="20"/>
          <w:lang w:eastAsia="en-US"/>
        </w:rPr>
        <w:t>Contenidos en General</w:t>
      </w:r>
      <w:r>
        <w:rPr>
          <w:rFonts w:ascii="Arial" w:hAnsi="Arial" w:cs="Arial"/>
          <w:iCs/>
          <w:color w:val="000000"/>
          <w:sz w:val="20"/>
          <w:szCs w:val="20"/>
          <w:lang w:eastAsia="en-US"/>
        </w:rPr>
        <w:t>,</w:t>
      </w:r>
      <w:r w:rsidRPr="00DB581D">
        <w:rPr>
          <w:rFonts w:ascii="Arial" w:hAnsi="Arial" w:cs="Arial"/>
          <w:iCs/>
          <w:color w:val="000000"/>
          <w:sz w:val="20"/>
          <w:szCs w:val="20"/>
          <w:lang w:eastAsia="en-US"/>
        </w:rPr>
        <w:t xml:space="preserve"> Maquinaria y Equipo, y Edificios</w:t>
      </w:r>
      <w:r>
        <w:rPr>
          <w:rFonts w:ascii="Arial" w:hAnsi="Arial" w:cs="Arial"/>
          <w:iCs/>
          <w:color w:val="000000"/>
          <w:sz w:val="20"/>
          <w:szCs w:val="20"/>
          <w:lang w:eastAsia="en-US"/>
        </w:rPr>
        <w:t xml:space="preserve">, </w:t>
      </w:r>
      <w:r w:rsidRPr="00DB581D">
        <w:rPr>
          <w:rFonts w:ascii="Arial" w:hAnsi="Arial" w:cs="Arial"/>
          <w:iCs/>
          <w:color w:val="000000"/>
          <w:sz w:val="20"/>
          <w:szCs w:val="20"/>
          <w:lang w:eastAsia="en-US"/>
        </w:rPr>
        <w:t>se optó por conservar los montos asegurados de la vigencia expirante. Para garantizar la actualización de estos capitales y evitar el infraseguro, se aplicaron los porcentajes de índice variable establecidos históricamente desde el año 2022</w:t>
      </w:r>
      <w:r>
        <w:rPr>
          <w:rFonts w:ascii="Arial" w:hAnsi="Arial" w:cs="Arial"/>
          <w:iCs/>
          <w:color w:val="000000"/>
          <w:sz w:val="20"/>
          <w:szCs w:val="20"/>
          <w:lang w:eastAsia="en-US"/>
        </w:rPr>
        <w:t>.</w:t>
      </w:r>
    </w:p>
    <w:p w14:paraId="3FDF5AA1" w14:textId="77777777" w:rsidR="008943FF" w:rsidRDefault="008943FF" w:rsidP="00FA7CE2">
      <w:pPr>
        <w:jc w:val="both"/>
        <w:rPr>
          <w:rFonts w:ascii="Arial" w:hAnsi="Arial" w:cs="Arial"/>
          <w:iCs/>
          <w:color w:val="000000"/>
          <w:sz w:val="20"/>
          <w:szCs w:val="20"/>
          <w:lang w:eastAsia="en-US"/>
        </w:rPr>
      </w:pPr>
    </w:p>
    <w:p w14:paraId="2BA06076" w14:textId="77777777" w:rsidR="008943FF" w:rsidRDefault="008943FF" w:rsidP="008943FF">
      <w:pPr>
        <w:jc w:val="both"/>
        <w:rPr>
          <w:rFonts w:ascii="Arial" w:hAnsi="Arial" w:cs="Arial"/>
          <w:iCs/>
          <w:color w:val="000000"/>
          <w:sz w:val="20"/>
          <w:szCs w:val="20"/>
          <w:lang w:eastAsia="en-US"/>
        </w:rPr>
      </w:pPr>
      <w:r w:rsidRPr="008943FF">
        <w:rPr>
          <w:rFonts w:ascii="Arial" w:hAnsi="Arial" w:cs="Arial"/>
          <w:iCs/>
          <w:color w:val="000000"/>
          <w:sz w:val="20"/>
          <w:szCs w:val="20"/>
          <w:lang w:eastAsia="en-US"/>
        </w:rPr>
        <w:t>En cumplimiento de los principios de planeación y responsabilidad que rigen la contratación estatal, y con el propósito de garantizar la adecuada protección del patrimonio de la Agencia de Desarrollo Rural (ADR), la estructuración de los valores asegurables para el presente proceso se fundamenta en la siguiente metodología de depuración, priorización y actualización técnica:</w:t>
      </w:r>
    </w:p>
    <w:p w14:paraId="58C8E581" w14:textId="77777777" w:rsidR="008943FF" w:rsidRPr="008943FF" w:rsidRDefault="008943FF" w:rsidP="008943FF">
      <w:pPr>
        <w:jc w:val="both"/>
        <w:rPr>
          <w:rFonts w:ascii="Arial" w:hAnsi="Arial" w:cs="Arial"/>
          <w:iCs/>
          <w:color w:val="000000"/>
          <w:sz w:val="20"/>
          <w:szCs w:val="20"/>
          <w:lang w:eastAsia="en-US"/>
        </w:rPr>
      </w:pPr>
    </w:p>
    <w:p w14:paraId="42A14BA2" w14:textId="1590DFF6" w:rsidR="008943FF" w:rsidRDefault="008943FF" w:rsidP="008943FF">
      <w:pPr>
        <w:jc w:val="both"/>
        <w:rPr>
          <w:rFonts w:ascii="Arial" w:hAnsi="Arial" w:cs="Arial"/>
          <w:iCs/>
          <w:color w:val="000000"/>
          <w:sz w:val="20"/>
          <w:szCs w:val="20"/>
          <w:lang w:eastAsia="en-US"/>
        </w:rPr>
      </w:pPr>
      <w:r w:rsidRPr="008943FF">
        <w:rPr>
          <w:rFonts w:ascii="Arial" w:hAnsi="Arial" w:cs="Arial"/>
          <w:b/>
          <w:bCs/>
          <w:iCs/>
          <w:color w:val="000000"/>
          <w:sz w:val="20"/>
          <w:szCs w:val="20"/>
          <w:lang w:eastAsia="en-US"/>
        </w:rPr>
        <w:t>1. Depuración del Inventario y Validación Institucional</w:t>
      </w:r>
      <w:r w:rsidRPr="008943FF">
        <w:rPr>
          <w:rFonts w:ascii="Arial" w:hAnsi="Arial" w:cs="Arial"/>
          <w:iCs/>
          <w:color w:val="000000"/>
          <w:sz w:val="20"/>
          <w:szCs w:val="20"/>
          <w:lang w:eastAsia="en-US"/>
        </w:rPr>
        <w:t xml:space="preserve"> El Anexo 2 </w:t>
      </w:r>
      <w:r w:rsidR="003C499E" w:rsidRPr="008943FF">
        <w:rPr>
          <w:rFonts w:ascii="Arial" w:hAnsi="Arial" w:cs="Arial"/>
          <w:iCs/>
          <w:color w:val="000000"/>
          <w:sz w:val="20"/>
          <w:szCs w:val="20"/>
          <w:lang w:eastAsia="en-US"/>
        </w:rPr>
        <w:t>Relación de</w:t>
      </w:r>
      <w:r w:rsidRPr="008943FF">
        <w:rPr>
          <w:rFonts w:ascii="Arial" w:hAnsi="Arial" w:cs="Arial"/>
          <w:iCs/>
          <w:color w:val="000000"/>
          <w:sz w:val="20"/>
          <w:szCs w:val="20"/>
          <w:lang w:eastAsia="en-US"/>
        </w:rPr>
        <w:t xml:space="preserve"> bienes y valores asegurados-ADR y </w:t>
      </w:r>
      <w:r w:rsidR="005F3406">
        <w:rPr>
          <w:rFonts w:ascii="Arial" w:hAnsi="Arial" w:cs="Arial"/>
          <w:iCs/>
          <w:color w:val="000000"/>
          <w:sz w:val="20"/>
          <w:szCs w:val="20"/>
          <w:lang w:eastAsia="en-US"/>
        </w:rPr>
        <w:t xml:space="preserve">el </w:t>
      </w:r>
      <w:r w:rsidR="005F3406" w:rsidRPr="005F3406">
        <w:rPr>
          <w:rFonts w:ascii="Arial" w:hAnsi="Arial" w:cs="Arial"/>
          <w:iCs/>
          <w:color w:val="000000"/>
          <w:sz w:val="20"/>
          <w:szCs w:val="20"/>
          <w:lang w:eastAsia="en-US"/>
        </w:rPr>
        <w:t>Anexo No 1 Condiciones Técnicas Básicas Obligatorias</w:t>
      </w:r>
      <w:r w:rsidRPr="008943FF">
        <w:rPr>
          <w:rFonts w:ascii="Arial" w:hAnsi="Arial" w:cs="Arial"/>
          <w:iCs/>
          <w:color w:val="000000"/>
          <w:sz w:val="20"/>
          <w:szCs w:val="20"/>
          <w:lang w:eastAsia="en-US"/>
        </w:rPr>
        <w:t xml:space="preserve"> que soporta este proceso refleja el estado real de los activos sobre los cuales la Entidad tiene interés asegurable. Para su consolidación, </w:t>
      </w:r>
      <w:r w:rsidR="005F3406">
        <w:rPr>
          <w:rFonts w:ascii="Arial" w:hAnsi="Arial" w:cs="Arial"/>
          <w:iCs/>
          <w:color w:val="000000"/>
          <w:sz w:val="20"/>
          <w:szCs w:val="20"/>
          <w:lang w:eastAsia="en-US"/>
        </w:rPr>
        <w:t>la Entidad</w:t>
      </w:r>
      <w:r w:rsidRPr="008943FF">
        <w:rPr>
          <w:rFonts w:ascii="Arial" w:hAnsi="Arial" w:cs="Arial"/>
          <w:iCs/>
          <w:color w:val="000000"/>
          <w:sz w:val="20"/>
          <w:szCs w:val="20"/>
          <w:lang w:eastAsia="en-US"/>
        </w:rPr>
        <w:t xml:space="preserve"> realizó la validación y depuración del inventario, certificando los siguientes aspectos:</w:t>
      </w:r>
    </w:p>
    <w:p w14:paraId="4E3E0558" w14:textId="77777777" w:rsidR="005F3406" w:rsidRPr="008943FF" w:rsidRDefault="005F3406" w:rsidP="008943FF">
      <w:pPr>
        <w:jc w:val="both"/>
        <w:rPr>
          <w:rFonts w:ascii="Arial" w:hAnsi="Arial" w:cs="Arial"/>
          <w:iCs/>
          <w:color w:val="000000"/>
          <w:sz w:val="20"/>
          <w:szCs w:val="20"/>
          <w:lang w:eastAsia="en-US"/>
        </w:rPr>
      </w:pPr>
    </w:p>
    <w:p w14:paraId="40DF6B9B" w14:textId="77777777" w:rsidR="008943FF" w:rsidRPr="008943FF" w:rsidRDefault="008943FF" w:rsidP="008943FF">
      <w:pPr>
        <w:numPr>
          <w:ilvl w:val="0"/>
          <w:numId w:val="47"/>
        </w:numPr>
        <w:jc w:val="both"/>
        <w:rPr>
          <w:rFonts w:ascii="Arial" w:hAnsi="Arial" w:cs="Arial"/>
          <w:iCs/>
          <w:color w:val="000000"/>
          <w:sz w:val="20"/>
          <w:szCs w:val="20"/>
          <w:lang w:eastAsia="en-US"/>
        </w:rPr>
      </w:pPr>
      <w:r w:rsidRPr="008943FF">
        <w:rPr>
          <w:rFonts w:ascii="Arial" w:hAnsi="Arial" w:cs="Arial"/>
          <w:b/>
          <w:bCs/>
          <w:iCs/>
          <w:color w:val="000000"/>
          <w:sz w:val="20"/>
          <w:szCs w:val="20"/>
          <w:lang w:eastAsia="en-US"/>
        </w:rPr>
        <w:t>Altas y bajas:</w:t>
      </w:r>
      <w:r w:rsidRPr="008943FF">
        <w:rPr>
          <w:rFonts w:ascii="Arial" w:hAnsi="Arial" w:cs="Arial"/>
          <w:iCs/>
          <w:color w:val="000000"/>
          <w:sz w:val="20"/>
          <w:szCs w:val="20"/>
          <w:lang w:eastAsia="en-US"/>
        </w:rPr>
        <w:t xml:space="preserve"> Se incluyeron las adquisiciones recientes y se excluyeron formalmente los bienes vendidos, donados o dados de baja de los estados contables.</w:t>
      </w:r>
    </w:p>
    <w:p w14:paraId="562FE669" w14:textId="77777777" w:rsidR="008943FF" w:rsidRPr="008943FF" w:rsidRDefault="008943FF" w:rsidP="008943FF">
      <w:pPr>
        <w:numPr>
          <w:ilvl w:val="0"/>
          <w:numId w:val="47"/>
        </w:numPr>
        <w:jc w:val="both"/>
        <w:rPr>
          <w:rFonts w:ascii="Arial" w:hAnsi="Arial" w:cs="Arial"/>
          <w:iCs/>
          <w:color w:val="000000"/>
          <w:sz w:val="20"/>
          <w:szCs w:val="20"/>
          <w:lang w:eastAsia="en-US"/>
        </w:rPr>
      </w:pPr>
      <w:r w:rsidRPr="008943FF">
        <w:rPr>
          <w:rFonts w:ascii="Arial" w:hAnsi="Arial" w:cs="Arial"/>
          <w:b/>
          <w:bCs/>
          <w:iCs/>
          <w:color w:val="000000"/>
          <w:sz w:val="20"/>
          <w:szCs w:val="20"/>
          <w:lang w:eastAsia="en-US"/>
        </w:rPr>
        <w:t>Activos inactivos o siniestrados:</w:t>
      </w:r>
      <w:r w:rsidRPr="008943FF">
        <w:rPr>
          <w:rFonts w:ascii="Arial" w:hAnsi="Arial" w:cs="Arial"/>
          <w:iCs/>
          <w:color w:val="000000"/>
          <w:sz w:val="20"/>
          <w:szCs w:val="20"/>
          <w:lang w:eastAsia="en-US"/>
        </w:rPr>
        <w:t xml:space="preserve"> Se garantizó la exclusión de bienes inservibles, en estado de obsolescencia comprobada, o aquellos que hayan sufrido pérdida total y ya fueron objeto de indemnización, evitando el pago injustificado de primas.</w:t>
      </w:r>
    </w:p>
    <w:p w14:paraId="06A72077" w14:textId="77777777" w:rsidR="008943FF" w:rsidRDefault="008943FF" w:rsidP="008943FF">
      <w:pPr>
        <w:numPr>
          <w:ilvl w:val="0"/>
          <w:numId w:val="47"/>
        </w:numPr>
        <w:jc w:val="both"/>
        <w:rPr>
          <w:rFonts w:ascii="Arial" w:hAnsi="Arial" w:cs="Arial"/>
          <w:iCs/>
          <w:color w:val="000000"/>
          <w:sz w:val="20"/>
          <w:szCs w:val="20"/>
          <w:lang w:eastAsia="en-US"/>
        </w:rPr>
      </w:pPr>
      <w:r w:rsidRPr="008943FF">
        <w:rPr>
          <w:rFonts w:ascii="Arial" w:hAnsi="Arial" w:cs="Arial"/>
          <w:b/>
          <w:bCs/>
          <w:iCs/>
          <w:color w:val="000000"/>
          <w:sz w:val="20"/>
          <w:szCs w:val="20"/>
          <w:lang w:eastAsia="en-US"/>
        </w:rPr>
        <w:t>Bienes de terceros:</w:t>
      </w:r>
      <w:r w:rsidRPr="008943FF">
        <w:rPr>
          <w:rFonts w:ascii="Arial" w:hAnsi="Arial" w:cs="Arial"/>
          <w:iCs/>
          <w:color w:val="000000"/>
          <w:sz w:val="20"/>
          <w:szCs w:val="20"/>
          <w:lang w:eastAsia="en-US"/>
        </w:rPr>
        <w:t xml:space="preserve"> Se relacionan y valoran aquellos bienes que no son propiedad de la ADR, pero sobre los cuales recae una obligación legal o contractual de aseguramiento (ej. equipos en comodato, inmuebles arrendados).</w:t>
      </w:r>
    </w:p>
    <w:p w14:paraId="49B435F5" w14:textId="77777777" w:rsidR="005F3406" w:rsidRPr="008943FF" w:rsidRDefault="005F3406" w:rsidP="005F3406">
      <w:pPr>
        <w:ind w:left="720"/>
        <w:jc w:val="both"/>
        <w:rPr>
          <w:rFonts w:ascii="Arial" w:hAnsi="Arial" w:cs="Arial"/>
          <w:iCs/>
          <w:color w:val="000000"/>
          <w:sz w:val="20"/>
          <w:szCs w:val="20"/>
          <w:lang w:eastAsia="en-US"/>
        </w:rPr>
      </w:pPr>
    </w:p>
    <w:p w14:paraId="5495324C" w14:textId="07B57EC6" w:rsidR="008943FF" w:rsidRDefault="008943FF" w:rsidP="008943FF">
      <w:pPr>
        <w:jc w:val="both"/>
        <w:rPr>
          <w:rFonts w:ascii="Arial" w:hAnsi="Arial" w:cs="Arial"/>
          <w:iCs/>
          <w:color w:val="000000"/>
          <w:sz w:val="20"/>
          <w:szCs w:val="20"/>
          <w:lang w:eastAsia="en-US"/>
        </w:rPr>
      </w:pPr>
      <w:r w:rsidRPr="008943FF">
        <w:rPr>
          <w:rFonts w:ascii="Arial" w:hAnsi="Arial" w:cs="Arial"/>
          <w:b/>
          <w:bCs/>
          <w:iCs/>
          <w:color w:val="000000"/>
          <w:sz w:val="20"/>
          <w:szCs w:val="20"/>
          <w:lang w:eastAsia="en-US"/>
        </w:rPr>
        <w:t>2. Base de Valoración y Priorización de Activos</w:t>
      </w:r>
      <w:r w:rsidRPr="008943FF">
        <w:rPr>
          <w:rFonts w:ascii="Arial" w:hAnsi="Arial" w:cs="Arial"/>
          <w:iCs/>
          <w:color w:val="000000"/>
          <w:sz w:val="20"/>
          <w:szCs w:val="20"/>
          <w:lang w:eastAsia="en-US"/>
        </w:rPr>
        <w:t xml:space="preserve"> Se ha priorizado la protección de los bienes de mayor exposición y criticidad para el funcionamiento misional de la ADR (como sedes principales y equipos tecnológicos esenciales), asegurando que sus límites de cobertura sean suficientes. La base de valoración aplicada corresponde a </w:t>
      </w:r>
      <w:r w:rsidRPr="008943FF">
        <w:rPr>
          <w:rFonts w:ascii="Arial" w:hAnsi="Arial" w:cs="Arial"/>
          <w:i/>
          <w:iCs/>
          <w:color w:val="000000"/>
          <w:sz w:val="20"/>
          <w:szCs w:val="20"/>
          <w:lang w:eastAsia="en-US"/>
        </w:rPr>
        <w:t>Valor de Reposición o Reemplazo</w:t>
      </w:r>
      <w:r w:rsidRPr="008943FF">
        <w:rPr>
          <w:rFonts w:ascii="Arial" w:hAnsi="Arial" w:cs="Arial"/>
          <w:iCs/>
          <w:color w:val="000000"/>
          <w:sz w:val="20"/>
          <w:szCs w:val="20"/>
          <w:lang w:eastAsia="en-US"/>
        </w:rPr>
        <w:t xml:space="preserve"> para los </w:t>
      </w:r>
      <w:r w:rsidR="00777C35">
        <w:rPr>
          <w:rFonts w:ascii="Arial" w:hAnsi="Arial" w:cs="Arial"/>
          <w:iCs/>
          <w:color w:val="000000"/>
          <w:sz w:val="20"/>
          <w:szCs w:val="20"/>
          <w:lang w:eastAsia="en-US"/>
        </w:rPr>
        <w:t>seguros</w:t>
      </w:r>
      <w:r w:rsidRPr="008943FF">
        <w:rPr>
          <w:rFonts w:ascii="Arial" w:hAnsi="Arial" w:cs="Arial"/>
          <w:iCs/>
          <w:color w:val="000000"/>
          <w:sz w:val="20"/>
          <w:szCs w:val="20"/>
          <w:lang w:eastAsia="en-US"/>
        </w:rPr>
        <w:t xml:space="preserve"> de daños materiales y equipo electrónico, y a </w:t>
      </w:r>
      <w:r w:rsidRPr="008943FF">
        <w:rPr>
          <w:rFonts w:ascii="Arial" w:hAnsi="Arial" w:cs="Arial"/>
          <w:i/>
          <w:iCs/>
          <w:color w:val="000000"/>
          <w:sz w:val="20"/>
          <w:szCs w:val="20"/>
          <w:lang w:eastAsia="en-US"/>
        </w:rPr>
        <w:t>Valor Comercial</w:t>
      </w:r>
      <w:r w:rsidRPr="008943FF">
        <w:rPr>
          <w:rFonts w:ascii="Arial" w:hAnsi="Arial" w:cs="Arial"/>
          <w:iCs/>
          <w:color w:val="000000"/>
          <w:sz w:val="20"/>
          <w:szCs w:val="20"/>
          <w:lang w:eastAsia="en-US"/>
        </w:rPr>
        <w:t xml:space="preserve"> (según guía </w:t>
      </w:r>
      <w:proofErr w:type="spellStart"/>
      <w:r w:rsidRPr="008943FF">
        <w:rPr>
          <w:rFonts w:ascii="Arial" w:hAnsi="Arial" w:cs="Arial"/>
          <w:iCs/>
          <w:color w:val="000000"/>
          <w:sz w:val="20"/>
          <w:szCs w:val="20"/>
          <w:lang w:eastAsia="en-US"/>
        </w:rPr>
        <w:t>Fasecolda</w:t>
      </w:r>
      <w:proofErr w:type="spellEnd"/>
      <w:r w:rsidRPr="008943FF">
        <w:rPr>
          <w:rFonts w:ascii="Arial" w:hAnsi="Arial" w:cs="Arial"/>
          <w:iCs/>
          <w:color w:val="000000"/>
          <w:sz w:val="20"/>
          <w:szCs w:val="20"/>
          <w:lang w:eastAsia="en-US"/>
        </w:rPr>
        <w:t>) para el parque automotor.</w:t>
      </w:r>
    </w:p>
    <w:p w14:paraId="525755FD" w14:textId="77777777" w:rsidR="00777C35" w:rsidRPr="008943FF" w:rsidRDefault="00777C35" w:rsidP="008943FF">
      <w:pPr>
        <w:jc w:val="both"/>
        <w:rPr>
          <w:rFonts w:ascii="Arial" w:hAnsi="Arial" w:cs="Arial"/>
          <w:iCs/>
          <w:color w:val="000000"/>
          <w:sz w:val="20"/>
          <w:szCs w:val="20"/>
          <w:lang w:eastAsia="en-US"/>
        </w:rPr>
      </w:pPr>
    </w:p>
    <w:p w14:paraId="7AB768DE" w14:textId="21BDD022" w:rsidR="008943FF" w:rsidRPr="008943FF" w:rsidRDefault="008943FF" w:rsidP="008943FF">
      <w:pPr>
        <w:jc w:val="both"/>
        <w:rPr>
          <w:rFonts w:ascii="Arial" w:hAnsi="Arial" w:cs="Arial"/>
          <w:iCs/>
          <w:color w:val="000000"/>
          <w:sz w:val="20"/>
          <w:szCs w:val="20"/>
          <w:lang w:eastAsia="en-US"/>
        </w:rPr>
      </w:pPr>
      <w:r w:rsidRPr="008943FF">
        <w:rPr>
          <w:rFonts w:ascii="Arial" w:hAnsi="Arial" w:cs="Arial"/>
          <w:b/>
          <w:bCs/>
          <w:iCs/>
          <w:color w:val="000000"/>
          <w:sz w:val="20"/>
          <w:szCs w:val="20"/>
          <w:lang w:eastAsia="en-US"/>
        </w:rPr>
        <w:t>3. Justificación Técnica del Método Transitorio de Actualización (Indexación)</w:t>
      </w:r>
      <w:r w:rsidRPr="008943FF">
        <w:rPr>
          <w:rFonts w:ascii="Arial" w:hAnsi="Arial" w:cs="Arial"/>
          <w:iCs/>
          <w:color w:val="000000"/>
          <w:sz w:val="20"/>
          <w:szCs w:val="20"/>
          <w:lang w:eastAsia="en-US"/>
        </w:rPr>
        <w:t xml:space="preserve"> Considerando que el programa de seguros vigente finaliza su cobertura el próximo </w:t>
      </w:r>
      <w:r w:rsidR="00777C35">
        <w:rPr>
          <w:rFonts w:ascii="Arial" w:hAnsi="Arial" w:cs="Arial"/>
          <w:iCs/>
          <w:color w:val="000000"/>
          <w:sz w:val="20"/>
          <w:szCs w:val="20"/>
          <w:lang w:eastAsia="en-US"/>
        </w:rPr>
        <w:t>26</w:t>
      </w:r>
      <w:r w:rsidRPr="008943FF">
        <w:rPr>
          <w:rFonts w:ascii="Arial" w:hAnsi="Arial" w:cs="Arial"/>
          <w:iCs/>
          <w:color w:val="000000"/>
          <w:sz w:val="20"/>
          <w:szCs w:val="20"/>
          <w:lang w:eastAsia="en-US"/>
        </w:rPr>
        <w:t xml:space="preserve"> de noviembre de 2026</w:t>
      </w:r>
      <w:r w:rsidR="00777C35">
        <w:rPr>
          <w:rFonts w:ascii="Arial" w:hAnsi="Arial" w:cs="Arial"/>
          <w:iCs/>
          <w:color w:val="000000"/>
          <w:sz w:val="20"/>
          <w:szCs w:val="20"/>
          <w:lang w:eastAsia="en-US"/>
        </w:rPr>
        <w:t xml:space="preserve"> (</w:t>
      </w:r>
      <w:proofErr w:type="spellStart"/>
      <w:r w:rsidR="00777C35">
        <w:rPr>
          <w:rFonts w:ascii="Arial" w:hAnsi="Arial" w:cs="Arial"/>
          <w:iCs/>
          <w:color w:val="000000"/>
          <w:sz w:val="20"/>
          <w:szCs w:val="20"/>
          <w:lang w:eastAsia="en-US"/>
        </w:rPr>
        <w:t>Soat</w:t>
      </w:r>
      <w:proofErr w:type="spellEnd"/>
      <w:r w:rsidR="00777C35">
        <w:rPr>
          <w:rFonts w:ascii="Arial" w:hAnsi="Arial" w:cs="Arial"/>
          <w:iCs/>
          <w:color w:val="000000"/>
          <w:sz w:val="20"/>
          <w:szCs w:val="20"/>
          <w:lang w:eastAsia="en-US"/>
        </w:rPr>
        <w:t>: 16 de noviembre de 2026)</w:t>
      </w:r>
      <w:r w:rsidRPr="008943FF">
        <w:rPr>
          <w:rFonts w:ascii="Arial" w:hAnsi="Arial" w:cs="Arial"/>
          <w:iCs/>
          <w:color w:val="000000"/>
          <w:sz w:val="20"/>
          <w:szCs w:val="20"/>
          <w:lang w:eastAsia="en-US"/>
        </w:rPr>
        <w:t xml:space="preserve">, y dado que </w:t>
      </w:r>
      <w:r w:rsidR="00777C35">
        <w:rPr>
          <w:rFonts w:ascii="Arial" w:hAnsi="Arial" w:cs="Arial"/>
          <w:iCs/>
          <w:color w:val="000000"/>
          <w:sz w:val="20"/>
          <w:szCs w:val="20"/>
          <w:lang w:eastAsia="en-US"/>
        </w:rPr>
        <w:t>el objeto de esta adquisición</w:t>
      </w:r>
      <w:r w:rsidRPr="008943FF">
        <w:rPr>
          <w:rFonts w:ascii="Arial" w:hAnsi="Arial" w:cs="Arial"/>
          <w:iCs/>
          <w:color w:val="000000"/>
          <w:sz w:val="20"/>
          <w:szCs w:val="20"/>
          <w:lang w:eastAsia="en-US"/>
        </w:rPr>
        <w:t xml:space="preserve"> </w:t>
      </w:r>
      <w:r w:rsidR="00777C35">
        <w:rPr>
          <w:rFonts w:ascii="Arial" w:hAnsi="Arial" w:cs="Arial"/>
          <w:iCs/>
          <w:color w:val="000000"/>
          <w:sz w:val="20"/>
          <w:szCs w:val="20"/>
          <w:lang w:eastAsia="en-US"/>
        </w:rPr>
        <w:t>es</w:t>
      </w:r>
      <w:r w:rsidRPr="008943FF">
        <w:rPr>
          <w:rFonts w:ascii="Arial" w:hAnsi="Arial" w:cs="Arial"/>
          <w:iCs/>
          <w:color w:val="000000"/>
          <w:sz w:val="20"/>
          <w:szCs w:val="20"/>
          <w:lang w:eastAsia="en-US"/>
        </w:rPr>
        <w:t xml:space="preserve"> garantizar la continuidad del aseguramiento por una vigencia de contingencia o transición de ochenta y dos (82) días, la Entidad se encuentra ante una imposibilidad temporal y administrativa para adelantar un proceso de selección paralelo destinado a contratar avalúos técnicos actualizados para la totalidad de sus bienes.</w:t>
      </w:r>
    </w:p>
    <w:p w14:paraId="693F15FD" w14:textId="77777777" w:rsidR="008943FF" w:rsidRDefault="008943FF" w:rsidP="008943FF">
      <w:pPr>
        <w:jc w:val="both"/>
        <w:rPr>
          <w:rFonts w:ascii="Arial" w:hAnsi="Arial" w:cs="Arial"/>
          <w:iCs/>
          <w:color w:val="000000"/>
          <w:sz w:val="20"/>
          <w:szCs w:val="20"/>
          <w:lang w:eastAsia="en-US"/>
        </w:rPr>
      </w:pPr>
      <w:r w:rsidRPr="008943FF">
        <w:rPr>
          <w:rFonts w:ascii="Arial" w:hAnsi="Arial" w:cs="Arial"/>
          <w:iCs/>
          <w:color w:val="000000"/>
          <w:sz w:val="20"/>
          <w:szCs w:val="20"/>
          <w:lang w:eastAsia="en-US"/>
        </w:rPr>
        <w:t xml:space="preserve">Por lo anterior, y en estricta aplicación del principio de economía y la gestión diligente del riesgo, la Entidad acoge como método transitorio de valoración la </w:t>
      </w:r>
      <w:r w:rsidRPr="008943FF">
        <w:rPr>
          <w:rFonts w:ascii="Arial" w:hAnsi="Arial" w:cs="Arial"/>
          <w:b/>
          <w:bCs/>
          <w:iCs/>
          <w:color w:val="000000"/>
          <w:sz w:val="20"/>
          <w:szCs w:val="20"/>
          <w:lang w:eastAsia="en-US"/>
        </w:rPr>
        <w:t>indexación de valores</w:t>
      </w:r>
      <w:r w:rsidRPr="008943FF">
        <w:rPr>
          <w:rFonts w:ascii="Arial" w:hAnsi="Arial" w:cs="Arial"/>
          <w:iCs/>
          <w:color w:val="000000"/>
          <w:sz w:val="20"/>
          <w:szCs w:val="20"/>
          <w:lang w:eastAsia="en-US"/>
        </w:rPr>
        <w:t>. Este mecanismo consiste en aplicar un factor de actualización porcentual (detallado en la conciliación financiera de este estudio) sobre los valores asegurados de la vigencia anterior.</w:t>
      </w:r>
    </w:p>
    <w:p w14:paraId="634A1713" w14:textId="77777777" w:rsidR="00DD25DA" w:rsidRPr="008943FF" w:rsidRDefault="00DD25DA" w:rsidP="008943FF">
      <w:pPr>
        <w:jc w:val="both"/>
        <w:rPr>
          <w:rFonts w:ascii="Arial" w:hAnsi="Arial" w:cs="Arial"/>
          <w:iCs/>
          <w:color w:val="000000"/>
          <w:sz w:val="20"/>
          <w:szCs w:val="20"/>
          <w:lang w:eastAsia="en-US"/>
        </w:rPr>
      </w:pPr>
    </w:p>
    <w:p w14:paraId="343B892A" w14:textId="77777777" w:rsidR="008943FF" w:rsidRPr="008943FF" w:rsidRDefault="008943FF" w:rsidP="008943FF">
      <w:pPr>
        <w:jc w:val="both"/>
        <w:rPr>
          <w:rFonts w:ascii="Arial" w:hAnsi="Arial" w:cs="Arial"/>
          <w:iCs/>
          <w:color w:val="000000"/>
          <w:sz w:val="20"/>
          <w:szCs w:val="20"/>
          <w:lang w:eastAsia="en-US"/>
        </w:rPr>
      </w:pPr>
      <w:r w:rsidRPr="008943FF">
        <w:rPr>
          <w:rFonts w:ascii="Arial" w:hAnsi="Arial" w:cs="Arial"/>
          <w:iCs/>
          <w:color w:val="000000"/>
          <w:sz w:val="20"/>
          <w:szCs w:val="20"/>
          <w:lang w:eastAsia="en-US"/>
        </w:rPr>
        <w:t>Este método transitorio está técnicamente justificado, es proporcional a la urgencia y al plazo de 82 días de ejecución, y resulta idóneo para mitigar el riesgo de infraseguro en el corto plazo. Lo anterior, sin perjuicio de que la Entidad contemple la realización de avalúos técnicos comerciales como parte de las actividades preparatorias para la futura licitación pública que amparará las vigencias subsiguientes.</w:t>
      </w:r>
    </w:p>
    <w:p w14:paraId="353B5E2E" w14:textId="77777777" w:rsidR="00DB581D" w:rsidRPr="00FB351A" w:rsidRDefault="00DB581D" w:rsidP="007106FD">
      <w:pPr>
        <w:jc w:val="both"/>
        <w:rPr>
          <w:rFonts w:ascii="Arial" w:hAnsi="Arial" w:cs="Arial"/>
          <w:iCs/>
          <w:color w:val="000000"/>
          <w:sz w:val="20"/>
          <w:szCs w:val="20"/>
          <w:lang w:eastAsia="en-US"/>
        </w:rPr>
      </w:pPr>
    </w:p>
    <w:p w14:paraId="29C1DCA8" w14:textId="77777777" w:rsidR="00E3190D" w:rsidRPr="00FB351A" w:rsidRDefault="00E3190D">
      <w:pPr>
        <w:pStyle w:val="Prrafodelista"/>
        <w:numPr>
          <w:ilvl w:val="0"/>
          <w:numId w:val="29"/>
        </w:numPr>
        <w:jc w:val="both"/>
        <w:rPr>
          <w:rFonts w:ascii="Arial" w:hAnsi="Arial" w:cs="Arial"/>
          <w:iCs/>
          <w:color w:val="000000"/>
          <w:sz w:val="20"/>
          <w:szCs w:val="20"/>
          <w:lang w:eastAsia="en-US"/>
        </w:rPr>
      </w:pPr>
      <w:r w:rsidRPr="00FB351A">
        <w:rPr>
          <w:rFonts w:ascii="Arial" w:hAnsi="Arial" w:cs="Arial"/>
          <w:iCs/>
          <w:color w:val="000000"/>
          <w:sz w:val="20"/>
          <w:szCs w:val="20"/>
          <w:lang w:eastAsia="en-US"/>
        </w:rPr>
        <w:t>Para los seguros clasificados dentro de la categoría de daños (Todo Riesgo Daños Materiales, Todo Riesgo Equipo y Maquinaria, Todo Riesgo Obras Civiles Terminadas y Casco Barco), resulta imperativo estimar un índice variable. Esta figura, calculada a prorrata por la vigencia técnica de la póliza, tiene como propósito ajustar automáticamente los capitales asegurados en el tiempo para contrarrestar los efectos de la inflación y evitar un eventual infraseguro.</w:t>
      </w:r>
    </w:p>
    <w:p w14:paraId="56EE9646" w14:textId="77777777" w:rsidR="00DF3EC5" w:rsidRPr="00FB351A" w:rsidRDefault="00DF3EC5" w:rsidP="00E3190D">
      <w:pPr>
        <w:jc w:val="both"/>
        <w:rPr>
          <w:rFonts w:ascii="Arial" w:hAnsi="Arial" w:cs="Arial"/>
          <w:iCs/>
          <w:color w:val="000000"/>
          <w:sz w:val="20"/>
          <w:szCs w:val="20"/>
          <w:lang w:eastAsia="en-US"/>
        </w:rPr>
      </w:pPr>
    </w:p>
    <w:p w14:paraId="0D3AE35D" w14:textId="4EDEDDC4" w:rsidR="00E3190D" w:rsidRPr="00FB351A" w:rsidRDefault="00E3190D" w:rsidP="00E3190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La definición de los porcentajes aplicables se sustenta en la costumbre mercantil del sector asegurador y en el comportamiento histórico de las contrataciones de la Agencia de Desarrollo Rural, estableciéndose de la siguiente manera:</w:t>
      </w:r>
    </w:p>
    <w:p w14:paraId="389374FE" w14:textId="77777777" w:rsidR="00DF3EC5" w:rsidRPr="00FB351A" w:rsidRDefault="00DF3EC5" w:rsidP="00E3190D">
      <w:pPr>
        <w:jc w:val="both"/>
        <w:rPr>
          <w:rFonts w:ascii="Arial" w:hAnsi="Arial" w:cs="Arial"/>
          <w:iCs/>
          <w:color w:val="000000"/>
          <w:sz w:val="20"/>
          <w:szCs w:val="20"/>
          <w:lang w:eastAsia="en-US"/>
        </w:rPr>
      </w:pPr>
    </w:p>
    <w:p w14:paraId="27312175" w14:textId="13D53FE3" w:rsidR="00E3190D" w:rsidRDefault="00E3190D">
      <w:pPr>
        <w:pStyle w:val="Prrafodelista"/>
        <w:numPr>
          <w:ilvl w:val="0"/>
          <w:numId w:val="23"/>
        </w:num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t>Índice del 5% (Todo Riesgo Daños Materiales, Obras Civiles Terminadas y Casco Barco):</w:t>
      </w:r>
      <w:r w:rsidRPr="00FB351A">
        <w:rPr>
          <w:rFonts w:ascii="Arial" w:hAnsi="Arial" w:cs="Arial"/>
          <w:iCs/>
          <w:color w:val="000000"/>
          <w:sz w:val="20"/>
          <w:szCs w:val="20"/>
          <w:lang w:eastAsia="en-US"/>
        </w:rPr>
        <w:t xml:space="preserve"> Se aplica sobre el valor asegurado de los ítems de edificios, contenidos, maquinaria y equipo, obras civiles y embarcaciones. Este porcentaje refleja el crecimiento promedio de los costos de reconstrucción de estos bienes y guarda estrecha relación con el Índice de Precios al Consumidor (IPC) de 2025, situado en 5.1%.</w:t>
      </w:r>
    </w:p>
    <w:p w14:paraId="4718CDC2" w14:textId="77777777" w:rsidR="00D85B64" w:rsidRPr="00FB351A" w:rsidRDefault="00D85B64" w:rsidP="00D85B64">
      <w:pPr>
        <w:pStyle w:val="Prrafodelista"/>
        <w:ind w:left="720" w:firstLine="0"/>
        <w:jc w:val="both"/>
        <w:rPr>
          <w:rFonts w:ascii="Arial" w:hAnsi="Arial" w:cs="Arial"/>
          <w:iCs/>
          <w:color w:val="000000"/>
          <w:sz w:val="20"/>
          <w:szCs w:val="20"/>
          <w:lang w:eastAsia="en-US"/>
        </w:rPr>
      </w:pPr>
    </w:p>
    <w:p w14:paraId="22DD4199" w14:textId="19F05408" w:rsidR="00E3190D" w:rsidRPr="00FB351A" w:rsidRDefault="00E3190D">
      <w:pPr>
        <w:pStyle w:val="Prrafodelista"/>
        <w:numPr>
          <w:ilvl w:val="0"/>
          <w:numId w:val="23"/>
        </w:num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lastRenderedPageBreak/>
        <w:t>Índice del 10% (Todo Riesgo Equipo y Maquinaria):</w:t>
      </w:r>
      <w:r w:rsidRPr="00FB351A">
        <w:rPr>
          <w:rFonts w:ascii="Arial" w:hAnsi="Arial" w:cs="Arial"/>
          <w:iCs/>
          <w:color w:val="000000"/>
          <w:sz w:val="20"/>
          <w:szCs w:val="20"/>
          <w:lang w:eastAsia="en-US"/>
        </w:rPr>
        <w:t xml:space="preserve"> Para los equipos fijos, semifijos y la maquinaria amarilla, autopropulsada (sin placas) o remolcada, se estima un índice superior. Esta diferenciación obedece a las particularidades de valoración y reposición de estos bienes, cuyos repuestos suelen tener origen extranjero, haciéndolos susceptibles a las fluctuaciones de la tasa de cambio. Este 10% compensa dichas variaciones indirectas y mantiene la continuidad con las condiciones de la póliza actual de la Entidad.</w:t>
      </w:r>
    </w:p>
    <w:p w14:paraId="5BE20C4E" w14:textId="77777777" w:rsidR="00DF3EC5" w:rsidRPr="00FB351A" w:rsidRDefault="00DF3EC5" w:rsidP="00DF3EC5">
      <w:pPr>
        <w:ind w:left="720"/>
        <w:jc w:val="both"/>
        <w:rPr>
          <w:rFonts w:ascii="Arial" w:hAnsi="Arial" w:cs="Arial"/>
          <w:iCs/>
          <w:color w:val="000000"/>
          <w:sz w:val="20"/>
          <w:szCs w:val="20"/>
          <w:lang w:eastAsia="en-US"/>
        </w:rPr>
      </w:pPr>
    </w:p>
    <w:p w14:paraId="7C7E2A5F" w14:textId="08AA9E8D" w:rsidR="00E3190D" w:rsidRPr="00FB351A" w:rsidRDefault="00E3190D">
      <w:pPr>
        <w:pStyle w:val="Prrafodelista"/>
        <w:numPr>
          <w:ilvl w:val="0"/>
          <w:numId w:val="29"/>
        </w:num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t>Metodología para el cálculo de la prima del Índice Variable</w:t>
      </w:r>
      <w:r w:rsidR="00DF3EC5" w:rsidRPr="00FB351A">
        <w:rPr>
          <w:rFonts w:ascii="Arial" w:hAnsi="Arial" w:cs="Arial"/>
          <w:b/>
          <w:bCs/>
          <w:iCs/>
          <w:color w:val="000000"/>
          <w:sz w:val="20"/>
          <w:szCs w:val="20"/>
          <w:lang w:eastAsia="en-US"/>
        </w:rPr>
        <w:t xml:space="preserve">: </w:t>
      </w:r>
      <w:r w:rsidRPr="00FB351A">
        <w:rPr>
          <w:rFonts w:ascii="Arial" w:hAnsi="Arial" w:cs="Arial"/>
          <w:iCs/>
          <w:color w:val="000000"/>
          <w:sz w:val="20"/>
          <w:szCs w:val="20"/>
          <w:lang w:eastAsia="en-US"/>
        </w:rPr>
        <w:t>Para efectos de costear el ajuste automático del valor asegurado, el cálculo de la prima del índice variable se liquida aplicando el 50% de la tasa comercial plena de cada ramo. A modo de ejemplo, si la tasa comercial para el seguro de Todo Riesgo Daños Materiales es del 1.300‰, la porción correspondiente al índice variable se calculará sobre el 0.650‰. Esta misma regla de liquidación (50% de la tasa plena) aplica para las pólizas de Todo Riesgo Equipo y Maquinaria, Obras Civiles Terminadas y Casco Barco.</w:t>
      </w:r>
    </w:p>
    <w:p w14:paraId="53B1F2B0" w14:textId="77777777" w:rsidR="00801074" w:rsidRPr="00FB351A" w:rsidRDefault="00801074" w:rsidP="00801074">
      <w:pPr>
        <w:pStyle w:val="Prrafodelista"/>
        <w:ind w:left="720" w:firstLine="0"/>
        <w:jc w:val="both"/>
        <w:rPr>
          <w:rFonts w:ascii="Arial" w:hAnsi="Arial" w:cs="Arial"/>
          <w:iCs/>
          <w:color w:val="000000"/>
          <w:sz w:val="20"/>
          <w:szCs w:val="20"/>
          <w:lang w:eastAsia="en-US"/>
        </w:rPr>
      </w:pPr>
    </w:p>
    <w:p w14:paraId="37FD9020" w14:textId="25E91F3A" w:rsidR="00E3190D" w:rsidRPr="00FB351A" w:rsidRDefault="00E3190D">
      <w:pPr>
        <w:pStyle w:val="Prrafodelista"/>
        <w:numPr>
          <w:ilvl w:val="0"/>
          <w:numId w:val="44"/>
        </w:num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t>Variables adicionales y consolidación presupuestal</w:t>
      </w:r>
      <w:r w:rsidR="00801074" w:rsidRPr="00FB351A">
        <w:rPr>
          <w:rFonts w:ascii="Arial" w:hAnsi="Arial" w:cs="Arial"/>
          <w:b/>
          <w:bCs/>
          <w:iCs/>
          <w:color w:val="000000"/>
          <w:sz w:val="20"/>
          <w:szCs w:val="20"/>
          <w:lang w:eastAsia="en-US"/>
        </w:rPr>
        <w:t xml:space="preserve">: </w:t>
      </w:r>
      <w:r w:rsidRPr="00FB351A">
        <w:rPr>
          <w:rFonts w:ascii="Arial" w:hAnsi="Arial" w:cs="Arial"/>
          <w:iCs/>
          <w:color w:val="000000"/>
          <w:sz w:val="20"/>
          <w:szCs w:val="20"/>
          <w:lang w:eastAsia="en-US"/>
        </w:rPr>
        <w:t>Cabe señalar que las demás variables que inciden en el costo final de los seguros se encuentran implícitamente contempladas en los estimativos tarifarios descritos. Dichas tasas ya incorporan componentes técnicos y de mercado, tales como los costos de reaseguro, la retención directa, la clasificación de los riesgos asegurables, las políticas de suscripción, así como la experiencia siniestral general del ramo y la específica de la Entidad.</w:t>
      </w:r>
    </w:p>
    <w:p w14:paraId="24712092" w14:textId="77777777" w:rsidR="00801074" w:rsidRPr="00FB351A" w:rsidRDefault="00801074" w:rsidP="00E3190D">
      <w:pPr>
        <w:jc w:val="both"/>
        <w:rPr>
          <w:rFonts w:ascii="Arial" w:hAnsi="Arial" w:cs="Arial"/>
          <w:iCs/>
          <w:color w:val="000000"/>
          <w:sz w:val="20"/>
          <w:szCs w:val="20"/>
          <w:lang w:eastAsia="en-US"/>
        </w:rPr>
      </w:pPr>
    </w:p>
    <w:p w14:paraId="158EF77D" w14:textId="1138A4F7" w:rsidR="00E3190D" w:rsidRPr="00FB351A" w:rsidRDefault="00E3190D" w:rsidP="00E3190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En consecuencia, una vez definidos los valores asegurables actualizados y las tasas comerciales definitivas</w:t>
      </w:r>
      <w:r w:rsidR="00183FE5" w:rsidRPr="00FB351A">
        <w:rPr>
          <w:rFonts w:ascii="Arial" w:hAnsi="Arial" w:cs="Arial"/>
          <w:iCs/>
          <w:color w:val="000000"/>
          <w:sz w:val="20"/>
          <w:szCs w:val="20"/>
          <w:lang w:eastAsia="en-US"/>
        </w:rPr>
        <w:t xml:space="preserve">, </w:t>
      </w:r>
      <w:r w:rsidRPr="00FB351A">
        <w:rPr>
          <w:rFonts w:ascii="Arial" w:hAnsi="Arial" w:cs="Arial"/>
          <w:iCs/>
          <w:color w:val="000000"/>
          <w:sz w:val="20"/>
          <w:szCs w:val="20"/>
          <w:lang w:eastAsia="en-US"/>
        </w:rPr>
        <w:t>incluyendo la porción correspondiente al índice variable, se cuenta con el sustento técnico para proceder con el cálculo y la proyección del presupuesto oficial del presente proceso de selección.</w:t>
      </w:r>
    </w:p>
    <w:p w14:paraId="1F03933A" w14:textId="77777777" w:rsidR="00BC5D37" w:rsidRPr="00FB351A" w:rsidRDefault="00BC5D37" w:rsidP="00803115">
      <w:pPr>
        <w:jc w:val="both"/>
        <w:rPr>
          <w:rFonts w:ascii="Arial" w:hAnsi="Arial" w:cs="Arial"/>
          <w:iCs/>
          <w:color w:val="000000"/>
          <w:sz w:val="20"/>
          <w:szCs w:val="20"/>
          <w:lang w:eastAsia="en-US"/>
        </w:rPr>
      </w:pPr>
    </w:p>
    <w:p w14:paraId="433ABC5B" w14:textId="77777777" w:rsidR="004402A0" w:rsidRPr="00FB351A" w:rsidRDefault="004402A0">
      <w:pPr>
        <w:numPr>
          <w:ilvl w:val="0"/>
          <w:numId w:val="28"/>
        </w:num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Automóviles: </w:t>
      </w:r>
    </w:p>
    <w:p w14:paraId="3F58C394" w14:textId="77777777" w:rsidR="004402A0" w:rsidRPr="00FB351A" w:rsidRDefault="004402A0" w:rsidP="00803115">
      <w:pPr>
        <w:jc w:val="both"/>
        <w:rPr>
          <w:rFonts w:ascii="Arial" w:hAnsi="Arial" w:cs="Arial"/>
          <w:iCs/>
          <w:color w:val="000000"/>
          <w:sz w:val="20"/>
          <w:szCs w:val="20"/>
          <w:lang w:eastAsia="en-US"/>
        </w:rPr>
      </w:pPr>
    </w:p>
    <w:p w14:paraId="433408AA" w14:textId="640672E1" w:rsidR="00FE42DD" w:rsidRPr="00FB351A" w:rsidRDefault="00FE42DD"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El valor asegurado para determinar el costo del seguro de AUTOMÓVILES se tomó de acuerdo con las características de cada uno de los vehículos por asegurar</w:t>
      </w:r>
      <w:r w:rsidR="00C5719A" w:rsidRPr="00FB351A">
        <w:rPr>
          <w:rFonts w:ascii="Arial" w:hAnsi="Arial" w:cs="Arial"/>
          <w:iCs/>
          <w:color w:val="000000"/>
          <w:sz w:val="20"/>
          <w:szCs w:val="20"/>
          <w:lang w:eastAsia="en-US"/>
        </w:rPr>
        <w:t xml:space="preserve"> relacionados en el Anexo 2 Relación de bienes y valores asegurados-ADR</w:t>
      </w:r>
      <w:r w:rsidRPr="00FB351A">
        <w:rPr>
          <w:rFonts w:ascii="Arial" w:hAnsi="Arial" w:cs="Arial"/>
          <w:iCs/>
          <w:color w:val="000000"/>
          <w:sz w:val="20"/>
          <w:szCs w:val="20"/>
          <w:lang w:eastAsia="en-US"/>
        </w:rPr>
        <w:t xml:space="preserve"> y la Guía de valores </w:t>
      </w:r>
      <w:proofErr w:type="spellStart"/>
      <w:r w:rsidRPr="00FB351A">
        <w:rPr>
          <w:rFonts w:ascii="Arial" w:hAnsi="Arial" w:cs="Arial"/>
          <w:iCs/>
          <w:color w:val="000000"/>
          <w:sz w:val="20"/>
          <w:szCs w:val="20"/>
          <w:lang w:eastAsia="en-US"/>
        </w:rPr>
        <w:t>Fasecolda</w:t>
      </w:r>
      <w:proofErr w:type="spellEnd"/>
      <w:r w:rsidRPr="00FB351A">
        <w:rPr>
          <w:rFonts w:ascii="Arial" w:hAnsi="Arial" w:cs="Arial"/>
          <w:iCs/>
          <w:color w:val="000000"/>
          <w:sz w:val="20"/>
          <w:szCs w:val="20"/>
          <w:lang w:eastAsia="en-US"/>
        </w:rPr>
        <w:t xml:space="preserve"> para el mes de la estructuración de costos del estudio de mercado</w:t>
      </w:r>
      <w:r w:rsidR="007106FD" w:rsidRPr="00FB351A">
        <w:rPr>
          <w:rFonts w:ascii="Arial" w:hAnsi="Arial" w:cs="Arial"/>
          <w:iCs/>
          <w:color w:val="000000"/>
          <w:sz w:val="20"/>
          <w:szCs w:val="20"/>
          <w:lang w:eastAsia="en-US"/>
        </w:rPr>
        <w:t>.</w:t>
      </w:r>
    </w:p>
    <w:p w14:paraId="40DDEB22" w14:textId="77777777" w:rsidR="007106FD" w:rsidRPr="00FB351A" w:rsidRDefault="007106FD" w:rsidP="00803115">
      <w:pPr>
        <w:jc w:val="both"/>
        <w:rPr>
          <w:rFonts w:ascii="Arial" w:hAnsi="Arial" w:cs="Arial"/>
          <w:iCs/>
          <w:color w:val="000000"/>
          <w:sz w:val="20"/>
          <w:szCs w:val="20"/>
          <w:lang w:eastAsia="en-US"/>
        </w:rPr>
      </w:pPr>
    </w:p>
    <w:p w14:paraId="1B88D7E5" w14:textId="77777777" w:rsidR="007106FD" w:rsidRPr="00FB351A" w:rsidRDefault="007106FD">
      <w:pPr>
        <w:numPr>
          <w:ilvl w:val="0"/>
          <w:numId w:val="28"/>
        </w:numPr>
        <w:jc w:val="both"/>
        <w:rPr>
          <w:rFonts w:ascii="Arial" w:hAnsi="Arial" w:cs="Arial"/>
          <w:iCs/>
          <w:color w:val="000000"/>
          <w:sz w:val="20"/>
          <w:szCs w:val="20"/>
          <w:lang w:eastAsia="en-US"/>
        </w:rPr>
      </w:pPr>
      <w:proofErr w:type="spellStart"/>
      <w:r w:rsidRPr="00FB351A">
        <w:rPr>
          <w:rFonts w:ascii="Arial" w:hAnsi="Arial" w:cs="Arial"/>
          <w:iCs/>
          <w:color w:val="000000"/>
          <w:sz w:val="20"/>
          <w:szCs w:val="20"/>
          <w:lang w:eastAsia="en-US"/>
        </w:rPr>
        <w:t>Soat</w:t>
      </w:r>
      <w:proofErr w:type="spellEnd"/>
      <w:r w:rsidRPr="00FB351A">
        <w:rPr>
          <w:rFonts w:ascii="Arial" w:hAnsi="Arial" w:cs="Arial"/>
          <w:iCs/>
          <w:color w:val="000000"/>
          <w:sz w:val="20"/>
          <w:szCs w:val="20"/>
          <w:lang w:eastAsia="en-US"/>
        </w:rPr>
        <w:t>:</w:t>
      </w:r>
    </w:p>
    <w:p w14:paraId="6BCF2655" w14:textId="77777777" w:rsidR="007106FD" w:rsidRPr="00FB351A" w:rsidRDefault="007106FD" w:rsidP="007106FD">
      <w:pPr>
        <w:jc w:val="both"/>
        <w:rPr>
          <w:rFonts w:ascii="Arial" w:hAnsi="Arial" w:cs="Arial"/>
          <w:iCs/>
          <w:color w:val="000000"/>
          <w:sz w:val="20"/>
          <w:szCs w:val="20"/>
          <w:lang w:eastAsia="en-US"/>
        </w:rPr>
      </w:pPr>
    </w:p>
    <w:p w14:paraId="04FE8949" w14:textId="77777777" w:rsidR="007106FD" w:rsidRPr="00FB351A" w:rsidRDefault="007106FD" w:rsidP="007106FD">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Es importante tener en cuenta que los montos de cobertura están definidos en Salarios Mínimos Legales Diarios Vigentes (</w:t>
      </w:r>
      <w:proofErr w:type="spellStart"/>
      <w:r w:rsidRPr="00FB351A">
        <w:rPr>
          <w:rFonts w:ascii="Arial" w:hAnsi="Arial" w:cs="Arial"/>
          <w:iCs/>
          <w:color w:val="000000"/>
          <w:sz w:val="20"/>
          <w:szCs w:val="20"/>
          <w:lang w:eastAsia="en-US"/>
        </w:rPr>
        <w:t>SMLDV</w:t>
      </w:r>
      <w:proofErr w:type="spellEnd"/>
      <w:r w:rsidRPr="00FB351A">
        <w:rPr>
          <w:rFonts w:ascii="Arial" w:hAnsi="Arial" w:cs="Arial"/>
          <w:iCs/>
          <w:color w:val="000000"/>
          <w:sz w:val="20"/>
          <w:szCs w:val="20"/>
          <w:lang w:eastAsia="en-US"/>
        </w:rPr>
        <w:t>) y Unidades de Valor Tributario (</w:t>
      </w:r>
      <w:proofErr w:type="spellStart"/>
      <w:r w:rsidRPr="00FB351A">
        <w:rPr>
          <w:rFonts w:ascii="Arial" w:hAnsi="Arial" w:cs="Arial"/>
          <w:iCs/>
          <w:color w:val="000000"/>
          <w:sz w:val="20"/>
          <w:szCs w:val="20"/>
          <w:lang w:eastAsia="en-US"/>
        </w:rPr>
        <w:t>UVT</w:t>
      </w:r>
      <w:proofErr w:type="spellEnd"/>
      <w:r w:rsidRPr="00FB351A">
        <w:rPr>
          <w:rFonts w:ascii="Arial" w:hAnsi="Arial" w:cs="Arial"/>
          <w:iCs/>
          <w:color w:val="000000"/>
          <w:sz w:val="20"/>
          <w:szCs w:val="20"/>
          <w:lang w:eastAsia="en-US"/>
        </w:rPr>
        <w:t>). Esto permite que las cifras se actualicen con las modificaciones que Gobierno Nacional defina sobre estos indicadores, manteniendo su valor real a lo largo del tiempo</w:t>
      </w:r>
    </w:p>
    <w:p w14:paraId="33E5797B" w14:textId="77777777" w:rsidR="007106FD" w:rsidRPr="00FB351A" w:rsidRDefault="007106FD" w:rsidP="007106FD">
      <w:pPr>
        <w:jc w:val="both"/>
        <w:rPr>
          <w:rFonts w:ascii="Arial" w:hAnsi="Arial" w:cs="Arial"/>
          <w:iCs/>
          <w:color w:val="000000"/>
          <w:sz w:val="20"/>
          <w:szCs w:val="20"/>
          <w:lang w:eastAsia="en-US"/>
        </w:rPr>
      </w:pPr>
    </w:p>
    <w:p w14:paraId="32504CD9" w14:textId="5B79B891" w:rsidR="007106FD" w:rsidRPr="00FB351A" w:rsidRDefault="007106FD" w:rsidP="007106FD">
      <w:pPr>
        <w:jc w:val="both"/>
        <w:rPr>
          <w:rFonts w:ascii="Arial" w:hAnsi="Arial" w:cs="Arial"/>
          <w:iCs/>
          <w:color w:val="000000"/>
          <w:sz w:val="20"/>
          <w:szCs w:val="20"/>
          <w:lang w:eastAsia="en-US"/>
        </w:rPr>
      </w:pPr>
      <w:r w:rsidRPr="00FB351A">
        <w:rPr>
          <w:rFonts w:ascii="Arial" w:hAnsi="Arial" w:cs="Arial"/>
          <w:i/>
          <w:iCs/>
          <w:noProof/>
          <w:color w:val="000000"/>
          <w:sz w:val="20"/>
          <w:szCs w:val="20"/>
          <w:lang w:eastAsia="en-US"/>
        </w:rPr>
        <w:drawing>
          <wp:inline distT="0" distB="0" distL="0" distR="0" wp14:anchorId="33D8B447" wp14:editId="39042FC2">
            <wp:extent cx="5943600" cy="1552575"/>
            <wp:effectExtent l="0" t="0" r="0" b="9525"/>
            <wp:docPr id="633646043"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943600" cy="1552575"/>
                    </a:xfrm>
                    <a:prstGeom prst="rect">
                      <a:avLst/>
                    </a:prstGeom>
                    <a:noFill/>
                    <a:ln>
                      <a:noFill/>
                    </a:ln>
                  </pic:spPr>
                </pic:pic>
              </a:graphicData>
            </a:graphic>
          </wp:inline>
        </w:drawing>
      </w:r>
    </w:p>
    <w:p w14:paraId="77ADA2E2" w14:textId="77777777" w:rsidR="00AC71D6" w:rsidRPr="00FB351A" w:rsidRDefault="00AC71D6" w:rsidP="00803115">
      <w:pPr>
        <w:jc w:val="both"/>
        <w:rPr>
          <w:rFonts w:ascii="Arial" w:hAnsi="Arial" w:cs="Arial"/>
          <w:iCs/>
          <w:color w:val="000000"/>
          <w:sz w:val="20"/>
          <w:szCs w:val="20"/>
          <w:lang w:eastAsia="en-US"/>
        </w:rPr>
      </w:pPr>
    </w:p>
    <w:p w14:paraId="0411F84A" w14:textId="77777777" w:rsidR="004402A0" w:rsidRPr="00FB351A" w:rsidRDefault="004402A0">
      <w:pPr>
        <w:numPr>
          <w:ilvl w:val="0"/>
          <w:numId w:val="28"/>
        </w:num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Seguros Patrimoniales: </w:t>
      </w:r>
    </w:p>
    <w:p w14:paraId="406EEBBA" w14:textId="77777777" w:rsidR="004402A0" w:rsidRPr="00FB351A" w:rsidRDefault="004402A0" w:rsidP="00803115">
      <w:pPr>
        <w:jc w:val="both"/>
        <w:rPr>
          <w:rFonts w:ascii="Arial" w:hAnsi="Arial" w:cs="Arial"/>
          <w:iCs/>
          <w:color w:val="000000"/>
          <w:sz w:val="20"/>
          <w:szCs w:val="20"/>
          <w:lang w:eastAsia="en-US"/>
        </w:rPr>
      </w:pPr>
    </w:p>
    <w:p w14:paraId="7A5604ED"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Conforme a lo dispuesto en el artículo 1082 del Código de Comercio, </w:t>
      </w:r>
      <w:r w:rsidRPr="00FB351A">
        <w:rPr>
          <w:rFonts w:ascii="Arial" w:hAnsi="Arial" w:cs="Arial"/>
          <w:i/>
          <w:iCs/>
          <w:color w:val="000000"/>
          <w:sz w:val="20"/>
          <w:szCs w:val="20"/>
          <w:lang w:eastAsia="en-US"/>
        </w:rPr>
        <w:t>“Los seguros podrán ser de daños o de personas…”</w:t>
      </w:r>
      <w:r w:rsidRPr="00FB351A">
        <w:rPr>
          <w:rFonts w:ascii="Arial" w:hAnsi="Arial" w:cs="Arial"/>
          <w:iCs/>
          <w:color w:val="000000"/>
          <w:sz w:val="20"/>
          <w:szCs w:val="20"/>
          <w:lang w:eastAsia="en-US"/>
        </w:rPr>
        <w:t xml:space="preserve"> y los seguros de daños, conforme a la misma norma podrán ser “reales o patrimoniales”. </w:t>
      </w:r>
    </w:p>
    <w:p w14:paraId="5107E771" w14:textId="77777777" w:rsidR="004402A0" w:rsidRPr="00FB351A" w:rsidRDefault="004402A0" w:rsidP="00803115">
      <w:pPr>
        <w:jc w:val="both"/>
        <w:rPr>
          <w:rFonts w:ascii="Arial" w:hAnsi="Arial" w:cs="Arial"/>
          <w:iCs/>
          <w:color w:val="000000"/>
          <w:sz w:val="20"/>
          <w:szCs w:val="20"/>
          <w:lang w:eastAsia="en-US"/>
        </w:rPr>
      </w:pPr>
    </w:p>
    <w:p w14:paraId="3746B0E5"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Los seguros de daños reales tienen por objeto amparar bienes tangibles como un carro, un inmueble, un mueble o un semoviente</w:t>
      </w:r>
      <w:r w:rsidRPr="00FB351A">
        <w:rPr>
          <w:rFonts w:ascii="Arial" w:hAnsi="Arial" w:cs="Arial"/>
          <w:iCs/>
          <w:color w:val="000000"/>
          <w:sz w:val="20"/>
          <w:szCs w:val="20"/>
          <w:vertAlign w:val="superscript"/>
          <w:lang w:eastAsia="en-US"/>
        </w:rPr>
        <w:footnoteReference w:id="17"/>
      </w:r>
      <w:r w:rsidRPr="00FB351A">
        <w:rPr>
          <w:rFonts w:ascii="Arial" w:hAnsi="Arial" w:cs="Arial"/>
          <w:iCs/>
          <w:color w:val="000000"/>
          <w:sz w:val="20"/>
          <w:szCs w:val="20"/>
          <w:lang w:eastAsia="en-US"/>
        </w:rPr>
        <w:t xml:space="preserve">. En cambio, los seguros de daños patrimoniales, como su nombre lo indica, cubren los detrimentos patrimoniales que pueda sufrir el asegurado como consecuencia de la realización del riesgo asegurado, es decir, como resultado de la ocurrencia del siniestro. </w:t>
      </w:r>
    </w:p>
    <w:p w14:paraId="2DFD08AD" w14:textId="77777777" w:rsidR="004402A0" w:rsidRPr="00FB351A" w:rsidRDefault="004402A0" w:rsidP="00803115">
      <w:pPr>
        <w:jc w:val="both"/>
        <w:rPr>
          <w:rFonts w:ascii="Arial" w:hAnsi="Arial" w:cs="Arial"/>
          <w:iCs/>
          <w:color w:val="000000"/>
          <w:sz w:val="20"/>
          <w:szCs w:val="20"/>
          <w:lang w:eastAsia="en-US"/>
        </w:rPr>
      </w:pPr>
    </w:p>
    <w:p w14:paraId="5F429343"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En los seguros de daños patrimoniales, no existe un elemento, criterio o metodología que permita determinar el valor del interés asegurable o del siniestro que podrá llegar a afectar de manera directa el patrimonio del asegurado, durante la vigencia de la póliza</w:t>
      </w:r>
      <w:r w:rsidRPr="00FB351A">
        <w:rPr>
          <w:rFonts w:ascii="Arial" w:hAnsi="Arial" w:cs="Arial"/>
          <w:iCs/>
          <w:color w:val="000000"/>
          <w:sz w:val="20"/>
          <w:szCs w:val="20"/>
          <w:vertAlign w:val="superscript"/>
          <w:lang w:eastAsia="en-US"/>
        </w:rPr>
        <w:footnoteReference w:id="18"/>
      </w:r>
      <w:r w:rsidRPr="00FB351A">
        <w:rPr>
          <w:rFonts w:ascii="Arial" w:hAnsi="Arial" w:cs="Arial"/>
          <w:iCs/>
          <w:color w:val="000000"/>
          <w:sz w:val="20"/>
          <w:szCs w:val="20"/>
          <w:lang w:eastAsia="en-US"/>
        </w:rPr>
        <w:t>. Es por eso que el asegurado no podrá predecir el costo del detrimento patrimonial que podrá sufrir como resultado de la responsabilidad civil que le pudiere llegar a ser imputable, durante la vigencia de un contrato de seguro.</w:t>
      </w:r>
    </w:p>
    <w:p w14:paraId="181856F2" w14:textId="77777777" w:rsidR="004402A0" w:rsidRPr="00FB351A" w:rsidRDefault="004402A0" w:rsidP="00803115">
      <w:pPr>
        <w:jc w:val="both"/>
        <w:rPr>
          <w:rFonts w:ascii="Arial" w:hAnsi="Arial" w:cs="Arial"/>
          <w:iCs/>
          <w:color w:val="000000"/>
          <w:sz w:val="20"/>
          <w:szCs w:val="20"/>
          <w:lang w:eastAsia="en-US"/>
        </w:rPr>
      </w:pPr>
    </w:p>
    <w:p w14:paraId="78CC4113" w14:textId="77777777" w:rsidR="004402A0" w:rsidRPr="00FB351A" w:rsidRDefault="004402A0" w:rsidP="00803115">
      <w:pPr>
        <w:jc w:val="both"/>
        <w:rPr>
          <w:rFonts w:ascii="Arial" w:hAnsi="Arial" w:cs="Arial"/>
          <w:i/>
          <w:iCs/>
          <w:color w:val="000000"/>
          <w:sz w:val="20"/>
          <w:szCs w:val="20"/>
          <w:lang w:eastAsia="en-US"/>
        </w:rPr>
      </w:pPr>
      <w:r w:rsidRPr="00FB351A">
        <w:rPr>
          <w:rFonts w:ascii="Arial" w:hAnsi="Arial" w:cs="Arial"/>
          <w:iCs/>
          <w:color w:val="000000"/>
          <w:sz w:val="20"/>
          <w:szCs w:val="20"/>
          <w:lang w:eastAsia="en-US"/>
        </w:rPr>
        <w:t xml:space="preserve">En línea con lo anterior, el maestro J. Efrén Ossa Gómez, sostuvo que en los seguros patrimoniales </w:t>
      </w:r>
      <w:r w:rsidRPr="00FB351A">
        <w:rPr>
          <w:rFonts w:ascii="Arial" w:hAnsi="Arial" w:cs="Arial"/>
          <w:i/>
          <w:iCs/>
          <w:color w:val="000000"/>
          <w:sz w:val="20"/>
          <w:szCs w:val="20"/>
          <w:lang w:eastAsia="en-US"/>
        </w:rPr>
        <w:t>“… el interés asegurable, cuya identidad jurídica y cuya naturaleza económica son evidentes, no soporta – como en los seguros reales – “una estimación previa de dinero”. Cuando más, un cálculo subjetivo, meramente aproximado, que será adecuado, excesivo o insuficiente según la magnitud real del daño causado por el siniestro. (…) Consecuencia lógica … que los conceptos de sobreseguro e infraseguro no son compatibles con la naturaleza jurídica de esta clase de seguros…”</w:t>
      </w:r>
      <w:r w:rsidRPr="00FB351A">
        <w:rPr>
          <w:rFonts w:ascii="Arial" w:hAnsi="Arial" w:cs="Arial"/>
          <w:i/>
          <w:iCs/>
          <w:color w:val="000000"/>
          <w:sz w:val="20"/>
          <w:szCs w:val="20"/>
          <w:vertAlign w:val="superscript"/>
          <w:lang w:eastAsia="en-US"/>
        </w:rPr>
        <w:footnoteReference w:id="19"/>
      </w:r>
    </w:p>
    <w:p w14:paraId="4EE97AD3" w14:textId="77777777" w:rsidR="004402A0" w:rsidRPr="00FB351A" w:rsidRDefault="004402A0" w:rsidP="00803115">
      <w:pPr>
        <w:jc w:val="both"/>
        <w:rPr>
          <w:rFonts w:ascii="Arial" w:hAnsi="Arial" w:cs="Arial"/>
          <w:i/>
          <w:iCs/>
          <w:color w:val="000000"/>
          <w:sz w:val="20"/>
          <w:szCs w:val="20"/>
          <w:lang w:eastAsia="en-US"/>
        </w:rPr>
      </w:pPr>
    </w:p>
    <w:p w14:paraId="6E19D37B" w14:textId="77777777" w:rsidR="004402A0" w:rsidRPr="00FB351A" w:rsidRDefault="004402A0" w:rsidP="00803115">
      <w:pPr>
        <w:jc w:val="both"/>
        <w:rPr>
          <w:rFonts w:ascii="Arial" w:hAnsi="Arial" w:cs="Arial"/>
          <w:i/>
          <w:iCs/>
          <w:color w:val="000000"/>
          <w:sz w:val="20"/>
          <w:szCs w:val="20"/>
          <w:lang w:eastAsia="en-US"/>
        </w:rPr>
      </w:pPr>
      <w:r w:rsidRPr="00FB351A">
        <w:rPr>
          <w:rFonts w:ascii="Arial" w:hAnsi="Arial" w:cs="Arial"/>
          <w:iCs/>
          <w:color w:val="000000"/>
          <w:sz w:val="20"/>
          <w:szCs w:val="20"/>
          <w:lang w:eastAsia="en-US"/>
        </w:rPr>
        <w:t xml:space="preserve">Continuando con la doctrina en materia del contrato de seguros, la Dra. María Cristina Isaza Posse, en la Revista </w:t>
      </w:r>
      <w:proofErr w:type="spellStart"/>
      <w:r w:rsidRPr="00FB351A">
        <w:rPr>
          <w:rFonts w:ascii="Arial" w:hAnsi="Arial" w:cs="Arial"/>
          <w:iCs/>
          <w:color w:val="000000"/>
          <w:sz w:val="20"/>
          <w:szCs w:val="20"/>
          <w:lang w:eastAsia="en-US"/>
        </w:rPr>
        <w:t>Iberolatinoaméricana</w:t>
      </w:r>
      <w:proofErr w:type="spellEnd"/>
      <w:r w:rsidRPr="00FB351A">
        <w:rPr>
          <w:rFonts w:ascii="Arial" w:hAnsi="Arial" w:cs="Arial"/>
          <w:iCs/>
          <w:color w:val="000000"/>
          <w:sz w:val="20"/>
          <w:szCs w:val="20"/>
          <w:lang w:eastAsia="en-US"/>
        </w:rPr>
        <w:t xml:space="preserve"> de Seguros</w:t>
      </w:r>
      <w:r w:rsidRPr="00FB351A">
        <w:rPr>
          <w:rFonts w:ascii="Arial" w:hAnsi="Arial" w:cs="Arial"/>
          <w:iCs/>
          <w:color w:val="000000"/>
          <w:sz w:val="20"/>
          <w:szCs w:val="20"/>
          <w:vertAlign w:val="superscript"/>
          <w:lang w:eastAsia="en-US"/>
        </w:rPr>
        <w:footnoteReference w:id="20"/>
      </w:r>
      <w:r w:rsidRPr="00FB351A">
        <w:rPr>
          <w:rFonts w:ascii="Arial" w:hAnsi="Arial" w:cs="Arial"/>
          <w:iCs/>
          <w:color w:val="000000"/>
          <w:sz w:val="20"/>
          <w:szCs w:val="20"/>
          <w:lang w:eastAsia="en-US"/>
        </w:rPr>
        <w:t xml:space="preserve">, aseveró </w:t>
      </w:r>
      <w:r w:rsidRPr="00FB351A">
        <w:rPr>
          <w:rFonts w:ascii="Arial" w:hAnsi="Arial" w:cs="Arial"/>
          <w:i/>
          <w:iCs/>
          <w:color w:val="000000"/>
          <w:sz w:val="20"/>
          <w:szCs w:val="20"/>
          <w:lang w:eastAsia="en-US"/>
        </w:rPr>
        <w:t xml:space="preserve">“… Seguros Patrimoniales: “Como su nombre lo indica, protegen la integridad del patrimonio económico contra el detrimento eventual que pueda afectarlo desfavorablemente y que tanto puede originarse en una disminución del activo como en un aumento del pasivo”. Estos se conocen como “seguros de suma”, en cuanto la responsabilidad de la aseguradora se circunscribe al monto de la suma establecida como límite para tal efecto. </w:t>
      </w:r>
    </w:p>
    <w:p w14:paraId="6FD305EC" w14:textId="77777777" w:rsidR="004402A0" w:rsidRPr="00FB351A" w:rsidRDefault="004402A0" w:rsidP="00803115">
      <w:pPr>
        <w:jc w:val="both"/>
        <w:rPr>
          <w:rFonts w:ascii="Arial" w:hAnsi="Arial" w:cs="Arial"/>
          <w:i/>
          <w:iCs/>
          <w:color w:val="000000"/>
          <w:sz w:val="20"/>
          <w:szCs w:val="20"/>
          <w:lang w:eastAsia="en-US"/>
        </w:rPr>
      </w:pPr>
    </w:p>
    <w:p w14:paraId="0D9732D6" w14:textId="77777777" w:rsidR="004402A0" w:rsidRPr="00FB351A" w:rsidRDefault="004402A0" w:rsidP="00803115">
      <w:pPr>
        <w:jc w:val="both"/>
        <w:rPr>
          <w:rFonts w:ascii="Arial" w:hAnsi="Arial" w:cs="Arial"/>
          <w:i/>
          <w:iCs/>
          <w:color w:val="000000"/>
          <w:sz w:val="20"/>
          <w:szCs w:val="20"/>
          <w:lang w:eastAsia="en-US"/>
        </w:rPr>
      </w:pPr>
      <w:r w:rsidRPr="00FB351A">
        <w:rPr>
          <w:rFonts w:ascii="Arial" w:hAnsi="Arial" w:cs="Arial"/>
          <w:i/>
          <w:iCs/>
          <w:color w:val="000000"/>
          <w:sz w:val="20"/>
          <w:szCs w:val="20"/>
          <w:lang w:eastAsia="en-US"/>
        </w:rPr>
        <w:t>…</w:t>
      </w:r>
      <w:r w:rsidRPr="00FB351A">
        <w:rPr>
          <w:rFonts w:ascii="Arial" w:hAnsi="Arial" w:cs="Arial"/>
          <w:iCs/>
          <w:color w:val="000000"/>
          <w:sz w:val="20"/>
          <w:szCs w:val="20"/>
          <w:lang w:eastAsia="en-US"/>
        </w:rPr>
        <w:t xml:space="preserve"> </w:t>
      </w:r>
      <w:r w:rsidRPr="00FB351A">
        <w:rPr>
          <w:rFonts w:ascii="Arial" w:hAnsi="Arial" w:cs="Arial"/>
          <w:i/>
          <w:iCs/>
          <w:color w:val="000000"/>
          <w:sz w:val="20"/>
          <w:szCs w:val="20"/>
          <w:lang w:eastAsia="en-US"/>
        </w:rPr>
        <w:t>la dificultad que se encuentra para delimitar el ámbito de los seguros patrimoniales y para subrayar sus diferencias con los seguros reales, habida consideración de que todos los seguros de daños tienen, en últimas la misma función. Señala entonces, que el procedimiento a seguir será el de analizar cada póliza para desentrañar así, la ubicación que le conviene en cada caso. Sin embargo, anota el profesor Ossa, como características propias del seguro de responsabilidad civil extracontractual, cuya naturaleza es claramente patrimonial, las siguientes:</w:t>
      </w:r>
    </w:p>
    <w:p w14:paraId="7C85F835" w14:textId="77777777" w:rsidR="004402A0" w:rsidRPr="00FB351A" w:rsidRDefault="004402A0" w:rsidP="00803115">
      <w:pPr>
        <w:jc w:val="both"/>
        <w:rPr>
          <w:rFonts w:ascii="Arial" w:hAnsi="Arial" w:cs="Arial"/>
          <w:i/>
          <w:iCs/>
          <w:color w:val="000000"/>
          <w:sz w:val="20"/>
          <w:szCs w:val="20"/>
          <w:lang w:eastAsia="en-US"/>
        </w:rPr>
      </w:pPr>
    </w:p>
    <w:p w14:paraId="3A8FF97F" w14:textId="77777777" w:rsidR="004402A0" w:rsidRPr="00FB351A" w:rsidRDefault="004402A0">
      <w:pPr>
        <w:numPr>
          <w:ilvl w:val="0"/>
          <w:numId w:val="27"/>
        </w:numPr>
        <w:jc w:val="both"/>
        <w:rPr>
          <w:rFonts w:ascii="Arial" w:hAnsi="Arial" w:cs="Arial"/>
          <w:b/>
          <w:bCs/>
          <w:i/>
          <w:iCs/>
          <w:color w:val="000000"/>
          <w:sz w:val="20"/>
          <w:szCs w:val="20"/>
          <w:u w:val="single"/>
          <w:lang w:eastAsia="en-US"/>
        </w:rPr>
      </w:pPr>
      <w:r w:rsidRPr="00FB351A">
        <w:rPr>
          <w:rFonts w:ascii="Arial" w:hAnsi="Arial" w:cs="Arial"/>
          <w:b/>
          <w:bCs/>
          <w:i/>
          <w:iCs/>
          <w:color w:val="000000"/>
          <w:sz w:val="20"/>
          <w:szCs w:val="20"/>
          <w:u w:val="single"/>
          <w:lang w:eastAsia="en-US"/>
        </w:rPr>
        <w:t>El interés asegurable no soporta una estimación previa en dinero. Su cálculo es aproximado, su suficiencia o insuficiencia solo se determina una vez se conozca la magnitud real del daño causado por el siniestro.</w:t>
      </w:r>
    </w:p>
    <w:p w14:paraId="40635ADF" w14:textId="77777777" w:rsidR="004402A0" w:rsidRPr="00FB351A" w:rsidRDefault="004402A0">
      <w:pPr>
        <w:numPr>
          <w:ilvl w:val="0"/>
          <w:numId w:val="27"/>
        </w:numPr>
        <w:jc w:val="both"/>
        <w:rPr>
          <w:rFonts w:ascii="Arial" w:hAnsi="Arial" w:cs="Arial"/>
          <w:b/>
          <w:bCs/>
          <w:i/>
          <w:iCs/>
          <w:color w:val="000000"/>
          <w:sz w:val="20"/>
          <w:szCs w:val="20"/>
          <w:u w:val="single"/>
          <w:lang w:eastAsia="en-US"/>
        </w:rPr>
      </w:pPr>
      <w:r w:rsidRPr="00FB351A">
        <w:rPr>
          <w:rFonts w:ascii="Arial" w:hAnsi="Arial" w:cs="Arial"/>
          <w:b/>
          <w:bCs/>
          <w:i/>
          <w:iCs/>
          <w:color w:val="000000"/>
          <w:sz w:val="20"/>
          <w:szCs w:val="20"/>
          <w:u w:val="single"/>
          <w:lang w:eastAsia="en-US"/>
        </w:rPr>
        <w:lastRenderedPageBreak/>
        <w:t>La fijación o determinación de la suma asegurada se deja al arbitrio de las partes contratantes, es de carácter netamente convencional.</w:t>
      </w:r>
    </w:p>
    <w:p w14:paraId="3EA1FFC5" w14:textId="77777777" w:rsidR="004402A0" w:rsidRPr="00FB351A" w:rsidRDefault="004402A0">
      <w:pPr>
        <w:numPr>
          <w:ilvl w:val="0"/>
          <w:numId w:val="27"/>
        </w:numPr>
        <w:jc w:val="both"/>
        <w:rPr>
          <w:rFonts w:ascii="Arial" w:hAnsi="Arial" w:cs="Arial"/>
          <w:i/>
          <w:iCs/>
          <w:color w:val="000000"/>
          <w:sz w:val="20"/>
          <w:szCs w:val="20"/>
          <w:lang w:eastAsia="en-US"/>
        </w:rPr>
      </w:pPr>
      <w:r w:rsidRPr="00FB351A">
        <w:rPr>
          <w:rFonts w:ascii="Arial" w:hAnsi="Arial" w:cs="Arial"/>
          <w:i/>
          <w:iCs/>
          <w:color w:val="000000"/>
          <w:sz w:val="20"/>
          <w:szCs w:val="20"/>
          <w:lang w:eastAsia="en-US"/>
        </w:rPr>
        <w:t xml:space="preserve">Los conceptos de sobreseguro e infraseguro no son compatibles con la naturaleza jurídica de esta clase de seguros. </w:t>
      </w:r>
    </w:p>
    <w:p w14:paraId="67DDEB7A" w14:textId="77777777" w:rsidR="004402A0" w:rsidRPr="00FB351A" w:rsidRDefault="004402A0">
      <w:pPr>
        <w:numPr>
          <w:ilvl w:val="0"/>
          <w:numId w:val="27"/>
        </w:numPr>
        <w:jc w:val="both"/>
        <w:rPr>
          <w:rFonts w:ascii="Arial" w:hAnsi="Arial" w:cs="Arial"/>
          <w:i/>
          <w:iCs/>
          <w:color w:val="000000"/>
          <w:sz w:val="20"/>
          <w:szCs w:val="20"/>
          <w:lang w:eastAsia="en-US"/>
        </w:rPr>
      </w:pPr>
      <w:r w:rsidRPr="00FB351A">
        <w:rPr>
          <w:rFonts w:ascii="Arial" w:hAnsi="Arial" w:cs="Arial"/>
          <w:i/>
          <w:iCs/>
          <w:color w:val="000000"/>
          <w:sz w:val="20"/>
          <w:szCs w:val="20"/>
          <w:lang w:eastAsia="en-US"/>
        </w:rPr>
        <w:t xml:space="preserve">La subrogación del asegurador solo tiene cabida por vía de excepción. </w:t>
      </w:r>
    </w:p>
    <w:p w14:paraId="479F8907" w14:textId="77777777" w:rsidR="004402A0" w:rsidRPr="00FB351A" w:rsidRDefault="004402A0" w:rsidP="00803115">
      <w:pPr>
        <w:jc w:val="both"/>
        <w:rPr>
          <w:rFonts w:ascii="Arial" w:hAnsi="Arial" w:cs="Arial"/>
          <w:i/>
          <w:iCs/>
          <w:color w:val="000000"/>
          <w:sz w:val="20"/>
          <w:szCs w:val="20"/>
          <w:lang w:eastAsia="en-US"/>
        </w:rPr>
      </w:pPr>
    </w:p>
    <w:p w14:paraId="4E58A5FD" w14:textId="77777777" w:rsidR="004402A0" w:rsidRPr="00FB351A" w:rsidRDefault="004402A0" w:rsidP="00803115">
      <w:pPr>
        <w:jc w:val="both"/>
        <w:rPr>
          <w:rFonts w:ascii="Arial" w:hAnsi="Arial" w:cs="Arial"/>
          <w:i/>
          <w:iCs/>
          <w:color w:val="000000"/>
          <w:sz w:val="20"/>
          <w:szCs w:val="20"/>
          <w:lang w:eastAsia="en-US"/>
        </w:rPr>
      </w:pPr>
      <w:r w:rsidRPr="00FB351A">
        <w:rPr>
          <w:rFonts w:ascii="Arial" w:hAnsi="Arial" w:cs="Arial"/>
          <w:i/>
          <w:iCs/>
          <w:color w:val="000000"/>
          <w:sz w:val="20"/>
          <w:szCs w:val="20"/>
          <w:lang w:eastAsia="en-US"/>
        </w:rPr>
        <w:t>Es procedente resaltar que, en los seguros reales, el detrimento patrimonial se origina con ocasión del acaecimiento del siniestro o, lo que es lo mismo, con ocasión de la realización del riesgo previsto, por la pérdida relacionada con un bien mueble o inmueble. Por el contrario, en los seguros patrimoniales la realización del riesgo afecta el patrimonio del asegurado considerado como una universalidad, sin que la pérdida sufrida con ocasión del siniestro guarde una relación directa con un bien concreto, mueble o inmueble.” (Subrayado y negrilla fuera de texto).</w:t>
      </w:r>
    </w:p>
    <w:p w14:paraId="39E4A996" w14:textId="77777777" w:rsidR="004402A0" w:rsidRPr="00FB351A" w:rsidRDefault="004402A0" w:rsidP="00803115">
      <w:pPr>
        <w:jc w:val="both"/>
        <w:rPr>
          <w:rFonts w:ascii="Arial" w:hAnsi="Arial" w:cs="Arial"/>
          <w:i/>
          <w:iCs/>
          <w:color w:val="000000"/>
          <w:sz w:val="20"/>
          <w:szCs w:val="20"/>
          <w:lang w:eastAsia="en-US"/>
        </w:rPr>
      </w:pPr>
    </w:p>
    <w:p w14:paraId="144AAEB2" w14:textId="77777777" w:rsidR="004402A0" w:rsidRPr="00FB351A" w:rsidRDefault="004402A0" w:rsidP="00803115">
      <w:pPr>
        <w:jc w:val="both"/>
        <w:rPr>
          <w:rFonts w:ascii="Arial" w:hAnsi="Arial" w:cs="Arial"/>
          <w:i/>
          <w:iCs/>
          <w:color w:val="000000"/>
          <w:sz w:val="20"/>
          <w:szCs w:val="20"/>
          <w:lang w:eastAsia="en-US"/>
        </w:rPr>
      </w:pPr>
      <w:r w:rsidRPr="00FB351A">
        <w:rPr>
          <w:rFonts w:ascii="Arial" w:hAnsi="Arial" w:cs="Arial"/>
          <w:iCs/>
          <w:color w:val="000000"/>
          <w:sz w:val="20"/>
          <w:szCs w:val="20"/>
          <w:lang w:eastAsia="en-US"/>
        </w:rPr>
        <w:t xml:space="preserve">En esa misma línea, la doctora Hilda Zornosa en su análisis sobre el </w:t>
      </w:r>
      <w:r w:rsidRPr="00FB351A">
        <w:rPr>
          <w:rFonts w:ascii="Arial" w:hAnsi="Arial" w:cs="Arial"/>
          <w:i/>
          <w:iCs/>
          <w:color w:val="000000"/>
          <w:sz w:val="20"/>
          <w:szCs w:val="20"/>
          <w:lang w:eastAsia="en-US"/>
        </w:rPr>
        <w:t>“Seguro de Responsabilidad Civil: Su evolución normativa y jurisprudencia en Colombia</w:t>
      </w:r>
      <w:r w:rsidRPr="00FB351A">
        <w:rPr>
          <w:rFonts w:ascii="Arial" w:hAnsi="Arial" w:cs="Arial"/>
          <w:iCs/>
          <w:color w:val="000000"/>
          <w:sz w:val="20"/>
          <w:szCs w:val="20"/>
          <w:lang w:eastAsia="en-US"/>
        </w:rPr>
        <w:t>”</w:t>
      </w:r>
      <w:r w:rsidRPr="00FB351A">
        <w:rPr>
          <w:rFonts w:ascii="Arial" w:hAnsi="Arial" w:cs="Arial"/>
          <w:iCs/>
          <w:color w:val="000000"/>
          <w:sz w:val="20"/>
          <w:szCs w:val="20"/>
          <w:vertAlign w:val="superscript"/>
          <w:lang w:eastAsia="en-US"/>
        </w:rPr>
        <w:footnoteReference w:id="21"/>
      </w:r>
      <w:r w:rsidRPr="00FB351A">
        <w:rPr>
          <w:rFonts w:ascii="Arial" w:hAnsi="Arial" w:cs="Arial"/>
          <w:iCs/>
          <w:color w:val="000000"/>
          <w:sz w:val="20"/>
          <w:szCs w:val="20"/>
          <w:lang w:eastAsia="en-US"/>
        </w:rPr>
        <w:t xml:space="preserve">, afirmó que </w:t>
      </w:r>
      <w:r w:rsidRPr="00FB351A">
        <w:rPr>
          <w:rFonts w:ascii="Arial" w:hAnsi="Arial" w:cs="Arial"/>
          <w:i/>
          <w:iCs/>
          <w:color w:val="000000"/>
          <w:sz w:val="20"/>
          <w:szCs w:val="20"/>
          <w:lang w:eastAsia="en-US"/>
        </w:rPr>
        <w:t>“El tomador asegurado, al contratar la póliza mide la cuantía de la seguridad que desea obtener para el activo patrimonial que se encuentra en riesgo; con base en ella y en su capacidad de pago contrata la protección. Al suscribir la póliza, no está en condiciones de acertar en el cálculo de dichos montos; cualquier valor por el que se contrate en el seguro de responsabilidad civil puede resultar insuficiente; (…)”</w:t>
      </w:r>
    </w:p>
    <w:p w14:paraId="101C95EB" w14:textId="77777777" w:rsidR="004402A0" w:rsidRPr="00FB351A" w:rsidRDefault="004402A0" w:rsidP="00803115">
      <w:pPr>
        <w:jc w:val="both"/>
        <w:rPr>
          <w:rFonts w:ascii="Arial" w:hAnsi="Arial" w:cs="Arial"/>
          <w:iCs/>
          <w:color w:val="000000"/>
          <w:sz w:val="20"/>
          <w:szCs w:val="20"/>
          <w:lang w:eastAsia="en-US"/>
        </w:rPr>
      </w:pPr>
    </w:p>
    <w:p w14:paraId="33B01524"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Es por ello que, para establecer el valor asegurado en los seguros patrimoniales se tiene en consideración aspectos como las actividades que desarrolla el asegurado y el tipo de riesgo que de ellas se desprende, el presupuesto anual de la entidad, la planta de personal que desarrolla la misionalidad de la entidad, el plan anual de adquisiciones no solo al momento de contratar el seguro, las delegaciones en ordenación de gastos, los valores máximos de contratos celebrados y a celebrar, entre muchos otros.</w:t>
      </w:r>
    </w:p>
    <w:p w14:paraId="0527C579" w14:textId="77777777" w:rsidR="004402A0" w:rsidRPr="00FB351A" w:rsidRDefault="004402A0" w:rsidP="00803115">
      <w:pPr>
        <w:jc w:val="both"/>
        <w:rPr>
          <w:rFonts w:ascii="Arial" w:hAnsi="Arial" w:cs="Arial"/>
          <w:iCs/>
          <w:color w:val="000000"/>
          <w:sz w:val="20"/>
          <w:szCs w:val="20"/>
          <w:lang w:eastAsia="en-US"/>
        </w:rPr>
      </w:pPr>
    </w:p>
    <w:p w14:paraId="61CF59B1"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Atendiendo lo anterior, para la delimitación de los valores asegurados de los seguros patrimoniales, en el presente proceso de contratación se buscará no desmejorar las condiciones actualmente contratadas y establecer criterios que puedan llevar a mejorar las condiciones de valor asegurado y/o sus sublímites, lo cual se verá reflejado en las condiciones técnicas y los criterios de ponderación.</w:t>
      </w:r>
    </w:p>
    <w:p w14:paraId="38942052" w14:textId="77777777" w:rsidR="001476E5" w:rsidRPr="00FB351A" w:rsidRDefault="001476E5" w:rsidP="00803115">
      <w:pPr>
        <w:jc w:val="both"/>
        <w:rPr>
          <w:rFonts w:ascii="Arial" w:hAnsi="Arial" w:cs="Arial"/>
          <w:iCs/>
          <w:color w:val="000000"/>
          <w:sz w:val="20"/>
          <w:szCs w:val="20"/>
          <w:lang w:eastAsia="en-US"/>
        </w:rPr>
      </w:pPr>
    </w:p>
    <w:p w14:paraId="1D5A9B9E" w14:textId="578AC096" w:rsidR="004402A0" w:rsidRPr="00FB351A" w:rsidRDefault="004402A0">
      <w:pPr>
        <w:pStyle w:val="Prrafodelista"/>
        <w:numPr>
          <w:ilvl w:val="1"/>
          <w:numId w:val="35"/>
        </w:num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Estudio de precios de mercado</w:t>
      </w:r>
    </w:p>
    <w:p w14:paraId="235448DB" w14:textId="1DAC3A1E" w:rsidR="004402A0" w:rsidRPr="00FB351A" w:rsidRDefault="004402A0" w:rsidP="00803115">
      <w:pPr>
        <w:jc w:val="both"/>
        <w:rPr>
          <w:rFonts w:ascii="Arial" w:hAnsi="Arial" w:cs="Arial"/>
          <w:iCs/>
          <w:color w:val="000000"/>
          <w:sz w:val="20"/>
          <w:szCs w:val="20"/>
          <w:lang w:eastAsia="en-US"/>
        </w:rPr>
      </w:pPr>
      <w:bookmarkStart w:id="32" w:name="_Toc525220534"/>
      <w:bookmarkStart w:id="33" w:name="_Toc525221540"/>
      <w:bookmarkStart w:id="34" w:name="_Toc14162612"/>
    </w:p>
    <w:p w14:paraId="737BBE91" w14:textId="59554AEC" w:rsidR="004402A0" w:rsidRPr="00FB351A" w:rsidRDefault="00FA7CE2">
      <w:pPr>
        <w:pStyle w:val="Prrafodelista"/>
        <w:numPr>
          <w:ilvl w:val="2"/>
          <w:numId w:val="35"/>
        </w:num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 xml:space="preserve">Sondeo de Mercado </w:t>
      </w:r>
      <w:r w:rsidR="004402A0" w:rsidRPr="00FB351A">
        <w:rPr>
          <w:rFonts w:ascii="Arial" w:hAnsi="Arial" w:cs="Arial"/>
          <w:b/>
          <w:bCs/>
          <w:iCs/>
          <w:color w:val="000000"/>
          <w:sz w:val="20"/>
          <w:szCs w:val="20"/>
          <w:lang w:eastAsia="en-US"/>
        </w:rPr>
        <w:t>(Revisión de precios por solicitud de cotizaciones)</w:t>
      </w:r>
    </w:p>
    <w:p w14:paraId="6D4AA5AD" w14:textId="77777777" w:rsidR="004402A0" w:rsidRPr="00FB351A" w:rsidRDefault="004402A0" w:rsidP="00803115">
      <w:pPr>
        <w:jc w:val="both"/>
        <w:rPr>
          <w:rFonts w:ascii="Arial" w:hAnsi="Arial" w:cs="Arial"/>
          <w:iCs/>
          <w:color w:val="000000"/>
          <w:sz w:val="20"/>
          <w:szCs w:val="20"/>
          <w:lang w:eastAsia="en-US"/>
        </w:rPr>
      </w:pPr>
    </w:p>
    <w:p w14:paraId="26D5D28A" w14:textId="7C0CB331" w:rsidR="00A5408E" w:rsidRPr="00FB351A" w:rsidRDefault="00A5408E" w:rsidP="00803115">
      <w:pPr>
        <w:jc w:val="both"/>
        <w:rPr>
          <w:rFonts w:ascii="Arial" w:hAnsi="Arial" w:cs="Arial"/>
          <w:iCs/>
          <w:sz w:val="20"/>
          <w:szCs w:val="20"/>
          <w:lang w:eastAsia="en-US"/>
        </w:rPr>
      </w:pPr>
      <w:r w:rsidRPr="00FB351A">
        <w:rPr>
          <w:rFonts w:ascii="Arial" w:hAnsi="Arial" w:cs="Arial"/>
          <w:iCs/>
          <w:sz w:val="20"/>
          <w:szCs w:val="20"/>
          <w:lang w:eastAsia="en-US"/>
        </w:rPr>
        <w:t xml:space="preserve">La </w:t>
      </w:r>
      <w:r w:rsidRPr="00FB351A">
        <w:rPr>
          <w:rFonts w:ascii="Arial" w:hAnsi="Arial" w:cs="Arial"/>
          <w:sz w:val="20"/>
          <w:szCs w:val="20"/>
        </w:rPr>
        <w:t>Agencia de Desarrollo Rural - ADR</w:t>
      </w:r>
      <w:r w:rsidRPr="00FB351A">
        <w:rPr>
          <w:rFonts w:ascii="Arial" w:hAnsi="Arial" w:cs="Arial"/>
          <w:iCs/>
          <w:sz w:val="20"/>
          <w:szCs w:val="20"/>
          <w:lang w:eastAsia="en-US"/>
        </w:rPr>
        <w:t>, a través de su intermediario de seguros, solicitó cotización a</w:t>
      </w:r>
      <w:r w:rsidR="00DD4098" w:rsidRPr="00FB351A">
        <w:rPr>
          <w:rFonts w:ascii="Arial" w:hAnsi="Arial" w:cs="Arial"/>
          <w:iCs/>
          <w:sz w:val="20"/>
          <w:szCs w:val="20"/>
          <w:lang w:eastAsia="en-US"/>
        </w:rPr>
        <w:t xml:space="preserve"> los proveedores de seguros (aseguradoras legalmente autorizadas para operar en el país)</w:t>
      </w:r>
      <w:r w:rsidRPr="00FB351A">
        <w:rPr>
          <w:rFonts w:ascii="Arial" w:hAnsi="Arial" w:cs="Arial"/>
          <w:iCs/>
          <w:sz w:val="20"/>
          <w:szCs w:val="20"/>
          <w:lang w:eastAsia="en-US"/>
        </w:rPr>
        <w:t xml:space="preserve"> través de correo electrónico, de las pólizas objeto de contratación a las aseguradoras que ofrecen las pólizas objeto de contratación.</w:t>
      </w:r>
    </w:p>
    <w:p w14:paraId="2FCA69DA" w14:textId="77777777" w:rsidR="00316907" w:rsidRPr="00FB351A" w:rsidRDefault="00316907" w:rsidP="00803115">
      <w:pPr>
        <w:jc w:val="both"/>
        <w:rPr>
          <w:rFonts w:ascii="Arial" w:hAnsi="Arial" w:cs="Arial"/>
          <w:iCs/>
          <w:sz w:val="20"/>
          <w:szCs w:val="20"/>
          <w:lang w:eastAsia="en-US"/>
        </w:rPr>
      </w:pPr>
    </w:p>
    <w:p w14:paraId="0853F21E" w14:textId="10FBBE24" w:rsidR="00316907" w:rsidRPr="00FB351A" w:rsidRDefault="00316907" w:rsidP="00803115">
      <w:pPr>
        <w:jc w:val="both"/>
        <w:rPr>
          <w:rFonts w:ascii="Arial" w:hAnsi="Arial" w:cs="Arial"/>
          <w:iCs/>
          <w:sz w:val="20"/>
          <w:szCs w:val="20"/>
          <w:lang w:eastAsia="en-US"/>
        </w:rPr>
      </w:pPr>
      <w:r w:rsidRPr="00FB351A">
        <w:rPr>
          <w:rFonts w:ascii="Arial" w:hAnsi="Arial" w:cs="Arial"/>
          <w:iCs/>
          <w:noProof/>
          <w:sz w:val="20"/>
          <w:szCs w:val="20"/>
          <w:lang w:eastAsia="en-US"/>
        </w:rPr>
        <w:lastRenderedPageBreak/>
        <w:drawing>
          <wp:inline distT="0" distB="0" distL="0" distR="0" wp14:anchorId="24BA1796" wp14:editId="1178382B">
            <wp:extent cx="6120765" cy="2442210"/>
            <wp:effectExtent l="0" t="0" r="0" b="0"/>
            <wp:docPr id="19111288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28838" name=""/>
                    <pic:cNvPicPr/>
                  </pic:nvPicPr>
                  <pic:blipFill>
                    <a:blip r:embed="rId103"/>
                    <a:stretch>
                      <a:fillRect/>
                    </a:stretch>
                  </pic:blipFill>
                  <pic:spPr>
                    <a:xfrm>
                      <a:off x="0" y="0"/>
                      <a:ext cx="6120765" cy="2442210"/>
                    </a:xfrm>
                    <a:prstGeom prst="rect">
                      <a:avLst/>
                    </a:prstGeom>
                  </pic:spPr>
                </pic:pic>
              </a:graphicData>
            </a:graphic>
          </wp:inline>
        </w:drawing>
      </w:r>
    </w:p>
    <w:p w14:paraId="056F3279" w14:textId="77777777" w:rsidR="004402A0" w:rsidRPr="00FB351A" w:rsidRDefault="004402A0" w:rsidP="00803115">
      <w:pPr>
        <w:jc w:val="both"/>
        <w:rPr>
          <w:rFonts w:ascii="Arial" w:hAnsi="Arial" w:cs="Arial"/>
          <w:sz w:val="20"/>
          <w:szCs w:val="20"/>
        </w:rPr>
      </w:pPr>
    </w:p>
    <w:p w14:paraId="256062E0" w14:textId="0951B4E9" w:rsidR="00A5408E" w:rsidRPr="00FB351A" w:rsidRDefault="00A5408E"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La firma corredora manifestó que de las aseguradoras consultadas ningún envío cotización a lo solicitado, sino que algunas respondieron que, por políticas de suscripción, no presentan términos para estudios de mercado, pero que estarán atentas al proceso una vez sea publicado en el </w:t>
      </w:r>
      <w:proofErr w:type="spellStart"/>
      <w:r w:rsidRPr="00FB351A">
        <w:rPr>
          <w:rFonts w:ascii="Arial" w:hAnsi="Arial" w:cs="Arial"/>
          <w:iCs/>
          <w:color w:val="000000"/>
          <w:sz w:val="20"/>
          <w:szCs w:val="20"/>
          <w:lang w:eastAsia="en-US"/>
        </w:rPr>
        <w:t>SECOP</w:t>
      </w:r>
      <w:proofErr w:type="spellEnd"/>
      <w:r w:rsidR="009B1488" w:rsidRPr="00FB351A">
        <w:rPr>
          <w:rFonts w:ascii="Arial" w:hAnsi="Arial" w:cs="Arial"/>
          <w:iCs/>
          <w:color w:val="000000"/>
          <w:sz w:val="20"/>
          <w:szCs w:val="20"/>
          <w:lang w:eastAsia="en-US"/>
        </w:rPr>
        <w:t>, como se muestra a continuación:</w:t>
      </w:r>
    </w:p>
    <w:p w14:paraId="4ABFEE2D" w14:textId="77777777" w:rsidR="00DD4098" w:rsidRPr="00FB351A" w:rsidRDefault="00DD4098" w:rsidP="00803115">
      <w:pPr>
        <w:jc w:val="both"/>
        <w:rPr>
          <w:rFonts w:ascii="Arial" w:hAnsi="Arial" w:cs="Arial"/>
          <w:noProof/>
          <w:color w:val="000000"/>
          <w:sz w:val="20"/>
          <w:szCs w:val="20"/>
          <w:lang w:eastAsia="en-US"/>
        </w:rPr>
      </w:pPr>
    </w:p>
    <w:p w14:paraId="7BB69D05" w14:textId="0678A84A" w:rsidR="00891DB3" w:rsidRPr="00FB351A" w:rsidRDefault="00891DB3" w:rsidP="00891DB3">
      <w:pPr>
        <w:pStyle w:val="Prrafodelista"/>
        <w:numPr>
          <w:ilvl w:val="0"/>
          <w:numId w:val="4"/>
        </w:numPr>
        <w:jc w:val="both"/>
        <w:rPr>
          <w:rFonts w:ascii="Arial" w:hAnsi="Arial" w:cs="Arial"/>
          <w:b/>
          <w:bCs/>
          <w:noProof/>
          <w:color w:val="000000"/>
          <w:sz w:val="20"/>
          <w:szCs w:val="20"/>
          <w:lang w:eastAsia="en-US"/>
        </w:rPr>
      </w:pPr>
      <w:r w:rsidRPr="00FB351A">
        <w:rPr>
          <w:rFonts w:ascii="Arial" w:hAnsi="Arial" w:cs="Arial"/>
          <w:b/>
          <w:bCs/>
          <w:noProof/>
          <w:color w:val="000000"/>
          <w:sz w:val="20"/>
          <w:szCs w:val="20"/>
          <w:lang w:eastAsia="en-US"/>
        </w:rPr>
        <w:t>Respuesta ASEGURADORA SOLIDARIA DE COLOMBIA ENTIDAD COOPERATIVA</w:t>
      </w:r>
    </w:p>
    <w:p w14:paraId="7BA72348" w14:textId="77777777" w:rsidR="00891DB3" w:rsidRPr="00FB351A" w:rsidRDefault="00891DB3" w:rsidP="00891DB3">
      <w:pPr>
        <w:jc w:val="both"/>
        <w:rPr>
          <w:rFonts w:ascii="Arial" w:hAnsi="Arial" w:cs="Arial"/>
          <w:noProof/>
          <w:color w:val="000000"/>
          <w:sz w:val="20"/>
          <w:szCs w:val="20"/>
          <w:lang w:eastAsia="en-US"/>
        </w:rPr>
      </w:pPr>
    </w:p>
    <w:p w14:paraId="6A85A1AC" w14:textId="2A731F84" w:rsidR="00891DB3" w:rsidRPr="00FB351A" w:rsidRDefault="00891DB3" w:rsidP="00891DB3">
      <w:pPr>
        <w:jc w:val="both"/>
        <w:rPr>
          <w:rFonts w:ascii="Arial" w:hAnsi="Arial" w:cs="Arial"/>
          <w:noProof/>
          <w:color w:val="000000"/>
          <w:sz w:val="20"/>
          <w:szCs w:val="20"/>
          <w:lang w:eastAsia="en-US"/>
        </w:rPr>
      </w:pPr>
      <w:r w:rsidRPr="00FB351A">
        <w:rPr>
          <w:rFonts w:ascii="Arial" w:hAnsi="Arial" w:cs="Arial"/>
          <w:noProof/>
          <w:color w:val="000000"/>
          <w:sz w:val="20"/>
          <w:szCs w:val="20"/>
          <w:lang w:eastAsia="en-US"/>
        </w:rPr>
        <w:lastRenderedPageBreak/>
        <w:drawing>
          <wp:inline distT="0" distB="0" distL="0" distR="0" wp14:anchorId="1D8CDDFA" wp14:editId="01711075">
            <wp:extent cx="6120765" cy="4281805"/>
            <wp:effectExtent l="0" t="0" r="0" b="4445"/>
            <wp:docPr id="1937390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390852" name=""/>
                    <pic:cNvPicPr/>
                  </pic:nvPicPr>
                  <pic:blipFill>
                    <a:blip r:embed="rId104"/>
                    <a:stretch>
                      <a:fillRect/>
                    </a:stretch>
                  </pic:blipFill>
                  <pic:spPr>
                    <a:xfrm>
                      <a:off x="0" y="0"/>
                      <a:ext cx="6120765" cy="4281805"/>
                    </a:xfrm>
                    <a:prstGeom prst="rect">
                      <a:avLst/>
                    </a:prstGeom>
                  </pic:spPr>
                </pic:pic>
              </a:graphicData>
            </a:graphic>
          </wp:inline>
        </w:drawing>
      </w:r>
    </w:p>
    <w:p w14:paraId="0C430A97" w14:textId="77777777" w:rsidR="00891DB3" w:rsidRPr="00FB351A" w:rsidRDefault="00891DB3" w:rsidP="00891DB3">
      <w:pPr>
        <w:jc w:val="both"/>
        <w:rPr>
          <w:rFonts w:ascii="Arial" w:hAnsi="Arial" w:cs="Arial"/>
          <w:noProof/>
          <w:color w:val="000000"/>
          <w:sz w:val="20"/>
          <w:szCs w:val="20"/>
          <w:lang w:eastAsia="en-US"/>
        </w:rPr>
      </w:pPr>
    </w:p>
    <w:p w14:paraId="4AC7E869" w14:textId="77777777" w:rsidR="00891DB3" w:rsidRPr="00FB351A" w:rsidRDefault="00891DB3" w:rsidP="00891DB3">
      <w:pPr>
        <w:jc w:val="both"/>
        <w:rPr>
          <w:rFonts w:ascii="Arial" w:hAnsi="Arial" w:cs="Arial"/>
          <w:noProof/>
          <w:color w:val="000000"/>
          <w:sz w:val="20"/>
          <w:szCs w:val="20"/>
          <w:lang w:eastAsia="en-US"/>
        </w:rPr>
      </w:pPr>
    </w:p>
    <w:p w14:paraId="088614EF" w14:textId="2E3187DE" w:rsidR="00891DB3" w:rsidRPr="00FB351A" w:rsidRDefault="00891DB3" w:rsidP="00891DB3">
      <w:pPr>
        <w:pStyle w:val="Prrafodelista"/>
        <w:numPr>
          <w:ilvl w:val="0"/>
          <w:numId w:val="4"/>
        </w:numPr>
        <w:jc w:val="both"/>
        <w:rPr>
          <w:rFonts w:ascii="Arial" w:hAnsi="Arial" w:cs="Arial"/>
          <w:b/>
          <w:bCs/>
          <w:noProof/>
          <w:color w:val="000000"/>
          <w:sz w:val="20"/>
          <w:szCs w:val="20"/>
          <w:lang w:eastAsia="en-US"/>
        </w:rPr>
      </w:pPr>
      <w:r w:rsidRPr="00FB351A">
        <w:rPr>
          <w:rFonts w:ascii="Arial" w:hAnsi="Arial" w:cs="Arial"/>
          <w:b/>
          <w:bCs/>
          <w:noProof/>
          <w:color w:val="000000"/>
          <w:sz w:val="20"/>
          <w:szCs w:val="20"/>
          <w:lang w:eastAsia="en-US"/>
        </w:rPr>
        <w:t xml:space="preserve">Respuesta </w:t>
      </w:r>
      <w:r w:rsidR="002A7B4D" w:rsidRPr="00FB351A">
        <w:rPr>
          <w:rFonts w:ascii="Arial" w:hAnsi="Arial" w:cs="Arial"/>
          <w:b/>
          <w:bCs/>
          <w:noProof/>
          <w:color w:val="000000"/>
          <w:sz w:val="20"/>
          <w:szCs w:val="20"/>
          <w:lang w:eastAsia="en-US"/>
        </w:rPr>
        <w:t>LA PREVISORA SA COMPAÑÍA DE SEGUROS</w:t>
      </w:r>
    </w:p>
    <w:p w14:paraId="1B1A90C1" w14:textId="77777777" w:rsidR="00891DB3" w:rsidRPr="00FB351A" w:rsidRDefault="00891DB3" w:rsidP="00891DB3">
      <w:pPr>
        <w:jc w:val="both"/>
        <w:rPr>
          <w:rFonts w:ascii="Arial" w:hAnsi="Arial" w:cs="Arial"/>
          <w:noProof/>
          <w:color w:val="000000"/>
          <w:sz w:val="20"/>
          <w:szCs w:val="20"/>
          <w:lang w:eastAsia="en-US"/>
        </w:rPr>
      </w:pPr>
    </w:p>
    <w:p w14:paraId="480C92A5" w14:textId="70D4280E" w:rsidR="00891DB3" w:rsidRPr="00FB351A" w:rsidRDefault="00D27711" w:rsidP="00891DB3">
      <w:pPr>
        <w:jc w:val="both"/>
        <w:rPr>
          <w:rFonts w:ascii="Arial" w:hAnsi="Arial" w:cs="Arial"/>
          <w:noProof/>
          <w:color w:val="000000"/>
          <w:sz w:val="20"/>
          <w:szCs w:val="20"/>
          <w:lang w:eastAsia="en-US"/>
        </w:rPr>
      </w:pPr>
      <w:r w:rsidRPr="00FB351A">
        <w:rPr>
          <w:rFonts w:ascii="Arial" w:hAnsi="Arial" w:cs="Arial"/>
          <w:noProof/>
          <w:color w:val="000000"/>
          <w:sz w:val="20"/>
          <w:szCs w:val="20"/>
          <w:lang w:eastAsia="en-US"/>
        </w:rPr>
        <w:lastRenderedPageBreak/>
        <w:drawing>
          <wp:inline distT="0" distB="0" distL="0" distR="0" wp14:anchorId="16119800" wp14:editId="5AE089CF">
            <wp:extent cx="6120765" cy="4323715"/>
            <wp:effectExtent l="0" t="0" r="0" b="635"/>
            <wp:docPr id="1019171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71712" name=""/>
                    <pic:cNvPicPr/>
                  </pic:nvPicPr>
                  <pic:blipFill>
                    <a:blip r:embed="rId105"/>
                    <a:stretch>
                      <a:fillRect/>
                    </a:stretch>
                  </pic:blipFill>
                  <pic:spPr>
                    <a:xfrm>
                      <a:off x="0" y="0"/>
                      <a:ext cx="6120765" cy="4323715"/>
                    </a:xfrm>
                    <a:prstGeom prst="rect">
                      <a:avLst/>
                    </a:prstGeom>
                  </pic:spPr>
                </pic:pic>
              </a:graphicData>
            </a:graphic>
          </wp:inline>
        </w:drawing>
      </w:r>
    </w:p>
    <w:p w14:paraId="55E0F595" w14:textId="77777777" w:rsidR="00891DB3" w:rsidRPr="00FB351A" w:rsidRDefault="00891DB3" w:rsidP="00891DB3">
      <w:pPr>
        <w:jc w:val="both"/>
        <w:rPr>
          <w:rFonts w:ascii="Arial" w:hAnsi="Arial" w:cs="Arial"/>
          <w:noProof/>
          <w:color w:val="000000"/>
          <w:sz w:val="20"/>
          <w:szCs w:val="20"/>
          <w:lang w:eastAsia="en-US"/>
        </w:rPr>
      </w:pPr>
    </w:p>
    <w:p w14:paraId="63AC1540" w14:textId="0E436680" w:rsidR="004402A0" w:rsidRPr="00FB351A" w:rsidRDefault="004402A0" w:rsidP="00803115">
      <w:pPr>
        <w:jc w:val="both"/>
        <w:rPr>
          <w:rFonts w:ascii="Arial" w:hAnsi="Arial" w:cs="Arial"/>
          <w:iCs/>
          <w:color w:val="000000"/>
          <w:sz w:val="20"/>
          <w:szCs w:val="20"/>
          <w:lang w:val="es-ES_tradnl" w:eastAsia="en-US"/>
        </w:rPr>
      </w:pPr>
      <w:r w:rsidRPr="00FB351A">
        <w:rPr>
          <w:rFonts w:ascii="Arial" w:hAnsi="Arial" w:cs="Arial"/>
          <w:iCs/>
          <w:color w:val="000000"/>
          <w:sz w:val="20"/>
          <w:szCs w:val="20"/>
          <w:lang w:val="es-ES_tradnl" w:eastAsia="en-US"/>
        </w:rPr>
        <w:t>Incluso, muchas aseguradoras consultadas, no ofrecieron respuesta a la solicitud de términos, condiciones y cotización.</w:t>
      </w:r>
    </w:p>
    <w:p w14:paraId="5BB826FE" w14:textId="77777777" w:rsidR="004402A0" w:rsidRPr="00FB351A" w:rsidRDefault="004402A0" w:rsidP="00803115">
      <w:pPr>
        <w:jc w:val="both"/>
        <w:rPr>
          <w:rFonts w:ascii="Arial" w:hAnsi="Arial" w:cs="Arial"/>
          <w:iCs/>
          <w:color w:val="000000"/>
          <w:sz w:val="20"/>
          <w:szCs w:val="20"/>
          <w:lang w:val="es-ES_tradnl" w:eastAsia="en-US"/>
        </w:rPr>
      </w:pPr>
    </w:p>
    <w:p w14:paraId="42BCC9F2" w14:textId="77777777" w:rsidR="004402A0" w:rsidRPr="00FB351A" w:rsidRDefault="004402A0" w:rsidP="00803115">
      <w:pPr>
        <w:jc w:val="both"/>
        <w:rPr>
          <w:rFonts w:ascii="Arial" w:hAnsi="Arial" w:cs="Arial"/>
          <w:iCs/>
          <w:color w:val="000000"/>
          <w:sz w:val="20"/>
          <w:szCs w:val="20"/>
          <w:lang w:val="es-ES_tradnl" w:eastAsia="en-US"/>
        </w:rPr>
      </w:pPr>
      <w:r w:rsidRPr="00FB351A">
        <w:rPr>
          <w:rFonts w:ascii="Arial" w:hAnsi="Arial" w:cs="Arial"/>
          <w:iCs/>
          <w:color w:val="000000"/>
          <w:sz w:val="20"/>
          <w:szCs w:val="20"/>
          <w:lang w:val="es-ES_tradnl" w:eastAsia="en-US"/>
        </w:rPr>
        <w:t>Las compañías de seguros no acostumbran a presentar cotización ni condiciones técnicas para los Estudios de Mercado; y se ha observado en procesos similares que, cuando se recibe la información indicativa de costos y condiciones, ellas no corresponden con los valores y términos reales que se ofrecen posteriormente dentro de los procesos de contratación estatal de seguros.</w:t>
      </w:r>
    </w:p>
    <w:p w14:paraId="5F9C236D" w14:textId="77777777" w:rsidR="004402A0" w:rsidRPr="00FB351A" w:rsidRDefault="004402A0" w:rsidP="00803115">
      <w:pPr>
        <w:jc w:val="both"/>
        <w:rPr>
          <w:rFonts w:ascii="Arial" w:hAnsi="Arial" w:cs="Arial"/>
          <w:iCs/>
          <w:color w:val="000000"/>
          <w:sz w:val="20"/>
          <w:szCs w:val="20"/>
          <w:lang w:eastAsia="en-US"/>
        </w:rPr>
      </w:pPr>
      <w:bookmarkStart w:id="35" w:name="_Hlk159493894"/>
    </w:p>
    <w:p w14:paraId="0407F6A0"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Para la determinación de las primas proyectadas de la póliza objeto de contratación no es factible basar el Estudio de precios de Mercado en cotizaciones del sector, toda vez que las aseguradoras, no acostumbran a presentar términos de cotización, por políticas propias de cada compañía. </w:t>
      </w:r>
    </w:p>
    <w:p w14:paraId="408D0C6D" w14:textId="77777777" w:rsidR="004402A0" w:rsidRPr="00FB351A" w:rsidRDefault="004402A0" w:rsidP="00803115">
      <w:pPr>
        <w:jc w:val="both"/>
        <w:rPr>
          <w:rFonts w:ascii="Arial" w:hAnsi="Arial" w:cs="Arial"/>
          <w:iCs/>
          <w:color w:val="000000"/>
          <w:sz w:val="20"/>
          <w:szCs w:val="20"/>
          <w:lang w:eastAsia="en-US"/>
        </w:rPr>
      </w:pPr>
    </w:p>
    <w:p w14:paraId="7E228331" w14:textId="09271D8B"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Lo anterior se entiende en la medida en que las aseguradoras, previo a la suscripción de riesgos deben conocer detalles de condiciones técnicas, </w:t>
      </w:r>
      <w:r w:rsidR="00E214FD" w:rsidRPr="00E214FD">
        <w:rPr>
          <w:rFonts w:ascii="Arial" w:hAnsi="Arial" w:cs="Arial"/>
          <w:iCs/>
          <w:color w:val="000000"/>
          <w:sz w:val="20"/>
          <w:szCs w:val="20"/>
          <w:lang w:eastAsia="en-US"/>
        </w:rPr>
        <w:t>ubicación de los predios, estado de la infraestructura</w:t>
      </w:r>
      <w:r w:rsidRPr="00FB351A">
        <w:rPr>
          <w:rFonts w:ascii="Arial" w:hAnsi="Arial" w:cs="Arial"/>
          <w:iCs/>
          <w:color w:val="000000"/>
          <w:sz w:val="20"/>
          <w:szCs w:val="20"/>
          <w:lang w:eastAsia="en-US"/>
        </w:rPr>
        <w:t xml:space="preserve">, coberturas, características de los bienes a asegurar, antecedentes de siniestralidad específica, entre otros factores como, por ejemplo, el mercado internacional y su constante volatilidad en las capacidades locales y de reaseguro. </w:t>
      </w:r>
    </w:p>
    <w:p w14:paraId="4EC6D9A3" w14:textId="77777777" w:rsidR="004402A0" w:rsidRPr="00FB351A" w:rsidRDefault="004402A0" w:rsidP="00803115">
      <w:pPr>
        <w:jc w:val="both"/>
        <w:rPr>
          <w:rFonts w:ascii="Arial" w:hAnsi="Arial" w:cs="Arial"/>
          <w:iCs/>
          <w:color w:val="000000"/>
          <w:sz w:val="20"/>
          <w:szCs w:val="20"/>
          <w:lang w:eastAsia="en-US"/>
        </w:rPr>
      </w:pPr>
    </w:p>
    <w:p w14:paraId="3D982F16"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lastRenderedPageBreak/>
        <w:t>De acuerdo con lo anterior y teniendo en cuenta que no se obtuvieron términos de cotización, se realizó un Estudio de Mercado (documento anexo al pliego de condiciones) para lo cual se llevó a cabo el siguiente procedimiento: </w:t>
      </w:r>
    </w:p>
    <w:p w14:paraId="125335EA" w14:textId="77777777" w:rsidR="004402A0" w:rsidRPr="00FB351A" w:rsidRDefault="004402A0" w:rsidP="00803115">
      <w:pPr>
        <w:jc w:val="both"/>
        <w:rPr>
          <w:rFonts w:ascii="Arial" w:hAnsi="Arial" w:cs="Arial"/>
          <w:iCs/>
          <w:color w:val="000000"/>
          <w:sz w:val="20"/>
          <w:szCs w:val="20"/>
          <w:lang w:eastAsia="en-US"/>
        </w:rPr>
      </w:pPr>
    </w:p>
    <w:p w14:paraId="1D47FA19" w14:textId="0C37849E" w:rsidR="004402A0" w:rsidRPr="00FB351A" w:rsidRDefault="004402A0">
      <w:pPr>
        <w:numPr>
          <w:ilvl w:val="2"/>
          <w:numId w:val="35"/>
        </w:num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Consulta de base de datos especializada.</w:t>
      </w:r>
      <w:r w:rsidR="0078010F" w:rsidRPr="00FB351A">
        <w:rPr>
          <w:rFonts w:ascii="Arial" w:hAnsi="Arial" w:cs="Arial"/>
          <w:b/>
          <w:bCs/>
          <w:iCs/>
          <w:color w:val="000000"/>
          <w:sz w:val="20"/>
          <w:szCs w:val="20"/>
          <w:lang w:eastAsia="en-US"/>
        </w:rPr>
        <w:t xml:space="preserve"> (Base de datos abierta </w:t>
      </w:r>
      <w:proofErr w:type="spellStart"/>
      <w:r w:rsidR="0078010F" w:rsidRPr="00FB351A">
        <w:rPr>
          <w:rFonts w:ascii="Arial" w:hAnsi="Arial" w:cs="Arial"/>
          <w:b/>
          <w:bCs/>
          <w:iCs/>
          <w:color w:val="000000"/>
          <w:sz w:val="20"/>
          <w:szCs w:val="20"/>
          <w:lang w:eastAsia="en-US"/>
        </w:rPr>
        <w:t>Secop</w:t>
      </w:r>
      <w:proofErr w:type="spellEnd"/>
      <w:r w:rsidR="00A41F65" w:rsidRPr="00FB351A">
        <w:rPr>
          <w:rFonts w:ascii="Arial" w:hAnsi="Arial" w:cs="Arial"/>
          <w:b/>
          <w:bCs/>
          <w:iCs/>
          <w:color w:val="000000"/>
          <w:sz w:val="20"/>
          <w:szCs w:val="20"/>
          <w:lang w:eastAsia="en-US"/>
        </w:rPr>
        <w:t xml:space="preserve"> II</w:t>
      </w:r>
      <w:r w:rsidR="0078010F" w:rsidRPr="00FB351A">
        <w:rPr>
          <w:rFonts w:ascii="Arial" w:hAnsi="Arial" w:cs="Arial"/>
          <w:b/>
          <w:bCs/>
          <w:iCs/>
          <w:color w:val="000000"/>
          <w:sz w:val="20"/>
          <w:szCs w:val="20"/>
          <w:lang w:eastAsia="en-US"/>
        </w:rPr>
        <w:t>)</w:t>
      </w:r>
    </w:p>
    <w:p w14:paraId="269512B0" w14:textId="77777777" w:rsidR="004402A0" w:rsidRPr="00FB351A" w:rsidRDefault="004402A0" w:rsidP="00803115">
      <w:pPr>
        <w:jc w:val="both"/>
        <w:rPr>
          <w:rFonts w:ascii="Arial" w:hAnsi="Arial" w:cs="Arial"/>
          <w:iCs/>
          <w:color w:val="000000"/>
          <w:sz w:val="20"/>
          <w:szCs w:val="20"/>
          <w:lang w:eastAsia="en-US"/>
        </w:rPr>
      </w:pPr>
    </w:p>
    <w:p w14:paraId="3FFAAFD9" w14:textId="6393C5ED" w:rsidR="004402A0" w:rsidRPr="00FB351A" w:rsidRDefault="004402A0" w:rsidP="00803115">
      <w:pPr>
        <w:jc w:val="both"/>
        <w:rPr>
          <w:rFonts w:ascii="Arial" w:hAnsi="Arial" w:cs="Arial"/>
          <w:iCs/>
          <w:sz w:val="20"/>
          <w:szCs w:val="20"/>
          <w:lang w:eastAsia="en-US"/>
        </w:rPr>
      </w:pPr>
      <w:r w:rsidRPr="00FB351A">
        <w:rPr>
          <w:rFonts w:ascii="Arial" w:hAnsi="Arial" w:cs="Arial"/>
          <w:iCs/>
          <w:sz w:val="20"/>
          <w:szCs w:val="20"/>
          <w:lang w:eastAsia="en-US"/>
        </w:rPr>
        <w:t xml:space="preserve">Para estimar el costo de las pólizas de seguros, </w:t>
      </w:r>
      <w:r w:rsidR="00BD0673" w:rsidRPr="00FB351A">
        <w:rPr>
          <w:rFonts w:ascii="Arial" w:hAnsi="Arial" w:cs="Arial"/>
          <w:iCs/>
          <w:sz w:val="20"/>
          <w:szCs w:val="20"/>
          <w:lang w:eastAsia="en-US"/>
        </w:rPr>
        <w:t xml:space="preserve">el </w:t>
      </w:r>
      <w:r w:rsidR="00BD0673" w:rsidRPr="00FB351A">
        <w:rPr>
          <w:rFonts w:ascii="Arial" w:hAnsi="Arial" w:cs="Arial"/>
          <w:bCs/>
          <w:iCs/>
          <w:sz w:val="20"/>
          <w:szCs w:val="20"/>
          <w:lang w:eastAsia="en-US"/>
        </w:rPr>
        <w:t>intermediario de seguros de la entidad</w:t>
      </w:r>
      <w:r w:rsidRPr="00FB351A">
        <w:rPr>
          <w:rFonts w:ascii="Arial" w:hAnsi="Arial" w:cs="Arial"/>
          <w:iCs/>
          <w:sz w:val="20"/>
          <w:szCs w:val="20"/>
          <w:lang w:eastAsia="en-US"/>
        </w:rPr>
        <w:t>, tomó las tasas que aplican a los seguros hoy día vigentes en la</w:t>
      </w:r>
      <w:r w:rsidR="0053049A" w:rsidRPr="00FB351A">
        <w:rPr>
          <w:rFonts w:ascii="Arial" w:hAnsi="Arial" w:cs="Arial"/>
          <w:iCs/>
          <w:sz w:val="20"/>
          <w:szCs w:val="20"/>
          <w:lang w:eastAsia="en-US"/>
        </w:rPr>
        <w:t xml:space="preserve"> </w:t>
      </w:r>
      <w:r w:rsidR="0053049A" w:rsidRPr="00FB351A">
        <w:rPr>
          <w:rFonts w:ascii="Arial" w:hAnsi="Arial" w:cs="Arial"/>
          <w:sz w:val="20"/>
          <w:szCs w:val="20"/>
        </w:rPr>
        <w:t>Agencia de Desarrollo Rural - ADR</w:t>
      </w:r>
      <w:r w:rsidRPr="00FB351A">
        <w:rPr>
          <w:rFonts w:ascii="Arial" w:hAnsi="Arial" w:cs="Arial"/>
          <w:iCs/>
          <w:sz w:val="20"/>
          <w:szCs w:val="20"/>
          <w:lang w:eastAsia="en-US"/>
        </w:rPr>
        <w:t xml:space="preserve">, y las tasas de varias entidades relacionadas en el Estudio de Mercado en mención, que por sus condiciones de valores asegurados y características técnicas de aseguramiento son, en alguna de estas características, similares a las que se pretenden contratar por la </w:t>
      </w:r>
      <w:r w:rsidR="0053049A" w:rsidRPr="00FB351A">
        <w:rPr>
          <w:rFonts w:ascii="Arial" w:hAnsi="Arial" w:cs="Arial"/>
          <w:sz w:val="20"/>
          <w:szCs w:val="20"/>
        </w:rPr>
        <w:t>Agencia de Desarrollo Rural - ADR</w:t>
      </w:r>
      <w:r w:rsidRPr="00FB351A">
        <w:rPr>
          <w:rFonts w:ascii="Arial" w:hAnsi="Arial" w:cs="Arial"/>
          <w:iCs/>
          <w:sz w:val="20"/>
          <w:szCs w:val="20"/>
          <w:lang w:eastAsia="en-US"/>
        </w:rPr>
        <w:t>, pero precisando que no se tienen un estándar para esta determinación porque los seguros no se enmarcan con las características de condiciones uniformes.</w:t>
      </w:r>
    </w:p>
    <w:p w14:paraId="0F38DD5E" w14:textId="77777777" w:rsidR="004402A0" w:rsidRPr="00FB351A" w:rsidRDefault="004402A0" w:rsidP="00803115">
      <w:pPr>
        <w:jc w:val="both"/>
        <w:rPr>
          <w:rFonts w:ascii="Arial" w:hAnsi="Arial" w:cs="Arial"/>
          <w:iCs/>
          <w:color w:val="000000"/>
          <w:sz w:val="20"/>
          <w:szCs w:val="20"/>
          <w:lang w:eastAsia="en-US"/>
        </w:rPr>
      </w:pPr>
    </w:p>
    <w:p w14:paraId="0490B08D" w14:textId="77777777" w:rsidR="003F3A6D" w:rsidRPr="00FB351A" w:rsidRDefault="003F3A6D"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El ejercicio anterior se refleja en el siguiente cuadro:</w:t>
      </w:r>
    </w:p>
    <w:p w14:paraId="7C360A02" w14:textId="77777777" w:rsidR="004976CF" w:rsidRPr="00FB351A" w:rsidRDefault="004976CF" w:rsidP="00803115">
      <w:pPr>
        <w:jc w:val="both"/>
        <w:rPr>
          <w:rFonts w:ascii="Arial" w:hAnsi="Arial" w:cs="Arial"/>
          <w:iCs/>
          <w:color w:val="000000"/>
          <w:sz w:val="20"/>
          <w:szCs w:val="20"/>
          <w:lang w:eastAsia="en-US"/>
        </w:rPr>
      </w:pPr>
    </w:p>
    <w:tbl>
      <w:tblPr>
        <w:tblW w:w="5000" w:type="pct"/>
        <w:tblCellMar>
          <w:left w:w="70" w:type="dxa"/>
          <w:right w:w="70" w:type="dxa"/>
        </w:tblCellMar>
        <w:tblLook w:val="04A0" w:firstRow="1" w:lastRow="0" w:firstColumn="1" w:lastColumn="0" w:noHBand="0" w:noVBand="1"/>
      </w:tblPr>
      <w:tblGrid>
        <w:gridCol w:w="3484"/>
        <w:gridCol w:w="2620"/>
        <w:gridCol w:w="932"/>
        <w:gridCol w:w="507"/>
        <w:gridCol w:w="527"/>
        <w:gridCol w:w="325"/>
        <w:gridCol w:w="617"/>
        <w:gridCol w:w="617"/>
      </w:tblGrid>
      <w:tr w:rsidR="0021390C" w:rsidRPr="00FB351A" w14:paraId="4FB966DF" w14:textId="77777777" w:rsidTr="0021390C">
        <w:trPr>
          <w:trHeight w:val="20"/>
        </w:trPr>
        <w:tc>
          <w:tcPr>
            <w:tcW w:w="1902" w:type="pct"/>
            <w:vMerge w:val="restart"/>
            <w:tcBorders>
              <w:top w:val="single" w:sz="4" w:space="0" w:color="auto"/>
              <w:left w:val="single" w:sz="4" w:space="0" w:color="auto"/>
              <w:bottom w:val="single" w:sz="4" w:space="0" w:color="auto"/>
              <w:right w:val="single" w:sz="4" w:space="0" w:color="auto"/>
            </w:tcBorders>
            <w:shd w:val="clear" w:color="000000" w:fill="B8D3EF"/>
            <w:vAlign w:val="center"/>
            <w:hideMark/>
          </w:tcPr>
          <w:p w14:paraId="13BA3D41" w14:textId="77777777" w:rsidR="0021390C" w:rsidRPr="00FB351A" w:rsidRDefault="0021390C">
            <w:pPr>
              <w:jc w:val="center"/>
              <w:rPr>
                <w:rFonts w:ascii="Arial" w:hAnsi="Arial" w:cs="Arial"/>
                <w:sz w:val="16"/>
                <w:szCs w:val="16"/>
              </w:rPr>
            </w:pPr>
            <w:r w:rsidRPr="00FB351A">
              <w:rPr>
                <w:rFonts w:ascii="Arial" w:hAnsi="Arial" w:cs="Arial"/>
                <w:sz w:val="16"/>
                <w:szCs w:val="16"/>
              </w:rPr>
              <w:t xml:space="preserve">ENTIDAD </w:t>
            </w:r>
          </w:p>
        </w:tc>
        <w:tc>
          <w:tcPr>
            <w:tcW w:w="1452" w:type="pct"/>
            <w:vMerge w:val="restart"/>
            <w:tcBorders>
              <w:top w:val="single" w:sz="4" w:space="0" w:color="auto"/>
              <w:left w:val="single" w:sz="4" w:space="0" w:color="auto"/>
              <w:bottom w:val="single" w:sz="4" w:space="0" w:color="000000"/>
              <w:right w:val="single" w:sz="4" w:space="0" w:color="auto"/>
            </w:tcBorders>
            <w:shd w:val="clear" w:color="000000" w:fill="B8D3EF"/>
            <w:vAlign w:val="center"/>
            <w:hideMark/>
          </w:tcPr>
          <w:p w14:paraId="6ACC9418" w14:textId="77777777" w:rsidR="0021390C" w:rsidRPr="00FB351A" w:rsidRDefault="0021390C">
            <w:pPr>
              <w:jc w:val="center"/>
              <w:rPr>
                <w:rFonts w:ascii="Arial" w:hAnsi="Arial" w:cs="Arial"/>
                <w:b/>
                <w:bCs/>
                <w:sz w:val="16"/>
                <w:szCs w:val="16"/>
              </w:rPr>
            </w:pPr>
            <w:r w:rsidRPr="00FB351A">
              <w:rPr>
                <w:rFonts w:ascii="Arial" w:hAnsi="Arial" w:cs="Arial"/>
                <w:b/>
                <w:bCs/>
                <w:sz w:val="16"/>
                <w:szCs w:val="16"/>
              </w:rPr>
              <w:t xml:space="preserve"> No PROCESO </w:t>
            </w:r>
          </w:p>
        </w:tc>
        <w:tc>
          <w:tcPr>
            <w:tcW w:w="445" w:type="pct"/>
            <w:vMerge w:val="restart"/>
            <w:tcBorders>
              <w:top w:val="single" w:sz="4" w:space="0" w:color="auto"/>
              <w:left w:val="single" w:sz="4" w:space="0" w:color="auto"/>
              <w:bottom w:val="single" w:sz="4" w:space="0" w:color="auto"/>
              <w:right w:val="single" w:sz="4" w:space="0" w:color="auto"/>
            </w:tcBorders>
            <w:shd w:val="clear" w:color="000000" w:fill="B8D3EF"/>
            <w:vAlign w:val="center"/>
            <w:hideMark/>
          </w:tcPr>
          <w:p w14:paraId="455A4060" w14:textId="77777777" w:rsidR="0021390C" w:rsidRPr="00FB351A" w:rsidRDefault="0021390C">
            <w:pPr>
              <w:jc w:val="center"/>
              <w:rPr>
                <w:rFonts w:ascii="Arial" w:hAnsi="Arial" w:cs="Arial"/>
                <w:sz w:val="16"/>
                <w:szCs w:val="16"/>
              </w:rPr>
            </w:pPr>
            <w:r w:rsidRPr="00FB351A">
              <w:rPr>
                <w:rFonts w:ascii="Arial" w:hAnsi="Arial" w:cs="Arial"/>
                <w:sz w:val="16"/>
                <w:szCs w:val="16"/>
              </w:rPr>
              <w:t>RAMO</w:t>
            </w:r>
          </w:p>
        </w:tc>
        <w:tc>
          <w:tcPr>
            <w:tcW w:w="219" w:type="pct"/>
            <w:vMerge w:val="restart"/>
            <w:tcBorders>
              <w:top w:val="single" w:sz="4" w:space="0" w:color="auto"/>
              <w:left w:val="single" w:sz="4" w:space="0" w:color="auto"/>
              <w:bottom w:val="single" w:sz="4" w:space="0" w:color="auto"/>
              <w:right w:val="single" w:sz="4" w:space="0" w:color="auto"/>
            </w:tcBorders>
            <w:shd w:val="clear" w:color="000000" w:fill="B8D3EF"/>
            <w:vAlign w:val="center"/>
            <w:hideMark/>
          </w:tcPr>
          <w:p w14:paraId="32646CD5" w14:textId="77777777" w:rsidR="0021390C" w:rsidRPr="00FB351A" w:rsidRDefault="0021390C">
            <w:pPr>
              <w:jc w:val="center"/>
              <w:rPr>
                <w:rFonts w:ascii="Arial" w:hAnsi="Arial" w:cs="Arial"/>
                <w:sz w:val="16"/>
                <w:szCs w:val="16"/>
              </w:rPr>
            </w:pPr>
            <w:r w:rsidRPr="00FB351A">
              <w:rPr>
                <w:rFonts w:ascii="Arial" w:hAnsi="Arial" w:cs="Arial"/>
                <w:sz w:val="16"/>
                <w:szCs w:val="16"/>
              </w:rPr>
              <w:t>TASAS</w:t>
            </w:r>
          </w:p>
        </w:tc>
        <w:tc>
          <w:tcPr>
            <w:tcW w:w="384" w:type="pct"/>
            <w:gridSpan w:val="2"/>
            <w:tcBorders>
              <w:top w:val="single" w:sz="4" w:space="0" w:color="auto"/>
              <w:left w:val="nil"/>
              <w:bottom w:val="single" w:sz="4" w:space="0" w:color="auto"/>
              <w:right w:val="single" w:sz="4" w:space="0" w:color="auto"/>
            </w:tcBorders>
            <w:shd w:val="clear" w:color="000000" w:fill="B8D3EF"/>
            <w:vAlign w:val="center"/>
            <w:hideMark/>
          </w:tcPr>
          <w:p w14:paraId="51AFE592" w14:textId="77777777" w:rsidR="0021390C" w:rsidRPr="00FB351A" w:rsidRDefault="0021390C">
            <w:pPr>
              <w:jc w:val="center"/>
              <w:rPr>
                <w:rFonts w:ascii="Arial" w:hAnsi="Arial" w:cs="Arial"/>
                <w:sz w:val="16"/>
                <w:szCs w:val="16"/>
              </w:rPr>
            </w:pPr>
            <w:r w:rsidRPr="00FB351A">
              <w:rPr>
                <w:rFonts w:ascii="Arial" w:hAnsi="Arial" w:cs="Arial"/>
                <w:sz w:val="16"/>
                <w:szCs w:val="16"/>
              </w:rPr>
              <w:t>TASA APLICABLE</w:t>
            </w:r>
          </w:p>
        </w:tc>
        <w:tc>
          <w:tcPr>
            <w:tcW w:w="311" w:type="pct"/>
            <w:vMerge w:val="restart"/>
            <w:tcBorders>
              <w:top w:val="single" w:sz="4" w:space="0" w:color="auto"/>
              <w:left w:val="single" w:sz="4" w:space="0" w:color="auto"/>
              <w:bottom w:val="single" w:sz="4" w:space="0" w:color="auto"/>
              <w:right w:val="single" w:sz="4" w:space="0" w:color="auto"/>
            </w:tcBorders>
            <w:shd w:val="clear" w:color="000000" w:fill="B8D3EF"/>
            <w:vAlign w:val="center"/>
            <w:hideMark/>
          </w:tcPr>
          <w:p w14:paraId="6406E2BC" w14:textId="77777777" w:rsidR="0021390C" w:rsidRPr="00FB351A" w:rsidRDefault="0021390C">
            <w:pPr>
              <w:jc w:val="center"/>
              <w:rPr>
                <w:rFonts w:ascii="Arial" w:hAnsi="Arial" w:cs="Arial"/>
                <w:sz w:val="16"/>
                <w:szCs w:val="16"/>
              </w:rPr>
            </w:pPr>
            <w:r w:rsidRPr="00FB351A">
              <w:rPr>
                <w:rFonts w:ascii="Arial" w:hAnsi="Arial" w:cs="Arial"/>
                <w:sz w:val="16"/>
                <w:szCs w:val="16"/>
              </w:rPr>
              <w:t>INCREMENTO TASA POR MERCADO REASEGURO EN %</w:t>
            </w:r>
          </w:p>
        </w:tc>
        <w:tc>
          <w:tcPr>
            <w:tcW w:w="287" w:type="pct"/>
            <w:vMerge w:val="restart"/>
            <w:tcBorders>
              <w:top w:val="single" w:sz="4" w:space="0" w:color="auto"/>
              <w:left w:val="single" w:sz="4" w:space="0" w:color="auto"/>
              <w:bottom w:val="single" w:sz="4" w:space="0" w:color="auto"/>
              <w:right w:val="single" w:sz="4" w:space="0" w:color="auto"/>
            </w:tcBorders>
            <w:shd w:val="clear" w:color="000000" w:fill="B8D3EF"/>
            <w:vAlign w:val="center"/>
            <w:hideMark/>
          </w:tcPr>
          <w:p w14:paraId="7735382F" w14:textId="634314B4" w:rsidR="0021390C" w:rsidRPr="00FB351A" w:rsidRDefault="0021390C">
            <w:pPr>
              <w:jc w:val="center"/>
              <w:rPr>
                <w:rFonts w:ascii="Arial" w:hAnsi="Arial" w:cs="Arial"/>
                <w:sz w:val="16"/>
                <w:szCs w:val="16"/>
              </w:rPr>
            </w:pPr>
            <w:r w:rsidRPr="00FB351A">
              <w:rPr>
                <w:rFonts w:ascii="Arial" w:hAnsi="Arial" w:cs="Arial"/>
                <w:sz w:val="16"/>
                <w:szCs w:val="16"/>
              </w:rPr>
              <w:t>PROMEDIO TASA MERCADO+ INCREMENTO REASEGURO</w:t>
            </w:r>
          </w:p>
        </w:tc>
      </w:tr>
      <w:tr w:rsidR="0021390C" w:rsidRPr="00FB351A" w14:paraId="577D4D3C" w14:textId="77777777" w:rsidTr="0021390C">
        <w:trPr>
          <w:trHeight w:val="20"/>
        </w:trPr>
        <w:tc>
          <w:tcPr>
            <w:tcW w:w="1902" w:type="pct"/>
            <w:vMerge/>
            <w:tcBorders>
              <w:top w:val="single" w:sz="4" w:space="0" w:color="auto"/>
              <w:left w:val="single" w:sz="4" w:space="0" w:color="auto"/>
              <w:bottom w:val="single" w:sz="4" w:space="0" w:color="auto"/>
              <w:right w:val="single" w:sz="4" w:space="0" w:color="auto"/>
            </w:tcBorders>
            <w:vAlign w:val="center"/>
            <w:hideMark/>
          </w:tcPr>
          <w:p w14:paraId="16AC6656" w14:textId="77777777" w:rsidR="0021390C" w:rsidRPr="00FB351A" w:rsidRDefault="0021390C">
            <w:pPr>
              <w:rPr>
                <w:rFonts w:ascii="Arial" w:hAnsi="Arial" w:cs="Arial"/>
                <w:sz w:val="16"/>
                <w:szCs w:val="16"/>
              </w:rPr>
            </w:pPr>
          </w:p>
        </w:tc>
        <w:tc>
          <w:tcPr>
            <w:tcW w:w="1452" w:type="pct"/>
            <w:vMerge/>
            <w:tcBorders>
              <w:top w:val="single" w:sz="4" w:space="0" w:color="auto"/>
              <w:left w:val="single" w:sz="4" w:space="0" w:color="auto"/>
              <w:bottom w:val="single" w:sz="4" w:space="0" w:color="000000"/>
              <w:right w:val="single" w:sz="4" w:space="0" w:color="auto"/>
            </w:tcBorders>
            <w:vAlign w:val="center"/>
            <w:hideMark/>
          </w:tcPr>
          <w:p w14:paraId="6EDEA53D" w14:textId="77777777" w:rsidR="0021390C" w:rsidRPr="00FB351A" w:rsidRDefault="0021390C">
            <w:pPr>
              <w:rPr>
                <w:rFonts w:ascii="Arial" w:hAnsi="Arial" w:cs="Arial"/>
                <w:b/>
                <w:bCs/>
                <w:sz w:val="16"/>
                <w:szCs w:val="16"/>
              </w:rPr>
            </w:pPr>
          </w:p>
        </w:tc>
        <w:tc>
          <w:tcPr>
            <w:tcW w:w="445" w:type="pct"/>
            <w:vMerge/>
            <w:tcBorders>
              <w:top w:val="single" w:sz="4" w:space="0" w:color="auto"/>
              <w:left w:val="single" w:sz="4" w:space="0" w:color="auto"/>
              <w:bottom w:val="single" w:sz="4" w:space="0" w:color="auto"/>
              <w:right w:val="single" w:sz="4" w:space="0" w:color="auto"/>
            </w:tcBorders>
            <w:vAlign w:val="center"/>
            <w:hideMark/>
          </w:tcPr>
          <w:p w14:paraId="6E76179C" w14:textId="77777777" w:rsidR="0021390C" w:rsidRPr="00FB351A" w:rsidRDefault="0021390C">
            <w:pPr>
              <w:rPr>
                <w:rFonts w:ascii="Arial" w:hAnsi="Arial" w:cs="Arial"/>
                <w:sz w:val="16"/>
                <w:szCs w:val="16"/>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43749EA7" w14:textId="77777777" w:rsidR="0021390C" w:rsidRPr="00FB351A" w:rsidRDefault="0021390C">
            <w:pPr>
              <w:rPr>
                <w:rFonts w:ascii="Arial" w:hAnsi="Arial" w:cs="Arial"/>
                <w:sz w:val="16"/>
                <w:szCs w:val="16"/>
              </w:rPr>
            </w:pPr>
          </w:p>
        </w:tc>
        <w:tc>
          <w:tcPr>
            <w:tcW w:w="233" w:type="pct"/>
            <w:tcBorders>
              <w:top w:val="nil"/>
              <w:left w:val="nil"/>
              <w:bottom w:val="single" w:sz="4" w:space="0" w:color="auto"/>
              <w:right w:val="single" w:sz="4" w:space="0" w:color="auto"/>
            </w:tcBorders>
            <w:shd w:val="clear" w:color="000000" w:fill="B8D3EF"/>
            <w:vAlign w:val="center"/>
            <w:hideMark/>
          </w:tcPr>
          <w:p w14:paraId="6BF7448E" w14:textId="77777777" w:rsidR="0021390C" w:rsidRPr="00FB351A" w:rsidRDefault="0021390C">
            <w:pPr>
              <w:jc w:val="center"/>
              <w:rPr>
                <w:rFonts w:ascii="Arial" w:hAnsi="Arial" w:cs="Arial"/>
                <w:sz w:val="16"/>
                <w:szCs w:val="16"/>
              </w:rPr>
            </w:pPr>
            <w:r w:rsidRPr="00FB351A">
              <w:rPr>
                <w:rFonts w:ascii="Arial" w:hAnsi="Arial" w:cs="Arial"/>
                <w:sz w:val="16"/>
                <w:szCs w:val="16"/>
              </w:rPr>
              <w:t>PROMEDIO TASA MERCADO</w:t>
            </w:r>
          </w:p>
        </w:tc>
        <w:tc>
          <w:tcPr>
            <w:tcW w:w="150" w:type="pct"/>
            <w:tcBorders>
              <w:top w:val="nil"/>
              <w:left w:val="nil"/>
              <w:bottom w:val="single" w:sz="4" w:space="0" w:color="auto"/>
              <w:right w:val="single" w:sz="4" w:space="0" w:color="auto"/>
            </w:tcBorders>
            <w:shd w:val="clear" w:color="000000" w:fill="B8D3EF"/>
            <w:vAlign w:val="center"/>
            <w:hideMark/>
          </w:tcPr>
          <w:p w14:paraId="080DFE44" w14:textId="77777777" w:rsidR="0021390C" w:rsidRPr="00FB351A" w:rsidRDefault="0021390C">
            <w:pPr>
              <w:jc w:val="center"/>
              <w:rPr>
                <w:rFonts w:ascii="Arial" w:hAnsi="Arial" w:cs="Arial"/>
                <w:sz w:val="16"/>
                <w:szCs w:val="16"/>
              </w:rPr>
            </w:pPr>
            <w:r w:rsidRPr="00FB351A">
              <w:rPr>
                <w:rFonts w:ascii="Arial" w:hAnsi="Arial" w:cs="Arial"/>
                <w:sz w:val="16"/>
                <w:szCs w:val="16"/>
              </w:rPr>
              <w:t>TIPO DE TASA % - %o</w:t>
            </w:r>
          </w:p>
        </w:tc>
        <w:tc>
          <w:tcPr>
            <w:tcW w:w="311" w:type="pct"/>
            <w:vMerge/>
            <w:tcBorders>
              <w:top w:val="single" w:sz="4" w:space="0" w:color="auto"/>
              <w:left w:val="single" w:sz="4" w:space="0" w:color="auto"/>
              <w:bottom w:val="single" w:sz="4" w:space="0" w:color="auto"/>
              <w:right w:val="single" w:sz="4" w:space="0" w:color="auto"/>
            </w:tcBorders>
            <w:vAlign w:val="center"/>
            <w:hideMark/>
          </w:tcPr>
          <w:p w14:paraId="1BE021CA" w14:textId="77777777" w:rsidR="0021390C" w:rsidRPr="00FB351A" w:rsidRDefault="0021390C">
            <w:pPr>
              <w:rPr>
                <w:rFonts w:ascii="Arial" w:hAnsi="Arial" w:cs="Arial"/>
                <w:sz w:val="16"/>
                <w:szCs w:val="16"/>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007D06DF" w14:textId="77777777" w:rsidR="0021390C" w:rsidRPr="00FB351A" w:rsidRDefault="0021390C">
            <w:pPr>
              <w:rPr>
                <w:rFonts w:ascii="Arial" w:hAnsi="Arial" w:cs="Arial"/>
                <w:sz w:val="16"/>
                <w:szCs w:val="16"/>
              </w:rPr>
            </w:pPr>
          </w:p>
        </w:tc>
      </w:tr>
      <w:tr w:rsidR="0021390C" w:rsidRPr="00FB351A" w14:paraId="180BEA71"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7D08E7C9"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59B11263" w14:textId="776AF7A8"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SELECCIÓN ABREVIADA DE MENOR CUANTÍA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791B5047" w14:textId="77777777" w:rsidR="0021390C" w:rsidRPr="00FB351A" w:rsidRDefault="0021390C">
            <w:pPr>
              <w:jc w:val="center"/>
              <w:rPr>
                <w:rFonts w:ascii="Arial" w:hAnsi="Arial" w:cs="Arial"/>
                <w:sz w:val="16"/>
                <w:szCs w:val="16"/>
              </w:rPr>
            </w:pPr>
            <w:r w:rsidRPr="00FB351A">
              <w:rPr>
                <w:rFonts w:ascii="Arial" w:hAnsi="Arial" w:cs="Arial"/>
                <w:sz w:val="16"/>
                <w:szCs w:val="16"/>
              </w:rPr>
              <w:t>TODO RIESGO DAÑOS MATERIALES</w:t>
            </w:r>
          </w:p>
        </w:tc>
        <w:tc>
          <w:tcPr>
            <w:tcW w:w="219" w:type="pct"/>
            <w:tcBorders>
              <w:top w:val="nil"/>
              <w:left w:val="nil"/>
              <w:bottom w:val="single" w:sz="4" w:space="0" w:color="auto"/>
              <w:right w:val="single" w:sz="4" w:space="0" w:color="auto"/>
            </w:tcBorders>
            <w:shd w:val="clear" w:color="000000" w:fill="FFFFCC"/>
            <w:vAlign w:val="center"/>
            <w:hideMark/>
          </w:tcPr>
          <w:p w14:paraId="27E3BEB6" w14:textId="77777777" w:rsidR="0021390C" w:rsidRPr="00FB351A" w:rsidRDefault="0021390C">
            <w:pPr>
              <w:jc w:val="center"/>
              <w:rPr>
                <w:rFonts w:ascii="Arial" w:hAnsi="Arial" w:cs="Arial"/>
                <w:sz w:val="16"/>
                <w:szCs w:val="16"/>
              </w:rPr>
            </w:pPr>
            <w:r w:rsidRPr="00FB351A">
              <w:rPr>
                <w:rFonts w:ascii="Arial" w:hAnsi="Arial" w:cs="Arial"/>
                <w:sz w:val="16"/>
                <w:szCs w:val="16"/>
              </w:rPr>
              <w:t>1.29</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67181CF6" w14:textId="77777777" w:rsidR="0021390C" w:rsidRPr="00FB351A" w:rsidRDefault="0021390C">
            <w:pPr>
              <w:jc w:val="center"/>
              <w:rPr>
                <w:rFonts w:ascii="Arial" w:hAnsi="Arial" w:cs="Arial"/>
                <w:color w:val="006AB9"/>
                <w:sz w:val="16"/>
                <w:szCs w:val="16"/>
              </w:rPr>
            </w:pPr>
            <w:r w:rsidRPr="00FB351A">
              <w:rPr>
                <w:rFonts w:ascii="Arial" w:hAnsi="Arial" w:cs="Arial"/>
                <w:color w:val="006AB9"/>
                <w:sz w:val="16"/>
                <w:szCs w:val="16"/>
              </w:rPr>
              <w:t>1.28</w:t>
            </w:r>
          </w:p>
        </w:tc>
        <w:tc>
          <w:tcPr>
            <w:tcW w:w="150" w:type="pct"/>
            <w:vMerge w:val="restart"/>
            <w:tcBorders>
              <w:top w:val="nil"/>
              <w:left w:val="single" w:sz="4" w:space="0" w:color="auto"/>
              <w:bottom w:val="single" w:sz="4" w:space="0" w:color="auto"/>
              <w:right w:val="single" w:sz="4" w:space="0" w:color="auto"/>
            </w:tcBorders>
            <w:vAlign w:val="center"/>
            <w:hideMark/>
          </w:tcPr>
          <w:p w14:paraId="231C0932" w14:textId="77777777" w:rsidR="0021390C" w:rsidRPr="00FB351A" w:rsidRDefault="0021390C">
            <w:pPr>
              <w:jc w:val="center"/>
              <w:rPr>
                <w:rFonts w:ascii="Arial" w:hAnsi="Arial" w:cs="Arial"/>
                <w:sz w:val="16"/>
                <w:szCs w:val="16"/>
              </w:rPr>
            </w:pPr>
            <w:r w:rsidRPr="00FB351A">
              <w:rPr>
                <w:rFonts w:ascii="Arial" w:hAnsi="Arial" w:cs="Arial"/>
                <w:sz w:val="16"/>
                <w:szCs w:val="16"/>
              </w:rPr>
              <w:t>%o</w:t>
            </w:r>
          </w:p>
        </w:tc>
        <w:tc>
          <w:tcPr>
            <w:tcW w:w="311" w:type="pct"/>
            <w:vMerge w:val="restart"/>
            <w:tcBorders>
              <w:top w:val="nil"/>
              <w:left w:val="single" w:sz="4" w:space="0" w:color="auto"/>
              <w:bottom w:val="single" w:sz="4" w:space="0" w:color="auto"/>
              <w:right w:val="single" w:sz="4" w:space="0" w:color="auto"/>
            </w:tcBorders>
            <w:vAlign w:val="center"/>
            <w:hideMark/>
          </w:tcPr>
          <w:p w14:paraId="0599985D" w14:textId="77777777" w:rsidR="0021390C" w:rsidRPr="00FB351A" w:rsidRDefault="0021390C">
            <w:pPr>
              <w:jc w:val="center"/>
              <w:rPr>
                <w:rFonts w:ascii="Arial" w:hAnsi="Arial" w:cs="Arial"/>
                <w:b/>
                <w:bCs/>
                <w:color w:val="FF0000"/>
                <w:sz w:val="16"/>
                <w:szCs w:val="16"/>
              </w:rPr>
            </w:pPr>
            <w:r w:rsidRPr="00FB351A">
              <w:rPr>
                <w:rFonts w:ascii="Arial" w:hAnsi="Arial" w:cs="Arial"/>
                <w:b/>
                <w:bCs/>
                <w:color w:val="FF0000"/>
                <w:sz w:val="16"/>
                <w:szCs w:val="16"/>
              </w:rPr>
              <w:t>0.20</w:t>
            </w:r>
          </w:p>
        </w:tc>
        <w:tc>
          <w:tcPr>
            <w:tcW w:w="287" w:type="pct"/>
            <w:vMerge w:val="restart"/>
            <w:tcBorders>
              <w:top w:val="nil"/>
              <w:left w:val="single" w:sz="4" w:space="0" w:color="auto"/>
              <w:bottom w:val="single" w:sz="4" w:space="0" w:color="auto"/>
              <w:right w:val="single" w:sz="4" w:space="0" w:color="auto"/>
            </w:tcBorders>
            <w:shd w:val="clear" w:color="000000" w:fill="FFFFCC"/>
            <w:vAlign w:val="center"/>
            <w:hideMark/>
          </w:tcPr>
          <w:p w14:paraId="7076C90D" w14:textId="77777777" w:rsidR="0021390C" w:rsidRPr="00FB351A" w:rsidRDefault="0021390C">
            <w:pPr>
              <w:jc w:val="center"/>
              <w:rPr>
                <w:rFonts w:ascii="Arial" w:hAnsi="Arial" w:cs="Arial"/>
                <w:b/>
                <w:bCs/>
                <w:color w:val="FF0000"/>
                <w:sz w:val="16"/>
                <w:szCs w:val="16"/>
              </w:rPr>
            </w:pPr>
            <w:r w:rsidRPr="00FB351A">
              <w:rPr>
                <w:rFonts w:ascii="Arial" w:hAnsi="Arial" w:cs="Arial"/>
                <w:b/>
                <w:bCs/>
                <w:color w:val="FF0000"/>
                <w:sz w:val="16"/>
                <w:szCs w:val="16"/>
              </w:rPr>
              <w:t>1.53</w:t>
            </w:r>
          </w:p>
        </w:tc>
      </w:tr>
      <w:tr w:rsidR="0021390C" w:rsidRPr="00FB351A" w14:paraId="46EB3B9F"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1C2DA820"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FONDO DE DESARROLLO DE PROYECTOS DE CUNDINAMARCA-</w:t>
            </w:r>
            <w:proofErr w:type="spellStart"/>
            <w:r w:rsidRPr="00FB351A">
              <w:rPr>
                <w:rFonts w:ascii="Arial" w:hAnsi="Arial" w:cs="Arial"/>
                <w:color w:val="000000"/>
                <w:sz w:val="16"/>
                <w:szCs w:val="16"/>
              </w:rPr>
              <w:t>FONDECUN</w:t>
            </w:r>
            <w:proofErr w:type="spellEnd"/>
          </w:p>
        </w:tc>
        <w:tc>
          <w:tcPr>
            <w:tcW w:w="1452" w:type="pct"/>
            <w:tcBorders>
              <w:top w:val="nil"/>
              <w:left w:val="nil"/>
              <w:bottom w:val="single" w:sz="4" w:space="0" w:color="auto"/>
              <w:right w:val="single" w:sz="4" w:space="0" w:color="auto"/>
            </w:tcBorders>
            <w:noWrap/>
            <w:vAlign w:val="center"/>
            <w:hideMark/>
          </w:tcPr>
          <w:p w14:paraId="1E979A82" w14:textId="28326960" w:rsidR="0021390C" w:rsidRPr="00FB351A" w:rsidRDefault="0021390C">
            <w:pPr>
              <w:rPr>
                <w:rFonts w:ascii="Arial" w:hAnsi="Arial" w:cs="Arial"/>
                <w:color w:val="000000"/>
                <w:sz w:val="16"/>
                <w:szCs w:val="16"/>
              </w:rPr>
            </w:pPr>
            <w:r w:rsidRPr="00FB351A">
              <w:rPr>
                <w:rFonts w:ascii="Arial" w:hAnsi="Arial" w:cs="Arial"/>
                <w:color w:val="000000"/>
                <w:sz w:val="16"/>
                <w:szCs w:val="16"/>
              </w:rPr>
              <w:t>SELECCIÓN ABREVIADA SAMC-001-2026</w:t>
            </w:r>
          </w:p>
        </w:tc>
        <w:tc>
          <w:tcPr>
            <w:tcW w:w="445" w:type="pct"/>
            <w:vMerge/>
            <w:tcBorders>
              <w:top w:val="nil"/>
              <w:left w:val="single" w:sz="4" w:space="0" w:color="auto"/>
              <w:bottom w:val="single" w:sz="4" w:space="0" w:color="auto"/>
              <w:right w:val="single" w:sz="4" w:space="0" w:color="auto"/>
            </w:tcBorders>
            <w:vAlign w:val="center"/>
            <w:hideMark/>
          </w:tcPr>
          <w:p w14:paraId="390F409F"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192EF3F9" w14:textId="77777777" w:rsidR="0021390C" w:rsidRPr="00FB351A" w:rsidRDefault="0021390C">
            <w:pPr>
              <w:jc w:val="center"/>
              <w:rPr>
                <w:rFonts w:ascii="Arial" w:hAnsi="Arial" w:cs="Arial"/>
                <w:sz w:val="16"/>
                <w:szCs w:val="16"/>
              </w:rPr>
            </w:pPr>
            <w:r w:rsidRPr="00FB351A">
              <w:rPr>
                <w:rFonts w:ascii="Arial" w:hAnsi="Arial" w:cs="Arial"/>
                <w:sz w:val="16"/>
                <w:szCs w:val="16"/>
              </w:rPr>
              <w:t>0.98</w:t>
            </w:r>
          </w:p>
        </w:tc>
        <w:tc>
          <w:tcPr>
            <w:tcW w:w="233" w:type="pct"/>
            <w:vMerge/>
            <w:tcBorders>
              <w:top w:val="nil"/>
              <w:left w:val="single" w:sz="4" w:space="0" w:color="auto"/>
              <w:bottom w:val="single" w:sz="4" w:space="0" w:color="auto"/>
              <w:right w:val="single" w:sz="4" w:space="0" w:color="auto"/>
            </w:tcBorders>
            <w:vAlign w:val="center"/>
            <w:hideMark/>
          </w:tcPr>
          <w:p w14:paraId="395253A0"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265EF57F"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3FCD0D8" w14:textId="77777777" w:rsidR="0021390C" w:rsidRPr="00FB351A" w:rsidRDefault="0021390C">
            <w:pPr>
              <w:rPr>
                <w:rFonts w:ascii="Arial" w:hAnsi="Arial" w:cs="Arial"/>
                <w:b/>
                <w:bCs/>
                <w:color w:val="FF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34E4C1CA" w14:textId="77777777" w:rsidR="0021390C" w:rsidRPr="00FB351A" w:rsidRDefault="0021390C">
            <w:pPr>
              <w:rPr>
                <w:rFonts w:ascii="Arial" w:hAnsi="Arial" w:cs="Arial"/>
                <w:b/>
                <w:bCs/>
                <w:color w:val="FF0000"/>
                <w:sz w:val="16"/>
                <w:szCs w:val="16"/>
              </w:rPr>
            </w:pPr>
          </w:p>
        </w:tc>
      </w:tr>
      <w:tr w:rsidR="0021390C" w:rsidRPr="00FB351A" w14:paraId="54A9D11C"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95B296A"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INSTITUTO CARO Y CUERVO</w:t>
            </w:r>
          </w:p>
        </w:tc>
        <w:tc>
          <w:tcPr>
            <w:tcW w:w="1452" w:type="pct"/>
            <w:tcBorders>
              <w:top w:val="nil"/>
              <w:left w:val="nil"/>
              <w:bottom w:val="single" w:sz="4" w:space="0" w:color="auto"/>
              <w:right w:val="single" w:sz="4" w:space="0" w:color="auto"/>
            </w:tcBorders>
            <w:noWrap/>
            <w:vAlign w:val="center"/>
            <w:hideMark/>
          </w:tcPr>
          <w:p w14:paraId="49509B81"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SAMC-ICC-161-2026</w:t>
            </w:r>
          </w:p>
        </w:tc>
        <w:tc>
          <w:tcPr>
            <w:tcW w:w="445" w:type="pct"/>
            <w:vMerge/>
            <w:tcBorders>
              <w:top w:val="nil"/>
              <w:left w:val="single" w:sz="4" w:space="0" w:color="auto"/>
              <w:bottom w:val="single" w:sz="4" w:space="0" w:color="auto"/>
              <w:right w:val="single" w:sz="4" w:space="0" w:color="auto"/>
            </w:tcBorders>
            <w:vAlign w:val="center"/>
            <w:hideMark/>
          </w:tcPr>
          <w:p w14:paraId="346A6F18"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7234AD47" w14:textId="77777777" w:rsidR="0021390C" w:rsidRPr="00FB351A" w:rsidRDefault="0021390C">
            <w:pPr>
              <w:jc w:val="center"/>
              <w:rPr>
                <w:rFonts w:ascii="Arial" w:hAnsi="Arial" w:cs="Arial"/>
                <w:sz w:val="16"/>
                <w:szCs w:val="16"/>
              </w:rPr>
            </w:pPr>
            <w:r w:rsidRPr="00FB351A">
              <w:rPr>
                <w:rFonts w:ascii="Arial" w:hAnsi="Arial" w:cs="Arial"/>
                <w:sz w:val="16"/>
                <w:szCs w:val="16"/>
              </w:rPr>
              <w:t>1.24</w:t>
            </w:r>
          </w:p>
        </w:tc>
        <w:tc>
          <w:tcPr>
            <w:tcW w:w="233" w:type="pct"/>
            <w:vMerge/>
            <w:tcBorders>
              <w:top w:val="nil"/>
              <w:left w:val="single" w:sz="4" w:space="0" w:color="auto"/>
              <w:bottom w:val="single" w:sz="4" w:space="0" w:color="auto"/>
              <w:right w:val="single" w:sz="4" w:space="0" w:color="auto"/>
            </w:tcBorders>
            <w:vAlign w:val="center"/>
            <w:hideMark/>
          </w:tcPr>
          <w:p w14:paraId="69E87A85"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16B138BB"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7DA0D71" w14:textId="77777777" w:rsidR="0021390C" w:rsidRPr="00FB351A" w:rsidRDefault="0021390C">
            <w:pPr>
              <w:rPr>
                <w:rFonts w:ascii="Arial" w:hAnsi="Arial" w:cs="Arial"/>
                <w:b/>
                <w:bCs/>
                <w:color w:val="FF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734261AB" w14:textId="77777777" w:rsidR="0021390C" w:rsidRPr="00FB351A" w:rsidRDefault="0021390C">
            <w:pPr>
              <w:rPr>
                <w:rFonts w:ascii="Arial" w:hAnsi="Arial" w:cs="Arial"/>
                <w:b/>
                <w:bCs/>
                <w:color w:val="FF0000"/>
                <w:sz w:val="16"/>
                <w:szCs w:val="16"/>
              </w:rPr>
            </w:pPr>
          </w:p>
        </w:tc>
      </w:tr>
      <w:tr w:rsidR="0021390C" w:rsidRPr="00FB351A" w14:paraId="0AA2CCEB"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11C7FFE8" w14:textId="3C60815B" w:rsidR="0021390C" w:rsidRPr="00FB351A" w:rsidRDefault="0021390C">
            <w:pPr>
              <w:rPr>
                <w:rFonts w:ascii="Arial" w:hAnsi="Arial" w:cs="Arial"/>
                <w:color w:val="000000"/>
                <w:sz w:val="16"/>
                <w:szCs w:val="16"/>
              </w:rPr>
            </w:pPr>
            <w:r w:rsidRPr="00FB351A">
              <w:rPr>
                <w:rFonts w:ascii="Arial" w:hAnsi="Arial" w:cs="Arial"/>
                <w:color w:val="000000"/>
                <w:sz w:val="16"/>
                <w:szCs w:val="16"/>
              </w:rPr>
              <w:t>CONTRALORÍA DE BOGOTÁ</w:t>
            </w:r>
          </w:p>
        </w:tc>
        <w:tc>
          <w:tcPr>
            <w:tcW w:w="1452" w:type="pct"/>
            <w:tcBorders>
              <w:top w:val="nil"/>
              <w:left w:val="nil"/>
              <w:bottom w:val="single" w:sz="4" w:space="0" w:color="auto"/>
              <w:right w:val="single" w:sz="4" w:space="0" w:color="auto"/>
            </w:tcBorders>
            <w:noWrap/>
            <w:vAlign w:val="center"/>
            <w:hideMark/>
          </w:tcPr>
          <w:p w14:paraId="40B12DDD"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LICITACIÓN PÚBLICA No. </w:t>
            </w:r>
            <w:proofErr w:type="spellStart"/>
            <w:r w:rsidRPr="00FB351A">
              <w:rPr>
                <w:rFonts w:ascii="Arial" w:hAnsi="Arial" w:cs="Arial"/>
                <w:color w:val="000000"/>
                <w:sz w:val="16"/>
                <w:szCs w:val="16"/>
              </w:rPr>
              <w:t>CB</w:t>
            </w:r>
            <w:proofErr w:type="spellEnd"/>
            <w:r w:rsidRPr="00FB351A">
              <w:rPr>
                <w:rFonts w:ascii="Arial" w:hAnsi="Arial" w:cs="Arial"/>
                <w:color w:val="000000"/>
                <w:sz w:val="16"/>
                <w:szCs w:val="16"/>
              </w:rPr>
              <w:t>-LP-001-2026</w:t>
            </w:r>
          </w:p>
        </w:tc>
        <w:tc>
          <w:tcPr>
            <w:tcW w:w="445" w:type="pct"/>
            <w:vMerge/>
            <w:tcBorders>
              <w:top w:val="nil"/>
              <w:left w:val="single" w:sz="4" w:space="0" w:color="auto"/>
              <w:bottom w:val="single" w:sz="4" w:space="0" w:color="auto"/>
              <w:right w:val="single" w:sz="4" w:space="0" w:color="auto"/>
            </w:tcBorders>
            <w:vAlign w:val="center"/>
            <w:hideMark/>
          </w:tcPr>
          <w:p w14:paraId="6839552B"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7A85434F" w14:textId="77777777" w:rsidR="0021390C" w:rsidRPr="00FB351A" w:rsidRDefault="0021390C">
            <w:pPr>
              <w:jc w:val="center"/>
              <w:rPr>
                <w:rFonts w:ascii="Arial" w:hAnsi="Arial" w:cs="Arial"/>
                <w:sz w:val="16"/>
                <w:szCs w:val="16"/>
              </w:rPr>
            </w:pPr>
            <w:r w:rsidRPr="00FB351A">
              <w:rPr>
                <w:rFonts w:ascii="Arial" w:hAnsi="Arial" w:cs="Arial"/>
                <w:sz w:val="16"/>
                <w:szCs w:val="16"/>
              </w:rPr>
              <w:t>1.60</w:t>
            </w:r>
          </w:p>
        </w:tc>
        <w:tc>
          <w:tcPr>
            <w:tcW w:w="233" w:type="pct"/>
            <w:vMerge/>
            <w:tcBorders>
              <w:top w:val="nil"/>
              <w:left w:val="single" w:sz="4" w:space="0" w:color="auto"/>
              <w:bottom w:val="single" w:sz="4" w:space="0" w:color="auto"/>
              <w:right w:val="single" w:sz="4" w:space="0" w:color="auto"/>
            </w:tcBorders>
            <w:vAlign w:val="center"/>
            <w:hideMark/>
          </w:tcPr>
          <w:p w14:paraId="65743518"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3625BC40"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60B3B79E" w14:textId="77777777" w:rsidR="0021390C" w:rsidRPr="00FB351A" w:rsidRDefault="0021390C">
            <w:pPr>
              <w:rPr>
                <w:rFonts w:ascii="Arial" w:hAnsi="Arial" w:cs="Arial"/>
                <w:b/>
                <w:bCs/>
                <w:color w:val="FF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69981677" w14:textId="77777777" w:rsidR="0021390C" w:rsidRPr="00FB351A" w:rsidRDefault="0021390C">
            <w:pPr>
              <w:rPr>
                <w:rFonts w:ascii="Arial" w:hAnsi="Arial" w:cs="Arial"/>
                <w:b/>
                <w:bCs/>
                <w:color w:val="FF0000"/>
                <w:sz w:val="16"/>
                <w:szCs w:val="16"/>
              </w:rPr>
            </w:pPr>
          </w:p>
        </w:tc>
      </w:tr>
      <w:tr w:rsidR="0021390C" w:rsidRPr="00FB351A" w14:paraId="3D7EDC76"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229C0640" w14:textId="45615EF2" w:rsidR="0021390C" w:rsidRPr="00FB351A" w:rsidRDefault="0021390C">
            <w:pPr>
              <w:rPr>
                <w:rFonts w:ascii="Arial" w:hAnsi="Arial" w:cs="Arial"/>
                <w:color w:val="000000"/>
                <w:sz w:val="16"/>
                <w:szCs w:val="16"/>
              </w:rPr>
            </w:pPr>
            <w:r w:rsidRPr="00FB351A">
              <w:rPr>
                <w:rFonts w:ascii="Arial" w:hAnsi="Arial" w:cs="Arial"/>
                <w:color w:val="000000"/>
                <w:sz w:val="16"/>
                <w:szCs w:val="16"/>
              </w:rPr>
              <w:t>ARTESANÍAS DE COLOMBIA</w:t>
            </w:r>
          </w:p>
        </w:tc>
        <w:tc>
          <w:tcPr>
            <w:tcW w:w="1452" w:type="pct"/>
            <w:tcBorders>
              <w:top w:val="nil"/>
              <w:left w:val="nil"/>
              <w:bottom w:val="single" w:sz="4" w:space="0" w:color="auto"/>
              <w:right w:val="single" w:sz="4" w:space="0" w:color="auto"/>
            </w:tcBorders>
            <w:noWrap/>
            <w:vAlign w:val="center"/>
            <w:hideMark/>
          </w:tcPr>
          <w:p w14:paraId="56A8858A"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 INVITACIÓN ABIERTA ADC-004-2026</w:t>
            </w:r>
          </w:p>
        </w:tc>
        <w:tc>
          <w:tcPr>
            <w:tcW w:w="445" w:type="pct"/>
            <w:vMerge/>
            <w:tcBorders>
              <w:top w:val="nil"/>
              <w:left w:val="single" w:sz="4" w:space="0" w:color="auto"/>
              <w:bottom w:val="single" w:sz="4" w:space="0" w:color="auto"/>
              <w:right w:val="single" w:sz="4" w:space="0" w:color="auto"/>
            </w:tcBorders>
            <w:vAlign w:val="center"/>
            <w:hideMark/>
          </w:tcPr>
          <w:p w14:paraId="1A17D321"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1F0B6438" w14:textId="77777777" w:rsidR="0021390C" w:rsidRPr="00FB351A" w:rsidRDefault="0021390C">
            <w:pPr>
              <w:jc w:val="center"/>
              <w:rPr>
                <w:rFonts w:ascii="Arial" w:hAnsi="Arial" w:cs="Arial"/>
                <w:sz w:val="16"/>
                <w:szCs w:val="16"/>
              </w:rPr>
            </w:pPr>
            <w:r w:rsidRPr="00FB351A">
              <w:rPr>
                <w:rFonts w:ascii="Arial" w:hAnsi="Arial" w:cs="Arial"/>
                <w:sz w:val="16"/>
                <w:szCs w:val="16"/>
              </w:rPr>
              <w:t>1.27</w:t>
            </w:r>
          </w:p>
        </w:tc>
        <w:tc>
          <w:tcPr>
            <w:tcW w:w="233" w:type="pct"/>
            <w:vMerge/>
            <w:tcBorders>
              <w:top w:val="nil"/>
              <w:left w:val="single" w:sz="4" w:space="0" w:color="auto"/>
              <w:bottom w:val="single" w:sz="4" w:space="0" w:color="auto"/>
              <w:right w:val="single" w:sz="4" w:space="0" w:color="auto"/>
            </w:tcBorders>
            <w:vAlign w:val="center"/>
            <w:hideMark/>
          </w:tcPr>
          <w:p w14:paraId="131079E9"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7A2190A5"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74B70233" w14:textId="77777777" w:rsidR="0021390C" w:rsidRPr="00FB351A" w:rsidRDefault="0021390C">
            <w:pPr>
              <w:rPr>
                <w:rFonts w:ascii="Arial" w:hAnsi="Arial" w:cs="Arial"/>
                <w:b/>
                <w:bCs/>
                <w:color w:val="FF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2BDC4CE6" w14:textId="77777777" w:rsidR="0021390C" w:rsidRPr="00FB351A" w:rsidRDefault="0021390C">
            <w:pPr>
              <w:rPr>
                <w:rFonts w:ascii="Arial" w:hAnsi="Arial" w:cs="Arial"/>
                <w:b/>
                <w:bCs/>
                <w:color w:val="FF0000"/>
                <w:sz w:val="16"/>
                <w:szCs w:val="16"/>
              </w:rPr>
            </w:pPr>
          </w:p>
        </w:tc>
      </w:tr>
      <w:tr w:rsidR="0021390C" w:rsidRPr="00FB351A" w14:paraId="261E734B"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46DC6A97"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10F206E3" w14:textId="791AF79A"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SELECCIÓN ABREVIADA DE MENOR CUANTÍA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2FFEF8C0" w14:textId="77777777" w:rsidR="0021390C" w:rsidRPr="00FB351A" w:rsidRDefault="0021390C">
            <w:pPr>
              <w:jc w:val="center"/>
              <w:rPr>
                <w:rFonts w:ascii="Arial" w:hAnsi="Arial" w:cs="Arial"/>
                <w:sz w:val="16"/>
                <w:szCs w:val="16"/>
              </w:rPr>
            </w:pPr>
            <w:r w:rsidRPr="00FB351A">
              <w:rPr>
                <w:rFonts w:ascii="Arial" w:hAnsi="Arial" w:cs="Arial"/>
                <w:sz w:val="16"/>
                <w:szCs w:val="16"/>
              </w:rPr>
              <w:t xml:space="preserve">MANEJO GLOBAL </w:t>
            </w:r>
          </w:p>
        </w:tc>
        <w:tc>
          <w:tcPr>
            <w:tcW w:w="219" w:type="pct"/>
            <w:tcBorders>
              <w:top w:val="nil"/>
              <w:left w:val="nil"/>
              <w:bottom w:val="single" w:sz="4" w:space="0" w:color="auto"/>
              <w:right w:val="single" w:sz="4" w:space="0" w:color="auto"/>
            </w:tcBorders>
            <w:shd w:val="clear" w:color="000000" w:fill="FFFFCC"/>
            <w:vAlign w:val="center"/>
            <w:hideMark/>
          </w:tcPr>
          <w:p w14:paraId="63999FC3" w14:textId="77777777" w:rsidR="0021390C" w:rsidRPr="00FB351A" w:rsidRDefault="0021390C">
            <w:pPr>
              <w:jc w:val="center"/>
              <w:rPr>
                <w:rFonts w:ascii="Arial" w:hAnsi="Arial" w:cs="Arial"/>
                <w:sz w:val="16"/>
                <w:szCs w:val="16"/>
              </w:rPr>
            </w:pPr>
            <w:r w:rsidRPr="00FB351A">
              <w:rPr>
                <w:rFonts w:ascii="Arial" w:hAnsi="Arial" w:cs="Arial"/>
                <w:sz w:val="16"/>
                <w:szCs w:val="16"/>
              </w:rPr>
              <w:t>4.00</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1792D6A8" w14:textId="77777777" w:rsidR="0021390C" w:rsidRPr="00FB351A" w:rsidRDefault="0021390C">
            <w:pPr>
              <w:jc w:val="center"/>
              <w:rPr>
                <w:rFonts w:ascii="Arial" w:hAnsi="Arial" w:cs="Arial"/>
                <w:sz w:val="16"/>
                <w:szCs w:val="16"/>
              </w:rPr>
            </w:pPr>
            <w:r w:rsidRPr="00FB351A">
              <w:rPr>
                <w:rFonts w:ascii="Arial" w:hAnsi="Arial" w:cs="Arial"/>
                <w:sz w:val="16"/>
                <w:szCs w:val="16"/>
              </w:rPr>
              <w:t>4.02</w:t>
            </w:r>
          </w:p>
        </w:tc>
        <w:tc>
          <w:tcPr>
            <w:tcW w:w="150" w:type="pct"/>
            <w:vMerge w:val="restart"/>
            <w:tcBorders>
              <w:top w:val="nil"/>
              <w:left w:val="single" w:sz="4" w:space="0" w:color="auto"/>
              <w:bottom w:val="single" w:sz="4" w:space="0" w:color="auto"/>
              <w:right w:val="single" w:sz="4" w:space="0" w:color="auto"/>
            </w:tcBorders>
            <w:vAlign w:val="center"/>
            <w:hideMark/>
          </w:tcPr>
          <w:p w14:paraId="7741A433"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2C452912"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74456AC8"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4D929223"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7939C8CD" w14:textId="18B581AD" w:rsidR="0021390C" w:rsidRPr="00FB351A" w:rsidRDefault="0021390C">
            <w:pPr>
              <w:rPr>
                <w:rFonts w:ascii="Arial" w:hAnsi="Arial" w:cs="Arial"/>
                <w:color w:val="000000"/>
                <w:sz w:val="16"/>
                <w:szCs w:val="16"/>
              </w:rPr>
            </w:pPr>
            <w:r w:rsidRPr="00FB351A">
              <w:rPr>
                <w:rFonts w:ascii="Arial" w:hAnsi="Arial" w:cs="Arial"/>
                <w:color w:val="000000"/>
                <w:sz w:val="16"/>
                <w:szCs w:val="16"/>
              </w:rPr>
              <w:t>ARTESANÍAS DE COLOMBIA</w:t>
            </w:r>
          </w:p>
        </w:tc>
        <w:tc>
          <w:tcPr>
            <w:tcW w:w="1452" w:type="pct"/>
            <w:tcBorders>
              <w:top w:val="nil"/>
              <w:left w:val="nil"/>
              <w:bottom w:val="single" w:sz="4" w:space="0" w:color="auto"/>
              <w:right w:val="single" w:sz="4" w:space="0" w:color="auto"/>
            </w:tcBorders>
            <w:noWrap/>
            <w:vAlign w:val="center"/>
            <w:hideMark/>
          </w:tcPr>
          <w:p w14:paraId="38D96865"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 INVITACIÓN ABIERTA ADC-004-2026</w:t>
            </w:r>
          </w:p>
        </w:tc>
        <w:tc>
          <w:tcPr>
            <w:tcW w:w="445" w:type="pct"/>
            <w:vMerge/>
            <w:tcBorders>
              <w:top w:val="nil"/>
              <w:left w:val="single" w:sz="4" w:space="0" w:color="auto"/>
              <w:bottom w:val="single" w:sz="4" w:space="0" w:color="auto"/>
              <w:right w:val="single" w:sz="4" w:space="0" w:color="auto"/>
            </w:tcBorders>
            <w:vAlign w:val="center"/>
            <w:hideMark/>
          </w:tcPr>
          <w:p w14:paraId="0786B15A"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554E882F" w14:textId="77777777" w:rsidR="0021390C" w:rsidRPr="00FB351A" w:rsidRDefault="0021390C">
            <w:pPr>
              <w:jc w:val="center"/>
              <w:rPr>
                <w:rFonts w:ascii="Arial" w:hAnsi="Arial" w:cs="Arial"/>
                <w:sz w:val="16"/>
                <w:szCs w:val="16"/>
              </w:rPr>
            </w:pPr>
            <w:r w:rsidRPr="00FB351A">
              <w:rPr>
                <w:rFonts w:ascii="Arial" w:hAnsi="Arial" w:cs="Arial"/>
                <w:sz w:val="16"/>
                <w:szCs w:val="16"/>
              </w:rPr>
              <w:t>4.37</w:t>
            </w:r>
          </w:p>
        </w:tc>
        <w:tc>
          <w:tcPr>
            <w:tcW w:w="233" w:type="pct"/>
            <w:vMerge/>
            <w:tcBorders>
              <w:top w:val="nil"/>
              <w:left w:val="single" w:sz="4" w:space="0" w:color="auto"/>
              <w:bottom w:val="single" w:sz="4" w:space="0" w:color="auto"/>
              <w:right w:val="single" w:sz="4" w:space="0" w:color="auto"/>
            </w:tcBorders>
            <w:vAlign w:val="center"/>
            <w:hideMark/>
          </w:tcPr>
          <w:p w14:paraId="40CB5FA5"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55211E59"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72961B43"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3A0DEDE" w14:textId="77777777" w:rsidR="0021390C" w:rsidRPr="00FB351A" w:rsidRDefault="0021390C">
            <w:pPr>
              <w:rPr>
                <w:rFonts w:ascii="Arial" w:hAnsi="Arial" w:cs="Arial"/>
                <w:sz w:val="16"/>
                <w:szCs w:val="16"/>
              </w:rPr>
            </w:pPr>
          </w:p>
        </w:tc>
      </w:tr>
      <w:tr w:rsidR="0021390C" w:rsidRPr="00FB351A" w14:paraId="3698BE3C" w14:textId="77777777" w:rsidTr="0021390C">
        <w:trPr>
          <w:trHeight w:val="20"/>
        </w:trPr>
        <w:tc>
          <w:tcPr>
            <w:tcW w:w="1902" w:type="pct"/>
            <w:tcBorders>
              <w:top w:val="nil"/>
              <w:left w:val="single" w:sz="4" w:space="0" w:color="auto"/>
              <w:bottom w:val="single" w:sz="4" w:space="0" w:color="auto"/>
              <w:right w:val="single" w:sz="4" w:space="0" w:color="auto"/>
            </w:tcBorders>
            <w:vAlign w:val="center"/>
            <w:hideMark/>
          </w:tcPr>
          <w:p w14:paraId="0AFD17FE" w14:textId="5BF96FCB"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INSTITUTO DE VIVIENDA DE INTERÉS SOCIAL Y REFORMA URBANA BUCARAMANGA </w:t>
            </w:r>
          </w:p>
        </w:tc>
        <w:tc>
          <w:tcPr>
            <w:tcW w:w="1452" w:type="pct"/>
            <w:tcBorders>
              <w:top w:val="nil"/>
              <w:left w:val="nil"/>
              <w:bottom w:val="single" w:sz="4" w:space="0" w:color="auto"/>
              <w:right w:val="single" w:sz="4" w:space="0" w:color="auto"/>
            </w:tcBorders>
            <w:noWrap/>
            <w:vAlign w:val="center"/>
            <w:hideMark/>
          </w:tcPr>
          <w:p w14:paraId="2A8E257F"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SA-001-2026 </w:t>
            </w:r>
          </w:p>
        </w:tc>
        <w:tc>
          <w:tcPr>
            <w:tcW w:w="445" w:type="pct"/>
            <w:vMerge/>
            <w:tcBorders>
              <w:top w:val="nil"/>
              <w:left w:val="single" w:sz="4" w:space="0" w:color="auto"/>
              <w:bottom w:val="single" w:sz="4" w:space="0" w:color="auto"/>
              <w:right w:val="single" w:sz="4" w:space="0" w:color="auto"/>
            </w:tcBorders>
            <w:vAlign w:val="center"/>
            <w:hideMark/>
          </w:tcPr>
          <w:p w14:paraId="2A4131C9"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221FABC9" w14:textId="77777777" w:rsidR="0021390C" w:rsidRPr="00FB351A" w:rsidRDefault="0021390C">
            <w:pPr>
              <w:jc w:val="center"/>
              <w:rPr>
                <w:rFonts w:ascii="Arial" w:hAnsi="Arial" w:cs="Arial"/>
                <w:sz w:val="16"/>
                <w:szCs w:val="16"/>
              </w:rPr>
            </w:pPr>
            <w:r w:rsidRPr="00FB351A">
              <w:rPr>
                <w:rFonts w:ascii="Arial" w:hAnsi="Arial" w:cs="Arial"/>
                <w:sz w:val="16"/>
                <w:szCs w:val="16"/>
              </w:rPr>
              <w:t>4.30</w:t>
            </w:r>
          </w:p>
        </w:tc>
        <w:tc>
          <w:tcPr>
            <w:tcW w:w="233" w:type="pct"/>
            <w:vMerge/>
            <w:tcBorders>
              <w:top w:val="nil"/>
              <w:left w:val="single" w:sz="4" w:space="0" w:color="auto"/>
              <w:bottom w:val="single" w:sz="4" w:space="0" w:color="auto"/>
              <w:right w:val="single" w:sz="4" w:space="0" w:color="auto"/>
            </w:tcBorders>
            <w:vAlign w:val="center"/>
            <w:hideMark/>
          </w:tcPr>
          <w:p w14:paraId="340E079A"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194660A9"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BF6F256"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BBB96E6" w14:textId="77777777" w:rsidR="0021390C" w:rsidRPr="00FB351A" w:rsidRDefault="0021390C">
            <w:pPr>
              <w:rPr>
                <w:rFonts w:ascii="Arial" w:hAnsi="Arial" w:cs="Arial"/>
                <w:sz w:val="16"/>
                <w:szCs w:val="16"/>
              </w:rPr>
            </w:pPr>
          </w:p>
        </w:tc>
      </w:tr>
      <w:tr w:rsidR="0021390C" w:rsidRPr="00FB351A" w14:paraId="53234043"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1CC6E4FB" w14:textId="17FB009A" w:rsidR="0021390C" w:rsidRPr="00FB351A" w:rsidRDefault="0021390C">
            <w:pPr>
              <w:rPr>
                <w:rFonts w:ascii="Arial" w:hAnsi="Arial" w:cs="Arial"/>
                <w:color w:val="000000"/>
                <w:sz w:val="16"/>
                <w:szCs w:val="16"/>
              </w:rPr>
            </w:pPr>
            <w:r w:rsidRPr="00FB351A">
              <w:rPr>
                <w:rFonts w:ascii="Arial" w:hAnsi="Arial" w:cs="Arial"/>
                <w:color w:val="000000"/>
                <w:sz w:val="16"/>
                <w:szCs w:val="16"/>
              </w:rPr>
              <w:t>DIRECCIÓN NACIONAL DE DERECHO DE AUTOR</w:t>
            </w:r>
          </w:p>
        </w:tc>
        <w:tc>
          <w:tcPr>
            <w:tcW w:w="1452" w:type="pct"/>
            <w:tcBorders>
              <w:top w:val="nil"/>
              <w:left w:val="nil"/>
              <w:bottom w:val="single" w:sz="4" w:space="0" w:color="auto"/>
              <w:right w:val="single" w:sz="4" w:space="0" w:color="auto"/>
            </w:tcBorders>
            <w:noWrap/>
            <w:vAlign w:val="center"/>
            <w:hideMark/>
          </w:tcPr>
          <w:p w14:paraId="154B3B37"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MC </w:t>
            </w:r>
            <w:proofErr w:type="spellStart"/>
            <w:r w:rsidRPr="00FB351A">
              <w:rPr>
                <w:rFonts w:ascii="Arial" w:hAnsi="Arial" w:cs="Arial"/>
                <w:color w:val="000000"/>
                <w:sz w:val="16"/>
                <w:szCs w:val="16"/>
              </w:rPr>
              <w:t>DNDA</w:t>
            </w:r>
            <w:proofErr w:type="spellEnd"/>
            <w:r w:rsidRPr="00FB351A">
              <w:rPr>
                <w:rFonts w:ascii="Arial" w:hAnsi="Arial" w:cs="Arial"/>
                <w:color w:val="000000"/>
                <w:sz w:val="16"/>
                <w:szCs w:val="16"/>
              </w:rPr>
              <w:t>-028-2026</w:t>
            </w:r>
          </w:p>
        </w:tc>
        <w:tc>
          <w:tcPr>
            <w:tcW w:w="445" w:type="pct"/>
            <w:vMerge/>
            <w:tcBorders>
              <w:top w:val="nil"/>
              <w:left w:val="single" w:sz="4" w:space="0" w:color="auto"/>
              <w:bottom w:val="single" w:sz="4" w:space="0" w:color="auto"/>
              <w:right w:val="single" w:sz="4" w:space="0" w:color="auto"/>
            </w:tcBorders>
            <w:vAlign w:val="center"/>
            <w:hideMark/>
          </w:tcPr>
          <w:p w14:paraId="022B7225"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57C69BA7" w14:textId="77777777" w:rsidR="0021390C" w:rsidRPr="00FB351A" w:rsidRDefault="0021390C">
            <w:pPr>
              <w:jc w:val="center"/>
              <w:rPr>
                <w:rFonts w:ascii="Arial" w:hAnsi="Arial" w:cs="Arial"/>
                <w:sz w:val="16"/>
                <w:szCs w:val="16"/>
              </w:rPr>
            </w:pPr>
            <w:r w:rsidRPr="00FB351A">
              <w:rPr>
                <w:rFonts w:ascii="Arial" w:hAnsi="Arial" w:cs="Arial"/>
                <w:sz w:val="16"/>
                <w:szCs w:val="16"/>
              </w:rPr>
              <w:t>4.30</w:t>
            </w:r>
          </w:p>
        </w:tc>
        <w:tc>
          <w:tcPr>
            <w:tcW w:w="233" w:type="pct"/>
            <w:vMerge/>
            <w:tcBorders>
              <w:top w:val="nil"/>
              <w:left w:val="single" w:sz="4" w:space="0" w:color="auto"/>
              <w:bottom w:val="single" w:sz="4" w:space="0" w:color="auto"/>
              <w:right w:val="single" w:sz="4" w:space="0" w:color="auto"/>
            </w:tcBorders>
            <w:vAlign w:val="center"/>
            <w:hideMark/>
          </w:tcPr>
          <w:p w14:paraId="794E47EF"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4B2A8CBE"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A6624AC"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7B99B78B" w14:textId="77777777" w:rsidR="0021390C" w:rsidRPr="00FB351A" w:rsidRDefault="0021390C">
            <w:pPr>
              <w:rPr>
                <w:rFonts w:ascii="Arial" w:hAnsi="Arial" w:cs="Arial"/>
                <w:sz w:val="16"/>
                <w:szCs w:val="16"/>
              </w:rPr>
            </w:pPr>
          </w:p>
        </w:tc>
      </w:tr>
      <w:tr w:rsidR="0021390C" w:rsidRPr="00FB351A" w14:paraId="0C6A3326"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0A65326B" w14:textId="6C4B8E4A" w:rsidR="0021390C" w:rsidRPr="00FB351A" w:rsidRDefault="0021390C">
            <w:pPr>
              <w:rPr>
                <w:rFonts w:ascii="Arial" w:hAnsi="Arial" w:cs="Arial"/>
                <w:color w:val="000000"/>
                <w:sz w:val="16"/>
                <w:szCs w:val="16"/>
              </w:rPr>
            </w:pPr>
            <w:r w:rsidRPr="00FB351A">
              <w:rPr>
                <w:rFonts w:ascii="Arial" w:hAnsi="Arial" w:cs="Arial"/>
                <w:color w:val="000000"/>
                <w:sz w:val="16"/>
                <w:szCs w:val="16"/>
              </w:rPr>
              <w:t>CONCEJO DE BOGOTÁ</w:t>
            </w:r>
          </w:p>
        </w:tc>
        <w:tc>
          <w:tcPr>
            <w:tcW w:w="1452" w:type="pct"/>
            <w:tcBorders>
              <w:top w:val="nil"/>
              <w:left w:val="nil"/>
              <w:bottom w:val="single" w:sz="4" w:space="0" w:color="auto"/>
              <w:right w:val="single" w:sz="4" w:space="0" w:color="auto"/>
            </w:tcBorders>
            <w:vAlign w:val="center"/>
            <w:hideMark/>
          </w:tcPr>
          <w:p w14:paraId="674BF1CF" w14:textId="43DF3F4B"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 SELECCIÓN ABREVIADA DE MENOR CUANTÍA No. </w:t>
            </w:r>
            <w:proofErr w:type="spellStart"/>
            <w:r w:rsidRPr="00FB351A">
              <w:rPr>
                <w:rFonts w:ascii="Arial" w:hAnsi="Arial" w:cs="Arial"/>
                <w:color w:val="000000"/>
                <w:sz w:val="16"/>
                <w:szCs w:val="16"/>
              </w:rPr>
              <w:t>SDH</w:t>
            </w:r>
            <w:proofErr w:type="spellEnd"/>
            <w:r w:rsidRPr="00FB351A">
              <w:rPr>
                <w:rFonts w:ascii="Arial" w:hAnsi="Arial" w:cs="Arial"/>
                <w:color w:val="000000"/>
                <w:sz w:val="16"/>
                <w:szCs w:val="16"/>
              </w:rPr>
              <w:t xml:space="preserve">-SAMC-0001-2026 </w:t>
            </w:r>
          </w:p>
        </w:tc>
        <w:tc>
          <w:tcPr>
            <w:tcW w:w="445" w:type="pct"/>
            <w:vMerge/>
            <w:tcBorders>
              <w:top w:val="nil"/>
              <w:left w:val="single" w:sz="4" w:space="0" w:color="auto"/>
              <w:bottom w:val="single" w:sz="4" w:space="0" w:color="auto"/>
              <w:right w:val="single" w:sz="4" w:space="0" w:color="auto"/>
            </w:tcBorders>
            <w:vAlign w:val="center"/>
            <w:hideMark/>
          </w:tcPr>
          <w:p w14:paraId="67888237"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7AF86705" w14:textId="77777777" w:rsidR="0021390C" w:rsidRPr="00FB351A" w:rsidRDefault="0021390C">
            <w:pPr>
              <w:jc w:val="center"/>
              <w:rPr>
                <w:rFonts w:ascii="Arial" w:hAnsi="Arial" w:cs="Arial"/>
                <w:sz w:val="16"/>
                <w:szCs w:val="16"/>
              </w:rPr>
            </w:pPr>
            <w:r w:rsidRPr="00FB351A">
              <w:rPr>
                <w:rFonts w:ascii="Arial" w:hAnsi="Arial" w:cs="Arial"/>
                <w:sz w:val="16"/>
                <w:szCs w:val="16"/>
              </w:rPr>
              <w:t>3.13</w:t>
            </w:r>
          </w:p>
        </w:tc>
        <w:tc>
          <w:tcPr>
            <w:tcW w:w="233" w:type="pct"/>
            <w:vMerge/>
            <w:tcBorders>
              <w:top w:val="nil"/>
              <w:left w:val="single" w:sz="4" w:space="0" w:color="auto"/>
              <w:bottom w:val="single" w:sz="4" w:space="0" w:color="auto"/>
              <w:right w:val="single" w:sz="4" w:space="0" w:color="auto"/>
            </w:tcBorders>
            <w:vAlign w:val="center"/>
            <w:hideMark/>
          </w:tcPr>
          <w:p w14:paraId="2695325D"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44B9E3E4"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A686DF5"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34F1877" w14:textId="77777777" w:rsidR="0021390C" w:rsidRPr="00FB351A" w:rsidRDefault="0021390C">
            <w:pPr>
              <w:rPr>
                <w:rFonts w:ascii="Arial" w:hAnsi="Arial" w:cs="Arial"/>
                <w:sz w:val="16"/>
                <w:szCs w:val="16"/>
              </w:rPr>
            </w:pPr>
          </w:p>
        </w:tc>
      </w:tr>
      <w:tr w:rsidR="0021390C" w:rsidRPr="00FB351A" w14:paraId="32CD74CD"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6138E8D6"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lastRenderedPageBreak/>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5F4934C5" w14:textId="7713F372"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 xml:space="preserve">SELECCIÓN ABREVIADA DE MENOR </w:t>
            </w:r>
            <w:r w:rsidR="00047674" w:rsidRPr="00FB351A">
              <w:rPr>
                <w:rFonts w:ascii="Arial" w:hAnsi="Arial" w:cs="Arial"/>
                <w:b/>
                <w:bCs/>
                <w:i/>
                <w:iCs/>
                <w:color w:val="0070C0"/>
                <w:sz w:val="16"/>
                <w:szCs w:val="16"/>
              </w:rPr>
              <w:t>CUANTÍA</w:t>
            </w:r>
            <w:r w:rsidRPr="00FB351A">
              <w:rPr>
                <w:rFonts w:ascii="Arial" w:hAnsi="Arial" w:cs="Arial"/>
                <w:b/>
                <w:bCs/>
                <w:i/>
                <w:iCs/>
                <w:color w:val="0070C0"/>
                <w:sz w:val="16"/>
                <w:szCs w:val="16"/>
              </w:rPr>
              <w:t xml:space="preserve">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167A4EB9" w14:textId="77777777" w:rsidR="0021390C" w:rsidRPr="00FB351A" w:rsidRDefault="0021390C">
            <w:pPr>
              <w:jc w:val="center"/>
              <w:rPr>
                <w:rFonts w:ascii="Arial" w:hAnsi="Arial" w:cs="Arial"/>
                <w:sz w:val="16"/>
                <w:szCs w:val="16"/>
              </w:rPr>
            </w:pPr>
            <w:r w:rsidRPr="00FB351A">
              <w:rPr>
                <w:rFonts w:ascii="Arial" w:hAnsi="Arial" w:cs="Arial"/>
                <w:sz w:val="16"/>
                <w:szCs w:val="16"/>
              </w:rPr>
              <w:t>RESPONSABILIDAD CIVIL EXTRACONTRACTUAL</w:t>
            </w:r>
          </w:p>
        </w:tc>
        <w:tc>
          <w:tcPr>
            <w:tcW w:w="219" w:type="pct"/>
            <w:tcBorders>
              <w:top w:val="nil"/>
              <w:left w:val="nil"/>
              <w:bottom w:val="single" w:sz="4" w:space="0" w:color="auto"/>
              <w:right w:val="single" w:sz="4" w:space="0" w:color="auto"/>
            </w:tcBorders>
            <w:shd w:val="clear" w:color="000000" w:fill="FFFFCC"/>
            <w:vAlign w:val="center"/>
            <w:hideMark/>
          </w:tcPr>
          <w:p w14:paraId="6D2ACAEC" w14:textId="77777777" w:rsidR="0021390C" w:rsidRPr="00FB351A" w:rsidRDefault="0021390C">
            <w:pPr>
              <w:jc w:val="center"/>
              <w:rPr>
                <w:rFonts w:ascii="Arial" w:hAnsi="Arial" w:cs="Arial"/>
                <w:sz w:val="16"/>
                <w:szCs w:val="16"/>
              </w:rPr>
            </w:pPr>
            <w:r w:rsidRPr="00FB351A">
              <w:rPr>
                <w:rFonts w:ascii="Arial" w:hAnsi="Arial" w:cs="Arial"/>
                <w:sz w:val="16"/>
                <w:szCs w:val="16"/>
              </w:rPr>
              <w:t>0.20</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1DB7B706" w14:textId="77777777" w:rsidR="0021390C" w:rsidRPr="00FB351A" w:rsidRDefault="0021390C">
            <w:pPr>
              <w:jc w:val="center"/>
              <w:rPr>
                <w:rFonts w:ascii="Arial" w:hAnsi="Arial" w:cs="Arial"/>
                <w:sz w:val="16"/>
                <w:szCs w:val="16"/>
              </w:rPr>
            </w:pPr>
            <w:r w:rsidRPr="00FB351A">
              <w:rPr>
                <w:rFonts w:ascii="Arial" w:hAnsi="Arial" w:cs="Arial"/>
                <w:sz w:val="16"/>
                <w:szCs w:val="16"/>
              </w:rPr>
              <w:t>0.20</w:t>
            </w:r>
          </w:p>
        </w:tc>
        <w:tc>
          <w:tcPr>
            <w:tcW w:w="150" w:type="pct"/>
            <w:vMerge w:val="restart"/>
            <w:tcBorders>
              <w:top w:val="nil"/>
              <w:left w:val="single" w:sz="4" w:space="0" w:color="auto"/>
              <w:bottom w:val="single" w:sz="4" w:space="0" w:color="auto"/>
              <w:right w:val="single" w:sz="4" w:space="0" w:color="auto"/>
            </w:tcBorders>
            <w:vAlign w:val="center"/>
            <w:hideMark/>
          </w:tcPr>
          <w:p w14:paraId="2BF51B40"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75233752"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630E3328"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43E9BE08"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0F06AC33"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FONDO DE DESARROLLO DE PROYECTOS DE CUNDINAMARCA-</w:t>
            </w:r>
            <w:proofErr w:type="spellStart"/>
            <w:r w:rsidRPr="00FB351A">
              <w:rPr>
                <w:rFonts w:ascii="Arial" w:hAnsi="Arial" w:cs="Arial"/>
                <w:color w:val="000000"/>
                <w:sz w:val="16"/>
                <w:szCs w:val="16"/>
              </w:rPr>
              <w:t>FONDECUN</w:t>
            </w:r>
            <w:proofErr w:type="spellEnd"/>
          </w:p>
        </w:tc>
        <w:tc>
          <w:tcPr>
            <w:tcW w:w="1452" w:type="pct"/>
            <w:tcBorders>
              <w:top w:val="nil"/>
              <w:left w:val="nil"/>
              <w:bottom w:val="single" w:sz="4" w:space="0" w:color="auto"/>
              <w:right w:val="single" w:sz="4" w:space="0" w:color="auto"/>
            </w:tcBorders>
            <w:noWrap/>
            <w:vAlign w:val="center"/>
            <w:hideMark/>
          </w:tcPr>
          <w:p w14:paraId="0E08DE32" w14:textId="2F8C3B65" w:rsidR="0021390C" w:rsidRPr="00FB351A" w:rsidRDefault="0021390C">
            <w:pPr>
              <w:rPr>
                <w:rFonts w:ascii="Arial" w:hAnsi="Arial" w:cs="Arial"/>
                <w:color w:val="000000"/>
                <w:sz w:val="16"/>
                <w:szCs w:val="16"/>
              </w:rPr>
            </w:pPr>
            <w:r w:rsidRPr="00FB351A">
              <w:rPr>
                <w:rFonts w:ascii="Arial" w:hAnsi="Arial" w:cs="Arial"/>
                <w:color w:val="000000"/>
                <w:sz w:val="16"/>
                <w:szCs w:val="16"/>
              </w:rPr>
              <w:t>SELECCIÓN ABREVIADA SAMC-001-2026</w:t>
            </w:r>
          </w:p>
        </w:tc>
        <w:tc>
          <w:tcPr>
            <w:tcW w:w="445" w:type="pct"/>
            <w:vMerge/>
            <w:tcBorders>
              <w:top w:val="nil"/>
              <w:left w:val="single" w:sz="4" w:space="0" w:color="auto"/>
              <w:bottom w:val="single" w:sz="4" w:space="0" w:color="auto"/>
              <w:right w:val="single" w:sz="4" w:space="0" w:color="auto"/>
            </w:tcBorders>
            <w:vAlign w:val="center"/>
            <w:hideMark/>
          </w:tcPr>
          <w:p w14:paraId="0540EA73"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266EFFCB" w14:textId="77777777" w:rsidR="0021390C" w:rsidRPr="00FB351A" w:rsidRDefault="0021390C">
            <w:pPr>
              <w:jc w:val="center"/>
              <w:rPr>
                <w:rFonts w:ascii="Arial" w:hAnsi="Arial" w:cs="Arial"/>
                <w:sz w:val="16"/>
                <w:szCs w:val="16"/>
              </w:rPr>
            </w:pPr>
            <w:r w:rsidRPr="00FB351A">
              <w:rPr>
                <w:rFonts w:ascii="Arial" w:hAnsi="Arial" w:cs="Arial"/>
                <w:sz w:val="16"/>
                <w:szCs w:val="16"/>
              </w:rPr>
              <w:t>0.19</w:t>
            </w:r>
          </w:p>
        </w:tc>
        <w:tc>
          <w:tcPr>
            <w:tcW w:w="233" w:type="pct"/>
            <w:vMerge/>
            <w:tcBorders>
              <w:top w:val="nil"/>
              <w:left w:val="single" w:sz="4" w:space="0" w:color="auto"/>
              <w:bottom w:val="single" w:sz="4" w:space="0" w:color="auto"/>
              <w:right w:val="single" w:sz="4" w:space="0" w:color="auto"/>
            </w:tcBorders>
            <w:vAlign w:val="center"/>
            <w:hideMark/>
          </w:tcPr>
          <w:p w14:paraId="0B57C333"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40E834B3"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73A8135"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A7BA15A" w14:textId="77777777" w:rsidR="0021390C" w:rsidRPr="00FB351A" w:rsidRDefault="0021390C">
            <w:pPr>
              <w:rPr>
                <w:rFonts w:ascii="Arial" w:hAnsi="Arial" w:cs="Arial"/>
                <w:sz w:val="16"/>
                <w:szCs w:val="16"/>
              </w:rPr>
            </w:pPr>
          </w:p>
        </w:tc>
      </w:tr>
      <w:tr w:rsidR="0021390C" w:rsidRPr="00FB351A" w14:paraId="2E463A70"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792C058E" w14:textId="36CCB336" w:rsidR="0021390C" w:rsidRPr="00FB351A" w:rsidRDefault="0021390C">
            <w:pPr>
              <w:rPr>
                <w:rFonts w:ascii="Arial" w:hAnsi="Arial" w:cs="Arial"/>
                <w:color w:val="000000"/>
                <w:sz w:val="16"/>
                <w:szCs w:val="16"/>
              </w:rPr>
            </w:pPr>
            <w:r w:rsidRPr="00FB351A">
              <w:rPr>
                <w:rFonts w:ascii="Arial" w:hAnsi="Arial" w:cs="Arial"/>
                <w:color w:val="000000"/>
                <w:sz w:val="16"/>
                <w:szCs w:val="16"/>
              </w:rPr>
              <w:t>CONTRALORÍA DE BOGOTÁ</w:t>
            </w:r>
          </w:p>
        </w:tc>
        <w:tc>
          <w:tcPr>
            <w:tcW w:w="1452" w:type="pct"/>
            <w:tcBorders>
              <w:top w:val="nil"/>
              <w:left w:val="nil"/>
              <w:bottom w:val="single" w:sz="4" w:space="0" w:color="auto"/>
              <w:right w:val="single" w:sz="4" w:space="0" w:color="auto"/>
            </w:tcBorders>
            <w:noWrap/>
            <w:vAlign w:val="center"/>
            <w:hideMark/>
          </w:tcPr>
          <w:p w14:paraId="28DE11D2"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LICITACIÓN PÚBLICA No. </w:t>
            </w:r>
            <w:proofErr w:type="spellStart"/>
            <w:r w:rsidRPr="00FB351A">
              <w:rPr>
                <w:rFonts w:ascii="Arial" w:hAnsi="Arial" w:cs="Arial"/>
                <w:color w:val="000000"/>
                <w:sz w:val="16"/>
                <w:szCs w:val="16"/>
              </w:rPr>
              <w:t>CB</w:t>
            </w:r>
            <w:proofErr w:type="spellEnd"/>
            <w:r w:rsidRPr="00FB351A">
              <w:rPr>
                <w:rFonts w:ascii="Arial" w:hAnsi="Arial" w:cs="Arial"/>
                <w:color w:val="000000"/>
                <w:sz w:val="16"/>
                <w:szCs w:val="16"/>
              </w:rPr>
              <w:t>-LP-001-2026</w:t>
            </w:r>
          </w:p>
        </w:tc>
        <w:tc>
          <w:tcPr>
            <w:tcW w:w="445" w:type="pct"/>
            <w:vMerge/>
            <w:tcBorders>
              <w:top w:val="nil"/>
              <w:left w:val="single" w:sz="4" w:space="0" w:color="auto"/>
              <w:bottom w:val="single" w:sz="4" w:space="0" w:color="auto"/>
              <w:right w:val="single" w:sz="4" w:space="0" w:color="auto"/>
            </w:tcBorders>
            <w:vAlign w:val="center"/>
            <w:hideMark/>
          </w:tcPr>
          <w:p w14:paraId="6A5E7B3B"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5AA6D63" w14:textId="77777777" w:rsidR="0021390C" w:rsidRPr="00FB351A" w:rsidRDefault="0021390C">
            <w:pPr>
              <w:jc w:val="center"/>
              <w:rPr>
                <w:rFonts w:ascii="Arial" w:hAnsi="Arial" w:cs="Arial"/>
                <w:sz w:val="16"/>
                <w:szCs w:val="16"/>
              </w:rPr>
            </w:pPr>
            <w:r w:rsidRPr="00FB351A">
              <w:rPr>
                <w:rFonts w:ascii="Arial" w:hAnsi="Arial" w:cs="Arial"/>
                <w:sz w:val="16"/>
                <w:szCs w:val="16"/>
              </w:rPr>
              <w:t>0.22</w:t>
            </w:r>
          </w:p>
        </w:tc>
        <w:tc>
          <w:tcPr>
            <w:tcW w:w="233" w:type="pct"/>
            <w:vMerge/>
            <w:tcBorders>
              <w:top w:val="nil"/>
              <w:left w:val="single" w:sz="4" w:space="0" w:color="auto"/>
              <w:bottom w:val="single" w:sz="4" w:space="0" w:color="auto"/>
              <w:right w:val="single" w:sz="4" w:space="0" w:color="auto"/>
            </w:tcBorders>
            <w:vAlign w:val="center"/>
            <w:hideMark/>
          </w:tcPr>
          <w:p w14:paraId="36333878"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60A34B3"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094A074"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50DC4B6B" w14:textId="77777777" w:rsidR="0021390C" w:rsidRPr="00FB351A" w:rsidRDefault="0021390C">
            <w:pPr>
              <w:rPr>
                <w:rFonts w:ascii="Arial" w:hAnsi="Arial" w:cs="Arial"/>
                <w:sz w:val="16"/>
                <w:szCs w:val="16"/>
              </w:rPr>
            </w:pPr>
          </w:p>
        </w:tc>
      </w:tr>
      <w:tr w:rsidR="0021390C" w:rsidRPr="00FB351A" w14:paraId="65086F6D"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573CAA1C"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SUPERINTENDENCIA DE INDUSTRIA Y COMERCIO - SIC</w:t>
            </w:r>
          </w:p>
        </w:tc>
        <w:tc>
          <w:tcPr>
            <w:tcW w:w="1452" w:type="pct"/>
            <w:tcBorders>
              <w:top w:val="nil"/>
              <w:left w:val="nil"/>
              <w:bottom w:val="single" w:sz="4" w:space="0" w:color="auto"/>
              <w:right w:val="single" w:sz="4" w:space="0" w:color="auto"/>
            </w:tcBorders>
            <w:noWrap/>
            <w:vAlign w:val="center"/>
            <w:hideMark/>
          </w:tcPr>
          <w:p w14:paraId="4D56E2B1"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LICITACIÓN PÚBLICA SIC 8 DE 2026</w:t>
            </w:r>
          </w:p>
        </w:tc>
        <w:tc>
          <w:tcPr>
            <w:tcW w:w="445" w:type="pct"/>
            <w:vMerge/>
            <w:tcBorders>
              <w:top w:val="nil"/>
              <w:left w:val="single" w:sz="4" w:space="0" w:color="auto"/>
              <w:bottom w:val="single" w:sz="4" w:space="0" w:color="auto"/>
              <w:right w:val="single" w:sz="4" w:space="0" w:color="auto"/>
            </w:tcBorders>
            <w:vAlign w:val="center"/>
            <w:hideMark/>
          </w:tcPr>
          <w:p w14:paraId="19437712"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C3BAE0D" w14:textId="77777777" w:rsidR="0021390C" w:rsidRPr="00FB351A" w:rsidRDefault="0021390C">
            <w:pPr>
              <w:jc w:val="center"/>
              <w:rPr>
                <w:rFonts w:ascii="Arial" w:hAnsi="Arial" w:cs="Arial"/>
                <w:sz w:val="16"/>
                <w:szCs w:val="16"/>
              </w:rPr>
            </w:pPr>
            <w:r w:rsidRPr="00FB351A">
              <w:rPr>
                <w:rFonts w:ascii="Arial" w:hAnsi="Arial" w:cs="Arial"/>
                <w:sz w:val="16"/>
                <w:szCs w:val="16"/>
              </w:rPr>
              <w:t>0.19</w:t>
            </w:r>
          </w:p>
        </w:tc>
        <w:tc>
          <w:tcPr>
            <w:tcW w:w="233" w:type="pct"/>
            <w:vMerge/>
            <w:tcBorders>
              <w:top w:val="nil"/>
              <w:left w:val="single" w:sz="4" w:space="0" w:color="auto"/>
              <w:bottom w:val="single" w:sz="4" w:space="0" w:color="auto"/>
              <w:right w:val="single" w:sz="4" w:space="0" w:color="auto"/>
            </w:tcBorders>
            <w:vAlign w:val="center"/>
            <w:hideMark/>
          </w:tcPr>
          <w:p w14:paraId="289111A0"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05DE5FD"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0D4D03F7"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5E9DC12B" w14:textId="77777777" w:rsidR="0021390C" w:rsidRPr="00FB351A" w:rsidRDefault="0021390C">
            <w:pPr>
              <w:rPr>
                <w:rFonts w:ascii="Arial" w:hAnsi="Arial" w:cs="Arial"/>
                <w:sz w:val="16"/>
                <w:szCs w:val="16"/>
              </w:rPr>
            </w:pPr>
          </w:p>
        </w:tc>
      </w:tr>
      <w:tr w:rsidR="0021390C" w:rsidRPr="00FB351A" w14:paraId="23AAAE82"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0FA79C84" w14:textId="403D1F3D" w:rsidR="0021390C" w:rsidRPr="00FB351A" w:rsidRDefault="0021390C">
            <w:pPr>
              <w:rPr>
                <w:rFonts w:ascii="Arial" w:hAnsi="Arial" w:cs="Arial"/>
                <w:color w:val="000000"/>
                <w:sz w:val="16"/>
                <w:szCs w:val="16"/>
              </w:rPr>
            </w:pPr>
            <w:r w:rsidRPr="00FB351A">
              <w:rPr>
                <w:rFonts w:ascii="Arial" w:hAnsi="Arial" w:cs="Arial"/>
                <w:color w:val="000000"/>
                <w:sz w:val="16"/>
                <w:szCs w:val="16"/>
              </w:rPr>
              <w:t>CONCEJO DE BOGOTÁ</w:t>
            </w:r>
          </w:p>
        </w:tc>
        <w:tc>
          <w:tcPr>
            <w:tcW w:w="1452" w:type="pct"/>
            <w:tcBorders>
              <w:top w:val="nil"/>
              <w:left w:val="nil"/>
              <w:bottom w:val="single" w:sz="4" w:space="0" w:color="auto"/>
              <w:right w:val="single" w:sz="4" w:space="0" w:color="auto"/>
            </w:tcBorders>
            <w:noWrap/>
            <w:vAlign w:val="center"/>
            <w:hideMark/>
          </w:tcPr>
          <w:p w14:paraId="2C2C275B" w14:textId="65AFD96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 SELECCIÓN ABREVIADA DE MENOR CUANTÍA No. </w:t>
            </w:r>
            <w:proofErr w:type="spellStart"/>
            <w:r w:rsidRPr="00FB351A">
              <w:rPr>
                <w:rFonts w:ascii="Arial" w:hAnsi="Arial" w:cs="Arial"/>
                <w:color w:val="000000"/>
                <w:sz w:val="16"/>
                <w:szCs w:val="16"/>
              </w:rPr>
              <w:t>SDH</w:t>
            </w:r>
            <w:proofErr w:type="spellEnd"/>
            <w:r w:rsidRPr="00FB351A">
              <w:rPr>
                <w:rFonts w:ascii="Arial" w:hAnsi="Arial" w:cs="Arial"/>
                <w:color w:val="000000"/>
                <w:sz w:val="16"/>
                <w:szCs w:val="16"/>
              </w:rPr>
              <w:t xml:space="preserve">-SAMC-0001-2026 </w:t>
            </w:r>
          </w:p>
        </w:tc>
        <w:tc>
          <w:tcPr>
            <w:tcW w:w="445" w:type="pct"/>
            <w:vMerge/>
            <w:tcBorders>
              <w:top w:val="nil"/>
              <w:left w:val="single" w:sz="4" w:space="0" w:color="auto"/>
              <w:bottom w:val="single" w:sz="4" w:space="0" w:color="auto"/>
              <w:right w:val="single" w:sz="4" w:space="0" w:color="auto"/>
            </w:tcBorders>
            <w:vAlign w:val="center"/>
            <w:hideMark/>
          </w:tcPr>
          <w:p w14:paraId="34EE98C3"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0674E5A" w14:textId="77777777" w:rsidR="0021390C" w:rsidRPr="00FB351A" w:rsidRDefault="0021390C">
            <w:pPr>
              <w:jc w:val="center"/>
              <w:rPr>
                <w:rFonts w:ascii="Arial" w:hAnsi="Arial" w:cs="Arial"/>
                <w:sz w:val="16"/>
                <w:szCs w:val="16"/>
              </w:rPr>
            </w:pPr>
            <w:r w:rsidRPr="00FB351A">
              <w:rPr>
                <w:rFonts w:ascii="Arial" w:hAnsi="Arial" w:cs="Arial"/>
                <w:sz w:val="16"/>
                <w:szCs w:val="16"/>
              </w:rPr>
              <w:t>0.19</w:t>
            </w:r>
          </w:p>
        </w:tc>
        <w:tc>
          <w:tcPr>
            <w:tcW w:w="233" w:type="pct"/>
            <w:vMerge/>
            <w:tcBorders>
              <w:top w:val="nil"/>
              <w:left w:val="single" w:sz="4" w:space="0" w:color="auto"/>
              <w:bottom w:val="single" w:sz="4" w:space="0" w:color="auto"/>
              <w:right w:val="single" w:sz="4" w:space="0" w:color="auto"/>
            </w:tcBorders>
            <w:vAlign w:val="center"/>
            <w:hideMark/>
          </w:tcPr>
          <w:p w14:paraId="5635A08B"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25CEA22"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18EFAF0"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53D81D6" w14:textId="77777777" w:rsidR="0021390C" w:rsidRPr="00FB351A" w:rsidRDefault="0021390C">
            <w:pPr>
              <w:rPr>
                <w:rFonts w:ascii="Arial" w:hAnsi="Arial" w:cs="Arial"/>
                <w:sz w:val="16"/>
                <w:szCs w:val="16"/>
              </w:rPr>
            </w:pPr>
          </w:p>
        </w:tc>
      </w:tr>
      <w:tr w:rsidR="0021390C" w:rsidRPr="00FB351A" w14:paraId="7BF7C7FC"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65F57ACE"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157518EA" w14:textId="4C4070C5"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SELECCIÓN ABREVIADA DE MENOR CUANTÍA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484987F3" w14:textId="77777777" w:rsidR="0021390C" w:rsidRPr="00FB351A" w:rsidRDefault="0021390C">
            <w:pPr>
              <w:jc w:val="center"/>
              <w:rPr>
                <w:rFonts w:ascii="Arial" w:hAnsi="Arial" w:cs="Arial"/>
                <w:sz w:val="16"/>
                <w:szCs w:val="16"/>
              </w:rPr>
            </w:pPr>
            <w:r w:rsidRPr="00FB351A">
              <w:rPr>
                <w:rFonts w:ascii="Arial" w:hAnsi="Arial" w:cs="Arial"/>
                <w:sz w:val="16"/>
                <w:szCs w:val="16"/>
              </w:rPr>
              <w:t>TRANSPORTE DE VALORES</w:t>
            </w:r>
          </w:p>
        </w:tc>
        <w:tc>
          <w:tcPr>
            <w:tcW w:w="219" w:type="pct"/>
            <w:tcBorders>
              <w:top w:val="nil"/>
              <w:left w:val="nil"/>
              <w:bottom w:val="single" w:sz="4" w:space="0" w:color="auto"/>
              <w:right w:val="single" w:sz="4" w:space="0" w:color="auto"/>
            </w:tcBorders>
            <w:shd w:val="clear" w:color="000000" w:fill="FFFFCC"/>
            <w:vAlign w:val="center"/>
            <w:hideMark/>
          </w:tcPr>
          <w:p w14:paraId="47F13EEF" w14:textId="77777777" w:rsidR="0021390C" w:rsidRPr="00FB351A" w:rsidRDefault="0021390C">
            <w:pPr>
              <w:jc w:val="center"/>
              <w:rPr>
                <w:rFonts w:ascii="Arial" w:hAnsi="Arial" w:cs="Arial"/>
                <w:sz w:val="16"/>
                <w:szCs w:val="16"/>
              </w:rPr>
            </w:pPr>
            <w:r w:rsidRPr="00FB351A">
              <w:rPr>
                <w:rFonts w:ascii="Arial" w:hAnsi="Arial" w:cs="Arial"/>
                <w:sz w:val="16"/>
                <w:szCs w:val="16"/>
              </w:rPr>
              <w:t>0.37</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0D081F82" w14:textId="77777777" w:rsidR="0021390C" w:rsidRPr="00FB351A" w:rsidRDefault="0021390C">
            <w:pPr>
              <w:jc w:val="center"/>
              <w:rPr>
                <w:rFonts w:ascii="Arial" w:hAnsi="Arial" w:cs="Arial"/>
                <w:color w:val="006AB9"/>
                <w:sz w:val="16"/>
                <w:szCs w:val="16"/>
              </w:rPr>
            </w:pPr>
            <w:r w:rsidRPr="00FB351A">
              <w:rPr>
                <w:rFonts w:ascii="Arial" w:hAnsi="Arial" w:cs="Arial"/>
                <w:color w:val="006AB9"/>
                <w:sz w:val="16"/>
                <w:szCs w:val="16"/>
              </w:rPr>
              <w:t>0.34</w:t>
            </w:r>
          </w:p>
        </w:tc>
        <w:tc>
          <w:tcPr>
            <w:tcW w:w="150" w:type="pct"/>
            <w:vMerge w:val="restart"/>
            <w:tcBorders>
              <w:top w:val="nil"/>
              <w:left w:val="single" w:sz="4" w:space="0" w:color="auto"/>
              <w:bottom w:val="single" w:sz="4" w:space="0" w:color="auto"/>
              <w:right w:val="single" w:sz="4" w:space="0" w:color="auto"/>
            </w:tcBorders>
            <w:vAlign w:val="center"/>
            <w:hideMark/>
          </w:tcPr>
          <w:p w14:paraId="0BAD790C"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19098B64"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1E35407D"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31AB81DB"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6BC000CF" w14:textId="45A371CA" w:rsidR="0021390C" w:rsidRPr="00FB351A" w:rsidRDefault="0021390C">
            <w:pPr>
              <w:rPr>
                <w:rFonts w:ascii="Arial" w:hAnsi="Arial" w:cs="Arial"/>
                <w:color w:val="000000"/>
                <w:sz w:val="16"/>
                <w:szCs w:val="16"/>
              </w:rPr>
            </w:pPr>
            <w:r w:rsidRPr="00FB351A">
              <w:rPr>
                <w:rFonts w:ascii="Arial" w:hAnsi="Arial" w:cs="Arial"/>
                <w:color w:val="000000"/>
                <w:sz w:val="16"/>
                <w:szCs w:val="16"/>
              </w:rPr>
              <w:t>ARTESANÍAS DE COLOMBIA</w:t>
            </w:r>
          </w:p>
        </w:tc>
        <w:tc>
          <w:tcPr>
            <w:tcW w:w="1452" w:type="pct"/>
            <w:tcBorders>
              <w:top w:val="nil"/>
              <w:left w:val="nil"/>
              <w:bottom w:val="single" w:sz="4" w:space="0" w:color="auto"/>
              <w:right w:val="single" w:sz="4" w:space="0" w:color="auto"/>
            </w:tcBorders>
            <w:noWrap/>
            <w:vAlign w:val="center"/>
            <w:hideMark/>
          </w:tcPr>
          <w:p w14:paraId="3FEC058D"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 INVITACIÓN ABIERTA ADC-004-2026</w:t>
            </w:r>
          </w:p>
        </w:tc>
        <w:tc>
          <w:tcPr>
            <w:tcW w:w="445" w:type="pct"/>
            <w:vMerge/>
            <w:tcBorders>
              <w:top w:val="nil"/>
              <w:left w:val="single" w:sz="4" w:space="0" w:color="auto"/>
              <w:bottom w:val="single" w:sz="4" w:space="0" w:color="auto"/>
              <w:right w:val="single" w:sz="4" w:space="0" w:color="auto"/>
            </w:tcBorders>
            <w:vAlign w:val="center"/>
            <w:hideMark/>
          </w:tcPr>
          <w:p w14:paraId="5C9DD1E8"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2D8A8966" w14:textId="77777777" w:rsidR="0021390C" w:rsidRPr="00FB351A" w:rsidRDefault="0021390C">
            <w:pPr>
              <w:jc w:val="center"/>
              <w:rPr>
                <w:rFonts w:ascii="Arial" w:hAnsi="Arial" w:cs="Arial"/>
                <w:sz w:val="16"/>
                <w:szCs w:val="16"/>
              </w:rPr>
            </w:pPr>
            <w:r w:rsidRPr="00FB351A">
              <w:rPr>
                <w:rFonts w:ascii="Arial" w:hAnsi="Arial" w:cs="Arial"/>
                <w:sz w:val="16"/>
                <w:szCs w:val="16"/>
              </w:rPr>
              <w:t>0.24</w:t>
            </w:r>
          </w:p>
        </w:tc>
        <w:tc>
          <w:tcPr>
            <w:tcW w:w="233" w:type="pct"/>
            <w:vMerge/>
            <w:tcBorders>
              <w:top w:val="nil"/>
              <w:left w:val="single" w:sz="4" w:space="0" w:color="auto"/>
              <w:bottom w:val="single" w:sz="4" w:space="0" w:color="auto"/>
              <w:right w:val="single" w:sz="4" w:space="0" w:color="auto"/>
            </w:tcBorders>
            <w:vAlign w:val="center"/>
            <w:hideMark/>
          </w:tcPr>
          <w:p w14:paraId="36C5D8E9"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5F1F27BA"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4943F68B"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4F560285" w14:textId="77777777" w:rsidR="0021390C" w:rsidRPr="00FB351A" w:rsidRDefault="0021390C">
            <w:pPr>
              <w:rPr>
                <w:rFonts w:ascii="Arial" w:hAnsi="Arial" w:cs="Arial"/>
                <w:sz w:val="16"/>
                <w:szCs w:val="16"/>
              </w:rPr>
            </w:pPr>
          </w:p>
        </w:tc>
      </w:tr>
      <w:tr w:rsidR="0021390C" w:rsidRPr="00FB351A" w14:paraId="526D704E"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1BA18AB9" w14:textId="05E6C638" w:rsidR="0021390C" w:rsidRPr="00FB351A" w:rsidRDefault="0021390C">
            <w:pPr>
              <w:rPr>
                <w:rFonts w:ascii="Arial" w:hAnsi="Arial" w:cs="Arial"/>
                <w:color w:val="000000"/>
                <w:sz w:val="16"/>
                <w:szCs w:val="16"/>
              </w:rPr>
            </w:pPr>
            <w:r w:rsidRPr="00FB351A">
              <w:rPr>
                <w:rFonts w:ascii="Arial" w:hAnsi="Arial" w:cs="Arial"/>
                <w:color w:val="000000"/>
                <w:sz w:val="16"/>
                <w:szCs w:val="16"/>
              </w:rPr>
              <w:t>AGENCIA LOGÍSTICA DE LAS FUERZA MILITARES</w:t>
            </w:r>
          </w:p>
        </w:tc>
        <w:tc>
          <w:tcPr>
            <w:tcW w:w="1452" w:type="pct"/>
            <w:tcBorders>
              <w:top w:val="nil"/>
              <w:left w:val="nil"/>
              <w:bottom w:val="single" w:sz="4" w:space="0" w:color="auto"/>
              <w:right w:val="single" w:sz="4" w:space="0" w:color="auto"/>
            </w:tcBorders>
            <w:noWrap/>
            <w:vAlign w:val="center"/>
            <w:hideMark/>
          </w:tcPr>
          <w:p w14:paraId="1F539EB8"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LICITACIÓN PÚBLICA No. 002-046-2026</w:t>
            </w:r>
          </w:p>
        </w:tc>
        <w:tc>
          <w:tcPr>
            <w:tcW w:w="445" w:type="pct"/>
            <w:vMerge/>
            <w:tcBorders>
              <w:top w:val="nil"/>
              <w:left w:val="single" w:sz="4" w:space="0" w:color="auto"/>
              <w:bottom w:val="single" w:sz="4" w:space="0" w:color="auto"/>
              <w:right w:val="single" w:sz="4" w:space="0" w:color="auto"/>
            </w:tcBorders>
            <w:vAlign w:val="center"/>
            <w:hideMark/>
          </w:tcPr>
          <w:p w14:paraId="65FCC591"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2D344BE1" w14:textId="77777777" w:rsidR="0021390C" w:rsidRPr="00FB351A" w:rsidRDefault="0021390C">
            <w:pPr>
              <w:jc w:val="center"/>
              <w:rPr>
                <w:rFonts w:ascii="Arial" w:hAnsi="Arial" w:cs="Arial"/>
                <w:sz w:val="16"/>
                <w:szCs w:val="16"/>
              </w:rPr>
            </w:pPr>
            <w:r w:rsidRPr="00FB351A">
              <w:rPr>
                <w:rFonts w:ascii="Arial" w:hAnsi="Arial" w:cs="Arial"/>
                <w:sz w:val="16"/>
                <w:szCs w:val="16"/>
              </w:rPr>
              <w:t>0.20</w:t>
            </w:r>
          </w:p>
        </w:tc>
        <w:tc>
          <w:tcPr>
            <w:tcW w:w="233" w:type="pct"/>
            <w:vMerge/>
            <w:tcBorders>
              <w:top w:val="nil"/>
              <w:left w:val="single" w:sz="4" w:space="0" w:color="auto"/>
              <w:bottom w:val="single" w:sz="4" w:space="0" w:color="auto"/>
              <w:right w:val="single" w:sz="4" w:space="0" w:color="auto"/>
            </w:tcBorders>
            <w:vAlign w:val="center"/>
            <w:hideMark/>
          </w:tcPr>
          <w:p w14:paraId="4A4FC869"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71C83D88"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9ED7EFF"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172DC864" w14:textId="77777777" w:rsidR="0021390C" w:rsidRPr="00FB351A" w:rsidRDefault="0021390C">
            <w:pPr>
              <w:rPr>
                <w:rFonts w:ascii="Arial" w:hAnsi="Arial" w:cs="Arial"/>
                <w:sz w:val="16"/>
                <w:szCs w:val="16"/>
              </w:rPr>
            </w:pPr>
          </w:p>
        </w:tc>
      </w:tr>
      <w:tr w:rsidR="0021390C" w:rsidRPr="00FB351A" w14:paraId="25C0B3B9"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B7A4138"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FONDO PASIVO SOCIAL DE FERROCARRILES NACIONALES DE COLOMBIA</w:t>
            </w:r>
          </w:p>
        </w:tc>
        <w:tc>
          <w:tcPr>
            <w:tcW w:w="1452" w:type="pct"/>
            <w:tcBorders>
              <w:top w:val="nil"/>
              <w:left w:val="nil"/>
              <w:bottom w:val="single" w:sz="4" w:space="0" w:color="auto"/>
              <w:right w:val="single" w:sz="4" w:space="0" w:color="auto"/>
            </w:tcBorders>
            <w:noWrap/>
            <w:vAlign w:val="center"/>
            <w:hideMark/>
          </w:tcPr>
          <w:p w14:paraId="2C24D5DD"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Selección de MÍNIMA CUANTÍA No. </w:t>
            </w:r>
            <w:proofErr w:type="spellStart"/>
            <w:r w:rsidRPr="00FB351A">
              <w:rPr>
                <w:rFonts w:ascii="Arial" w:hAnsi="Arial" w:cs="Arial"/>
                <w:color w:val="000000"/>
                <w:sz w:val="16"/>
                <w:szCs w:val="16"/>
              </w:rPr>
              <w:t>IPMC</w:t>
            </w:r>
            <w:proofErr w:type="spellEnd"/>
            <w:r w:rsidRPr="00FB351A">
              <w:rPr>
                <w:rFonts w:ascii="Arial" w:hAnsi="Arial" w:cs="Arial"/>
                <w:color w:val="000000"/>
                <w:sz w:val="16"/>
                <w:szCs w:val="16"/>
              </w:rPr>
              <w:t>-FPS-001-2026.</w:t>
            </w:r>
          </w:p>
        </w:tc>
        <w:tc>
          <w:tcPr>
            <w:tcW w:w="445" w:type="pct"/>
            <w:vMerge/>
            <w:tcBorders>
              <w:top w:val="nil"/>
              <w:left w:val="single" w:sz="4" w:space="0" w:color="auto"/>
              <w:bottom w:val="single" w:sz="4" w:space="0" w:color="auto"/>
              <w:right w:val="single" w:sz="4" w:space="0" w:color="auto"/>
            </w:tcBorders>
            <w:vAlign w:val="center"/>
            <w:hideMark/>
          </w:tcPr>
          <w:p w14:paraId="1C2D54EE"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121FF98B" w14:textId="77777777" w:rsidR="0021390C" w:rsidRPr="00FB351A" w:rsidRDefault="0021390C">
            <w:pPr>
              <w:jc w:val="center"/>
              <w:rPr>
                <w:rFonts w:ascii="Arial" w:hAnsi="Arial" w:cs="Arial"/>
                <w:sz w:val="16"/>
                <w:szCs w:val="16"/>
              </w:rPr>
            </w:pPr>
            <w:r w:rsidRPr="00FB351A">
              <w:rPr>
                <w:rFonts w:ascii="Arial" w:hAnsi="Arial" w:cs="Arial"/>
                <w:sz w:val="16"/>
                <w:szCs w:val="16"/>
              </w:rPr>
              <w:t>0.12</w:t>
            </w:r>
          </w:p>
        </w:tc>
        <w:tc>
          <w:tcPr>
            <w:tcW w:w="233" w:type="pct"/>
            <w:vMerge/>
            <w:tcBorders>
              <w:top w:val="nil"/>
              <w:left w:val="single" w:sz="4" w:space="0" w:color="auto"/>
              <w:bottom w:val="single" w:sz="4" w:space="0" w:color="auto"/>
              <w:right w:val="single" w:sz="4" w:space="0" w:color="auto"/>
            </w:tcBorders>
            <w:vAlign w:val="center"/>
            <w:hideMark/>
          </w:tcPr>
          <w:p w14:paraId="6FB4FD1E"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0D5F6DE0"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106D529"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1E2C54DF" w14:textId="77777777" w:rsidR="0021390C" w:rsidRPr="00FB351A" w:rsidRDefault="0021390C">
            <w:pPr>
              <w:rPr>
                <w:rFonts w:ascii="Arial" w:hAnsi="Arial" w:cs="Arial"/>
                <w:sz w:val="16"/>
                <w:szCs w:val="16"/>
              </w:rPr>
            </w:pPr>
          </w:p>
        </w:tc>
      </w:tr>
      <w:tr w:rsidR="0021390C" w:rsidRPr="00FB351A" w14:paraId="1504E5E1"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6CBB8956"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UNIDAD DE INFORMACIÓN Y ANÁLISIS FINANCIERO - </w:t>
            </w:r>
            <w:proofErr w:type="spellStart"/>
            <w:r w:rsidRPr="00FB351A">
              <w:rPr>
                <w:rFonts w:ascii="Arial" w:hAnsi="Arial" w:cs="Arial"/>
                <w:color w:val="000000"/>
                <w:sz w:val="16"/>
                <w:szCs w:val="16"/>
              </w:rPr>
              <w:t>UIAF</w:t>
            </w:r>
            <w:proofErr w:type="spellEnd"/>
          </w:p>
        </w:tc>
        <w:tc>
          <w:tcPr>
            <w:tcW w:w="1452" w:type="pct"/>
            <w:tcBorders>
              <w:top w:val="nil"/>
              <w:left w:val="nil"/>
              <w:bottom w:val="single" w:sz="4" w:space="0" w:color="auto"/>
              <w:right w:val="single" w:sz="4" w:space="0" w:color="auto"/>
            </w:tcBorders>
            <w:vAlign w:val="center"/>
            <w:hideMark/>
          </w:tcPr>
          <w:p w14:paraId="71908CDE"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CONTRATACIÓN DIRECTA DE BIENES Y SERVICIOS QUE REQUIEREN DE RESERVA-2025</w:t>
            </w:r>
          </w:p>
        </w:tc>
        <w:tc>
          <w:tcPr>
            <w:tcW w:w="445" w:type="pct"/>
            <w:vMerge/>
            <w:tcBorders>
              <w:top w:val="nil"/>
              <w:left w:val="single" w:sz="4" w:space="0" w:color="auto"/>
              <w:bottom w:val="single" w:sz="4" w:space="0" w:color="auto"/>
              <w:right w:val="single" w:sz="4" w:space="0" w:color="auto"/>
            </w:tcBorders>
            <w:vAlign w:val="center"/>
            <w:hideMark/>
          </w:tcPr>
          <w:p w14:paraId="51791EC1"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2E9DA091" w14:textId="77777777" w:rsidR="0021390C" w:rsidRPr="00FB351A" w:rsidRDefault="0021390C">
            <w:pPr>
              <w:jc w:val="center"/>
              <w:rPr>
                <w:rFonts w:ascii="Arial" w:hAnsi="Arial" w:cs="Arial"/>
                <w:sz w:val="16"/>
                <w:szCs w:val="16"/>
              </w:rPr>
            </w:pPr>
            <w:r w:rsidRPr="00FB351A">
              <w:rPr>
                <w:rFonts w:ascii="Arial" w:hAnsi="Arial" w:cs="Arial"/>
                <w:sz w:val="16"/>
                <w:szCs w:val="16"/>
              </w:rPr>
              <w:t>0.75</w:t>
            </w:r>
          </w:p>
        </w:tc>
        <w:tc>
          <w:tcPr>
            <w:tcW w:w="233" w:type="pct"/>
            <w:vMerge/>
            <w:tcBorders>
              <w:top w:val="nil"/>
              <w:left w:val="single" w:sz="4" w:space="0" w:color="auto"/>
              <w:bottom w:val="single" w:sz="4" w:space="0" w:color="auto"/>
              <w:right w:val="single" w:sz="4" w:space="0" w:color="auto"/>
            </w:tcBorders>
            <w:vAlign w:val="center"/>
            <w:hideMark/>
          </w:tcPr>
          <w:p w14:paraId="702594F8"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CD0D412"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264989F"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83FDCC3" w14:textId="77777777" w:rsidR="0021390C" w:rsidRPr="00FB351A" w:rsidRDefault="0021390C">
            <w:pPr>
              <w:rPr>
                <w:rFonts w:ascii="Arial" w:hAnsi="Arial" w:cs="Arial"/>
                <w:sz w:val="16"/>
                <w:szCs w:val="16"/>
              </w:rPr>
            </w:pPr>
          </w:p>
        </w:tc>
      </w:tr>
      <w:tr w:rsidR="0021390C" w:rsidRPr="00FB351A" w14:paraId="40F9CD53"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77F3B5B0"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5B8E0FAE" w14:textId="6BFBD63F"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SELECCIÓN ABREVIADA DE MENOR CUANTÍA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73FC7208" w14:textId="254667A8" w:rsidR="0021390C" w:rsidRPr="00FB351A" w:rsidRDefault="0021390C">
            <w:pPr>
              <w:jc w:val="center"/>
              <w:rPr>
                <w:rFonts w:ascii="Arial" w:hAnsi="Arial" w:cs="Arial"/>
                <w:sz w:val="16"/>
                <w:szCs w:val="16"/>
              </w:rPr>
            </w:pPr>
            <w:r w:rsidRPr="00FB351A">
              <w:rPr>
                <w:rFonts w:ascii="Arial" w:hAnsi="Arial" w:cs="Arial"/>
                <w:sz w:val="16"/>
                <w:szCs w:val="16"/>
              </w:rPr>
              <w:t>TRANSPORTE DE MERCANCÍAS</w:t>
            </w:r>
          </w:p>
        </w:tc>
        <w:tc>
          <w:tcPr>
            <w:tcW w:w="219" w:type="pct"/>
            <w:tcBorders>
              <w:top w:val="nil"/>
              <w:left w:val="nil"/>
              <w:bottom w:val="single" w:sz="4" w:space="0" w:color="auto"/>
              <w:right w:val="single" w:sz="4" w:space="0" w:color="auto"/>
            </w:tcBorders>
            <w:shd w:val="clear" w:color="000000" w:fill="FFFFCC"/>
            <w:vAlign w:val="center"/>
            <w:hideMark/>
          </w:tcPr>
          <w:p w14:paraId="36AF855B" w14:textId="77777777" w:rsidR="0021390C" w:rsidRPr="00FB351A" w:rsidRDefault="0021390C">
            <w:pPr>
              <w:jc w:val="center"/>
              <w:rPr>
                <w:rFonts w:ascii="Arial" w:hAnsi="Arial" w:cs="Arial"/>
                <w:sz w:val="16"/>
                <w:szCs w:val="16"/>
              </w:rPr>
            </w:pPr>
            <w:r w:rsidRPr="00FB351A">
              <w:rPr>
                <w:rFonts w:ascii="Arial" w:hAnsi="Arial" w:cs="Arial"/>
                <w:sz w:val="16"/>
                <w:szCs w:val="16"/>
              </w:rPr>
              <w:t>0.25</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069BD5FE" w14:textId="77777777" w:rsidR="0021390C" w:rsidRPr="00FB351A" w:rsidRDefault="0021390C">
            <w:pPr>
              <w:jc w:val="center"/>
              <w:rPr>
                <w:rFonts w:ascii="Arial" w:hAnsi="Arial" w:cs="Arial"/>
                <w:sz w:val="16"/>
                <w:szCs w:val="16"/>
              </w:rPr>
            </w:pPr>
            <w:r w:rsidRPr="00FB351A">
              <w:rPr>
                <w:rFonts w:ascii="Arial" w:hAnsi="Arial" w:cs="Arial"/>
                <w:sz w:val="16"/>
                <w:szCs w:val="16"/>
              </w:rPr>
              <w:t>0.26</w:t>
            </w:r>
          </w:p>
        </w:tc>
        <w:tc>
          <w:tcPr>
            <w:tcW w:w="150" w:type="pct"/>
            <w:vMerge w:val="restart"/>
            <w:tcBorders>
              <w:top w:val="nil"/>
              <w:left w:val="single" w:sz="4" w:space="0" w:color="auto"/>
              <w:bottom w:val="single" w:sz="4" w:space="0" w:color="auto"/>
              <w:right w:val="single" w:sz="4" w:space="0" w:color="auto"/>
            </w:tcBorders>
            <w:vAlign w:val="center"/>
            <w:hideMark/>
          </w:tcPr>
          <w:p w14:paraId="236D3443"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2F7AB0A7"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10D7C6FF"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6F6AE5BE"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A46B4D4"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DEPARTAMENTO DE CUNDINAMARCA</w:t>
            </w:r>
          </w:p>
        </w:tc>
        <w:tc>
          <w:tcPr>
            <w:tcW w:w="1452" w:type="pct"/>
            <w:tcBorders>
              <w:top w:val="nil"/>
              <w:left w:val="nil"/>
              <w:bottom w:val="single" w:sz="4" w:space="0" w:color="auto"/>
              <w:right w:val="single" w:sz="4" w:space="0" w:color="auto"/>
            </w:tcBorders>
            <w:noWrap/>
            <w:vAlign w:val="center"/>
            <w:hideMark/>
          </w:tcPr>
          <w:p w14:paraId="15941464"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LICITACIÓN PÚBLICA SG-LP-001-2025</w:t>
            </w:r>
          </w:p>
        </w:tc>
        <w:tc>
          <w:tcPr>
            <w:tcW w:w="445" w:type="pct"/>
            <w:vMerge/>
            <w:tcBorders>
              <w:top w:val="nil"/>
              <w:left w:val="single" w:sz="4" w:space="0" w:color="auto"/>
              <w:bottom w:val="single" w:sz="4" w:space="0" w:color="auto"/>
              <w:right w:val="single" w:sz="4" w:space="0" w:color="auto"/>
            </w:tcBorders>
            <w:vAlign w:val="center"/>
            <w:hideMark/>
          </w:tcPr>
          <w:p w14:paraId="6CDEFEF7"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1E8443D" w14:textId="77777777" w:rsidR="0021390C" w:rsidRPr="00FB351A" w:rsidRDefault="0021390C">
            <w:pPr>
              <w:jc w:val="center"/>
              <w:rPr>
                <w:rFonts w:ascii="Arial" w:hAnsi="Arial" w:cs="Arial"/>
                <w:sz w:val="16"/>
                <w:szCs w:val="16"/>
              </w:rPr>
            </w:pPr>
            <w:r w:rsidRPr="00FB351A">
              <w:rPr>
                <w:rFonts w:ascii="Arial" w:hAnsi="Arial" w:cs="Arial"/>
                <w:sz w:val="16"/>
                <w:szCs w:val="16"/>
              </w:rPr>
              <w:t>0.10</w:t>
            </w:r>
          </w:p>
        </w:tc>
        <w:tc>
          <w:tcPr>
            <w:tcW w:w="233" w:type="pct"/>
            <w:vMerge/>
            <w:tcBorders>
              <w:top w:val="nil"/>
              <w:left w:val="single" w:sz="4" w:space="0" w:color="auto"/>
              <w:bottom w:val="single" w:sz="4" w:space="0" w:color="auto"/>
              <w:right w:val="single" w:sz="4" w:space="0" w:color="auto"/>
            </w:tcBorders>
            <w:vAlign w:val="center"/>
            <w:hideMark/>
          </w:tcPr>
          <w:p w14:paraId="068EB167"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2B387CB5"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114FFC0"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DA433FB" w14:textId="77777777" w:rsidR="0021390C" w:rsidRPr="00FB351A" w:rsidRDefault="0021390C">
            <w:pPr>
              <w:rPr>
                <w:rFonts w:ascii="Arial" w:hAnsi="Arial" w:cs="Arial"/>
                <w:sz w:val="16"/>
                <w:szCs w:val="16"/>
              </w:rPr>
            </w:pPr>
          </w:p>
        </w:tc>
      </w:tr>
      <w:tr w:rsidR="0021390C" w:rsidRPr="00FB351A" w14:paraId="13438DC7"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72FCA7C0"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SUPERINTENDENCIA DE INDUSTRIA Y COMERCIO - SIC</w:t>
            </w:r>
          </w:p>
        </w:tc>
        <w:tc>
          <w:tcPr>
            <w:tcW w:w="1452" w:type="pct"/>
            <w:tcBorders>
              <w:top w:val="nil"/>
              <w:left w:val="nil"/>
              <w:bottom w:val="single" w:sz="4" w:space="0" w:color="auto"/>
              <w:right w:val="single" w:sz="4" w:space="0" w:color="auto"/>
            </w:tcBorders>
            <w:noWrap/>
            <w:vAlign w:val="center"/>
            <w:hideMark/>
          </w:tcPr>
          <w:p w14:paraId="61BC6928"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LICITACIÓN PÚBLICA SIC 8 DE 2026</w:t>
            </w:r>
          </w:p>
        </w:tc>
        <w:tc>
          <w:tcPr>
            <w:tcW w:w="445" w:type="pct"/>
            <w:vMerge/>
            <w:tcBorders>
              <w:top w:val="nil"/>
              <w:left w:val="single" w:sz="4" w:space="0" w:color="auto"/>
              <w:bottom w:val="single" w:sz="4" w:space="0" w:color="auto"/>
              <w:right w:val="single" w:sz="4" w:space="0" w:color="auto"/>
            </w:tcBorders>
            <w:vAlign w:val="center"/>
            <w:hideMark/>
          </w:tcPr>
          <w:p w14:paraId="141B1FD7"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6FA13BB1" w14:textId="77777777" w:rsidR="0021390C" w:rsidRPr="00FB351A" w:rsidRDefault="0021390C">
            <w:pPr>
              <w:jc w:val="center"/>
              <w:rPr>
                <w:rFonts w:ascii="Arial" w:hAnsi="Arial" w:cs="Arial"/>
                <w:sz w:val="16"/>
                <w:szCs w:val="16"/>
              </w:rPr>
            </w:pPr>
            <w:r w:rsidRPr="00FB351A">
              <w:rPr>
                <w:rFonts w:ascii="Arial" w:hAnsi="Arial" w:cs="Arial"/>
                <w:sz w:val="16"/>
                <w:szCs w:val="16"/>
              </w:rPr>
              <w:t>0.58</w:t>
            </w:r>
          </w:p>
        </w:tc>
        <w:tc>
          <w:tcPr>
            <w:tcW w:w="233" w:type="pct"/>
            <w:vMerge/>
            <w:tcBorders>
              <w:top w:val="nil"/>
              <w:left w:val="single" w:sz="4" w:space="0" w:color="auto"/>
              <w:bottom w:val="single" w:sz="4" w:space="0" w:color="auto"/>
              <w:right w:val="single" w:sz="4" w:space="0" w:color="auto"/>
            </w:tcBorders>
            <w:vAlign w:val="center"/>
            <w:hideMark/>
          </w:tcPr>
          <w:p w14:paraId="177BE52C"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071383CF"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12B43FDE"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2802ECCF" w14:textId="77777777" w:rsidR="0021390C" w:rsidRPr="00FB351A" w:rsidRDefault="0021390C">
            <w:pPr>
              <w:rPr>
                <w:rFonts w:ascii="Arial" w:hAnsi="Arial" w:cs="Arial"/>
                <w:sz w:val="16"/>
                <w:szCs w:val="16"/>
              </w:rPr>
            </w:pPr>
          </w:p>
        </w:tc>
      </w:tr>
      <w:tr w:rsidR="0021390C" w:rsidRPr="00FB351A" w14:paraId="5B26CA57"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21A2D733"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UNIDAD ADMINISTRATIVA ESPECIAL DE AERONÁUTICA CIVIL  - AEROCIVIL </w:t>
            </w:r>
          </w:p>
        </w:tc>
        <w:tc>
          <w:tcPr>
            <w:tcW w:w="1452" w:type="pct"/>
            <w:tcBorders>
              <w:top w:val="nil"/>
              <w:left w:val="nil"/>
              <w:bottom w:val="single" w:sz="4" w:space="0" w:color="auto"/>
              <w:right w:val="single" w:sz="4" w:space="0" w:color="auto"/>
            </w:tcBorders>
            <w:noWrap/>
            <w:vAlign w:val="center"/>
            <w:hideMark/>
          </w:tcPr>
          <w:p w14:paraId="7F267313" w14:textId="33BE6EFD"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LICITACIÓN PUBLICA 26001053 </w:t>
            </w:r>
            <w:proofErr w:type="spellStart"/>
            <w:r w:rsidRPr="00FB351A">
              <w:rPr>
                <w:rFonts w:ascii="Arial" w:hAnsi="Arial" w:cs="Arial"/>
                <w:color w:val="000000"/>
                <w:sz w:val="16"/>
                <w:szCs w:val="16"/>
              </w:rPr>
              <w:t>H3</w:t>
            </w:r>
            <w:proofErr w:type="spellEnd"/>
            <w:r w:rsidRPr="00FB351A">
              <w:rPr>
                <w:rFonts w:ascii="Arial" w:hAnsi="Arial" w:cs="Arial"/>
                <w:color w:val="000000"/>
                <w:sz w:val="16"/>
                <w:szCs w:val="16"/>
              </w:rPr>
              <w:t xml:space="preserve"> de 2026 </w:t>
            </w:r>
          </w:p>
        </w:tc>
        <w:tc>
          <w:tcPr>
            <w:tcW w:w="445" w:type="pct"/>
            <w:vMerge/>
            <w:tcBorders>
              <w:top w:val="nil"/>
              <w:left w:val="single" w:sz="4" w:space="0" w:color="auto"/>
              <w:bottom w:val="single" w:sz="4" w:space="0" w:color="auto"/>
              <w:right w:val="single" w:sz="4" w:space="0" w:color="auto"/>
            </w:tcBorders>
            <w:vAlign w:val="center"/>
            <w:hideMark/>
          </w:tcPr>
          <w:p w14:paraId="01199EE9"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EF1FFA0" w14:textId="77777777" w:rsidR="0021390C" w:rsidRPr="00FB351A" w:rsidRDefault="0021390C">
            <w:pPr>
              <w:jc w:val="center"/>
              <w:rPr>
                <w:rFonts w:ascii="Arial" w:hAnsi="Arial" w:cs="Arial"/>
                <w:sz w:val="16"/>
                <w:szCs w:val="16"/>
              </w:rPr>
            </w:pPr>
            <w:r w:rsidRPr="00FB351A">
              <w:rPr>
                <w:rFonts w:ascii="Arial" w:hAnsi="Arial" w:cs="Arial"/>
                <w:sz w:val="16"/>
                <w:szCs w:val="16"/>
              </w:rPr>
              <w:t>0.09</w:t>
            </w:r>
          </w:p>
        </w:tc>
        <w:tc>
          <w:tcPr>
            <w:tcW w:w="233" w:type="pct"/>
            <w:vMerge/>
            <w:tcBorders>
              <w:top w:val="nil"/>
              <w:left w:val="single" w:sz="4" w:space="0" w:color="auto"/>
              <w:bottom w:val="single" w:sz="4" w:space="0" w:color="auto"/>
              <w:right w:val="single" w:sz="4" w:space="0" w:color="auto"/>
            </w:tcBorders>
            <w:vAlign w:val="center"/>
            <w:hideMark/>
          </w:tcPr>
          <w:p w14:paraId="34E872B2"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5484E63D"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09818842"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4954F423" w14:textId="77777777" w:rsidR="0021390C" w:rsidRPr="00FB351A" w:rsidRDefault="0021390C">
            <w:pPr>
              <w:rPr>
                <w:rFonts w:ascii="Arial" w:hAnsi="Arial" w:cs="Arial"/>
                <w:sz w:val="16"/>
                <w:szCs w:val="16"/>
              </w:rPr>
            </w:pPr>
          </w:p>
        </w:tc>
      </w:tr>
      <w:tr w:rsidR="0021390C" w:rsidRPr="00FB351A" w14:paraId="13A66DA5"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7A2D4D75"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37018A40" w14:textId="795D6D49"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SELECCIÓN ABREVIADA DE MENOR CUANTÍA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51217FC2" w14:textId="77777777" w:rsidR="0021390C" w:rsidRPr="00FB351A" w:rsidRDefault="0021390C">
            <w:pPr>
              <w:jc w:val="center"/>
              <w:rPr>
                <w:rFonts w:ascii="Arial" w:hAnsi="Arial" w:cs="Arial"/>
                <w:sz w:val="16"/>
                <w:szCs w:val="16"/>
              </w:rPr>
            </w:pPr>
            <w:r w:rsidRPr="00FB351A">
              <w:rPr>
                <w:rFonts w:ascii="Arial" w:hAnsi="Arial" w:cs="Arial"/>
                <w:sz w:val="16"/>
                <w:szCs w:val="16"/>
              </w:rPr>
              <w:t>EQUIPO Y MAQUINARIA</w:t>
            </w:r>
          </w:p>
        </w:tc>
        <w:tc>
          <w:tcPr>
            <w:tcW w:w="219" w:type="pct"/>
            <w:tcBorders>
              <w:top w:val="nil"/>
              <w:left w:val="nil"/>
              <w:bottom w:val="single" w:sz="4" w:space="0" w:color="auto"/>
              <w:right w:val="single" w:sz="4" w:space="0" w:color="auto"/>
            </w:tcBorders>
            <w:shd w:val="clear" w:color="000000" w:fill="FFFFCC"/>
            <w:vAlign w:val="center"/>
            <w:hideMark/>
          </w:tcPr>
          <w:p w14:paraId="0D2F0C66" w14:textId="77777777" w:rsidR="0021390C" w:rsidRPr="00FB351A" w:rsidRDefault="0021390C">
            <w:pPr>
              <w:jc w:val="center"/>
              <w:rPr>
                <w:rFonts w:ascii="Arial" w:hAnsi="Arial" w:cs="Arial"/>
                <w:sz w:val="16"/>
                <w:szCs w:val="16"/>
              </w:rPr>
            </w:pPr>
            <w:r w:rsidRPr="00FB351A">
              <w:rPr>
                <w:rFonts w:ascii="Arial" w:hAnsi="Arial" w:cs="Arial"/>
                <w:sz w:val="16"/>
                <w:szCs w:val="16"/>
              </w:rPr>
              <w:t>10.10</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60FB4D24" w14:textId="77777777" w:rsidR="0021390C" w:rsidRPr="00FB351A" w:rsidRDefault="0021390C">
            <w:pPr>
              <w:jc w:val="center"/>
              <w:rPr>
                <w:rFonts w:ascii="Arial" w:hAnsi="Arial" w:cs="Arial"/>
                <w:color w:val="006AB9"/>
                <w:sz w:val="16"/>
                <w:szCs w:val="16"/>
              </w:rPr>
            </w:pPr>
            <w:r w:rsidRPr="00FB351A">
              <w:rPr>
                <w:rFonts w:ascii="Arial" w:hAnsi="Arial" w:cs="Arial"/>
                <w:color w:val="006AB9"/>
                <w:sz w:val="16"/>
                <w:szCs w:val="16"/>
              </w:rPr>
              <w:t>9.11</w:t>
            </w:r>
          </w:p>
        </w:tc>
        <w:tc>
          <w:tcPr>
            <w:tcW w:w="150" w:type="pct"/>
            <w:vMerge w:val="restart"/>
            <w:tcBorders>
              <w:top w:val="nil"/>
              <w:left w:val="single" w:sz="4" w:space="0" w:color="auto"/>
              <w:bottom w:val="single" w:sz="4" w:space="0" w:color="auto"/>
              <w:right w:val="single" w:sz="4" w:space="0" w:color="auto"/>
            </w:tcBorders>
            <w:vAlign w:val="center"/>
            <w:hideMark/>
          </w:tcPr>
          <w:p w14:paraId="23CB3EBD" w14:textId="77777777" w:rsidR="0021390C" w:rsidRPr="00FB351A" w:rsidRDefault="0021390C">
            <w:pPr>
              <w:jc w:val="center"/>
              <w:rPr>
                <w:rFonts w:ascii="Arial" w:hAnsi="Arial" w:cs="Arial"/>
                <w:sz w:val="16"/>
                <w:szCs w:val="16"/>
              </w:rPr>
            </w:pPr>
            <w:r w:rsidRPr="00FB351A">
              <w:rPr>
                <w:rFonts w:ascii="Arial" w:hAnsi="Arial" w:cs="Arial"/>
                <w:sz w:val="16"/>
                <w:szCs w:val="16"/>
              </w:rPr>
              <w:t>%o</w:t>
            </w:r>
          </w:p>
        </w:tc>
        <w:tc>
          <w:tcPr>
            <w:tcW w:w="311" w:type="pct"/>
            <w:vMerge w:val="restart"/>
            <w:tcBorders>
              <w:top w:val="nil"/>
              <w:left w:val="single" w:sz="4" w:space="0" w:color="auto"/>
              <w:bottom w:val="single" w:sz="4" w:space="0" w:color="auto"/>
              <w:right w:val="single" w:sz="4" w:space="0" w:color="auto"/>
            </w:tcBorders>
            <w:vAlign w:val="center"/>
            <w:hideMark/>
          </w:tcPr>
          <w:p w14:paraId="47329846"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7B08976F"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167FD8EB" w14:textId="77777777" w:rsidTr="0021390C">
        <w:trPr>
          <w:trHeight w:val="20"/>
        </w:trPr>
        <w:tc>
          <w:tcPr>
            <w:tcW w:w="1902" w:type="pct"/>
            <w:tcBorders>
              <w:top w:val="single" w:sz="4" w:space="0" w:color="156082"/>
              <w:left w:val="single" w:sz="4" w:space="0" w:color="156082"/>
              <w:bottom w:val="single" w:sz="4" w:space="0" w:color="156082"/>
              <w:right w:val="single" w:sz="4" w:space="0" w:color="156082"/>
            </w:tcBorders>
            <w:vAlign w:val="center"/>
            <w:hideMark/>
          </w:tcPr>
          <w:p w14:paraId="72C91134" w14:textId="77777777" w:rsidR="0021390C" w:rsidRPr="00FB351A" w:rsidRDefault="0021390C">
            <w:pPr>
              <w:rPr>
                <w:rFonts w:ascii="Arial" w:hAnsi="Arial" w:cs="Arial"/>
                <w:sz w:val="16"/>
                <w:szCs w:val="16"/>
              </w:rPr>
            </w:pPr>
            <w:r w:rsidRPr="00FB351A">
              <w:rPr>
                <w:rFonts w:ascii="Arial" w:hAnsi="Arial" w:cs="Arial"/>
                <w:sz w:val="16"/>
                <w:szCs w:val="16"/>
              </w:rPr>
              <w:t>FONDO DE DESARROLLO LOCAL DE SUMAPAZ</w:t>
            </w:r>
          </w:p>
        </w:tc>
        <w:tc>
          <w:tcPr>
            <w:tcW w:w="1452" w:type="pct"/>
            <w:tcBorders>
              <w:top w:val="single" w:sz="4" w:space="0" w:color="156082"/>
              <w:left w:val="nil"/>
              <w:bottom w:val="single" w:sz="4" w:space="0" w:color="156082"/>
              <w:right w:val="single" w:sz="4" w:space="0" w:color="156082"/>
            </w:tcBorders>
            <w:vAlign w:val="center"/>
            <w:hideMark/>
          </w:tcPr>
          <w:p w14:paraId="26A5F5EC" w14:textId="77777777" w:rsidR="0021390C" w:rsidRPr="00FB351A" w:rsidRDefault="0021390C">
            <w:pPr>
              <w:rPr>
                <w:rFonts w:ascii="Arial" w:hAnsi="Arial" w:cs="Arial"/>
                <w:sz w:val="16"/>
                <w:szCs w:val="16"/>
              </w:rPr>
            </w:pPr>
            <w:proofErr w:type="spellStart"/>
            <w:r w:rsidRPr="00FB351A">
              <w:rPr>
                <w:rFonts w:ascii="Arial" w:hAnsi="Arial" w:cs="Arial"/>
                <w:sz w:val="16"/>
                <w:szCs w:val="16"/>
              </w:rPr>
              <w:t>FDRS</w:t>
            </w:r>
            <w:proofErr w:type="spellEnd"/>
            <w:r w:rsidRPr="00FB351A">
              <w:rPr>
                <w:rFonts w:ascii="Arial" w:hAnsi="Arial" w:cs="Arial"/>
                <w:sz w:val="16"/>
                <w:szCs w:val="16"/>
              </w:rPr>
              <w:t>-LP-253-2025</w:t>
            </w:r>
          </w:p>
        </w:tc>
        <w:tc>
          <w:tcPr>
            <w:tcW w:w="445" w:type="pct"/>
            <w:vMerge/>
            <w:tcBorders>
              <w:top w:val="nil"/>
              <w:left w:val="single" w:sz="4" w:space="0" w:color="auto"/>
              <w:bottom w:val="single" w:sz="4" w:space="0" w:color="auto"/>
              <w:right w:val="single" w:sz="4" w:space="0" w:color="auto"/>
            </w:tcBorders>
            <w:vAlign w:val="center"/>
            <w:hideMark/>
          </w:tcPr>
          <w:p w14:paraId="47D8264A"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A41D0A1" w14:textId="77777777" w:rsidR="0021390C" w:rsidRPr="00FB351A" w:rsidRDefault="0021390C">
            <w:pPr>
              <w:jc w:val="center"/>
              <w:rPr>
                <w:rFonts w:ascii="Arial" w:hAnsi="Arial" w:cs="Arial"/>
                <w:sz w:val="16"/>
                <w:szCs w:val="16"/>
              </w:rPr>
            </w:pPr>
            <w:r w:rsidRPr="00FB351A">
              <w:rPr>
                <w:rFonts w:ascii="Arial" w:hAnsi="Arial" w:cs="Arial"/>
                <w:sz w:val="16"/>
                <w:szCs w:val="16"/>
              </w:rPr>
              <w:t>10.30</w:t>
            </w:r>
          </w:p>
        </w:tc>
        <w:tc>
          <w:tcPr>
            <w:tcW w:w="233" w:type="pct"/>
            <w:vMerge/>
            <w:tcBorders>
              <w:top w:val="nil"/>
              <w:left w:val="single" w:sz="4" w:space="0" w:color="auto"/>
              <w:bottom w:val="single" w:sz="4" w:space="0" w:color="auto"/>
              <w:right w:val="single" w:sz="4" w:space="0" w:color="auto"/>
            </w:tcBorders>
            <w:vAlign w:val="center"/>
            <w:hideMark/>
          </w:tcPr>
          <w:p w14:paraId="59ED91F8"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0A05BD00"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19305DAD"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6F8683EC" w14:textId="77777777" w:rsidR="0021390C" w:rsidRPr="00FB351A" w:rsidRDefault="0021390C">
            <w:pPr>
              <w:rPr>
                <w:rFonts w:ascii="Arial" w:hAnsi="Arial" w:cs="Arial"/>
                <w:sz w:val="16"/>
                <w:szCs w:val="16"/>
              </w:rPr>
            </w:pPr>
          </w:p>
        </w:tc>
      </w:tr>
      <w:tr w:rsidR="0021390C" w:rsidRPr="00FB351A" w14:paraId="10D94899" w14:textId="77777777" w:rsidTr="0021390C">
        <w:trPr>
          <w:trHeight w:val="20"/>
        </w:trPr>
        <w:tc>
          <w:tcPr>
            <w:tcW w:w="1902" w:type="pct"/>
            <w:tcBorders>
              <w:top w:val="single" w:sz="4" w:space="0" w:color="auto"/>
              <w:left w:val="single" w:sz="4" w:space="0" w:color="auto"/>
              <w:bottom w:val="single" w:sz="4" w:space="0" w:color="auto"/>
              <w:right w:val="single" w:sz="4" w:space="0" w:color="auto"/>
            </w:tcBorders>
            <w:noWrap/>
            <w:vAlign w:val="center"/>
            <w:hideMark/>
          </w:tcPr>
          <w:p w14:paraId="41B15D4D" w14:textId="185C83CD" w:rsidR="0021390C" w:rsidRPr="00FB351A" w:rsidRDefault="0021390C">
            <w:pPr>
              <w:rPr>
                <w:rFonts w:ascii="Arial" w:hAnsi="Arial" w:cs="Arial"/>
                <w:color w:val="000000"/>
                <w:sz w:val="16"/>
                <w:szCs w:val="16"/>
              </w:rPr>
            </w:pPr>
            <w:r w:rsidRPr="00FB351A">
              <w:rPr>
                <w:rFonts w:ascii="Arial" w:hAnsi="Arial" w:cs="Arial"/>
                <w:color w:val="000000"/>
                <w:sz w:val="16"/>
                <w:szCs w:val="16"/>
              </w:rPr>
              <w:t>DIRECCIÓN NACIONAL DE INTELIGENCIA - DNI</w:t>
            </w:r>
          </w:p>
        </w:tc>
        <w:tc>
          <w:tcPr>
            <w:tcW w:w="1452" w:type="pct"/>
            <w:tcBorders>
              <w:top w:val="single" w:sz="4" w:space="0" w:color="auto"/>
              <w:left w:val="nil"/>
              <w:bottom w:val="single" w:sz="4" w:space="0" w:color="auto"/>
              <w:right w:val="single" w:sz="4" w:space="0" w:color="auto"/>
            </w:tcBorders>
            <w:noWrap/>
            <w:vAlign w:val="center"/>
            <w:hideMark/>
          </w:tcPr>
          <w:p w14:paraId="4C553A13"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CONTRATACION DIRECTA   2-2025-2336 </w:t>
            </w:r>
          </w:p>
        </w:tc>
        <w:tc>
          <w:tcPr>
            <w:tcW w:w="445" w:type="pct"/>
            <w:vMerge/>
            <w:tcBorders>
              <w:top w:val="nil"/>
              <w:left w:val="single" w:sz="4" w:space="0" w:color="auto"/>
              <w:bottom w:val="single" w:sz="4" w:space="0" w:color="auto"/>
              <w:right w:val="single" w:sz="4" w:space="0" w:color="auto"/>
            </w:tcBorders>
            <w:vAlign w:val="center"/>
            <w:hideMark/>
          </w:tcPr>
          <w:p w14:paraId="7CA1C257"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64A982D5" w14:textId="77777777" w:rsidR="0021390C" w:rsidRPr="00FB351A" w:rsidRDefault="0021390C">
            <w:pPr>
              <w:jc w:val="center"/>
              <w:rPr>
                <w:rFonts w:ascii="Arial" w:hAnsi="Arial" w:cs="Arial"/>
                <w:sz w:val="16"/>
                <w:szCs w:val="16"/>
              </w:rPr>
            </w:pPr>
            <w:r w:rsidRPr="00FB351A">
              <w:rPr>
                <w:rFonts w:ascii="Arial" w:hAnsi="Arial" w:cs="Arial"/>
                <w:sz w:val="16"/>
                <w:szCs w:val="16"/>
              </w:rPr>
              <w:t>10.00</w:t>
            </w:r>
          </w:p>
        </w:tc>
        <w:tc>
          <w:tcPr>
            <w:tcW w:w="233" w:type="pct"/>
            <w:vMerge/>
            <w:tcBorders>
              <w:top w:val="nil"/>
              <w:left w:val="single" w:sz="4" w:space="0" w:color="auto"/>
              <w:bottom w:val="single" w:sz="4" w:space="0" w:color="auto"/>
              <w:right w:val="single" w:sz="4" w:space="0" w:color="auto"/>
            </w:tcBorders>
            <w:vAlign w:val="center"/>
            <w:hideMark/>
          </w:tcPr>
          <w:p w14:paraId="560D0FB3"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4E203C90"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45C047CA"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7C8EE44D" w14:textId="77777777" w:rsidR="0021390C" w:rsidRPr="00FB351A" w:rsidRDefault="0021390C">
            <w:pPr>
              <w:rPr>
                <w:rFonts w:ascii="Arial" w:hAnsi="Arial" w:cs="Arial"/>
                <w:sz w:val="16"/>
                <w:szCs w:val="16"/>
              </w:rPr>
            </w:pPr>
          </w:p>
        </w:tc>
      </w:tr>
      <w:tr w:rsidR="0021390C" w:rsidRPr="00FB351A" w14:paraId="60EFCEAB"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7AC2DB56"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DEPARTAMENTO DE CUNDINAMARCA</w:t>
            </w:r>
          </w:p>
        </w:tc>
        <w:tc>
          <w:tcPr>
            <w:tcW w:w="1452" w:type="pct"/>
            <w:tcBorders>
              <w:top w:val="nil"/>
              <w:left w:val="nil"/>
              <w:bottom w:val="single" w:sz="4" w:space="0" w:color="auto"/>
              <w:right w:val="single" w:sz="4" w:space="0" w:color="auto"/>
            </w:tcBorders>
            <w:noWrap/>
            <w:vAlign w:val="center"/>
            <w:hideMark/>
          </w:tcPr>
          <w:p w14:paraId="20657691"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LICITACIÓN PÚBLICA SG-LP-001-2025</w:t>
            </w:r>
          </w:p>
        </w:tc>
        <w:tc>
          <w:tcPr>
            <w:tcW w:w="445" w:type="pct"/>
            <w:vMerge/>
            <w:tcBorders>
              <w:top w:val="nil"/>
              <w:left w:val="single" w:sz="4" w:space="0" w:color="auto"/>
              <w:bottom w:val="single" w:sz="4" w:space="0" w:color="auto"/>
              <w:right w:val="single" w:sz="4" w:space="0" w:color="auto"/>
            </w:tcBorders>
            <w:vAlign w:val="center"/>
            <w:hideMark/>
          </w:tcPr>
          <w:p w14:paraId="6F826A1F"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792E121B" w14:textId="77777777" w:rsidR="0021390C" w:rsidRPr="00FB351A" w:rsidRDefault="0021390C">
            <w:pPr>
              <w:jc w:val="center"/>
              <w:rPr>
                <w:rFonts w:ascii="Arial" w:hAnsi="Arial" w:cs="Arial"/>
                <w:sz w:val="16"/>
                <w:szCs w:val="16"/>
              </w:rPr>
            </w:pPr>
            <w:r w:rsidRPr="00FB351A">
              <w:rPr>
                <w:rFonts w:ascii="Arial" w:hAnsi="Arial" w:cs="Arial"/>
                <w:sz w:val="16"/>
                <w:szCs w:val="16"/>
              </w:rPr>
              <w:t>7.00</w:t>
            </w:r>
          </w:p>
        </w:tc>
        <w:tc>
          <w:tcPr>
            <w:tcW w:w="233" w:type="pct"/>
            <w:vMerge/>
            <w:tcBorders>
              <w:top w:val="nil"/>
              <w:left w:val="single" w:sz="4" w:space="0" w:color="auto"/>
              <w:bottom w:val="single" w:sz="4" w:space="0" w:color="auto"/>
              <w:right w:val="single" w:sz="4" w:space="0" w:color="auto"/>
            </w:tcBorders>
            <w:vAlign w:val="center"/>
            <w:hideMark/>
          </w:tcPr>
          <w:p w14:paraId="777996E8"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0E9F414A"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0E9862DE"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7158DDB" w14:textId="77777777" w:rsidR="0021390C" w:rsidRPr="00FB351A" w:rsidRDefault="0021390C">
            <w:pPr>
              <w:rPr>
                <w:rFonts w:ascii="Arial" w:hAnsi="Arial" w:cs="Arial"/>
                <w:sz w:val="16"/>
                <w:szCs w:val="16"/>
              </w:rPr>
            </w:pPr>
          </w:p>
        </w:tc>
      </w:tr>
      <w:tr w:rsidR="0021390C" w:rsidRPr="00FB351A" w14:paraId="2F183781"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6AD8543B"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INSTITUTO NACIONAL DE SALUD</w:t>
            </w:r>
          </w:p>
        </w:tc>
        <w:tc>
          <w:tcPr>
            <w:tcW w:w="1452" w:type="pct"/>
            <w:tcBorders>
              <w:top w:val="nil"/>
              <w:left w:val="nil"/>
              <w:bottom w:val="single" w:sz="4" w:space="0" w:color="auto"/>
              <w:right w:val="single" w:sz="4" w:space="0" w:color="auto"/>
            </w:tcBorders>
            <w:noWrap/>
            <w:vAlign w:val="center"/>
            <w:hideMark/>
          </w:tcPr>
          <w:p w14:paraId="08243AAC"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PROCESO No INS-LP-007-2025</w:t>
            </w:r>
          </w:p>
        </w:tc>
        <w:tc>
          <w:tcPr>
            <w:tcW w:w="445" w:type="pct"/>
            <w:vMerge/>
            <w:tcBorders>
              <w:top w:val="nil"/>
              <w:left w:val="single" w:sz="4" w:space="0" w:color="auto"/>
              <w:bottom w:val="single" w:sz="4" w:space="0" w:color="auto"/>
              <w:right w:val="single" w:sz="4" w:space="0" w:color="auto"/>
            </w:tcBorders>
            <w:vAlign w:val="center"/>
            <w:hideMark/>
          </w:tcPr>
          <w:p w14:paraId="70EB86DD"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16A1B6D6" w14:textId="77777777" w:rsidR="0021390C" w:rsidRPr="00FB351A" w:rsidRDefault="0021390C">
            <w:pPr>
              <w:jc w:val="center"/>
              <w:rPr>
                <w:rFonts w:ascii="Arial" w:hAnsi="Arial" w:cs="Arial"/>
                <w:sz w:val="16"/>
                <w:szCs w:val="16"/>
              </w:rPr>
            </w:pPr>
            <w:r w:rsidRPr="00FB351A">
              <w:rPr>
                <w:rFonts w:ascii="Arial" w:hAnsi="Arial" w:cs="Arial"/>
                <w:sz w:val="16"/>
                <w:szCs w:val="16"/>
              </w:rPr>
              <w:t>8.16</w:t>
            </w:r>
          </w:p>
        </w:tc>
        <w:tc>
          <w:tcPr>
            <w:tcW w:w="233" w:type="pct"/>
            <w:vMerge/>
            <w:tcBorders>
              <w:top w:val="nil"/>
              <w:left w:val="single" w:sz="4" w:space="0" w:color="auto"/>
              <w:bottom w:val="single" w:sz="4" w:space="0" w:color="auto"/>
              <w:right w:val="single" w:sz="4" w:space="0" w:color="auto"/>
            </w:tcBorders>
            <w:vAlign w:val="center"/>
            <w:hideMark/>
          </w:tcPr>
          <w:p w14:paraId="54EFEE9B"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13A1995C"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9852B39"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44D80A84" w14:textId="77777777" w:rsidR="0021390C" w:rsidRPr="00FB351A" w:rsidRDefault="0021390C">
            <w:pPr>
              <w:rPr>
                <w:rFonts w:ascii="Arial" w:hAnsi="Arial" w:cs="Arial"/>
                <w:sz w:val="16"/>
                <w:szCs w:val="16"/>
              </w:rPr>
            </w:pPr>
          </w:p>
        </w:tc>
      </w:tr>
      <w:tr w:rsidR="0021390C" w:rsidRPr="00FB351A" w14:paraId="1B4F207B"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4F1629A0"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2047D032" w14:textId="21B50519" w:rsidR="0021390C" w:rsidRPr="00FB351A" w:rsidRDefault="00047674">
            <w:pPr>
              <w:rPr>
                <w:rFonts w:ascii="Arial" w:hAnsi="Arial" w:cs="Arial"/>
                <w:b/>
                <w:bCs/>
                <w:i/>
                <w:iCs/>
                <w:color w:val="0070C0"/>
                <w:sz w:val="16"/>
                <w:szCs w:val="16"/>
              </w:rPr>
            </w:pPr>
            <w:r w:rsidRPr="00FB351A">
              <w:rPr>
                <w:rFonts w:ascii="Arial" w:hAnsi="Arial" w:cs="Arial"/>
                <w:b/>
                <w:bCs/>
                <w:i/>
                <w:iCs/>
                <w:color w:val="0070C0"/>
                <w:sz w:val="16"/>
                <w:szCs w:val="16"/>
              </w:rPr>
              <w:t>SELECCIÓN</w:t>
            </w:r>
            <w:r w:rsidR="0021390C" w:rsidRPr="00FB351A">
              <w:rPr>
                <w:rFonts w:ascii="Arial" w:hAnsi="Arial" w:cs="Arial"/>
                <w:b/>
                <w:bCs/>
                <w:i/>
                <w:iCs/>
                <w:color w:val="0070C0"/>
                <w:sz w:val="16"/>
                <w:szCs w:val="16"/>
              </w:rPr>
              <w:t xml:space="preserve"> ABREVIADA DE MENOR </w:t>
            </w:r>
            <w:r w:rsidRPr="00FB351A">
              <w:rPr>
                <w:rFonts w:ascii="Arial" w:hAnsi="Arial" w:cs="Arial"/>
                <w:b/>
                <w:bCs/>
                <w:i/>
                <w:iCs/>
                <w:color w:val="0070C0"/>
                <w:sz w:val="16"/>
                <w:szCs w:val="16"/>
              </w:rPr>
              <w:t>CUANTÍA</w:t>
            </w:r>
            <w:r w:rsidR="0021390C" w:rsidRPr="00FB351A">
              <w:rPr>
                <w:rFonts w:ascii="Arial" w:hAnsi="Arial" w:cs="Arial"/>
                <w:b/>
                <w:bCs/>
                <w:i/>
                <w:iCs/>
                <w:color w:val="0070C0"/>
                <w:sz w:val="16"/>
                <w:szCs w:val="16"/>
              </w:rPr>
              <w:t xml:space="preserve">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7E0AC54F" w14:textId="77777777" w:rsidR="0021390C" w:rsidRPr="00FB351A" w:rsidRDefault="0021390C">
            <w:pPr>
              <w:jc w:val="center"/>
              <w:rPr>
                <w:rFonts w:ascii="Arial" w:hAnsi="Arial" w:cs="Arial"/>
                <w:sz w:val="16"/>
                <w:szCs w:val="16"/>
              </w:rPr>
            </w:pPr>
            <w:r w:rsidRPr="00FB351A">
              <w:rPr>
                <w:rFonts w:ascii="Arial" w:hAnsi="Arial" w:cs="Arial"/>
                <w:sz w:val="16"/>
                <w:szCs w:val="16"/>
              </w:rPr>
              <w:t>AUTOMÓVILES</w:t>
            </w:r>
          </w:p>
        </w:tc>
        <w:tc>
          <w:tcPr>
            <w:tcW w:w="219" w:type="pct"/>
            <w:tcBorders>
              <w:top w:val="nil"/>
              <w:left w:val="nil"/>
              <w:bottom w:val="single" w:sz="4" w:space="0" w:color="auto"/>
              <w:right w:val="single" w:sz="4" w:space="0" w:color="auto"/>
            </w:tcBorders>
            <w:shd w:val="clear" w:color="000000" w:fill="FFFFCC"/>
            <w:vAlign w:val="center"/>
            <w:hideMark/>
          </w:tcPr>
          <w:p w14:paraId="7E405BE9" w14:textId="77777777" w:rsidR="0021390C" w:rsidRPr="00FB351A" w:rsidRDefault="0021390C">
            <w:pPr>
              <w:jc w:val="center"/>
              <w:rPr>
                <w:rFonts w:ascii="Arial" w:hAnsi="Arial" w:cs="Arial"/>
                <w:sz w:val="16"/>
                <w:szCs w:val="16"/>
              </w:rPr>
            </w:pPr>
            <w:r w:rsidRPr="00FB351A">
              <w:rPr>
                <w:rFonts w:ascii="Arial" w:hAnsi="Arial" w:cs="Arial"/>
                <w:sz w:val="16"/>
                <w:szCs w:val="16"/>
              </w:rPr>
              <w:t>3.60</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0612EF5C" w14:textId="77777777" w:rsidR="0021390C" w:rsidRPr="00FB351A" w:rsidRDefault="0021390C">
            <w:pPr>
              <w:jc w:val="center"/>
              <w:rPr>
                <w:rFonts w:ascii="Arial" w:hAnsi="Arial" w:cs="Arial"/>
                <w:color w:val="006AB9"/>
                <w:sz w:val="16"/>
                <w:szCs w:val="16"/>
              </w:rPr>
            </w:pPr>
            <w:r w:rsidRPr="00FB351A">
              <w:rPr>
                <w:rFonts w:ascii="Arial" w:hAnsi="Arial" w:cs="Arial"/>
                <w:color w:val="006AB9"/>
                <w:sz w:val="16"/>
                <w:szCs w:val="16"/>
              </w:rPr>
              <w:t>3.56</w:t>
            </w:r>
          </w:p>
        </w:tc>
        <w:tc>
          <w:tcPr>
            <w:tcW w:w="150" w:type="pct"/>
            <w:vMerge w:val="restart"/>
            <w:tcBorders>
              <w:top w:val="nil"/>
              <w:left w:val="single" w:sz="4" w:space="0" w:color="auto"/>
              <w:bottom w:val="single" w:sz="4" w:space="0" w:color="auto"/>
              <w:right w:val="single" w:sz="4" w:space="0" w:color="auto"/>
            </w:tcBorders>
            <w:vAlign w:val="center"/>
            <w:hideMark/>
          </w:tcPr>
          <w:p w14:paraId="1F755DB0"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7497E46D"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02233259"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16FDB55C"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59DBF3D" w14:textId="39B9A106" w:rsidR="0021390C" w:rsidRPr="00FB351A" w:rsidRDefault="00047674">
            <w:pPr>
              <w:rPr>
                <w:rFonts w:ascii="Arial" w:hAnsi="Arial" w:cs="Arial"/>
                <w:color w:val="000000"/>
                <w:sz w:val="16"/>
                <w:szCs w:val="16"/>
              </w:rPr>
            </w:pPr>
            <w:r w:rsidRPr="00FB351A">
              <w:rPr>
                <w:rFonts w:ascii="Arial" w:hAnsi="Arial" w:cs="Arial"/>
                <w:color w:val="000000"/>
                <w:sz w:val="16"/>
                <w:szCs w:val="16"/>
              </w:rPr>
              <w:t>ARTESANÍAS</w:t>
            </w:r>
            <w:r w:rsidR="0021390C" w:rsidRPr="00FB351A">
              <w:rPr>
                <w:rFonts w:ascii="Arial" w:hAnsi="Arial" w:cs="Arial"/>
                <w:color w:val="000000"/>
                <w:sz w:val="16"/>
                <w:szCs w:val="16"/>
              </w:rPr>
              <w:t xml:space="preserve"> DE COLOMBIA</w:t>
            </w:r>
          </w:p>
        </w:tc>
        <w:tc>
          <w:tcPr>
            <w:tcW w:w="1452" w:type="pct"/>
            <w:tcBorders>
              <w:top w:val="nil"/>
              <w:left w:val="nil"/>
              <w:bottom w:val="single" w:sz="4" w:space="0" w:color="auto"/>
              <w:right w:val="single" w:sz="4" w:space="0" w:color="auto"/>
            </w:tcBorders>
            <w:noWrap/>
            <w:vAlign w:val="center"/>
            <w:hideMark/>
          </w:tcPr>
          <w:p w14:paraId="4FBE6C9D"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 INVITACIÓN ABIERTA ADC-004-2026</w:t>
            </w:r>
          </w:p>
        </w:tc>
        <w:tc>
          <w:tcPr>
            <w:tcW w:w="445" w:type="pct"/>
            <w:vMerge/>
            <w:tcBorders>
              <w:top w:val="nil"/>
              <w:left w:val="single" w:sz="4" w:space="0" w:color="auto"/>
              <w:bottom w:val="single" w:sz="4" w:space="0" w:color="auto"/>
              <w:right w:val="single" w:sz="4" w:space="0" w:color="auto"/>
            </w:tcBorders>
            <w:vAlign w:val="center"/>
            <w:hideMark/>
          </w:tcPr>
          <w:p w14:paraId="57599AA0"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238DD2EE" w14:textId="77777777" w:rsidR="0021390C" w:rsidRPr="00FB351A" w:rsidRDefault="0021390C">
            <w:pPr>
              <w:jc w:val="center"/>
              <w:rPr>
                <w:rFonts w:ascii="Arial" w:hAnsi="Arial" w:cs="Arial"/>
                <w:sz w:val="16"/>
                <w:szCs w:val="16"/>
              </w:rPr>
            </w:pPr>
            <w:r w:rsidRPr="00FB351A">
              <w:rPr>
                <w:rFonts w:ascii="Arial" w:hAnsi="Arial" w:cs="Arial"/>
                <w:sz w:val="16"/>
                <w:szCs w:val="16"/>
              </w:rPr>
              <w:t>4.27</w:t>
            </w:r>
          </w:p>
        </w:tc>
        <w:tc>
          <w:tcPr>
            <w:tcW w:w="233" w:type="pct"/>
            <w:vMerge/>
            <w:tcBorders>
              <w:top w:val="nil"/>
              <w:left w:val="single" w:sz="4" w:space="0" w:color="auto"/>
              <w:bottom w:val="single" w:sz="4" w:space="0" w:color="auto"/>
              <w:right w:val="single" w:sz="4" w:space="0" w:color="auto"/>
            </w:tcBorders>
            <w:vAlign w:val="center"/>
            <w:hideMark/>
          </w:tcPr>
          <w:p w14:paraId="12E1B008"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772AE5E4"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43C24481"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ECAD944" w14:textId="77777777" w:rsidR="0021390C" w:rsidRPr="00FB351A" w:rsidRDefault="0021390C">
            <w:pPr>
              <w:rPr>
                <w:rFonts w:ascii="Arial" w:hAnsi="Arial" w:cs="Arial"/>
                <w:sz w:val="16"/>
                <w:szCs w:val="16"/>
              </w:rPr>
            </w:pPr>
          </w:p>
        </w:tc>
      </w:tr>
      <w:tr w:rsidR="0021390C" w:rsidRPr="00FB351A" w14:paraId="7EA553E3"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1E2351FB" w14:textId="77709741"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INSTITUTO DE VIVIENDA DE </w:t>
            </w:r>
            <w:r w:rsidR="00047674" w:rsidRPr="00FB351A">
              <w:rPr>
                <w:rFonts w:ascii="Arial" w:hAnsi="Arial" w:cs="Arial"/>
                <w:color w:val="000000"/>
                <w:sz w:val="16"/>
                <w:szCs w:val="16"/>
              </w:rPr>
              <w:t>INTERÉS</w:t>
            </w:r>
            <w:r w:rsidRPr="00FB351A">
              <w:rPr>
                <w:rFonts w:ascii="Arial" w:hAnsi="Arial" w:cs="Arial"/>
                <w:color w:val="000000"/>
                <w:sz w:val="16"/>
                <w:szCs w:val="16"/>
              </w:rPr>
              <w:t xml:space="preserve"> SOCIAL Y REFORMA URBANA BUCARAMANGA </w:t>
            </w:r>
          </w:p>
        </w:tc>
        <w:tc>
          <w:tcPr>
            <w:tcW w:w="1452" w:type="pct"/>
            <w:tcBorders>
              <w:top w:val="nil"/>
              <w:left w:val="nil"/>
              <w:bottom w:val="single" w:sz="4" w:space="0" w:color="auto"/>
              <w:right w:val="single" w:sz="4" w:space="0" w:color="auto"/>
            </w:tcBorders>
            <w:noWrap/>
            <w:vAlign w:val="center"/>
            <w:hideMark/>
          </w:tcPr>
          <w:p w14:paraId="4C0CCF91"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SA-001-2026 </w:t>
            </w:r>
          </w:p>
        </w:tc>
        <w:tc>
          <w:tcPr>
            <w:tcW w:w="445" w:type="pct"/>
            <w:vMerge/>
            <w:tcBorders>
              <w:top w:val="nil"/>
              <w:left w:val="single" w:sz="4" w:space="0" w:color="auto"/>
              <w:bottom w:val="single" w:sz="4" w:space="0" w:color="auto"/>
              <w:right w:val="single" w:sz="4" w:space="0" w:color="auto"/>
            </w:tcBorders>
            <w:vAlign w:val="center"/>
            <w:hideMark/>
          </w:tcPr>
          <w:p w14:paraId="2283CF29"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35AF176F" w14:textId="77777777" w:rsidR="0021390C" w:rsidRPr="00FB351A" w:rsidRDefault="0021390C">
            <w:pPr>
              <w:jc w:val="center"/>
              <w:rPr>
                <w:rFonts w:ascii="Arial" w:hAnsi="Arial" w:cs="Arial"/>
                <w:sz w:val="16"/>
                <w:szCs w:val="16"/>
              </w:rPr>
            </w:pPr>
            <w:r w:rsidRPr="00FB351A">
              <w:rPr>
                <w:rFonts w:ascii="Arial" w:hAnsi="Arial" w:cs="Arial"/>
                <w:sz w:val="16"/>
                <w:szCs w:val="16"/>
              </w:rPr>
              <w:t>2.80</w:t>
            </w:r>
          </w:p>
        </w:tc>
        <w:tc>
          <w:tcPr>
            <w:tcW w:w="233" w:type="pct"/>
            <w:vMerge/>
            <w:tcBorders>
              <w:top w:val="nil"/>
              <w:left w:val="single" w:sz="4" w:space="0" w:color="auto"/>
              <w:bottom w:val="single" w:sz="4" w:space="0" w:color="auto"/>
              <w:right w:val="single" w:sz="4" w:space="0" w:color="auto"/>
            </w:tcBorders>
            <w:vAlign w:val="center"/>
            <w:hideMark/>
          </w:tcPr>
          <w:p w14:paraId="1922D85D"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8D335DC"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09C61D1B"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105742AB" w14:textId="77777777" w:rsidR="0021390C" w:rsidRPr="00FB351A" w:rsidRDefault="0021390C">
            <w:pPr>
              <w:rPr>
                <w:rFonts w:ascii="Arial" w:hAnsi="Arial" w:cs="Arial"/>
                <w:sz w:val="16"/>
                <w:szCs w:val="16"/>
              </w:rPr>
            </w:pPr>
          </w:p>
        </w:tc>
      </w:tr>
      <w:tr w:rsidR="0021390C" w:rsidRPr="00FB351A" w14:paraId="1E79822A"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27902D64" w14:textId="5E5C29EA"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SECRETARIA DISTRITAL DEL </w:t>
            </w:r>
            <w:r w:rsidR="00047674" w:rsidRPr="00FB351A">
              <w:rPr>
                <w:rFonts w:ascii="Arial" w:hAnsi="Arial" w:cs="Arial"/>
                <w:color w:val="000000"/>
                <w:sz w:val="16"/>
                <w:szCs w:val="16"/>
              </w:rPr>
              <w:t>HÁBITAT</w:t>
            </w:r>
          </w:p>
        </w:tc>
        <w:tc>
          <w:tcPr>
            <w:tcW w:w="1452" w:type="pct"/>
            <w:tcBorders>
              <w:top w:val="nil"/>
              <w:left w:val="nil"/>
              <w:bottom w:val="single" w:sz="4" w:space="0" w:color="auto"/>
              <w:right w:val="single" w:sz="4" w:space="0" w:color="auto"/>
            </w:tcBorders>
            <w:noWrap/>
            <w:vAlign w:val="center"/>
            <w:hideMark/>
          </w:tcPr>
          <w:p w14:paraId="612A2DF7" w14:textId="77777777" w:rsidR="0021390C" w:rsidRPr="00FB351A" w:rsidRDefault="0021390C">
            <w:pPr>
              <w:rPr>
                <w:rFonts w:ascii="Arial" w:hAnsi="Arial" w:cs="Arial"/>
                <w:color w:val="000000"/>
                <w:sz w:val="16"/>
                <w:szCs w:val="16"/>
              </w:rPr>
            </w:pPr>
            <w:proofErr w:type="spellStart"/>
            <w:r w:rsidRPr="00FB351A">
              <w:rPr>
                <w:rFonts w:ascii="Arial" w:hAnsi="Arial" w:cs="Arial"/>
                <w:color w:val="000000"/>
                <w:sz w:val="16"/>
                <w:szCs w:val="16"/>
              </w:rPr>
              <w:t>SDHT</w:t>
            </w:r>
            <w:proofErr w:type="spellEnd"/>
            <w:r w:rsidRPr="00FB351A">
              <w:rPr>
                <w:rFonts w:ascii="Arial" w:hAnsi="Arial" w:cs="Arial"/>
                <w:color w:val="000000"/>
                <w:sz w:val="16"/>
                <w:szCs w:val="16"/>
              </w:rPr>
              <w:t>-SAMC-001-2026</w:t>
            </w:r>
          </w:p>
        </w:tc>
        <w:tc>
          <w:tcPr>
            <w:tcW w:w="445" w:type="pct"/>
            <w:vMerge/>
            <w:tcBorders>
              <w:top w:val="nil"/>
              <w:left w:val="single" w:sz="4" w:space="0" w:color="auto"/>
              <w:bottom w:val="single" w:sz="4" w:space="0" w:color="auto"/>
              <w:right w:val="single" w:sz="4" w:space="0" w:color="auto"/>
            </w:tcBorders>
            <w:vAlign w:val="center"/>
            <w:hideMark/>
          </w:tcPr>
          <w:p w14:paraId="2A32585D"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6874B662" w14:textId="77777777" w:rsidR="0021390C" w:rsidRPr="00FB351A" w:rsidRDefault="0021390C">
            <w:pPr>
              <w:jc w:val="center"/>
              <w:rPr>
                <w:rFonts w:ascii="Arial" w:hAnsi="Arial" w:cs="Arial"/>
                <w:sz w:val="16"/>
                <w:szCs w:val="16"/>
              </w:rPr>
            </w:pPr>
            <w:r w:rsidRPr="00FB351A">
              <w:rPr>
                <w:rFonts w:ascii="Arial" w:hAnsi="Arial" w:cs="Arial"/>
                <w:sz w:val="16"/>
                <w:szCs w:val="16"/>
              </w:rPr>
              <w:t>3.67</w:t>
            </w:r>
          </w:p>
        </w:tc>
        <w:tc>
          <w:tcPr>
            <w:tcW w:w="233" w:type="pct"/>
            <w:vMerge/>
            <w:tcBorders>
              <w:top w:val="nil"/>
              <w:left w:val="single" w:sz="4" w:space="0" w:color="auto"/>
              <w:bottom w:val="single" w:sz="4" w:space="0" w:color="auto"/>
              <w:right w:val="single" w:sz="4" w:space="0" w:color="auto"/>
            </w:tcBorders>
            <w:vAlign w:val="center"/>
            <w:hideMark/>
          </w:tcPr>
          <w:p w14:paraId="6085BC32"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0591A7E7"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FE3054F"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034F90FA" w14:textId="77777777" w:rsidR="0021390C" w:rsidRPr="00FB351A" w:rsidRDefault="0021390C">
            <w:pPr>
              <w:rPr>
                <w:rFonts w:ascii="Arial" w:hAnsi="Arial" w:cs="Arial"/>
                <w:sz w:val="16"/>
                <w:szCs w:val="16"/>
              </w:rPr>
            </w:pPr>
          </w:p>
        </w:tc>
      </w:tr>
      <w:tr w:rsidR="0021390C" w:rsidRPr="00FB351A" w14:paraId="4F436918" w14:textId="77777777" w:rsidTr="0021390C">
        <w:trPr>
          <w:trHeight w:val="20"/>
        </w:trPr>
        <w:tc>
          <w:tcPr>
            <w:tcW w:w="1902" w:type="pct"/>
            <w:tcBorders>
              <w:top w:val="nil"/>
              <w:left w:val="single" w:sz="4" w:space="0" w:color="auto"/>
              <w:bottom w:val="single" w:sz="4" w:space="0" w:color="auto"/>
              <w:right w:val="single" w:sz="4" w:space="0" w:color="auto"/>
            </w:tcBorders>
            <w:vAlign w:val="center"/>
            <w:hideMark/>
          </w:tcPr>
          <w:p w14:paraId="368359B5"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FONDO DE DESARROLLO DE PROYECTOS DE CUNDINAMARCA-</w:t>
            </w:r>
            <w:proofErr w:type="spellStart"/>
            <w:r w:rsidRPr="00FB351A">
              <w:rPr>
                <w:rFonts w:ascii="Arial" w:hAnsi="Arial" w:cs="Arial"/>
                <w:color w:val="000000"/>
                <w:sz w:val="16"/>
                <w:szCs w:val="16"/>
              </w:rPr>
              <w:t>FONDECUN</w:t>
            </w:r>
            <w:proofErr w:type="spellEnd"/>
          </w:p>
        </w:tc>
        <w:tc>
          <w:tcPr>
            <w:tcW w:w="1452" w:type="pct"/>
            <w:tcBorders>
              <w:top w:val="nil"/>
              <w:left w:val="nil"/>
              <w:bottom w:val="single" w:sz="4" w:space="0" w:color="auto"/>
              <w:right w:val="single" w:sz="4" w:space="0" w:color="auto"/>
            </w:tcBorders>
            <w:noWrap/>
            <w:vAlign w:val="center"/>
            <w:hideMark/>
          </w:tcPr>
          <w:p w14:paraId="68153411" w14:textId="77777777" w:rsidR="0021390C" w:rsidRPr="00FB351A" w:rsidRDefault="0021390C">
            <w:pPr>
              <w:rPr>
                <w:rFonts w:ascii="Arial" w:hAnsi="Arial" w:cs="Arial"/>
                <w:color w:val="000000"/>
                <w:sz w:val="16"/>
                <w:szCs w:val="16"/>
              </w:rPr>
            </w:pPr>
            <w:proofErr w:type="spellStart"/>
            <w:r w:rsidRPr="00FB351A">
              <w:rPr>
                <w:rFonts w:ascii="Arial" w:hAnsi="Arial" w:cs="Arial"/>
                <w:color w:val="000000"/>
                <w:sz w:val="16"/>
                <w:szCs w:val="16"/>
              </w:rPr>
              <w:t>SELECCION</w:t>
            </w:r>
            <w:proofErr w:type="spellEnd"/>
            <w:r w:rsidRPr="00FB351A">
              <w:rPr>
                <w:rFonts w:ascii="Arial" w:hAnsi="Arial" w:cs="Arial"/>
                <w:color w:val="000000"/>
                <w:sz w:val="16"/>
                <w:szCs w:val="16"/>
              </w:rPr>
              <w:t xml:space="preserve"> ABREVIADA SAMC-001-2026</w:t>
            </w:r>
          </w:p>
        </w:tc>
        <w:tc>
          <w:tcPr>
            <w:tcW w:w="445" w:type="pct"/>
            <w:vMerge/>
            <w:tcBorders>
              <w:top w:val="nil"/>
              <w:left w:val="single" w:sz="4" w:space="0" w:color="auto"/>
              <w:bottom w:val="single" w:sz="4" w:space="0" w:color="auto"/>
              <w:right w:val="single" w:sz="4" w:space="0" w:color="auto"/>
            </w:tcBorders>
            <w:vAlign w:val="center"/>
            <w:hideMark/>
          </w:tcPr>
          <w:p w14:paraId="107B5CAD"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679F0CEC" w14:textId="77777777" w:rsidR="0021390C" w:rsidRPr="00FB351A" w:rsidRDefault="0021390C">
            <w:pPr>
              <w:jc w:val="center"/>
              <w:rPr>
                <w:rFonts w:ascii="Arial" w:hAnsi="Arial" w:cs="Arial"/>
                <w:sz w:val="16"/>
                <w:szCs w:val="16"/>
              </w:rPr>
            </w:pPr>
            <w:r w:rsidRPr="00FB351A">
              <w:rPr>
                <w:rFonts w:ascii="Arial" w:hAnsi="Arial" w:cs="Arial"/>
                <w:sz w:val="16"/>
                <w:szCs w:val="16"/>
              </w:rPr>
              <w:t>3.45</w:t>
            </w:r>
          </w:p>
        </w:tc>
        <w:tc>
          <w:tcPr>
            <w:tcW w:w="233" w:type="pct"/>
            <w:vMerge/>
            <w:tcBorders>
              <w:top w:val="nil"/>
              <w:left w:val="single" w:sz="4" w:space="0" w:color="auto"/>
              <w:bottom w:val="single" w:sz="4" w:space="0" w:color="auto"/>
              <w:right w:val="single" w:sz="4" w:space="0" w:color="auto"/>
            </w:tcBorders>
            <w:vAlign w:val="center"/>
            <w:hideMark/>
          </w:tcPr>
          <w:p w14:paraId="5BBF9CCA" w14:textId="77777777" w:rsidR="0021390C" w:rsidRPr="00FB351A" w:rsidRDefault="0021390C">
            <w:pPr>
              <w:rPr>
                <w:rFonts w:ascii="Arial" w:hAnsi="Arial" w:cs="Arial"/>
                <w:color w:val="006AB9"/>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0EED02A"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44B4D2D8"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68097E69" w14:textId="77777777" w:rsidR="0021390C" w:rsidRPr="00FB351A" w:rsidRDefault="0021390C">
            <w:pPr>
              <w:rPr>
                <w:rFonts w:ascii="Arial" w:hAnsi="Arial" w:cs="Arial"/>
                <w:sz w:val="16"/>
                <w:szCs w:val="16"/>
              </w:rPr>
            </w:pPr>
          </w:p>
        </w:tc>
      </w:tr>
      <w:tr w:rsidR="0021390C" w:rsidRPr="00FB351A" w14:paraId="70B4A5EB"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6823AD96"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3BC7349A" w14:textId="68324BA1" w:rsidR="0021390C" w:rsidRPr="00FB351A" w:rsidRDefault="00047674">
            <w:pPr>
              <w:rPr>
                <w:rFonts w:ascii="Arial" w:hAnsi="Arial" w:cs="Arial"/>
                <w:b/>
                <w:bCs/>
                <w:i/>
                <w:iCs/>
                <w:color w:val="0070C0"/>
                <w:sz w:val="16"/>
                <w:szCs w:val="16"/>
              </w:rPr>
            </w:pPr>
            <w:r w:rsidRPr="00FB351A">
              <w:rPr>
                <w:rFonts w:ascii="Arial" w:hAnsi="Arial" w:cs="Arial"/>
                <w:b/>
                <w:bCs/>
                <w:i/>
                <w:iCs/>
                <w:color w:val="0070C0"/>
                <w:sz w:val="16"/>
                <w:szCs w:val="16"/>
              </w:rPr>
              <w:t>SELECCIÓN</w:t>
            </w:r>
            <w:r w:rsidR="0021390C" w:rsidRPr="00FB351A">
              <w:rPr>
                <w:rFonts w:ascii="Arial" w:hAnsi="Arial" w:cs="Arial"/>
                <w:b/>
                <w:bCs/>
                <w:i/>
                <w:iCs/>
                <w:color w:val="0070C0"/>
                <w:sz w:val="16"/>
                <w:szCs w:val="16"/>
              </w:rPr>
              <w:t xml:space="preserve"> ABREVIADA DE MENOR </w:t>
            </w:r>
            <w:r w:rsidRPr="00FB351A">
              <w:rPr>
                <w:rFonts w:ascii="Arial" w:hAnsi="Arial" w:cs="Arial"/>
                <w:b/>
                <w:bCs/>
                <w:i/>
                <w:iCs/>
                <w:color w:val="0070C0"/>
                <w:sz w:val="16"/>
                <w:szCs w:val="16"/>
              </w:rPr>
              <w:t>CUANTÍA</w:t>
            </w:r>
            <w:r w:rsidR="0021390C" w:rsidRPr="00FB351A">
              <w:rPr>
                <w:rFonts w:ascii="Arial" w:hAnsi="Arial" w:cs="Arial"/>
                <w:b/>
                <w:bCs/>
                <w:i/>
                <w:iCs/>
                <w:color w:val="0070C0"/>
                <w:sz w:val="16"/>
                <w:szCs w:val="16"/>
              </w:rPr>
              <w:t xml:space="preserve">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6439BB01" w14:textId="2A639079" w:rsidR="0021390C" w:rsidRPr="00FB351A" w:rsidRDefault="0021390C">
            <w:pPr>
              <w:jc w:val="center"/>
              <w:rPr>
                <w:rFonts w:ascii="Arial" w:hAnsi="Arial" w:cs="Arial"/>
                <w:sz w:val="16"/>
                <w:szCs w:val="16"/>
              </w:rPr>
            </w:pPr>
            <w:r w:rsidRPr="00FB351A">
              <w:rPr>
                <w:rFonts w:ascii="Arial" w:hAnsi="Arial" w:cs="Arial"/>
                <w:sz w:val="16"/>
                <w:szCs w:val="16"/>
              </w:rPr>
              <w:t xml:space="preserve">RESPONSABILIDAD CIVIL SERVIDORES </w:t>
            </w:r>
            <w:r w:rsidR="00047674" w:rsidRPr="00FB351A">
              <w:rPr>
                <w:rFonts w:ascii="Arial" w:hAnsi="Arial" w:cs="Arial"/>
                <w:sz w:val="16"/>
                <w:szCs w:val="16"/>
              </w:rPr>
              <w:lastRenderedPageBreak/>
              <w:t>PÚBLICOS</w:t>
            </w:r>
          </w:p>
        </w:tc>
        <w:tc>
          <w:tcPr>
            <w:tcW w:w="219" w:type="pct"/>
            <w:tcBorders>
              <w:top w:val="nil"/>
              <w:left w:val="nil"/>
              <w:bottom w:val="single" w:sz="4" w:space="0" w:color="auto"/>
              <w:right w:val="single" w:sz="4" w:space="0" w:color="auto"/>
            </w:tcBorders>
            <w:shd w:val="clear" w:color="000000" w:fill="FFFFCC"/>
            <w:vAlign w:val="center"/>
            <w:hideMark/>
          </w:tcPr>
          <w:p w14:paraId="15C80502"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lastRenderedPageBreak/>
              <w:t>2.66</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3574E9EE" w14:textId="77777777" w:rsidR="0021390C" w:rsidRPr="00FB351A" w:rsidRDefault="0021390C">
            <w:pPr>
              <w:jc w:val="center"/>
              <w:rPr>
                <w:rFonts w:ascii="Arial" w:hAnsi="Arial" w:cs="Arial"/>
                <w:sz w:val="16"/>
                <w:szCs w:val="16"/>
              </w:rPr>
            </w:pPr>
            <w:r w:rsidRPr="00FB351A">
              <w:rPr>
                <w:rFonts w:ascii="Arial" w:hAnsi="Arial" w:cs="Arial"/>
                <w:sz w:val="16"/>
                <w:szCs w:val="16"/>
              </w:rPr>
              <w:t>2.84</w:t>
            </w:r>
          </w:p>
        </w:tc>
        <w:tc>
          <w:tcPr>
            <w:tcW w:w="150" w:type="pct"/>
            <w:vMerge w:val="restart"/>
            <w:tcBorders>
              <w:top w:val="nil"/>
              <w:left w:val="single" w:sz="4" w:space="0" w:color="auto"/>
              <w:bottom w:val="single" w:sz="4" w:space="0" w:color="auto"/>
              <w:right w:val="single" w:sz="4" w:space="0" w:color="auto"/>
            </w:tcBorders>
            <w:vAlign w:val="center"/>
            <w:hideMark/>
          </w:tcPr>
          <w:p w14:paraId="613F1EE2"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4D90B29F"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43215487"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644EFD1E"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5D4E1145"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FONDO DE DESARROLLO DE PROYECTOS DE CUNDINAMARCA-</w:t>
            </w:r>
            <w:proofErr w:type="spellStart"/>
            <w:r w:rsidRPr="00FB351A">
              <w:rPr>
                <w:rFonts w:ascii="Arial" w:hAnsi="Arial" w:cs="Arial"/>
                <w:color w:val="000000"/>
                <w:sz w:val="16"/>
                <w:szCs w:val="16"/>
              </w:rPr>
              <w:t>FONDECUN</w:t>
            </w:r>
            <w:proofErr w:type="spellEnd"/>
          </w:p>
        </w:tc>
        <w:tc>
          <w:tcPr>
            <w:tcW w:w="1452" w:type="pct"/>
            <w:tcBorders>
              <w:top w:val="nil"/>
              <w:left w:val="nil"/>
              <w:bottom w:val="single" w:sz="4" w:space="0" w:color="auto"/>
              <w:right w:val="single" w:sz="4" w:space="0" w:color="auto"/>
            </w:tcBorders>
            <w:noWrap/>
            <w:vAlign w:val="center"/>
            <w:hideMark/>
          </w:tcPr>
          <w:p w14:paraId="16F9694C" w14:textId="5E65904F" w:rsidR="0021390C" w:rsidRPr="00FB351A" w:rsidRDefault="00047674">
            <w:pPr>
              <w:rPr>
                <w:rFonts w:ascii="Arial" w:hAnsi="Arial" w:cs="Arial"/>
                <w:color w:val="000000"/>
                <w:sz w:val="16"/>
                <w:szCs w:val="16"/>
              </w:rPr>
            </w:pPr>
            <w:r w:rsidRPr="00FB351A">
              <w:rPr>
                <w:rFonts w:ascii="Arial" w:hAnsi="Arial" w:cs="Arial"/>
                <w:color w:val="000000"/>
                <w:sz w:val="16"/>
                <w:szCs w:val="16"/>
              </w:rPr>
              <w:t>SELECCIÓN</w:t>
            </w:r>
            <w:r w:rsidR="0021390C" w:rsidRPr="00FB351A">
              <w:rPr>
                <w:rFonts w:ascii="Arial" w:hAnsi="Arial" w:cs="Arial"/>
                <w:color w:val="000000"/>
                <w:sz w:val="16"/>
                <w:szCs w:val="16"/>
              </w:rPr>
              <w:t xml:space="preserve"> ABREVIADA SAMC-001-2026</w:t>
            </w:r>
          </w:p>
        </w:tc>
        <w:tc>
          <w:tcPr>
            <w:tcW w:w="445" w:type="pct"/>
            <w:vMerge/>
            <w:tcBorders>
              <w:top w:val="nil"/>
              <w:left w:val="single" w:sz="4" w:space="0" w:color="auto"/>
              <w:bottom w:val="single" w:sz="4" w:space="0" w:color="auto"/>
              <w:right w:val="single" w:sz="4" w:space="0" w:color="auto"/>
            </w:tcBorders>
            <w:vAlign w:val="center"/>
            <w:hideMark/>
          </w:tcPr>
          <w:p w14:paraId="79494B4B"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0BDA6F6A" w14:textId="77777777" w:rsidR="0021390C" w:rsidRPr="00FB351A" w:rsidRDefault="0021390C">
            <w:pPr>
              <w:jc w:val="center"/>
              <w:rPr>
                <w:rFonts w:ascii="Arial" w:hAnsi="Arial" w:cs="Arial"/>
                <w:sz w:val="16"/>
                <w:szCs w:val="16"/>
              </w:rPr>
            </w:pPr>
            <w:r w:rsidRPr="00FB351A">
              <w:rPr>
                <w:rFonts w:ascii="Arial" w:hAnsi="Arial" w:cs="Arial"/>
                <w:sz w:val="16"/>
                <w:szCs w:val="16"/>
              </w:rPr>
              <w:t>2.00</w:t>
            </w:r>
          </w:p>
        </w:tc>
        <w:tc>
          <w:tcPr>
            <w:tcW w:w="233" w:type="pct"/>
            <w:vMerge/>
            <w:tcBorders>
              <w:top w:val="nil"/>
              <w:left w:val="single" w:sz="4" w:space="0" w:color="auto"/>
              <w:bottom w:val="single" w:sz="4" w:space="0" w:color="auto"/>
              <w:right w:val="single" w:sz="4" w:space="0" w:color="auto"/>
            </w:tcBorders>
            <w:vAlign w:val="center"/>
            <w:hideMark/>
          </w:tcPr>
          <w:p w14:paraId="55F0F007"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17351111" w14:textId="77777777" w:rsidR="0021390C" w:rsidRPr="00FB351A" w:rsidRDefault="0021390C">
            <w:pPr>
              <w:rPr>
                <w:rFonts w:ascii="Arial" w:hAnsi="Arial" w:cs="Arial"/>
                <w:color w:val="000000"/>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69DC6874" w14:textId="77777777" w:rsidR="0021390C" w:rsidRPr="00FB351A" w:rsidRDefault="0021390C">
            <w:pPr>
              <w:rPr>
                <w:rFonts w:ascii="Arial" w:hAnsi="Arial" w:cs="Arial"/>
                <w:color w:val="00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47A01B95" w14:textId="77777777" w:rsidR="0021390C" w:rsidRPr="00FB351A" w:rsidRDefault="0021390C">
            <w:pPr>
              <w:rPr>
                <w:rFonts w:ascii="Arial" w:hAnsi="Arial" w:cs="Arial"/>
                <w:sz w:val="16"/>
                <w:szCs w:val="16"/>
              </w:rPr>
            </w:pPr>
          </w:p>
        </w:tc>
      </w:tr>
      <w:tr w:rsidR="0021390C" w:rsidRPr="00FB351A" w14:paraId="2742B2B9"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5514782"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lastRenderedPageBreak/>
              <w:t>UNIDAD ADMINISTRATIVA ESPECIAL DE ALIMENTACIÓN ESCOLAR-ALIMENTOS PARA APRENDER</w:t>
            </w:r>
          </w:p>
        </w:tc>
        <w:tc>
          <w:tcPr>
            <w:tcW w:w="1452" w:type="pct"/>
            <w:tcBorders>
              <w:top w:val="nil"/>
              <w:left w:val="nil"/>
              <w:bottom w:val="single" w:sz="4" w:space="0" w:color="auto"/>
              <w:right w:val="single" w:sz="4" w:space="0" w:color="auto"/>
            </w:tcBorders>
            <w:noWrap/>
            <w:vAlign w:val="center"/>
            <w:hideMark/>
          </w:tcPr>
          <w:p w14:paraId="5A31175F"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MÍNIMA CUANTÍA No MC-</w:t>
            </w:r>
            <w:proofErr w:type="spellStart"/>
            <w:r w:rsidRPr="00FB351A">
              <w:rPr>
                <w:rFonts w:ascii="Arial" w:hAnsi="Arial" w:cs="Arial"/>
                <w:color w:val="000000"/>
                <w:sz w:val="16"/>
                <w:szCs w:val="16"/>
              </w:rPr>
              <w:t>UAPA</w:t>
            </w:r>
            <w:proofErr w:type="spellEnd"/>
            <w:r w:rsidRPr="00FB351A">
              <w:rPr>
                <w:rFonts w:ascii="Arial" w:hAnsi="Arial" w:cs="Arial"/>
                <w:color w:val="000000"/>
                <w:sz w:val="16"/>
                <w:szCs w:val="16"/>
              </w:rPr>
              <w:t>-006- 2025</w:t>
            </w:r>
          </w:p>
        </w:tc>
        <w:tc>
          <w:tcPr>
            <w:tcW w:w="445" w:type="pct"/>
            <w:vMerge/>
            <w:tcBorders>
              <w:top w:val="nil"/>
              <w:left w:val="single" w:sz="4" w:space="0" w:color="auto"/>
              <w:bottom w:val="single" w:sz="4" w:space="0" w:color="auto"/>
              <w:right w:val="single" w:sz="4" w:space="0" w:color="auto"/>
            </w:tcBorders>
            <w:vAlign w:val="center"/>
            <w:hideMark/>
          </w:tcPr>
          <w:p w14:paraId="285A8CDA"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34DA4BE8" w14:textId="77777777" w:rsidR="0021390C" w:rsidRPr="00FB351A" w:rsidRDefault="0021390C">
            <w:pPr>
              <w:jc w:val="center"/>
              <w:rPr>
                <w:rFonts w:ascii="Arial" w:hAnsi="Arial" w:cs="Arial"/>
                <w:sz w:val="16"/>
                <w:szCs w:val="16"/>
              </w:rPr>
            </w:pPr>
            <w:r w:rsidRPr="00FB351A">
              <w:rPr>
                <w:rFonts w:ascii="Arial" w:hAnsi="Arial" w:cs="Arial"/>
                <w:sz w:val="16"/>
                <w:szCs w:val="16"/>
              </w:rPr>
              <w:t>3.00</w:t>
            </w:r>
          </w:p>
        </w:tc>
        <w:tc>
          <w:tcPr>
            <w:tcW w:w="233" w:type="pct"/>
            <w:vMerge/>
            <w:tcBorders>
              <w:top w:val="nil"/>
              <w:left w:val="single" w:sz="4" w:space="0" w:color="auto"/>
              <w:bottom w:val="single" w:sz="4" w:space="0" w:color="auto"/>
              <w:right w:val="single" w:sz="4" w:space="0" w:color="auto"/>
            </w:tcBorders>
            <w:vAlign w:val="center"/>
            <w:hideMark/>
          </w:tcPr>
          <w:p w14:paraId="359ECC6A"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2814BCC6" w14:textId="77777777" w:rsidR="0021390C" w:rsidRPr="00FB351A" w:rsidRDefault="0021390C">
            <w:pPr>
              <w:rPr>
                <w:rFonts w:ascii="Arial" w:hAnsi="Arial" w:cs="Arial"/>
                <w:color w:val="000000"/>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E9ACF99" w14:textId="77777777" w:rsidR="0021390C" w:rsidRPr="00FB351A" w:rsidRDefault="0021390C">
            <w:pPr>
              <w:rPr>
                <w:rFonts w:ascii="Arial" w:hAnsi="Arial" w:cs="Arial"/>
                <w:color w:val="00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541AE7FD" w14:textId="77777777" w:rsidR="0021390C" w:rsidRPr="00FB351A" w:rsidRDefault="0021390C">
            <w:pPr>
              <w:rPr>
                <w:rFonts w:ascii="Arial" w:hAnsi="Arial" w:cs="Arial"/>
                <w:sz w:val="16"/>
                <w:szCs w:val="16"/>
              </w:rPr>
            </w:pPr>
          </w:p>
        </w:tc>
      </w:tr>
      <w:tr w:rsidR="0021390C" w:rsidRPr="00FB351A" w14:paraId="3033DD7F"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4CF2691"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DEPARTAMENTO DE CUNDINAMARCA</w:t>
            </w:r>
          </w:p>
        </w:tc>
        <w:tc>
          <w:tcPr>
            <w:tcW w:w="1452" w:type="pct"/>
            <w:tcBorders>
              <w:top w:val="nil"/>
              <w:left w:val="nil"/>
              <w:bottom w:val="single" w:sz="4" w:space="0" w:color="auto"/>
              <w:right w:val="single" w:sz="4" w:space="0" w:color="auto"/>
            </w:tcBorders>
            <w:noWrap/>
            <w:vAlign w:val="center"/>
            <w:hideMark/>
          </w:tcPr>
          <w:p w14:paraId="5A076DD4"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LICITACIÓN PÚBLICA SG-LP-001-2025</w:t>
            </w:r>
          </w:p>
        </w:tc>
        <w:tc>
          <w:tcPr>
            <w:tcW w:w="445" w:type="pct"/>
            <w:vMerge/>
            <w:tcBorders>
              <w:top w:val="nil"/>
              <w:left w:val="single" w:sz="4" w:space="0" w:color="auto"/>
              <w:bottom w:val="single" w:sz="4" w:space="0" w:color="auto"/>
              <w:right w:val="single" w:sz="4" w:space="0" w:color="auto"/>
            </w:tcBorders>
            <w:vAlign w:val="center"/>
            <w:hideMark/>
          </w:tcPr>
          <w:p w14:paraId="6A0D4018"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1960D002" w14:textId="77777777" w:rsidR="0021390C" w:rsidRPr="00FB351A" w:rsidRDefault="0021390C">
            <w:pPr>
              <w:jc w:val="center"/>
              <w:rPr>
                <w:rFonts w:ascii="Arial" w:hAnsi="Arial" w:cs="Arial"/>
                <w:sz w:val="16"/>
                <w:szCs w:val="16"/>
              </w:rPr>
            </w:pPr>
            <w:r w:rsidRPr="00FB351A">
              <w:rPr>
                <w:rFonts w:ascii="Arial" w:hAnsi="Arial" w:cs="Arial"/>
                <w:sz w:val="16"/>
                <w:szCs w:val="16"/>
              </w:rPr>
              <w:t>3.52</w:t>
            </w:r>
          </w:p>
        </w:tc>
        <w:tc>
          <w:tcPr>
            <w:tcW w:w="233" w:type="pct"/>
            <w:vMerge/>
            <w:tcBorders>
              <w:top w:val="nil"/>
              <w:left w:val="single" w:sz="4" w:space="0" w:color="auto"/>
              <w:bottom w:val="single" w:sz="4" w:space="0" w:color="auto"/>
              <w:right w:val="single" w:sz="4" w:space="0" w:color="auto"/>
            </w:tcBorders>
            <w:vAlign w:val="center"/>
            <w:hideMark/>
          </w:tcPr>
          <w:p w14:paraId="321896CC"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745DE12E" w14:textId="77777777" w:rsidR="0021390C" w:rsidRPr="00FB351A" w:rsidRDefault="0021390C">
            <w:pPr>
              <w:rPr>
                <w:rFonts w:ascii="Arial" w:hAnsi="Arial" w:cs="Arial"/>
                <w:color w:val="000000"/>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50949014" w14:textId="77777777" w:rsidR="0021390C" w:rsidRPr="00FB351A" w:rsidRDefault="0021390C">
            <w:pPr>
              <w:rPr>
                <w:rFonts w:ascii="Arial" w:hAnsi="Arial" w:cs="Arial"/>
                <w:color w:val="00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6E683E88" w14:textId="77777777" w:rsidR="0021390C" w:rsidRPr="00FB351A" w:rsidRDefault="0021390C">
            <w:pPr>
              <w:rPr>
                <w:rFonts w:ascii="Arial" w:hAnsi="Arial" w:cs="Arial"/>
                <w:sz w:val="16"/>
                <w:szCs w:val="16"/>
              </w:rPr>
            </w:pPr>
          </w:p>
        </w:tc>
      </w:tr>
      <w:tr w:rsidR="0021390C" w:rsidRPr="00FB351A" w14:paraId="61530B72"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50C50ECD"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MINISTERIO DEL INTERIOR</w:t>
            </w:r>
          </w:p>
        </w:tc>
        <w:tc>
          <w:tcPr>
            <w:tcW w:w="1452" w:type="pct"/>
            <w:tcBorders>
              <w:top w:val="nil"/>
              <w:left w:val="nil"/>
              <w:bottom w:val="single" w:sz="4" w:space="0" w:color="auto"/>
              <w:right w:val="single" w:sz="4" w:space="0" w:color="auto"/>
            </w:tcBorders>
            <w:noWrap/>
            <w:vAlign w:val="center"/>
            <w:hideMark/>
          </w:tcPr>
          <w:p w14:paraId="32D5BB1F"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SAMC-001-2025</w:t>
            </w:r>
          </w:p>
        </w:tc>
        <w:tc>
          <w:tcPr>
            <w:tcW w:w="445" w:type="pct"/>
            <w:vMerge/>
            <w:tcBorders>
              <w:top w:val="nil"/>
              <w:left w:val="single" w:sz="4" w:space="0" w:color="auto"/>
              <w:bottom w:val="single" w:sz="4" w:space="0" w:color="auto"/>
              <w:right w:val="single" w:sz="4" w:space="0" w:color="auto"/>
            </w:tcBorders>
            <w:vAlign w:val="center"/>
            <w:hideMark/>
          </w:tcPr>
          <w:p w14:paraId="4C785646"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3F92963E" w14:textId="77777777" w:rsidR="0021390C" w:rsidRPr="00FB351A" w:rsidRDefault="0021390C">
            <w:pPr>
              <w:jc w:val="center"/>
              <w:rPr>
                <w:rFonts w:ascii="Arial" w:hAnsi="Arial" w:cs="Arial"/>
                <w:sz w:val="16"/>
                <w:szCs w:val="16"/>
              </w:rPr>
            </w:pPr>
            <w:r w:rsidRPr="00FB351A">
              <w:rPr>
                <w:rFonts w:ascii="Arial" w:hAnsi="Arial" w:cs="Arial"/>
                <w:sz w:val="16"/>
                <w:szCs w:val="16"/>
              </w:rPr>
              <w:t>3.00</w:t>
            </w:r>
          </w:p>
        </w:tc>
        <w:tc>
          <w:tcPr>
            <w:tcW w:w="233" w:type="pct"/>
            <w:vMerge/>
            <w:tcBorders>
              <w:top w:val="nil"/>
              <w:left w:val="single" w:sz="4" w:space="0" w:color="auto"/>
              <w:bottom w:val="single" w:sz="4" w:space="0" w:color="auto"/>
              <w:right w:val="single" w:sz="4" w:space="0" w:color="auto"/>
            </w:tcBorders>
            <w:vAlign w:val="center"/>
            <w:hideMark/>
          </w:tcPr>
          <w:p w14:paraId="759AA80E"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492E11A1" w14:textId="77777777" w:rsidR="0021390C" w:rsidRPr="00FB351A" w:rsidRDefault="0021390C">
            <w:pPr>
              <w:rPr>
                <w:rFonts w:ascii="Arial" w:hAnsi="Arial" w:cs="Arial"/>
                <w:color w:val="000000"/>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076720BD" w14:textId="77777777" w:rsidR="0021390C" w:rsidRPr="00FB351A" w:rsidRDefault="0021390C">
            <w:pPr>
              <w:rPr>
                <w:rFonts w:ascii="Arial" w:hAnsi="Arial" w:cs="Arial"/>
                <w:color w:val="000000"/>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1A5F9E92" w14:textId="77777777" w:rsidR="0021390C" w:rsidRPr="00FB351A" w:rsidRDefault="0021390C">
            <w:pPr>
              <w:rPr>
                <w:rFonts w:ascii="Arial" w:hAnsi="Arial" w:cs="Arial"/>
                <w:sz w:val="16"/>
                <w:szCs w:val="16"/>
              </w:rPr>
            </w:pPr>
          </w:p>
        </w:tc>
      </w:tr>
      <w:tr w:rsidR="0021390C" w:rsidRPr="00FB351A" w14:paraId="2B178A93"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49EB0E66"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59942DCE" w14:textId="003A0896" w:rsidR="0021390C" w:rsidRPr="00FB351A" w:rsidRDefault="00047674">
            <w:pPr>
              <w:rPr>
                <w:rFonts w:ascii="Arial" w:hAnsi="Arial" w:cs="Arial"/>
                <w:b/>
                <w:bCs/>
                <w:i/>
                <w:iCs/>
                <w:color w:val="0070C0"/>
                <w:sz w:val="16"/>
                <w:szCs w:val="16"/>
              </w:rPr>
            </w:pPr>
            <w:r w:rsidRPr="00FB351A">
              <w:rPr>
                <w:rFonts w:ascii="Arial" w:hAnsi="Arial" w:cs="Arial"/>
                <w:b/>
                <w:bCs/>
                <w:i/>
                <w:iCs/>
                <w:color w:val="0070C0"/>
                <w:sz w:val="16"/>
                <w:szCs w:val="16"/>
              </w:rPr>
              <w:t>SELECCIÓN</w:t>
            </w:r>
            <w:r w:rsidR="0021390C" w:rsidRPr="00FB351A">
              <w:rPr>
                <w:rFonts w:ascii="Arial" w:hAnsi="Arial" w:cs="Arial"/>
                <w:b/>
                <w:bCs/>
                <w:i/>
                <w:iCs/>
                <w:color w:val="0070C0"/>
                <w:sz w:val="16"/>
                <w:szCs w:val="16"/>
              </w:rPr>
              <w:t xml:space="preserve"> ABREVIADA DE MENOR </w:t>
            </w:r>
            <w:r w:rsidRPr="00FB351A">
              <w:rPr>
                <w:rFonts w:ascii="Arial" w:hAnsi="Arial" w:cs="Arial"/>
                <w:b/>
                <w:bCs/>
                <w:i/>
                <w:iCs/>
                <w:color w:val="0070C0"/>
                <w:sz w:val="16"/>
                <w:szCs w:val="16"/>
              </w:rPr>
              <w:t>CUANTÍA</w:t>
            </w:r>
            <w:r w:rsidR="0021390C" w:rsidRPr="00FB351A">
              <w:rPr>
                <w:rFonts w:ascii="Arial" w:hAnsi="Arial" w:cs="Arial"/>
                <w:b/>
                <w:bCs/>
                <w:i/>
                <w:iCs/>
                <w:color w:val="0070C0"/>
                <w:sz w:val="16"/>
                <w:szCs w:val="16"/>
              </w:rPr>
              <w:t xml:space="preserve"> SAMC-01-2026</w:t>
            </w:r>
          </w:p>
        </w:tc>
        <w:tc>
          <w:tcPr>
            <w:tcW w:w="445" w:type="pct"/>
            <w:vMerge w:val="restart"/>
            <w:tcBorders>
              <w:top w:val="nil"/>
              <w:left w:val="single" w:sz="4" w:space="0" w:color="auto"/>
              <w:bottom w:val="single" w:sz="4" w:space="0" w:color="auto"/>
              <w:right w:val="single" w:sz="4" w:space="0" w:color="auto"/>
            </w:tcBorders>
            <w:vAlign w:val="center"/>
            <w:hideMark/>
          </w:tcPr>
          <w:p w14:paraId="24AE0E01" w14:textId="77777777" w:rsidR="0021390C" w:rsidRPr="00FB351A" w:rsidRDefault="0021390C">
            <w:pPr>
              <w:jc w:val="center"/>
              <w:rPr>
                <w:rFonts w:ascii="Arial" w:hAnsi="Arial" w:cs="Arial"/>
                <w:sz w:val="16"/>
                <w:szCs w:val="16"/>
              </w:rPr>
            </w:pPr>
            <w:r w:rsidRPr="00FB351A">
              <w:rPr>
                <w:rFonts w:ascii="Arial" w:hAnsi="Arial" w:cs="Arial"/>
                <w:sz w:val="16"/>
                <w:szCs w:val="16"/>
              </w:rPr>
              <w:t>INFIDELIDAD Y RIESGOS FINANCIEROS</w:t>
            </w:r>
          </w:p>
        </w:tc>
        <w:tc>
          <w:tcPr>
            <w:tcW w:w="219" w:type="pct"/>
            <w:tcBorders>
              <w:top w:val="nil"/>
              <w:left w:val="nil"/>
              <w:bottom w:val="single" w:sz="4" w:space="0" w:color="auto"/>
              <w:right w:val="single" w:sz="4" w:space="0" w:color="auto"/>
            </w:tcBorders>
            <w:shd w:val="clear" w:color="000000" w:fill="FFFFCC"/>
            <w:vAlign w:val="center"/>
            <w:hideMark/>
          </w:tcPr>
          <w:p w14:paraId="445C11DB" w14:textId="77777777" w:rsidR="0021390C" w:rsidRPr="00FB351A" w:rsidRDefault="0021390C">
            <w:pPr>
              <w:jc w:val="center"/>
              <w:rPr>
                <w:rFonts w:ascii="Arial" w:hAnsi="Arial" w:cs="Arial"/>
                <w:sz w:val="16"/>
                <w:szCs w:val="16"/>
              </w:rPr>
            </w:pPr>
            <w:r w:rsidRPr="00FB351A">
              <w:rPr>
                <w:rFonts w:ascii="Arial" w:hAnsi="Arial" w:cs="Arial"/>
                <w:sz w:val="16"/>
                <w:szCs w:val="16"/>
              </w:rPr>
              <w:t>1.61</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1B25E211" w14:textId="77777777" w:rsidR="0021390C" w:rsidRPr="00FB351A" w:rsidRDefault="0021390C">
            <w:pPr>
              <w:jc w:val="center"/>
              <w:rPr>
                <w:rFonts w:ascii="Arial" w:hAnsi="Arial" w:cs="Arial"/>
                <w:sz w:val="16"/>
                <w:szCs w:val="16"/>
              </w:rPr>
            </w:pPr>
            <w:r w:rsidRPr="00FB351A">
              <w:rPr>
                <w:rFonts w:ascii="Arial" w:hAnsi="Arial" w:cs="Arial"/>
                <w:sz w:val="16"/>
                <w:szCs w:val="16"/>
              </w:rPr>
              <w:t>1.64</w:t>
            </w:r>
          </w:p>
        </w:tc>
        <w:tc>
          <w:tcPr>
            <w:tcW w:w="150" w:type="pct"/>
            <w:vMerge w:val="restart"/>
            <w:tcBorders>
              <w:top w:val="nil"/>
              <w:left w:val="single" w:sz="4" w:space="0" w:color="auto"/>
              <w:bottom w:val="single" w:sz="4" w:space="0" w:color="auto"/>
              <w:right w:val="single" w:sz="4" w:space="0" w:color="auto"/>
            </w:tcBorders>
            <w:vAlign w:val="center"/>
            <w:hideMark/>
          </w:tcPr>
          <w:p w14:paraId="175E620C"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1AE41EDC"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vAlign w:val="center"/>
            <w:hideMark/>
          </w:tcPr>
          <w:p w14:paraId="3C808FC0"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1789198A"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12BEA5E" w14:textId="4647B882"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INSTITUTO DE VIVIENDA DE </w:t>
            </w:r>
            <w:r w:rsidR="00047674" w:rsidRPr="00FB351A">
              <w:rPr>
                <w:rFonts w:ascii="Arial" w:hAnsi="Arial" w:cs="Arial"/>
                <w:color w:val="000000"/>
                <w:sz w:val="16"/>
                <w:szCs w:val="16"/>
              </w:rPr>
              <w:t>INTERÉS</w:t>
            </w:r>
            <w:r w:rsidRPr="00FB351A">
              <w:rPr>
                <w:rFonts w:ascii="Arial" w:hAnsi="Arial" w:cs="Arial"/>
                <w:color w:val="000000"/>
                <w:sz w:val="16"/>
                <w:szCs w:val="16"/>
              </w:rPr>
              <w:t xml:space="preserve"> SOCIAL Y REFORMA URBANA BUCARAMANGA </w:t>
            </w:r>
          </w:p>
        </w:tc>
        <w:tc>
          <w:tcPr>
            <w:tcW w:w="1452" w:type="pct"/>
            <w:tcBorders>
              <w:top w:val="nil"/>
              <w:left w:val="nil"/>
              <w:bottom w:val="single" w:sz="4" w:space="0" w:color="auto"/>
              <w:right w:val="single" w:sz="4" w:space="0" w:color="auto"/>
            </w:tcBorders>
            <w:noWrap/>
            <w:vAlign w:val="center"/>
            <w:hideMark/>
          </w:tcPr>
          <w:p w14:paraId="4CCADE22"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SA-001-2026 </w:t>
            </w:r>
          </w:p>
        </w:tc>
        <w:tc>
          <w:tcPr>
            <w:tcW w:w="445" w:type="pct"/>
            <w:vMerge/>
            <w:tcBorders>
              <w:top w:val="nil"/>
              <w:left w:val="single" w:sz="4" w:space="0" w:color="auto"/>
              <w:bottom w:val="single" w:sz="4" w:space="0" w:color="auto"/>
              <w:right w:val="single" w:sz="4" w:space="0" w:color="auto"/>
            </w:tcBorders>
            <w:vAlign w:val="center"/>
            <w:hideMark/>
          </w:tcPr>
          <w:p w14:paraId="1DB88ADB"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BB3B87E" w14:textId="77777777" w:rsidR="0021390C" w:rsidRPr="00FB351A" w:rsidRDefault="0021390C">
            <w:pPr>
              <w:jc w:val="center"/>
              <w:rPr>
                <w:rFonts w:ascii="Arial" w:hAnsi="Arial" w:cs="Arial"/>
                <w:sz w:val="16"/>
                <w:szCs w:val="16"/>
              </w:rPr>
            </w:pPr>
            <w:r w:rsidRPr="00FB351A">
              <w:rPr>
                <w:rFonts w:ascii="Arial" w:hAnsi="Arial" w:cs="Arial"/>
                <w:sz w:val="16"/>
                <w:szCs w:val="16"/>
              </w:rPr>
              <w:t>1.90</w:t>
            </w:r>
          </w:p>
        </w:tc>
        <w:tc>
          <w:tcPr>
            <w:tcW w:w="233" w:type="pct"/>
            <w:vMerge/>
            <w:tcBorders>
              <w:top w:val="nil"/>
              <w:left w:val="single" w:sz="4" w:space="0" w:color="auto"/>
              <w:bottom w:val="single" w:sz="4" w:space="0" w:color="auto"/>
              <w:right w:val="single" w:sz="4" w:space="0" w:color="auto"/>
            </w:tcBorders>
            <w:vAlign w:val="center"/>
            <w:hideMark/>
          </w:tcPr>
          <w:p w14:paraId="48B997CF"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1301B878"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440E8605"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7C385105" w14:textId="77777777" w:rsidR="0021390C" w:rsidRPr="00FB351A" w:rsidRDefault="0021390C">
            <w:pPr>
              <w:rPr>
                <w:rFonts w:ascii="Arial" w:hAnsi="Arial" w:cs="Arial"/>
                <w:sz w:val="16"/>
                <w:szCs w:val="16"/>
              </w:rPr>
            </w:pPr>
          </w:p>
        </w:tc>
      </w:tr>
      <w:tr w:rsidR="0021390C" w:rsidRPr="00FB351A" w14:paraId="61103EBC" w14:textId="77777777" w:rsidTr="0021390C">
        <w:trPr>
          <w:trHeight w:val="20"/>
        </w:trPr>
        <w:tc>
          <w:tcPr>
            <w:tcW w:w="1902" w:type="pct"/>
            <w:tcBorders>
              <w:top w:val="nil"/>
              <w:left w:val="single" w:sz="4" w:space="0" w:color="auto"/>
              <w:bottom w:val="single" w:sz="4" w:space="0" w:color="auto"/>
              <w:right w:val="single" w:sz="4" w:space="0" w:color="auto"/>
            </w:tcBorders>
            <w:vAlign w:val="center"/>
            <w:hideMark/>
          </w:tcPr>
          <w:p w14:paraId="01A58C31"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FONDO DE DESARROLLO DE PROYECTOS DE CUNDINAMARCA-</w:t>
            </w:r>
            <w:proofErr w:type="spellStart"/>
            <w:r w:rsidRPr="00FB351A">
              <w:rPr>
                <w:rFonts w:ascii="Arial" w:hAnsi="Arial" w:cs="Arial"/>
                <w:color w:val="000000"/>
                <w:sz w:val="16"/>
                <w:szCs w:val="16"/>
              </w:rPr>
              <w:t>FONDECUN</w:t>
            </w:r>
            <w:proofErr w:type="spellEnd"/>
          </w:p>
        </w:tc>
        <w:tc>
          <w:tcPr>
            <w:tcW w:w="1452" w:type="pct"/>
            <w:tcBorders>
              <w:top w:val="nil"/>
              <w:left w:val="nil"/>
              <w:bottom w:val="single" w:sz="4" w:space="0" w:color="auto"/>
              <w:right w:val="single" w:sz="4" w:space="0" w:color="auto"/>
            </w:tcBorders>
            <w:noWrap/>
            <w:vAlign w:val="center"/>
            <w:hideMark/>
          </w:tcPr>
          <w:p w14:paraId="46FFEB19" w14:textId="2D02DE10" w:rsidR="0021390C" w:rsidRPr="00FB351A" w:rsidRDefault="00047674">
            <w:pPr>
              <w:rPr>
                <w:rFonts w:ascii="Arial" w:hAnsi="Arial" w:cs="Arial"/>
                <w:color w:val="000000"/>
                <w:sz w:val="16"/>
                <w:szCs w:val="16"/>
              </w:rPr>
            </w:pPr>
            <w:r w:rsidRPr="00FB351A">
              <w:rPr>
                <w:rFonts w:ascii="Arial" w:hAnsi="Arial" w:cs="Arial"/>
                <w:color w:val="000000"/>
                <w:sz w:val="16"/>
                <w:szCs w:val="16"/>
              </w:rPr>
              <w:t>SELECCIÓN</w:t>
            </w:r>
            <w:r w:rsidR="0021390C" w:rsidRPr="00FB351A">
              <w:rPr>
                <w:rFonts w:ascii="Arial" w:hAnsi="Arial" w:cs="Arial"/>
                <w:color w:val="000000"/>
                <w:sz w:val="16"/>
                <w:szCs w:val="16"/>
              </w:rPr>
              <w:t xml:space="preserve"> ABREVIADA SAMC-001-2026</w:t>
            </w:r>
          </w:p>
        </w:tc>
        <w:tc>
          <w:tcPr>
            <w:tcW w:w="445" w:type="pct"/>
            <w:vMerge/>
            <w:tcBorders>
              <w:top w:val="nil"/>
              <w:left w:val="single" w:sz="4" w:space="0" w:color="auto"/>
              <w:bottom w:val="single" w:sz="4" w:space="0" w:color="auto"/>
              <w:right w:val="single" w:sz="4" w:space="0" w:color="auto"/>
            </w:tcBorders>
            <w:vAlign w:val="center"/>
            <w:hideMark/>
          </w:tcPr>
          <w:p w14:paraId="62EAF9DE"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6B80B281" w14:textId="77777777" w:rsidR="0021390C" w:rsidRPr="00FB351A" w:rsidRDefault="0021390C">
            <w:pPr>
              <w:jc w:val="center"/>
              <w:rPr>
                <w:rFonts w:ascii="Arial" w:hAnsi="Arial" w:cs="Arial"/>
                <w:sz w:val="16"/>
                <w:szCs w:val="16"/>
              </w:rPr>
            </w:pPr>
            <w:r w:rsidRPr="00FB351A">
              <w:rPr>
                <w:rFonts w:ascii="Arial" w:hAnsi="Arial" w:cs="Arial"/>
                <w:sz w:val="16"/>
                <w:szCs w:val="16"/>
              </w:rPr>
              <w:t>1.00</w:t>
            </w:r>
          </w:p>
        </w:tc>
        <w:tc>
          <w:tcPr>
            <w:tcW w:w="233" w:type="pct"/>
            <w:vMerge/>
            <w:tcBorders>
              <w:top w:val="nil"/>
              <w:left w:val="single" w:sz="4" w:space="0" w:color="auto"/>
              <w:bottom w:val="single" w:sz="4" w:space="0" w:color="auto"/>
              <w:right w:val="single" w:sz="4" w:space="0" w:color="auto"/>
            </w:tcBorders>
            <w:vAlign w:val="center"/>
            <w:hideMark/>
          </w:tcPr>
          <w:p w14:paraId="434CFE8B"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7BCDE1C0"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245A78FD"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3DE04DAA" w14:textId="77777777" w:rsidR="0021390C" w:rsidRPr="00FB351A" w:rsidRDefault="0021390C">
            <w:pPr>
              <w:rPr>
                <w:rFonts w:ascii="Arial" w:hAnsi="Arial" w:cs="Arial"/>
                <w:sz w:val="16"/>
                <w:szCs w:val="16"/>
              </w:rPr>
            </w:pPr>
          </w:p>
        </w:tc>
      </w:tr>
      <w:tr w:rsidR="0021390C" w:rsidRPr="00FB351A" w14:paraId="250ACF6F"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743932E"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SECRETARIA DISTRITAL DE HACIENDA</w:t>
            </w:r>
          </w:p>
        </w:tc>
        <w:tc>
          <w:tcPr>
            <w:tcW w:w="1452" w:type="pct"/>
            <w:tcBorders>
              <w:top w:val="nil"/>
              <w:left w:val="nil"/>
              <w:bottom w:val="single" w:sz="4" w:space="0" w:color="auto"/>
              <w:right w:val="single" w:sz="4" w:space="0" w:color="auto"/>
            </w:tcBorders>
            <w:noWrap/>
            <w:vAlign w:val="center"/>
            <w:hideMark/>
          </w:tcPr>
          <w:p w14:paraId="0672203C" w14:textId="169D512B"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LICITACIÓN PÚBLICA No. SDH-LP-0001-2025 </w:t>
            </w:r>
          </w:p>
        </w:tc>
        <w:tc>
          <w:tcPr>
            <w:tcW w:w="445" w:type="pct"/>
            <w:vMerge/>
            <w:tcBorders>
              <w:top w:val="nil"/>
              <w:left w:val="single" w:sz="4" w:space="0" w:color="auto"/>
              <w:bottom w:val="single" w:sz="4" w:space="0" w:color="auto"/>
              <w:right w:val="single" w:sz="4" w:space="0" w:color="auto"/>
            </w:tcBorders>
            <w:vAlign w:val="center"/>
            <w:hideMark/>
          </w:tcPr>
          <w:p w14:paraId="634B4D13"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5AD8C358" w14:textId="77777777" w:rsidR="0021390C" w:rsidRPr="00FB351A" w:rsidRDefault="0021390C">
            <w:pPr>
              <w:jc w:val="center"/>
              <w:rPr>
                <w:rFonts w:ascii="Arial" w:hAnsi="Arial" w:cs="Arial"/>
                <w:sz w:val="16"/>
                <w:szCs w:val="16"/>
              </w:rPr>
            </w:pPr>
            <w:r w:rsidRPr="00FB351A">
              <w:rPr>
                <w:rFonts w:ascii="Arial" w:hAnsi="Arial" w:cs="Arial"/>
                <w:sz w:val="16"/>
                <w:szCs w:val="16"/>
              </w:rPr>
              <w:t>1.20</w:t>
            </w:r>
          </w:p>
        </w:tc>
        <w:tc>
          <w:tcPr>
            <w:tcW w:w="233" w:type="pct"/>
            <w:vMerge/>
            <w:tcBorders>
              <w:top w:val="nil"/>
              <w:left w:val="single" w:sz="4" w:space="0" w:color="auto"/>
              <w:bottom w:val="single" w:sz="4" w:space="0" w:color="auto"/>
              <w:right w:val="single" w:sz="4" w:space="0" w:color="auto"/>
            </w:tcBorders>
            <w:vAlign w:val="center"/>
            <w:hideMark/>
          </w:tcPr>
          <w:p w14:paraId="48CAE0F5"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2A24F69D"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6715B62E"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46FAF80C" w14:textId="77777777" w:rsidR="0021390C" w:rsidRPr="00FB351A" w:rsidRDefault="0021390C">
            <w:pPr>
              <w:rPr>
                <w:rFonts w:ascii="Arial" w:hAnsi="Arial" w:cs="Arial"/>
                <w:sz w:val="16"/>
                <w:szCs w:val="16"/>
              </w:rPr>
            </w:pPr>
          </w:p>
        </w:tc>
      </w:tr>
      <w:tr w:rsidR="0021390C" w:rsidRPr="00FB351A" w14:paraId="0A3630ED"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2AC49E75" w14:textId="46F42E96" w:rsidR="0021390C" w:rsidRPr="00FB351A" w:rsidRDefault="00047674">
            <w:pPr>
              <w:rPr>
                <w:rFonts w:ascii="Arial" w:hAnsi="Arial" w:cs="Arial"/>
                <w:color w:val="000000"/>
                <w:sz w:val="16"/>
                <w:szCs w:val="16"/>
              </w:rPr>
            </w:pPr>
            <w:r w:rsidRPr="00FB351A">
              <w:rPr>
                <w:rFonts w:ascii="Arial" w:hAnsi="Arial" w:cs="Arial"/>
                <w:color w:val="000000"/>
                <w:sz w:val="16"/>
                <w:szCs w:val="16"/>
              </w:rPr>
              <w:t>DIRECCIÓN</w:t>
            </w:r>
            <w:r w:rsidR="0021390C" w:rsidRPr="00FB351A">
              <w:rPr>
                <w:rFonts w:ascii="Arial" w:hAnsi="Arial" w:cs="Arial"/>
                <w:color w:val="000000"/>
                <w:sz w:val="16"/>
                <w:szCs w:val="16"/>
              </w:rPr>
              <w:t xml:space="preserve"> NACIONAL DE INTELIGENCIA - DNI</w:t>
            </w:r>
          </w:p>
        </w:tc>
        <w:tc>
          <w:tcPr>
            <w:tcW w:w="1452" w:type="pct"/>
            <w:tcBorders>
              <w:top w:val="nil"/>
              <w:left w:val="nil"/>
              <w:bottom w:val="single" w:sz="4" w:space="0" w:color="auto"/>
              <w:right w:val="single" w:sz="4" w:space="0" w:color="auto"/>
            </w:tcBorders>
            <w:noWrap/>
            <w:vAlign w:val="center"/>
            <w:hideMark/>
          </w:tcPr>
          <w:p w14:paraId="53FFACC5"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CONTRATACION DIRECTA   2-2025-2336 </w:t>
            </w:r>
          </w:p>
        </w:tc>
        <w:tc>
          <w:tcPr>
            <w:tcW w:w="445" w:type="pct"/>
            <w:vMerge/>
            <w:tcBorders>
              <w:top w:val="nil"/>
              <w:left w:val="single" w:sz="4" w:space="0" w:color="auto"/>
              <w:bottom w:val="single" w:sz="4" w:space="0" w:color="auto"/>
              <w:right w:val="single" w:sz="4" w:space="0" w:color="auto"/>
            </w:tcBorders>
            <w:vAlign w:val="center"/>
            <w:hideMark/>
          </w:tcPr>
          <w:p w14:paraId="1293D93C"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vAlign w:val="center"/>
            <w:hideMark/>
          </w:tcPr>
          <w:p w14:paraId="4D019A34" w14:textId="77777777" w:rsidR="0021390C" w:rsidRPr="00FB351A" w:rsidRDefault="0021390C">
            <w:pPr>
              <w:jc w:val="center"/>
              <w:rPr>
                <w:rFonts w:ascii="Arial" w:hAnsi="Arial" w:cs="Arial"/>
                <w:sz w:val="16"/>
                <w:szCs w:val="16"/>
              </w:rPr>
            </w:pPr>
            <w:r w:rsidRPr="00FB351A">
              <w:rPr>
                <w:rFonts w:ascii="Arial" w:hAnsi="Arial" w:cs="Arial"/>
                <w:sz w:val="16"/>
                <w:szCs w:val="16"/>
              </w:rPr>
              <w:t>2.50</w:t>
            </w:r>
          </w:p>
        </w:tc>
        <w:tc>
          <w:tcPr>
            <w:tcW w:w="233" w:type="pct"/>
            <w:vMerge/>
            <w:tcBorders>
              <w:top w:val="nil"/>
              <w:left w:val="single" w:sz="4" w:space="0" w:color="auto"/>
              <w:bottom w:val="single" w:sz="4" w:space="0" w:color="auto"/>
              <w:right w:val="single" w:sz="4" w:space="0" w:color="auto"/>
            </w:tcBorders>
            <w:vAlign w:val="center"/>
            <w:hideMark/>
          </w:tcPr>
          <w:p w14:paraId="51859AB3"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0D8CAEC1"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6918E0E7"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7A78DFFF" w14:textId="77777777" w:rsidR="0021390C" w:rsidRPr="00FB351A" w:rsidRDefault="0021390C">
            <w:pPr>
              <w:rPr>
                <w:rFonts w:ascii="Arial" w:hAnsi="Arial" w:cs="Arial"/>
                <w:sz w:val="16"/>
                <w:szCs w:val="16"/>
              </w:rPr>
            </w:pPr>
          </w:p>
        </w:tc>
      </w:tr>
      <w:tr w:rsidR="0021390C" w:rsidRPr="00FB351A" w14:paraId="1EBCBA43"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5BFFAE2A"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7AC978B1" w14:textId="6456EF8E" w:rsidR="0021390C" w:rsidRPr="00FB351A" w:rsidRDefault="00047674">
            <w:pPr>
              <w:rPr>
                <w:rFonts w:ascii="Arial" w:hAnsi="Arial" w:cs="Arial"/>
                <w:b/>
                <w:bCs/>
                <w:i/>
                <w:iCs/>
                <w:color w:val="0070C0"/>
                <w:sz w:val="16"/>
                <w:szCs w:val="16"/>
              </w:rPr>
            </w:pPr>
            <w:r w:rsidRPr="00FB351A">
              <w:rPr>
                <w:rFonts w:ascii="Arial" w:hAnsi="Arial" w:cs="Arial"/>
                <w:b/>
                <w:bCs/>
                <w:i/>
                <w:iCs/>
                <w:color w:val="0070C0"/>
                <w:sz w:val="16"/>
                <w:szCs w:val="16"/>
              </w:rPr>
              <w:t>SELECCIÓN</w:t>
            </w:r>
            <w:r w:rsidR="0021390C" w:rsidRPr="00FB351A">
              <w:rPr>
                <w:rFonts w:ascii="Arial" w:hAnsi="Arial" w:cs="Arial"/>
                <w:b/>
                <w:bCs/>
                <w:i/>
                <w:iCs/>
                <w:color w:val="0070C0"/>
                <w:sz w:val="16"/>
                <w:szCs w:val="16"/>
              </w:rPr>
              <w:t xml:space="preserve"> ABREVIADA DE MENOR </w:t>
            </w:r>
            <w:r w:rsidRPr="00FB351A">
              <w:rPr>
                <w:rFonts w:ascii="Arial" w:hAnsi="Arial" w:cs="Arial"/>
                <w:b/>
                <w:bCs/>
                <w:i/>
                <w:iCs/>
                <w:color w:val="0070C0"/>
                <w:sz w:val="16"/>
                <w:szCs w:val="16"/>
              </w:rPr>
              <w:t>CUANTÍA</w:t>
            </w:r>
            <w:r w:rsidR="0021390C" w:rsidRPr="00FB351A">
              <w:rPr>
                <w:rFonts w:ascii="Arial" w:hAnsi="Arial" w:cs="Arial"/>
                <w:b/>
                <w:bCs/>
                <w:i/>
                <w:iCs/>
                <w:color w:val="0070C0"/>
                <w:sz w:val="16"/>
                <w:szCs w:val="16"/>
              </w:rPr>
              <w:t xml:space="preserve"> SAMC-01-2026</w:t>
            </w:r>
          </w:p>
        </w:tc>
        <w:tc>
          <w:tcPr>
            <w:tcW w:w="445" w:type="pct"/>
            <w:vMerge w:val="restart"/>
            <w:tcBorders>
              <w:top w:val="nil"/>
              <w:left w:val="single" w:sz="4" w:space="0" w:color="auto"/>
              <w:bottom w:val="single" w:sz="4" w:space="0" w:color="000000"/>
              <w:right w:val="single" w:sz="4" w:space="0" w:color="auto"/>
            </w:tcBorders>
            <w:vAlign w:val="center"/>
            <w:hideMark/>
          </w:tcPr>
          <w:p w14:paraId="1E280CAC" w14:textId="77777777" w:rsidR="0021390C" w:rsidRPr="00FB351A" w:rsidRDefault="0021390C">
            <w:pPr>
              <w:jc w:val="center"/>
              <w:rPr>
                <w:rFonts w:ascii="Arial" w:hAnsi="Arial" w:cs="Arial"/>
                <w:sz w:val="16"/>
                <w:szCs w:val="16"/>
              </w:rPr>
            </w:pPr>
            <w:r w:rsidRPr="00FB351A">
              <w:rPr>
                <w:rFonts w:ascii="Arial" w:hAnsi="Arial" w:cs="Arial"/>
                <w:sz w:val="16"/>
                <w:szCs w:val="16"/>
              </w:rPr>
              <w:t>RESPONSABILIDAD CIVIL EXTRACONTRACTUAL- PROYECTO TRIANGULO DEL TOLIMA</w:t>
            </w:r>
          </w:p>
        </w:tc>
        <w:tc>
          <w:tcPr>
            <w:tcW w:w="219" w:type="pct"/>
            <w:vMerge w:val="restart"/>
            <w:tcBorders>
              <w:top w:val="nil"/>
              <w:left w:val="single" w:sz="4" w:space="0" w:color="auto"/>
              <w:bottom w:val="single" w:sz="4" w:space="0" w:color="000000"/>
              <w:right w:val="single" w:sz="4" w:space="0" w:color="auto"/>
            </w:tcBorders>
            <w:vAlign w:val="center"/>
            <w:hideMark/>
          </w:tcPr>
          <w:p w14:paraId="017AEB65" w14:textId="77777777" w:rsidR="0021390C" w:rsidRPr="00FB351A" w:rsidRDefault="0021390C">
            <w:pPr>
              <w:jc w:val="center"/>
              <w:rPr>
                <w:rFonts w:ascii="Arial" w:hAnsi="Arial" w:cs="Arial"/>
                <w:sz w:val="16"/>
                <w:szCs w:val="16"/>
              </w:rPr>
            </w:pPr>
            <w:r w:rsidRPr="00FB351A">
              <w:rPr>
                <w:rFonts w:ascii="Arial" w:hAnsi="Arial" w:cs="Arial"/>
                <w:sz w:val="16"/>
                <w:szCs w:val="16"/>
              </w:rPr>
              <w:t>3.50</w:t>
            </w:r>
          </w:p>
        </w:tc>
        <w:tc>
          <w:tcPr>
            <w:tcW w:w="233" w:type="pct"/>
            <w:vMerge w:val="restart"/>
            <w:tcBorders>
              <w:top w:val="nil"/>
              <w:left w:val="single" w:sz="4" w:space="0" w:color="auto"/>
              <w:bottom w:val="single" w:sz="4" w:space="0" w:color="000000"/>
              <w:right w:val="single" w:sz="4" w:space="0" w:color="auto"/>
            </w:tcBorders>
            <w:shd w:val="clear" w:color="000000" w:fill="FFFFCC"/>
            <w:vAlign w:val="center"/>
            <w:hideMark/>
          </w:tcPr>
          <w:p w14:paraId="63A52B0D" w14:textId="77777777" w:rsidR="0021390C" w:rsidRPr="00FB351A" w:rsidRDefault="0021390C">
            <w:pPr>
              <w:jc w:val="center"/>
              <w:rPr>
                <w:rFonts w:ascii="Arial" w:hAnsi="Arial" w:cs="Arial"/>
                <w:sz w:val="16"/>
                <w:szCs w:val="16"/>
              </w:rPr>
            </w:pPr>
            <w:r w:rsidRPr="00FB351A">
              <w:rPr>
                <w:rFonts w:ascii="Arial" w:hAnsi="Arial" w:cs="Arial"/>
                <w:sz w:val="16"/>
                <w:szCs w:val="16"/>
              </w:rPr>
              <w:t>3.50</w:t>
            </w:r>
          </w:p>
        </w:tc>
        <w:tc>
          <w:tcPr>
            <w:tcW w:w="150" w:type="pct"/>
            <w:vMerge w:val="restart"/>
            <w:tcBorders>
              <w:top w:val="nil"/>
              <w:left w:val="single" w:sz="4" w:space="0" w:color="auto"/>
              <w:bottom w:val="single" w:sz="4" w:space="0" w:color="000000"/>
              <w:right w:val="single" w:sz="4" w:space="0" w:color="auto"/>
            </w:tcBorders>
            <w:vAlign w:val="center"/>
            <w:hideMark/>
          </w:tcPr>
          <w:p w14:paraId="527175C1"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000000"/>
              <w:right w:val="single" w:sz="4" w:space="0" w:color="auto"/>
            </w:tcBorders>
            <w:vAlign w:val="center"/>
            <w:hideMark/>
          </w:tcPr>
          <w:p w14:paraId="65BF3EDC"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000000"/>
              <w:right w:val="single" w:sz="4" w:space="0" w:color="auto"/>
            </w:tcBorders>
            <w:vAlign w:val="center"/>
            <w:hideMark/>
          </w:tcPr>
          <w:p w14:paraId="74DB5E47"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6A808826"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942688B"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NO HAY PROYECTOS SIMILARES</w:t>
            </w:r>
          </w:p>
        </w:tc>
        <w:tc>
          <w:tcPr>
            <w:tcW w:w="1452" w:type="pct"/>
            <w:tcBorders>
              <w:top w:val="nil"/>
              <w:left w:val="nil"/>
              <w:bottom w:val="single" w:sz="4" w:space="0" w:color="auto"/>
              <w:right w:val="single" w:sz="4" w:space="0" w:color="auto"/>
            </w:tcBorders>
            <w:vAlign w:val="center"/>
            <w:hideMark/>
          </w:tcPr>
          <w:p w14:paraId="13B16BEC"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N/A</w:t>
            </w:r>
          </w:p>
        </w:tc>
        <w:tc>
          <w:tcPr>
            <w:tcW w:w="445" w:type="pct"/>
            <w:vMerge/>
            <w:tcBorders>
              <w:top w:val="nil"/>
              <w:left w:val="single" w:sz="4" w:space="0" w:color="auto"/>
              <w:bottom w:val="single" w:sz="4" w:space="0" w:color="000000"/>
              <w:right w:val="single" w:sz="4" w:space="0" w:color="auto"/>
            </w:tcBorders>
            <w:vAlign w:val="center"/>
            <w:hideMark/>
          </w:tcPr>
          <w:p w14:paraId="188604E5" w14:textId="77777777" w:rsidR="0021390C" w:rsidRPr="00FB351A" w:rsidRDefault="0021390C">
            <w:pPr>
              <w:rPr>
                <w:rFonts w:ascii="Arial" w:hAnsi="Arial" w:cs="Arial"/>
                <w:sz w:val="16"/>
                <w:szCs w:val="16"/>
              </w:rPr>
            </w:pPr>
          </w:p>
        </w:tc>
        <w:tc>
          <w:tcPr>
            <w:tcW w:w="219" w:type="pct"/>
            <w:vMerge/>
            <w:tcBorders>
              <w:top w:val="nil"/>
              <w:left w:val="single" w:sz="4" w:space="0" w:color="auto"/>
              <w:bottom w:val="single" w:sz="4" w:space="0" w:color="000000"/>
              <w:right w:val="single" w:sz="4" w:space="0" w:color="auto"/>
            </w:tcBorders>
            <w:vAlign w:val="center"/>
            <w:hideMark/>
          </w:tcPr>
          <w:p w14:paraId="68767598" w14:textId="77777777" w:rsidR="0021390C" w:rsidRPr="00FB351A" w:rsidRDefault="0021390C">
            <w:pPr>
              <w:rPr>
                <w:rFonts w:ascii="Arial" w:hAnsi="Arial" w:cs="Arial"/>
                <w:sz w:val="16"/>
                <w:szCs w:val="16"/>
              </w:rPr>
            </w:pPr>
          </w:p>
        </w:tc>
        <w:tc>
          <w:tcPr>
            <w:tcW w:w="233" w:type="pct"/>
            <w:vMerge/>
            <w:tcBorders>
              <w:top w:val="nil"/>
              <w:left w:val="single" w:sz="4" w:space="0" w:color="auto"/>
              <w:bottom w:val="single" w:sz="4" w:space="0" w:color="000000"/>
              <w:right w:val="single" w:sz="4" w:space="0" w:color="auto"/>
            </w:tcBorders>
            <w:vAlign w:val="center"/>
            <w:hideMark/>
          </w:tcPr>
          <w:p w14:paraId="238A2F19"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000000"/>
              <w:right w:val="single" w:sz="4" w:space="0" w:color="auto"/>
            </w:tcBorders>
            <w:vAlign w:val="center"/>
            <w:hideMark/>
          </w:tcPr>
          <w:p w14:paraId="073D949F"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000000"/>
              <w:right w:val="single" w:sz="4" w:space="0" w:color="auto"/>
            </w:tcBorders>
            <w:vAlign w:val="center"/>
            <w:hideMark/>
          </w:tcPr>
          <w:p w14:paraId="607B56A0"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000000"/>
              <w:right w:val="single" w:sz="4" w:space="0" w:color="auto"/>
            </w:tcBorders>
            <w:vAlign w:val="center"/>
            <w:hideMark/>
          </w:tcPr>
          <w:p w14:paraId="76B7212C" w14:textId="77777777" w:rsidR="0021390C" w:rsidRPr="00FB351A" w:rsidRDefault="0021390C">
            <w:pPr>
              <w:rPr>
                <w:rFonts w:ascii="Arial" w:hAnsi="Arial" w:cs="Arial"/>
                <w:sz w:val="16"/>
                <w:szCs w:val="16"/>
              </w:rPr>
            </w:pPr>
          </w:p>
        </w:tc>
      </w:tr>
      <w:tr w:rsidR="0021390C" w:rsidRPr="00FB351A" w14:paraId="3D867810"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5FF3FAAF"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2DE50675" w14:textId="3D8E5792" w:rsidR="0021390C" w:rsidRPr="00FB351A" w:rsidRDefault="00ED226A">
            <w:pPr>
              <w:rPr>
                <w:rFonts w:ascii="Arial" w:hAnsi="Arial" w:cs="Arial"/>
                <w:b/>
                <w:bCs/>
                <w:i/>
                <w:iCs/>
                <w:color w:val="0070C0"/>
                <w:sz w:val="16"/>
                <w:szCs w:val="16"/>
              </w:rPr>
            </w:pPr>
            <w:r w:rsidRPr="00FB351A">
              <w:rPr>
                <w:rFonts w:ascii="Arial" w:hAnsi="Arial" w:cs="Arial"/>
                <w:b/>
                <w:bCs/>
                <w:i/>
                <w:iCs/>
                <w:color w:val="0070C0"/>
                <w:sz w:val="16"/>
                <w:szCs w:val="16"/>
              </w:rPr>
              <w:t>SELECCIÓN</w:t>
            </w:r>
            <w:r w:rsidR="0021390C" w:rsidRPr="00FB351A">
              <w:rPr>
                <w:rFonts w:ascii="Arial" w:hAnsi="Arial" w:cs="Arial"/>
                <w:b/>
                <w:bCs/>
                <w:i/>
                <w:iCs/>
                <w:color w:val="0070C0"/>
                <w:sz w:val="16"/>
                <w:szCs w:val="16"/>
              </w:rPr>
              <w:t xml:space="preserve"> ABREVIADA DE MENOR </w:t>
            </w:r>
            <w:r w:rsidRPr="00FB351A">
              <w:rPr>
                <w:rFonts w:ascii="Arial" w:hAnsi="Arial" w:cs="Arial"/>
                <w:b/>
                <w:bCs/>
                <w:i/>
                <w:iCs/>
                <w:color w:val="0070C0"/>
                <w:sz w:val="16"/>
                <w:szCs w:val="16"/>
              </w:rPr>
              <w:t>CUANTÍA</w:t>
            </w:r>
            <w:r w:rsidR="0021390C" w:rsidRPr="00FB351A">
              <w:rPr>
                <w:rFonts w:ascii="Arial" w:hAnsi="Arial" w:cs="Arial"/>
                <w:b/>
                <w:bCs/>
                <w:i/>
                <w:iCs/>
                <w:color w:val="0070C0"/>
                <w:sz w:val="16"/>
                <w:szCs w:val="16"/>
              </w:rPr>
              <w:t xml:space="preserve"> SAMC-01-2026</w:t>
            </w:r>
          </w:p>
        </w:tc>
        <w:tc>
          <w:tcPr>
            <w:tcW w:w="445" w:type="pct"/>
            <w:vMerge w:val="restart"/>
            <w:tcBorders>
              <w:top w:val="nil"/>
              <w:left w:val="single" w:sz="4" w:space="0" w:color="auto"/>
              <w:bottom w:val="nil"/>
              <w:right w:val="single" w:sz="4" w:space="0" w:color="auto"/>
            </w:tcBorders>
            <w:shd w:val="clear" w:color="000000" w:fill="FFFFFF"/>
            <w:vAlign w:val="center"/>
            <w:hideMark/>
          </w:tcPr>
          <w:p w14:paraId="46358C26" w14:textId="042E9CBE" w:rsidR="0021390C" w:rsidRPr="00FB351A" w:rsidRDefault="0021390C">
            <w:pPr>
              <w:jc w:val="center"/>
              <w:rPr>
                <w:rFonts w:ascii="Arial" w:hAnsi="Arial" w:cs="Arial"/>
                <w:sz w:val="16"/>
                <w:szCs w:val="16"/>
              </w:rPr>
            </w:pPr>
            <w:r w:rsidRPr="00FB351A">
              <w:rPr>
                <w:rFonts w:ascii="Arial" w:hAnsi="Arial" w:cs="Arial"/>
                <w:sz w:val="16"/>
                <w:szCs w:val="16"/>
              </w:rPr>
              <w:t>TODO RIESGO DAÑO MATERIAL OBRAS CIVILES TERMINADAS</w:t>
            </w:r>
          </w:p>
        </w:tc>
        <w:tc>
          <w:tcPr>
            <w:tcW w:w="219" w:type="pct"/>
            <w:vMerge w:val="restart"/>
            <w:tcBorders>
              <w:top w:val="nil"/>
              <w:left w:val="single" w:sz="4" w:space="0" w:color="auto"/>
              <w:bottom w:val="single" w:sz="4" w:space="0" w:color="auto"/>
              <w:right w:val="single" w:sz="4" w:space="0" w:color="auto"/>
            </w:tcBorders>
            <w:vAlign w:val="center"/>
            <w:hideMark/>
          </w:tcPr>
          <w:p w14:paraId="0F4E58E3" w14:textId="77777777" w:rsidR="0021390C" w:rsidRPr="00FB351A" w:rsidRDefault="0021390C">
            <w:pPr>
              <w:jc w:val="center"/>
              <w:rPr>
                <w:rFonts w:ascii="Arial" w:hAnsi="Arial" w:cs="Arial"/>
                <w:sz w:val="16"/>
                <w:szCs w:val="16"/>
              </w:rPr>
            </w:pPr>
            <w:r w:rsidRPr="00FB351A">
              <w:rPr>
                <w:rFonts w:ascii="Arial" w:hAnsi="Arial" w:cs="Arial"/>
                <w:sz w:val="16"/>
                <w:szCs w:val="16"/>
              </w:rPr>
              <w:t>4.80</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4BB4B017" w14:textId="77777777" w:rsidR="0021390C" w:rsidRPr="00FB351A" w:rsidRDefault="0021390C">
            <w:pPr>
              <w:jc w:val="center"/>
              <w:rPr>
                <w:rFonts w:ascii="Arial" w:hAnsi="Arial" w:cs="Arial"/>
                <w:sz w:val="16"/>
                <w:szCs w:val="16"/>
              </w:rPr>
            </w:pPr>
            <w:r w:rsidRPr="00FB351A">
              <w:rPr>
                <w:rFonts w:ascii="Arial" w:hAnsi="Arial" w:cs="Arial"/>
                <w:sz w:val="16"/>
                <w:szCs w:val="16"/>
              </w:rPr>
              <w:t>4.80</w:t>
            </w:r>
          </w:p>
        </w:tc>
        <w:tc>
          <w:tcPr>
            <w:tcW w:w="150" w:type="pct"/>
            <w:vMerge w:val="restart"/>
            <w:tcBorders>
              <w:top w:val="nil"/>
              <w:left w:val="single" w:sz="4" w:space="0" w:color="auto"/>
              <w:bottom w:val="single" w:sz="4" w:space="0" w:color="auto"/>
              <w:right w:val="single" w:sz="4" w:space="0" w:color="auto"/>
            </w:tcBorders>
            <w:vAlign w:val="center"/>
            <w:hideMark/>
          </w:tcPr>
          <w:p w14:paraId="6DD441F6" w14:textId="77777777" w:rsidR="0021390C" w:rsidRPr="00FB351A" w:rsidRDefault="0021390C">
            <w:pPr>
              <w:jc w:val="center"/>
              <w:rPr>
                <w:rFonts w:ascii="Arial" w:hAnsi="Arial" w:cs="Arial"/>
                <w:sz w:val="16"/>
                <w:szCs w:val="16"/>
              </w:rPr>
            </w:pPr>
            <w:r w:rsidRPr="00FB351A">
              <w:rPr>
                <w:rFonts w:ascii="Arial" w:hAnsi="Arial" w:cs="Arial"/>
                <w:sz w:val="16"/>
                <w:szCs w:val="16"/>
              </w:rPr>
              <w:t>%o</w:t>
            </w:r>
          </w:p>
        </w:tc>
        <w:tc>
          <w:tcPr>
            <w:tcW w:w="311" w:type="pct"/>
            <w:vMerge w:val="restart"/>
            <w:tcBorders>
              <w:top w:val="nil"/>
              <w:left w:val="single" w:sz="4" w:space="0" w:color="auto"/>
              <w:bottom w:val="single" w:sz="4" w:space="0" w:color="000000"/>
              <w:right w:val="single" w:sz="4" w:space="0" w:color="auto"/>
            </w:tcBorders>
            <w:noWrap/>
            <w:vAlign w:val="center"/>
            <w:hideMark/>
          </w:tcPr>
          <w:p w14:paraId="02F371E2" w14:textId="0AB8B8BB" w:rsidR="0021390C" w:rsidRPr="00FB351A" w:rsidRDefault="0021390C">
            <w:pPr>
              <w:jc w:val="center"/>
              <w:rPr>
                <w:rFonts w:ascii="Arial" w:hAnsi="Arial" w:cs="Arial"/>
                <w:b/>
                <w:bCs/>
                <w:color w:val="FF0000"/>
                <w:sz w:val="16"/>
                <w:szCs w:val="16"/>
              </w:rPr>
            </w:pPr>
            <w:r w:rsidRPr="00FB351A">
              <w:rPr>
                <w:rFonts w:ascii="Arial" w:hAnsi="Arial" w:cs="Arial"/>
                <w:b/>
                <w:bCs/>
                <w:color w:val="FF0000"/>
                <w:sz w:val="16"/>
                <w:szCs w:val="16"/>
              </w:rPr>
              <w:t>0.</w:t>
            </w:r>
            <w:r w:rsidR="00D6253F">
              <w:rPr>
                <w:rFonts w:ascii="Arial" w:hAnsi="Arial" w:cs="Arial"/>
                <w:b/>
                <w:bCs/>
                <w:color w:val="FF0000"/>
                <w:sz w:val="16"/>
                <w:szCs w:val="16"/>
              </w:rPr>
              <w:t>1</w:t>
            </w:r>
            <w:r w:rsidRPr="00FB351A">
              <w:rPr>
                <w:rFonts w:ascii="Arial" w:hAnsi="Arial" w:cs="Arial"/>
                <w:b/>
                <w:bCs/>
                <w:color w:val="FF0000"/>
                <w:sz w:val="16"/>
                <w:szCs w:val="16"/>
              </w:rPr>
              <w:t>0</w:t>
            </w:r>
          </w:p>
        </w:tc>
        <w:tc>
          <w:tcPr>
            <w:tcW w:w="287" w:type="pct"/>
            <w:vMerge w:val="restart"/>
            <w:tcBorders>
              <w:top w:val="nil"/>
              <w:left w:val="single" w:sz="4" w:space="0" w:color="auto"/>
              <w:bottom w:val="single" w:sz="4" w:space="0" w:color="000000"/>
              <w:right w:val="single" w:sz="4" w:space="0" w:color="auto"/>
            </w:tcBorders>
            <w:shd w:val="clear" w:color="000000" w:fill="FFFFCC"/>
            <w:vAlign w:val="center"/>
            <w:hideMark/>
          </w:tcPr>
          <w:p w14:paraId="506493C9" w14:textId="574F0B5F" w:rsidR="0021390C" w:rsidRPr="00FB351A" w:rsidRDefault="0021390C">
            <w:pPr>
              <w:jc w:val="center"/>
              <w:rPr>
                <w:rFonts w:ascii="Arial" w:hAnsi="Arial" w:cs="Arial"/>
                <w:b/>
                <w:bCs/>
                <w:color w:val="FF0000"/>
                <w:sz w:val="16"/>
                <w:szCs w:val="16"/>
              </w:rPr>
            </w:pPr>
            <w:r w:rsidRPr="00FB351A">
              <w:rPr>
                <w:rFonts w:ascii="Arial" w:hAnsi="Arial" w:cs="Arial"/>
                <w:b/>
                <w:bCs/>
                <w:color w:val="FF0000"/>
                <w:sz w:val="16"/>
                <w:szCs w:val="16"/>
              </w:rPr>
              <w:t>5.</w:t>
            </w:r>
            <w:r w:rsidR="00D6253F">
              <w:rPr>
                <w:rFonts w:ascii="Arial" w:hAnsi="Arial" w:cs="Arial"/>
                <w:b/>
                <w:bCs/>
                <w:color w:val="FF0000"/>
                <w:sz w:val="16"/>
                <w:szCs w:val="16"/>
              </w:rPr>
              <w:t>28</w:t>
            </w:r>
            <w:r w:rsidRPr="00FB351A">
              <w:rPr>
                <w:rFonts w:ascii="Arial" w:hAnsi="Arial" w:cs="Arial"/>
                <w:b/>
                <w:bCs/>
                <w:color w:val="FF0000"/>
                <w:sz w:val="16"/>
                <w:szCs w:val="16"/>
              </w:rPr>
              <w:t>0</w:t>
            </w:r>
          </w:p>
        </w:tc>
      </w:tr>
      <w:tr w:rsidR="0021390C" w:rsidRPr="00FB351A" w14:paraId="76D45496"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6AB8D9D2"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NO HAY PROYECTOS SIMILARES</w:t>
            </w:r>
          </w:p>
        </w:tc>
        <w:tc>
          <w:tcPr>
            <w:tcW w:w="1452" w:type="pct"/>
            <w:tcBorders>
              <w:top w:val="nil"/>
              <w:left w:val="nil"/>
              <w:bottom w:val="single" w:sz="4" w:space="0" w:color="auto"/>
              <w:right w:val="single" w:sz="4" w:space="0" w:color="auto"/>
            </w:tcBorders>
            <w:vAlign w:val="center"/>
            <w:hideMark/>
          </w:tcPr>
          <w:p w14:paraId="50894F97"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N/A</w:t>
            </w:r>
          </w:p>
        </w:tc>
        <w:tc>
          <w:tcPr>
            <w:tcW w:w="445" w:type="pct"/>
            <w:vMerge/>
            <w:tcBorders>
              <w:top w:val="nil"/>
              <w:left w:val="single" w:sz="4" w:space="0" w:color="auto"/>
              <w:bottom w:val="nil"/>
              <w:right w:val="single" w:sz="4" w:space="0" w:color="auto"/>
            </w:tcBorders>
            <w:vAlign w:val="center"/>
            <w:hideMark/>
          </w:tcPr>
          <w:p w14:paraId="3EBF28D3" w14:textId="77777777" w:rsidR="0021390C" w:rsidRPr="00FB351A" w:rsidRDefault="0021390C">
            <w:pPr>
              <w:rPr>
                <w:rFonts w:ascii="Arial" w:hAnsi="Arial" w:cs="Arial"/>
                <w:sz w:val="16"/>
                <w:szCs w:val="16"/>
              </w:rPr>
            </w:pPr>
          </w:p>
        </w:tc>
        <w:tc>
          <w:tcPr>
            <w:tcW w:w="219" w:type="pct"/>
            <w:vMerge/>
            <w:tcBorders>
              <w:top w:val="nil"/>
              <w:left w:val="single" w:sz="4" w:space="0" w:color="auto"/>
              <w:bottom w:val="single" w:sz="4" w:space="0" w:color="auto"/>
              <w:right w:val="single" w:sz="4" w:space="0" w:color="auto"/>
            </w:tcBorders>
            <w:vAlign w:val="center"/>
            <w:hideMark/>
          </w:tcPr>
          <w:p w14:paraId="468DFFBE" w14:textId="77777777" w:rsidR="0021390C" w:rsidRPr="00FB351A" w:rsidRDefault="0021390C">
            <w:pPr>
              <w:rPr>
                <w:rFonts w:ascii="Arial" w:hAnsi="Arial" w:cs="Arial"/>
                <w:sz w:val="16"/>
                <w:szCs w:val="16"/>
              </w:rPr>
            </w:pPr>
          </w:p>
        </w:tc>
        <w:tc>
          <w:tcPr>
            <w:tcW w:w="233" w:type="pct"/>
            <w:vMerge/>
            <w:tcBorders>
              <w:top w:val="nil"/>
              <w:left w:val="single" w:sz="4" w:space="0" w:color="auto"/>
              <w:bottom w:val="single" w:sz="4" w:space="0" w:color="auto"/>
              <w:right w:val="single" w:sz="4" w:space="0" w:color="auto"/>
            </w:tcBorders>
            <w:vAlign w:val="center"/>
            <w:hideMark/>
          </w:tcPr>
          <w:p w14:paraId="5098F4BD"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16F1D2E6"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000000"/>
              <w:right w:val="single" w:sz="4" w:space="0" w:color="auto"/>
            </w:tcBorders>
            <w:vAlign w:val="center"/>
            <w:hideMark/>
          </w:tcPr>
          <w:p w14:paraId="56348C08" w14:textId="77777777" w:rsidR="0021390C" w:rsidRPr="00FB351A" w:rsidRDefault="0021390C">
            <w:pPr>
              <w:rPr>
                <w:rFonts w:ascii="Arial" w:hAnsi="Arial" w:cs="Arial"/>
                <w:b/>
                <w:bCs/>
                <w:color w:val="FF0000"/>
                <w:sz w:val="16"/>
                <w:szCs w:val="16"/>
              </w:rPr>
            </w:pPr>
          </w:p>
        </w:tc>
        <w:tc>
          <w:tcPr>
            <w:tcW w:w="287" w:type="pct"/>
            <w:vMerge/>
            <w:tcBorders>
              <w:top w:val="nil"/>
              <w:left w:val="single" w:sz="4" w:space="0" w:color="auto"/>
              <w:bottom w:val="single" w:sz="4" w:space="0" w:color="000000"/>
              <w:right w:val="single" w:sz="4" w:space="0" w:color="auto"/>
            </w:tcBorders>
            <w:vAlign w:val="center"/>
            <w:hideMark/>
          </w:tcPr>
          <w:p w14:paraId="38ECFDE0" w14:textId="77777777" w:rsidR="0021390C" w:rsidRPr="00FB351A" w:rsidRDefault="0021390C">
            <w:pPr>
              <w:rPr>
                <w:rFonts w:ascii="Arial" w:hAnsi="Arial" w:cs="Arial"/>
                <w:b/>
                <w:bCs/>
                <w:color w:val="FF0000"/>
                <w:sz w:val="16"/>
                <w:szCs w:val="16"/>
              </w:rPr>
            </w:pPr>
          </w:p>
        </w:tc>
      </w:tr>
      <w:tr w:rsidR="0021390C" w:rsidRPr="00FB351A" w14:paraId="506F56F1"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4ABDF301"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74205895" w14:textId="2B295C20" w:rsidR="0021390C" w:rsidRPr="00FB351A" w:rsidRDefault="00ED226A">
            <w:pPr>
              <w:rPr>
                <w:rFonts w:ascii="Arial" w:hAnsi="Arial" w:cs="Arial"/>
                <w:b/>
                <w:bCs/>
                <w:i/>
                <w:iCs/>
                <w:color w:val="0070C0"/>
                <w:sz w:val="16"/>
                <w:szCs w:val="16"/>
              </w:rPr>
            </w:pPr>
            <w:r w:rsidRPr="00FB351A">
              <w:rPr>
                <w:rFonts w:ascii="Arial" w:hAnsi="Arial" w:cs="Arial"/>
                <w:b/>
                <w:bCs/>
                <w:i/>
                <w:iCs/>
                <w:color w:val="0070C0"/>
                <w:sz w:val="16"/>
                <w:szCs w:val="16"/>
              </w:rPr>
              <w:t>SELECCIÓN</w:t>
            </w:r>
            <w:r w:rsidR="0021390C" w:rsidRPr="00FB351A">
              <w:rPr>
                <w:rFonts w:ascii="Arial" w:hAnsi="Arial" w:cs="Arial"/>
                <w:b/>
                <w:bCs/>
                <w:i/>
                <w:iCs/>
                <w:color w:val="0070C0"/>
                <w:sz w:val="16"/>
                <w:szCs w:val="16"/>
              </w:rPr>
              <w:t xml:space="preserve"> ABREVIADA DE MENOR </w:t>
            </w:r>
            <w:r w:rsidRPr="00FB351A">
              <w:rPr>
                <w:rFonts w:ascii="Arial" w:hAnsi="Arial" w:cs="Arial"/>
                <w:b/>
                <w:bCs/>
                <w:i/>
                <w:iCs/>
                <w:color w:val="0070C0"/>
                <w:sz w:val="16"/>
                <w:szCs w:val="16"/>
              </w:rPr>
              <w:t>CUANTÍA</w:t>
            </w:r>
            <w:r w:rsidR="0021390C" w:rsidRPr="00FB351A">
              <w:rPr>
                <w:rFonts w:ascii="Arial" w:hAnsi="Arial" w:cs="Arial"/>
                <w:b/>
                <w:bCs/>
                <w:i/>
                <w:iCs/>
                <w:color w:val="0070C0"/>
                <w:sz w:val="16"/>
                <w:szCs w:val="16"/>
              </w:rPr>
              <w:t xml:space="preserve"> SAMC-01-2026</w:t>
            </w:r>
          </w:p>
        </w:tc>
        <w:tc>
          <w:tcPr>
            <w:tcW w:w="445" w:type="pct"/>
            <w:vMerge w:val="restart"/>
            <w:tcBorders>
              <w:top w:val="single" w:sz="4" w:space="0" w:color="auto"/>
              <w:left w:val="single" w:sz="4" w:space="0" w:color="auto"/>
              <w:bottom w:val="nil"/>
              <w:right w:val="single" w:sz="4" w:space="0" w:color="auto"/>
            </w:tcBorders>
            <w:shd w:val="clear" w:color="000000" w:fill="FFFFFF"/>
            <w:vAlign w:val="center"/>
            <w:hideMark/>
          </w:tcPr>
          <w:p w14:paraId="17F34990" w14:textId="2A0887B1" w:rsidR="0021390C" w:rsidRPr="00FB351A" w:rsidRDefault="0021390C">
            <w:pPr>
              <w:jc w:val="center"/>
              <w:rPr>
                <w:rFonts w:ascii="Arial" w:hAnsi="Arial" w:cs="Arial"/>
                <w:sz w:val="16"/>
                <w:szCs w:val="16"/>
              </w:rPr>
            </w:pPr>
            <w:r w:rsidRPr="00FB351A">
              <w:rPr>
                <w:rFonts w:ascii="Arial" w:hAnsi="Arial" w:cs="Arial"/>
                <w:sz w:val="16"/>
                <w:szCs w:val="16"/>
              </w:rPr>
              <w:t>CASCO BARCO</w:t>
            </w:r>
          </w:p>
        </w:tc>
        <w:tc>
          <w:tcPr>
            <w:tcW w:w="219" w:type="pct"/>
            <w:tcBorders>
              <w:top w:val="nil"/>
              <w:left w:val="nil"/>
              <w:bottom w:val="single" w:sz="4" w:space="0" w:color="auto"/>
              <w:right w:val="single" w:sz="4" w:space="0" w:color="auto"/>
            </w:tcBorders>
            <w:shd w:val="clear" w:color="000000" w:fill="FFFFCC"/>
            <w:noWrap/>
            <w:vAlign w:val="center"/>
            <w:hideMark/>
          </w:tcPr>
          <w:p w14:paraId="6B59CF7C" w14:textId="77777777" w:rsidR="0021390C" w:rsidRPr="00FB351A" w:rsidRDefault="0021390C">
            <w:pPr>
              <w:jc w:val="center"/>
              <w:rPr>
                <w:rFonts w:ascii="Arial" w:hAnsi="Arial" w:cs="Arial"/>
                <w:sz w:val="16"/>
                <w:szCs w:val="16"/>
              </w:rPr>
            </w:pPr>
            <w:r w:rsidRPr="00FB351A">
              <w:rPr>
                <w:rFonts w:ascii="Arial" w:hAnsi="Arial" w:cs="Arial"/>
                <w:sz w:val="16"/>
                <w:szCs w:val="16"/>
              </w:rPr>
              <w:t>15.64</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6F79AE65" w14:textId="77777777" w:rsidR="0021390C" w:rsidRPr="00FB351A" w:rsidRDefault="0021390C">
            <w:pPr>
              <w:jc w:val="center"/>
              <w:rPr>
                <w:rFonts w:ascii="Arial" w:hAnsi="Arial" w:cs="Arial"/>
                <w:color w:val="0070C0"/>
                <w:sz w:val="16"/>
                <w:szCs w:val="16"/>
              </w:rPr>
            </w:pPr>
            <w:r w:rsidRPr="00FB351A">
              <w:rPr>
                <w:rFonts w:ascii="Arial" w:hAnsi="Arial" w:cs="Arial"/>
                <w:color w:val="0070C0"/>
                <w:sz w:val="16"/>
                <w:szCs w:val="16"/>
              </w:rPr>
              <w:t>7.21</w:t>
            </w:r>
          </w:p>
        </w:tc>
        <w:tc>
          <w:tcPr>
            <w:tcW w:w="150" w:type="pct"/>
            <w:vMerge w:val="restart"/>
            <w:tcBorders>
              <w:top w:val="nil"/>
              <w:left w:val="single" w:sz="4" w:space="0" w:color="auto"/>
              <w:bottom w:val="single" w:sz="4" w:space="0" w:color="auto"/>
              <w:right w:val="single" w:sz="4" w:space="0" w:color="auto"/>
            </w:tcBorders>
            <w:vAlign w:val="center"/>
            <w:hideMark/>
          </w:tcPr>
          <w:p w14:paraId="2A245DB1"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vAlign w:val="center"/>
            <w:hideMark/>
          </w:tcPr>
          <w:p w14:paraId="502B12A9"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287" w:type="pct"/>
            <w:vMerge w:val="restart"/>
            <w:tcBorders>
              <w:top w:val="nil"/>
              <w:left w:val="single" w:sz="4" w:space="0" w:color="auto"/>
              <w:bottom w:val="single" w:sz="4" w:space="0" w:color="000000"/>
              <w:right w:val="single" w:sz="4" w:space="0" w:color="auto"/>
            </w:tcBorders>
            <w:vAlign w:val="center"/>
            <w:hideMark/>
          </w:tcPr>
          <w:p w14:paraId="1F77C28D"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3694E660"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5A672C79" w14:textId="2F1D6F7D"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UNIDAD ADMINISTRATIVA CUERPO OFICIAL DE BOMBEROS DE </w:t>
            </w:r>
            <w:r w:rsidR="00ED226A" w:rsidRPr="00FB351A">
              <w:rPr>
                <w:rFonts w:ascii="Arial" w:hAnsi="Arial" w:cs="Arial"/>
                <w:color w:val="000000"/>
                <w:sz w:val="16"/>
                <w:szCs w:val="16"/>
              </w:rPr>
              <w:t>BOGOTÁ</w:t>
            </w:r>
            <w:r w:rsidRPr="00FB351A">
              <w:rPr>
                <w:rFonts w:ascii="Arial" w:hAnsi="Arial" w:cs="Arial"/>
                <w:color w:val="000000"/>
                <w:sz w:val="16"/>
                <w:szCs w:val="16"/>
              </w:rPr>
              <w:t xml:space="preserve"> - </w:t>
            </w:r>
            <w:proofErr w:type="spellStart"/>
            <w:r w:rsidRPr="00FB351A">
              <w:rPr>
                <w:rFonts w:ascii="Arial" w:hAnsi="Arial" w:cs="Arial"/>
                <w:color w:val="000000"/>
                <w:sz w:val="16"/>
                <w:szCs w:val="16"/>
              </w:rPr>
              <w:t>UAECOB</w:t>
            </w:r>
            <w:proofErr w:type="spellEnd"/>
          </w:p>
        </w:tc>
        <w:tc>
          <w:tcPr>
            <w:tcW w:w="1452" w:type="pct"/>
            <w:tcBorders>
              <w:top w:val="nil"/>
              <w:left w:val="nil"/>
              <w:bottom w:val="single" w:sz="4" w:space="0" w:color="auto"/>
              <w:right w:val="single" w:sz="4" w:space="0" w:color="auto"/>
            </w:tcBorders>
            <w:noWrap/>
            <w:vAlign w:val="center"/>
            <w:hideMark/>
          </w:tcPr>
          <w:p w14:paraId="4321FE64" w14:textId="77777777" w:rsidR="0021390C" w:rsidRPr="00FB351A" w:rsidRDefault="0021390C">
            <w:pPr>
              <w:rPr>
                <w:rFonts w:ascii="Arial" w:hAnsi="Arial" w:cs="Arial"/>
                <w:color w:val="000000"/>
                <w:sz w:val="16"/>
                <w:szCs w:val="16"/>
              </w:rPr>
            </w:pPr>
            <w:proofErr w:type="spellStart"/>
            <w:r w:rsidRPr="00FB351A">
              <w:rPr>
                <w:rFonts w:ascii="Arial" w:hAnsi="Arial" w:cs="Arial"/>
                <w:color w:val="000000"/>
                <w:sz w:val="16"/>
                <w:szCs w:val="16"/>
              </w:rPr>
              <w:t>UAECOB</w:t>
            </w:r>
            <w:proofErr w:type="spellEnd"/>
            <w:r w:rsidRPr="00FB351A">
              <w:rPr>
                <w:rFonts w:ascii="Arial" w:hAnsi="Arial" w:cs="Arial"/>
                <w:color w:val="000000"/>
                <w:sz w:val="16"/>
                <w:szCs w:val="16"/>
              </w:rPr>
              <w:t>-LP-001-2025</w:t>
            </w:r>
          </w:p>
        </w:tc>
        <w:tc>
          <w:tcPr>
            <w:tcW w:w="445" w:type="pct"/>
            <w:vMerge/>
            <w:tcBorders>
              <w:top w:val="single" w:sz="4" w:space="0" w:color="auto"/>
              <w:left w:val="single" w:sz="4" w:space="0" w:color="auto"/>
              <w:bottom w:val="nil"/>
              <w:right w:val="single" w:sz="4" w:space="0" w:color="auto"/>
            </w:tcBorders>
            <w:vAlign w:val="center"/>
            <w:hideMark/>
          </w:tcPr>
          <w:p w14:paraId="0A291367"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noWrap/>
            <w:vAlign w:val="center"/>
            <w:hideMark/>
          </w:tcPr>
          <w:p w14:paraId="64DA1E6C" w14:textId="77777777" w:rsidR="0021390C" w:rsidRPr="00FB351A" w:rsidRDefault="0021390C">
            <w:pPr>
              <w:jc w:val="center"/>
              <w:rPr>
                <w:rFonts w:ascii="Arial" w:hAnsi="Arial" w:cs="Arial"/>
                <w:sz w:val="16"/>
                <w:szCs w:val="16"/>
              </w:rPr>
            </w:pPr>
            <w:r w:rsidRPr="00FB351A">
              <w:rPr>
                <w:rFonts w:ascii="Arial" w:hAnsi="Arial" w:cs="Arial"/>
                <w:sz w:val="16"/>
                <w:szCs w:val="16"/>
              </w:rPr>
              <w:t>5.00</w:t>
            </w:r>
          </w:p>
        </w:tc>
        <w:tc>
          <w:tcPr>
            <w:tcW w:w="233" w:type="pct"/>
            <w:vMerge/>
            <w:tcBorders>
              <w:top w:val="nil"/>
              <w:left w:val="single" w:sz="4" w:space="0" w:color="auto"/>
              <w:bottom w:val="single" w:sz="4" w:space="0" w:color="auto"/>
              <w:right w:val="single" w:sz="4" w:space="0" w:color="auto"/>
            </w:tcBorders>
            <w:vAlign w:val="center"/>
            <w:hideMark/>
          </w:tcPr>
          <w:p w14:paraId="1ECE046E" w14:textId="77777777" w:rsidR="0021390C" w:rsidRPr="00FB351A" w:rsidRDefault="0021390C">
            <w:pPr>
              <w:rPr>
                <w:rFonts w:ascii="Arial" w:hAnsi="Arial" w:cs="Arial"/>
                <w:color w:val="0070C0"/>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08CB8B7"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11972CA2"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000000"/>
              <w:right w:val="single" w:sz="4" w:space="0" w:color="auto"/>
            </w:tcBorders>
            <w:vAlign w:val="center"/>
            <w:hideMark/>
          </w:tcPr>
          <w:p w14:paraId="6F9808C2" w14:textId="77777777" w:rsidR="0021390C" w:rsidRPr="00FB351A" w:rsidRDefault="0021390C">
            <w:pPr>
              <w:rPr>
                <w:rFonts w:ascii="Arial" w:hAnsi="Arial" w:cs="Arial"/>
                <w:sz w:val="16"/>
                <w:szCs w:val="16"/>
              </w:rPr>
            </w:pPr>
          </w:p>
        </w:tc>
      </w:tr>
      <w:tr w:rsidR="0021390C" w:rsidRPr="00FB351A" w14:paraId="5A0096CD" w14:textId="77777777" w:rsidTr="0021390C">
        <w:trPr>
          <w:trHeight w:val="20"/>
        </w:trPr>
        <w:tc>
          <w:tcPr>
            <w:tcW w:w="1902" w:type="pct"/>
            <w:tcBorders>
              <w:top w:val="nil"/>
              <w:left w:val="single" w:sz="8" w:space="0" w:color="auto"/>
              <w:bottom w:val="single" w:sz="4" w:space="0" w:color="auto"/>
              <w:right w:val="single" w:sz="4" w:space="0" w:color="auto"/>
            </w:tcBorders>
            <w:vAlign w:val="center"/>
            <w:hideMark/>
          </w:tcPr>
          <w:p w14:paraId="0956B9EF" w14:textId="77777777" w:rsidR="0021390C" w:rsidRPr="00FB351A" w:rsidRDefault="0021390C">
            <w:pPr>
              <w:rPr>
                <w:rFonts w:ascii="Arial" w:hAnsi="Arial" w:cs="Arial"/>
                <w:b/>
                <w:bCs/>
                <w:color w:val="000000"/>
                <w:sz w:val="16"/>
                <w:szCs w:val="16"/>
              </w:rPr>
            </w:pPr>
            <w:r w:rsidRPr="00FB351A">
              <w:rPr>
                <w:rFonts w:ascii="Arial" w:hAnsi="Arial" w:cs="Arial"/>
                <w:b/>
                <w:bCs/>
                <w:color w:val="000000"/>
                <w:sz w:val="16"/>
                <w:szCs w:val="16"/>
              </w:rPr>
              <w:t>DEPARTAMENTO DE CUNDINAMARCA</w:t>
            </w:r>
          </w:p>
        </w:tc>
        <w:tc>
          <w:tcPr>
            <w:tcW w:w="1452" w:type="pct"/>
            <w:tcBorders>
              <w:top w:val="nil"/>
              <w:left w:val="single" w:sz="8" w:space="0" w:color="auto"/>
              <w:bottom w:val="single" w:sz="4" w:space="0" w:color="auto"/>
              <w:right w:val="single" w:sz="4" w:space="0" w:color="auto"/>
            </w:tcBorders>
            <w:vAlign w:val="center"/>
            <w:hideMark/>
          </w:tcPr>
          <w:p w14:paraId="5F27BD1F" w14:textId="77777777" w:rsidR="0021390C" w:rsidRPr="00FB351A" w:rsidRDefault="0021390C">
            <w:pPr>
              <w:rPr>
                <w:rFonts w:ascii="Arial" w:hAnsi="Arial" w:cs="Arial"/>
                <w:b/>
                <w:bCs/>
                <w:color w:val="000000"/>
                <w:sz w:val="16"/>
                <w:szCs w:val="16"/>
              </w:rPr>
            </w:pPr>
            <w:r w:rsidRPr="00FB351A">
              <w:rPr>
                <w:rFonts w:ascii="Arial" w:hAnsi="Arial" w:cs="Arial"/>
                <w:b/>
                <w:bCs/>
                <w:color w:val="000000"/>
                <w:sz w:val="16"/>
                <w:szCs w:val="16"/>
              </w:rPr>
              <w:t>LICITACIÓN PÚBLICA SG-LP-001-2025</w:t>
            </w:r>
          </w:p>
        </w:tc>
        <w:tc>
          <w:tcPr>
            <w:tcW w:w="445" w:type="pct"/>
            <w:tcBorders>
              <w:top w:val="nil"/>
              <w:left w:val="nil"/>
              <w:bottom w:val="nil"/>
              <w:right w:val="single" w:sz="4" w:space="0" w:color="auto"/>
            </w:tcBorders>
            <w:noWrap/>
            <w:vAlign w:val="center"/>
            <w:hideMark/>
          </w:tcPr>
          <w:p w14:paraId="128F2A0D"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 </w:t>
            </w:r>
          </w:p>
        </w:tc>
        <w:tc>
          <w:tcPr>
            <w:tcW w:w="219" w:type="pct"/>
            <w:tcBorders>
              <w:top w:val="nil"/>
              <w:left w:val="nil"/>
              <w:bottom w:val="single" w:sz="4" w:space="0" w:color="auto"/>
              <w:right w:val="single" w:sz="4" w:space="0" w:color="auto"/>
            </w:tcBorders>
            <w:vAlign w:val="center"/>
            <w:hideMark/>
          </w:tcPr>
          <w:p w14:paraId="194CFBC2" w14:textId="77777777" w:rsidR="0021390C" w:rsidRPr="00FB351A" w:rsidRDefault="0021390C">
            <w:pPr>
              <w:jc w:val="center"/>
              <w:rPr>
                <w:rFonts w:ascii="Arial" w:hAnsi="Arial" w:cs="Arial"/>
                <w:sz w:val="16"/>
                <w:szCs w:val="16"/>
              </w:rPr>
            </w:pPr>
            <w:r w:rsidRPr="00FB351A">
              <w:rPr>
                <w:rFonts w:ascii="Arial" w:hAnsi="Arial" w:cs="Arial"/>
                <w:sz w:val="16"/>
                <w:szCs w:val="16"/>
              </w:rPr>
              <w:t>5.34</w:t>
            </w:r>
          </w:p>
        </w:tc>
        <w:tc>
          <w:tcPr>
            <w:tcW w:w="233" w:type="pct"/>
            <w:vMerge/>
            <w:tcBorders>
              <w:top w:val="nil"/>
              <w:left w:val="single" w:sz="4" w:space="0" w:color="auto"/>
              <w:bottom w:val="single" w:sz="4" w:space="0" w:color="auto"/>
              <w:right w:val="single" w:sz="4" w:space="0" w:color="auto"/>
            </w:tcBorders>
            <w:vAlign w:val="center"/>
            <w:hideMark/>
          </w:tcPr>
          <w:p w14:paraId="3962FC72" w14:textId="77777777" w:rsidR="0021390C" w:rsidRPr="00FB351A" w:rsidRDefault="0021390C">
            <w:pPr>
              <w:rPr>
                <w:rFonts w:ascii="Arial" w:hAnsi="Arial" w:cs="Arial"/>
                <w:color w:val="0070C0"/>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257B7962"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0CEC6186"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000000"/>
              <w:right w:val="single" w:sz="4" w:space="0" w:color="auto"/>
            </w:tcBorders>
            <w:vAlign w:val="center"/>
            <w:hideMark/>
          </w:tcPr>
          <w:p w14:paraId="6365F8A4" w14:textId="77777777" w:rsidR="0021390C" w:rsidRPr="00FB351A" w:rsidRDefault="0021390C">
            <w:pPr>
              <w:rPr>
                <w:rFonts w:ascii="Arial" w:hAnsi="Arial" w:cs="Arial"/>
                <w:sz w:val="16"/>
                <w:szCs w:val="16"/>
              </w:rPr>
            </w:pPr>
          </w:p>
        </w:tc>
      </w:tr>
      <w:tr w:rsidR="0021390C" w:rsidRPr="00FB351A" w14:paraId="14423E98" w14:textId="77777777" w:rsidTr="0021390C">
        <w:trPr>
          <w:trHeight w:val="20"/>
        </w:trPr>
        <w:tc>
          <w:tcPr>
            <w:tcW w:w="1902" w:type="pct"/>
            <w:tcBorders>
              <w:top w:val="nil"/>
              <w:left w:val="single" w:sz="8" w:space="0" w:color="auto"/>
              <w:bottom w:val="single" w:sz="4" w:space="0" w:color="auto"/>
              <w:right w:val="single" w:sz="4" w:space="0" w:color="auto"/>
            </w:tcBorders>
            <w:vAlign w:val="center"/>
            <w:hideMark/>
          </w:tcPr>
          <w:p w14:paraId="63A60D8A" w14:textId="53424214"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UNIDAD ADMINISTRATIVA ESPECIAL CUERPO DE BOMBEROS </w:t>
            </w:r>
            <w:r w:rsidR="00047674" w:rsidRPr="00FB351A">
              <w:rPr>
                <w:rFonts w:ascii="Arial" w:hAnsi="Arial" w:cs="Arial"/>
                <w:color w:val="000000"/>
                <w:sz w:val="16"/>
                <w:szCs w:val="16"/>
              </w:rPr>
              <w:t>BOGOTÁ</w:t>
            </w:r>
          </w:p>
        </w:tc>
        <w:tc>
          <w:tcPr>
            <w:tcW w:w="1452" w:type="pct"/>
            <w:tcBorders>
              <w:top w:val="nil"/>
              <w:left w:val="single" w:sz="8" w:space="0" w:color="auto"/>
              <w:bottom w:val="single" w:sz="4" w:space="0" w:color="auto"/>
              <w:right w:val="single" w:sz="4" w:space="0" w:color="auto"/>
            </w:tcBorders>
            <w:vAlign w:val="center"/>
            <w:hideMark/>
          </w:tcPr>
          <w:p w14:paraId="74624384"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LICITACIÓN PÚBLICA No </w:t>
            </w:r>
            <w:proofErr w:type="spellStart"/>
            <w:r w:rsidRPr="00FB351A">
              <w:rPr>
                <w:rFonts w:ascii="Arial" w:hAnsi="Arial" w:cs="Arial"/>
                <w:color w:val="000000"/>
                <w:sz w:val="16"/>
                <w:szCs w:val="16"/>
              </w:rPr>
              <w:t>UAECOB</w:t>
            </w:r>
            <w:proofErr w:type="spellEnd"/>
            <w:r w:rsidRPr="00FB351A">
              <w:rPr>
                <w:rFonts w:ascii="Arial" w:hAnsi="Arial" w:cs="Arial"/>
                <w:color w:val="000000"/>
                <w:sz w:val="16"/>
                <w:szCs w:val="16"/>
              </w:rPr>
              <w:t>-LP-003-2026</w:t>
            </w:r>
          </w:p>
        </w:tc>
        <w:tc>
          <w:tcPr>
            <w:tcW w:w="445" w:type="pct"/>
            <w:tcBorders>
              <w:top w:val="nil"/>
              <w:left w:val="nil"/>
              <w:bottom w:val="nil"/>
              <w:right w:val="single" w:sz="4" w:space="0" w:color="auto"/>
            </w:tcBorders>
            <w:noWrap/>
            <w:vAlign w:val="center"/>
            <w:hideMark/>
          </w:tcPr>
          <w:p w14:paraId="78C51DBB"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 </w:t>
            </w:r>
          </w:p>
        </w:tc>
        <w:tc>
          <w:tcPr>
            <w:tcW w:w="219" w:type="pct"/>
            <w:tcBorders>
              <w:top w:val="nil"/>
              <w:left w:val="nil"/>
              <w:bottom w:val="single" w:sz="4" w:space="0" w:color="auto"/>
              <w:right w:val="single" w:sz="4" w:space="0" w:color="auto"/>
            </w:tcBorders>
            <w:vAlign w:val="center"/>
            <w:hideMark/>
          </w:tcPr>
          <w:p w14:paraId="3D1275A9" w14:textId="77777777" w:rsidR="0021390C" w:rsidRPr="00FB351A" w:rsidRDefault="0021390C">
            <w:pPr>
              <w:jc w:val="center"/>
              <w:rPr>
                <w:rFonts w:ascii="Arial" w:hAnsi="Arial" w:cs="Arial"/>
                <w:sz w:val="16"/>
                <w:szCs w:val="16"/>
              </w:rPr>
            </w:pPr>
            <w:r w:rsidRPr="00FB351A">
              <w:rPr>
                <w:rFonts w:ascii="Arial" w:hAnsi="Arial" w:cs="Arial"/>
                <w:sz w:val="16"/>
                <w:szCs w:val="16"/>
              </w:rPr>
              <w:t>4.56</w:t>
            </w:r>
          </w:p>
        </w:tc>
        <w:tc>
          <w:tcPr>
            <w:tcW w:w="233" w:type="pct"/>
            <w:vMerge/>
            <w:tcBorders>
              <w:top w:val="nil"/>
              <w:left w:val="single" w:sz="4" w:space="0" w:color="auto"/>
              <w:bottom w:val="single" w:sz="4" w:space="0" w:color="auto"/>
              <w:right w:val="single" w:sz="4" w:space="0" w:color="auto"/>
            </w:tcBorders>
            <w:vAlign w:val="center"/>
            <w:hideMark/>
          </w:tcPr>
          <w:p w14:paraId="0838AF70" w14:textId="77777777" w:rsidR="0021390C" w:rsidRPr="00FB351A" w:rsidRDefault="0021390C">
            <w:pPr>
              <w:rPr>
                <w:rFonts w:ascii="Arial" w:hAnsi="Arial" w:cs="Arial"/>
                <w:color w:val="0070C0"/>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01AF0367"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222443C"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000000"/>
              <w:right w:val="single" w:sz="4" w:space="0" w:color="auto"/>
            </w:tcBorders>
            <w:vAlign w:val="center"/>
            <w:hideMark/>
          </w:tcPr>
          <w:p w14:paraId="67A08604" w14:textId="77777777" w:rsidR="0021390C" w:rsidRPr="00FB351A" w:rsidRDefault="0021390C">
            <w:pPr>
              <w:rPr>
                <w:rFonts w:ascii="Arial" w:hAnsi="Arial" w:cs="Arial"/>
                <w:sz w:val="16"/>
                <w:szCs w:val="16"/>
              </w:rPr>
            </w:pPr>
          </w:p>
        </w:tc>
      </w:tr>
      <w:tr w:rsidR="0021390C" w:rsidRPr="00FB351A" w14:paraId="345E4C0E" w14:textId="77777777" w:rsidTr="0021390C">
        <w:trPr>
          <w:trHeight w:val="20"/>
        </w:trPr>
        <w:tc>
          <w:tcPr>
            <w:tcW w:w="1902" w:type="pct"/>
            <w:tcBorders>
              <w:top w:val="nil"/>
              <w:left w:val="single" w:sz="4" w:space="0" w:color="auto"/>
              <w:bottom w:val="single" w:sz="4" w:space="0" w:color="auto"/>
              <w:right w:val="single" w:sz="4" w:space="0" w:color="auto"/>
            </w:tcBorders>
            <w:noWrap/>
            <w:vAlign w:val="center"/>
            <w:hideMark/>
          </w:tcPr>
          <w:p w14:paraId="4C67F95A" w14:textId="2BAC1FBD" w:rsidR="0021390C" w:rsidRPr="00FB351A" w:rsidRDefault="0021390C">
            <w:pPr>
              <w:rPr>
                <w:rFonts w:ascii="Arial" w:hAnsi="Arial" w:cs="Arial"/>
                <w:color w:val="000000"/>
                <w:sz w:val="16"/>
                <w:szCs w:val="16"/>
              </w:rPr>
            </w:pPr>
            <w:r w:rsidRPr="00FB351A">
              <w:rPr>
                <w:rFonts w:ascii="Arial" w:hAnsi="Arial" w:cs="Arial"/>
                <w:color w:val="000000"/>
                <w:sz w:val="16"/>
                <w:szCs w:val="16"/>
              </w:rPr>
              <w:t xml:space="preserve">AGENCIA </w:t>
            </w:r>
            <w:r w:rsidR="00ED226A" w:rsidRPr="00FB351A">
              <w:rPr>
                <w:rFonts w:ascii="Arial" w:hAnsi="Arial" w:cs="Arial"/>
                <w:color w:val="000000"/>
                <w:sz w:val="16"/>
                <w:szCs w:val="16"/>
              </w:rPr>
              <w:t>LOGÍSTICA</w:t>
            </w:r>
            <w:r w:rsidRPr="00FB351A">
              <w:rPr>
                <w:rFonts w:ascii="Arial" w:hAnsi="Arial" w:cs="Arial"/>
                <w:color w:val="000000"/>
                <w:sz w:val="16"/>
                <w:szCs w:val="16"/>
              </w:rPr>
              <w:t xml:space="preserve"> DE LAS FUERZA MILITARES</w:t>
            </w:r>
          </w:p>
        </w:tc>
        <w:tc>
          <w:tcPr>
            <w:tcW w:w="1452" w:type="pct"/>
            <w:tcBorders>
              <w:top w:val="nil"/>
              <w:left w:val="nil"/>
              <w:bottom w:val="single" w:sz="4" w:space="0" w:color="auto"/>
              <w:right w:val="single" w:sz="4" w:space="0" w:color="auto"/>
            </w:tcBorders>
            <w:noWrap/>
            <w:vAlign w:val="center"/>
            <w:hideMark/>
          </w:tcPr>
          <w:p w14:paraId="4BD5CB02" w14:textId="77777777" w:rsidR="0021390C" w:rsidRPr="00FB351A" w:rsidRDefault="0021390C">
            <w:pPr>
              <w:rPr>
                <w:rFonts w:ascii="Arial" w:hAnsi="Arial" w:cs="Arial"/>
                <w:color w:val="000000"/>
                <w:sz w:val="16"/>
                <w:szCs w:val="16"/>
              </w:rPr>
            </w:pPr>
            <w:r w:rsidRPr="00FB351A">
              <w:rPr>
                <w:rFonts w:ascii="Arial" w:hAnsi="Arial" w:cs="Arial"/>
                <w:color w:val="000000"/>
                <w:sz w:val="16"/>
                <w:szCs w:val="16"/>
              </w:rPr>
              <w:t>LICITACIÓN PÚBLICA No. 002-046-2026</w:t>
            </w:r>
          </w:p>
        </w:tc>
        <w:tc>
          <w:tcPr>
            <w:tcW w:w="445" w:type="pct"/>
            <w:tcBorders>
              <w:top w:val="nil"/>
              <w:left w:val="nil"/>
              <w:bottom w:val="nil"/>
              <w:right w:val="single" w:sz="4" w:space="0" w:color="auto"/>
            </w:tcBorders>
            <w:noWrap/>
            <w:vAlign w:val="center"/>
            <w:hideMark/>
          </w:tcPr>
          <w:p w14:paraId="63D9F958"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 </w:t>
            </w:r>
          </w:p>
        </w:tc>
        <w:tc>
          <w:tcPr>
            <w:tcW w:w="219" w:type="pct"/>
            <w:tcBorders>
              <w:top w:val="nil"/>
              <w:left w:val="nil"/>
              <w:bottom w:val="single" w:sz="4" w:space="0" w:color="auto"/>
              <w:right w:val="single" w:sz="4" w:space="0" w:color="auto"/>
            </w:tcBorders>
            <w:vAlign w:val="center"/>
            <w:hideMark/>
          </w:tcPr>
          <w:p w14:paraId="3C3F9B35" w14:textId="77777777" w:rsidR="0021390C" w:rsidRPr="00FB351A" w:rsidRDefault="0021390C">
            <w:pPr>
              <w:jc w:val="center"/>
              <w:rPr>
                <w:rFonts w:ascii="Arial" w:hAnsi="Arial" w:cs="Arial"/>
                <w:sz w:val="16"/>
                <w:szCs w:val="16"/>
              </w:rPr>
            </w:pPr>
            <w:r w:rsidRPr="00FB351A">
              <w:rPr>
                <w:rFonts w:ascii="Arial" w:hAnsi="Arial" w:cs="Arial"/>
                <w:sz w:val="16"/>
                <w:szCs w:val="16"/>
              </w:rPr>
              <w:t>5.50</w:t>
            </w:r>
          </w:p>
        </w:tc>
        <w:tc>
          <w:tcPr>
            <w:tcW w:w="233" w:type="pct"/>
            <w:vMerge/>
            <w:tcBorders>
              <w:top w:val="nil"/>
              <w:left w:val="single" w:sz="4" w:space="0" w:color="auto"/>
              <w:bottom w:val="single" w:sz="4" w:space="0" w:color="auto"/>
              <w:right w:val="single" w:sz="4" w:space="0" w:color="auto"/>
            </w:tcBorders>
            <w:vAlign w:val="center"/>
            <w:hideMark/>
          </w:tcPr>
          <w:p w14:paraId="6F320BDB" w14:textId="77777777" w:rsidR="0021390C" w:rsidRPr="00FB351A" w:rsidRDefault="0021390C">
            <w:pPr>
              <w:rPr>
                <w:rFonts w:ascii="Arial" w:hAnsi="Arial" w:cs="Arial"/>
                <w:color w:val="0070C0"/>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6DFDB4F6"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39142A7E"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000000"/>
              <w:right w:val="single" w:sz="4" w:space="0" w:color="auto"/>
            </w:tcBorders>
            <w:vAlign w:val="center"/>
            <w:hideMark/>
          </w:tcPr>
          <w:p w14:paraId="55AEF79E" w14:textId="77777777" w:rsidR="0021390C" w:rsidRPr="00FB351A" w:rsidRDefault="0021390C">
            <w:pPr>
              <w:rPr>
                <w:rFonts w:ascii="Arial" w:hAnsi="Arial" w:cs="Arial"/>
                <w:sz w:val="16"/>
                <w:szCs w:val="16"/>
              </w:rPr>
            </w:pPr>
          </w:p>
        </w:tc>
      </w:tr>
      <w:tr w:rsidR="0021390C" w:rsidRPr="00FB351A" w14:paraId="2C5186BE" w14:textId="77777777" w:rsidTr="0021390C">
        <w:trPr>
          <w:trHeight w:val="20"/>
        </w:trPr>
        <w:tc>
          <w:tcPr>
            <w:tcW w:w="1902" w:type="pct"/>
            <w:tcBorders>
              <w:top w:val="nil"/>
              <w:left w:val="single" w:sz="4" w:space="0" w:color="auto"/>
              <w:bottom w:val="single" w:sz="4" w:space="0" w:color="auto"/>
              <w:right w:val="single" w:sz="4" w:space="0" w:color="auto"/>
            </w:tcBorders>
            <w:shd w:val="clear" w:color="000000" w:fill="FFFFCC"/>
            <w:vAlign w:val="center"/>
            <w:hideMark/>
          </w:tcPr>
          <w:p w14:paraId="20987EE4"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AGENCIA DE DESARROLLO RURAL</w:t>
            </w:r>
          </w:p>
        </w:tc>
        <w:tc>
          <w:tcPr>
            <w:tcW w:w="1452" w:type="pct"/>
            <w:tcBorders>
              <w:top w:val="nil"/>
              <w:left w:val="nil"/>
              <w:bottom w:val="single" w:sz="4" w:space="0" w:color="auto"/>
              <w:right w:val="single" w:sz="4" w:space="0" w:color="auto"/>
            </w:tcBorders>
            <w:shd w:val="clear" w:color="000000" w:fill="FFFFCC"/>
            <w:vAlign w:val="center"/>
            <w:hideMark/>
          </w:tcPr>
          <w:p w14:paraId="1548C773" w14:textId="77777777" w:rsidR="0021390C" w:rsidRPr="00FB351A" w:rsidRDefault="0021390C">
            <w:pPr>
              <w:rPr>
                <w:rFonts w:ascii="Arial" w:hAnsi="Arial" w:cs="Arial"/>
                <w:b/>
                <w:bCs/>
                <w:i/>
                <w:iCs/>
                <w:color w:val="0070C0"/>
                <w:sz w:val="16"/>
                <w:szCs w:val="16"/>
              </w:rPr>
            </w:pPr>
            <w:r w:rsidRPr="00FB351A">
              <w:rPr>
                <w:rFonts w:ascii="Arial" w:hAnsi="Arial" w:cs="Arial"/>
                <w:b/>
                <w:bCs/>
                <w:i/>
                <w:iCs/>
                <w:color w:val="0070C0"/>
                <w:sz w:val="16"/>
                <w:szCs w:val="16"/>
              </w:rPr>
              <w:t> </w:t>
            </w:r>
          </w:p>
        </w:tc>
        <w:tc>
          <w:tcPr>
            <w:tcW w:w="445" w:type="pct"/>
            <w:vMerge w:val="restart"/>
            <w:tcBorders>
              <w:top w:val="single" w:sz="4" w:space="0" w:color="auto"/>
              <w:left w:val="single" w:sz="4" w:space="0" w:color="auto"/>
              <w:bottom w:val="single" w:sz="4" w:space="0" w:color="auto"/>
              <w:right w:val="single" w:sz="4" w:space="0" w:color="auto"/>
            </w:tcBorders>
            <w:vAlign w:val="center"/>
            <w:hideMark/>
          </w:tcPr>
          <w:p w14:paraId="2418395B" w14:textId="77777777" w:rsidR="0021390C" w:rsidRPr="00FB351A" w:rsidRDefault="0021390C">
            <w:pPr>
              <w:jc w:val="center"/>
              <w:rPr>
                <w:rFonts w:ascii="Arial" w:hAnsi="Arial" w:cs="Arial"/>
                <w:sz w:val="16"/>
                <w:szCs w:val="16"/>
              </w:rPr>
            </w:pPr>
            <w:r w:rsidRPr="00FB351A">
              <w:rPr>
                <w:rFonts w:ascii="Arial" w:hAnsi="Arial" w:cs="Arial"/>
                <w:sz w:val="16"/>
                <w:szCs w:val="16"/>
              </w:rPr>
              <w:t>SOAT</w:t>
            </w:r>
          </w:p>
        </w:tc>
        <w:tc>
          <w:tcPr>
            <w:tcW w:w="219" w:type="pct"/>
            <w:tcBorders>
              <w:top w:val="nil"/>
              <w:left w:val="nil"/>
              <w:bottom w:val="single" w:sz="4" w:space="0" w:color="auto"/>
              <w:right w:val="single" w:sz="4" w:space="0" w:color="auto"/>
            </w:tcBorders>
            <w:shd w:val="clear" w:color="000000" w:fill="FFFFCC"/>
            <w:noWrap/>
            <w:vAlign w:val="center"/>
            <w:hideMark/>
          </w:tcPr>
          <w:p w14:paraId="505D22D6" w14:textId="77777777" w:rsidR="0021390C" w:rsidRPr="00FB351A" w:rsidRDefault="0021390C">
            <w:pPr>
              <w:jc w:val="center"/>
              <w:rPr>
                <w:rFonts w:ascii="Arial" w:hAnsi="Arial" w:cs="Arial"/>
                <w:sz w:val="16"/>
                <w:szCs w:val="16"/>
              </w:rPr>
            </w:pPr>
            <w:r w:rsidRPr="00FB351A">
              <w:rPr>
                <w:rFonts w:ascii="Arial" w:hAnsi="Arial" w:cs="Arial"/>
                <w:sz w:val="16"/>
                <w:szCs w:val="16"/>
              </w:rPr>
              <w:t>LO DE LEY</w:t>
            </w:r>
          </w:p>
        </w:tc>
        <w:tc>
          <w:tcPr>
            <w:tcW w:w="233" w:type="pct"/>
            <w:vMerge w:val="restart"/>
            <w:tcBorders>
              <w:top w:val="nil"/>
              <w:left w:val="single" w:sz="4" w:space="0" w:color="auto"/>
              <w:bottom w:val="single" w:sz="4" w:space="0" w:color="auto"/>
              <w:right w:val="single" w:sz="4" w:space="0" w:color="auto"/>
            </w:tcBorders>
            <w:shd w:val="clear" w:color="000000" w:fill="FFFFCC"/>
            <w:vAlign w:val="center"/>
            <w:hideMark/>
          </w:tcPr>
          <w:p w14:paraId="200E5039"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150" w:type="pct"/>
            <w:vMerge w:val="restart"/>
            <w:tcBorders>
              <w:top w:val="nil"/>
              <w:left w:val="single" w:sz="4" w:space="0" w:color="auto"/>
              <w:bottom w:val="single" w:sz="4" w:space="0" w:color="auto"/>
              <w:right w:val="single" w:sz="4" w:space="0" w:color="auto"/>
            </w:tcBorders>
            <w:vAlign w:val="center"/>
            <w:hideMark/>
          </w:tcPr>
          <w:p w14:paraId="6028646F" w14:textId="77777777" w:rsidR="0021390C" w:rsidRPr="00FB351A" w:rsidRDefault="0021390C">
            <w:pPr>
              <w:jc w:val="center"/>
              <w:rPr>
                <w:rFonts w:ascii="Arial" w:hAnsi="Arial" w:cs="Arial"/>
                <w:sz w:val="16"/>
                <w:szCs w:val="16"/>
              </w:rPr>
            </w:pPr>
            <w:r w:rsidRPr="00FB351A">
              <w:rPr>
                <w:rFonts w:ascii="Arial" w:hAnsi="Arial" w:cs="Arial"/>
                <w:sz w:val="16"/>
                <w:szCs w:val="16"/>
              </w:rPr>
              <w:t>%</w:t>
            </w:r>
          </w:p>
        </w:tc>
        <w:tc>
          <w:tcPr>
            <w:tcW w:w="311" w:type="pct"/>
            <w:vMerge w:val="restart"/>
            <w:tcBorders>
              <w:top w:val="nil"/>
              <w:left w:val="single" w:sz="4" w:space="0" w:color="auto"/>
              <w:bottom w:val="single" w:sz="4" w:space="0" w:color="auto"/>
              <w:right w:val="single" w:sz="4" w:space="0" w:color="auto"/>
            </w:tcBorders>
            <w:noWrap/>
            <w:vAlign w:val="center"/>
            <w:hideMark/>
          </w:tcPr>
          <w:p w14:paraId="08A1EC57"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c>
          <w:tcPr>
            <w:tcW w:w="287" w:type="pct"/>
            <w:vMerge w:val="restart"/>
            <w:tcBorders>
              <w:top w:val="nil"/>
              <w:left w:val="single" w:sz="4" w:space="0" w:color="auto"/>
              <w:bottom w:val="single" w:sz="4" w:space="0" w:color="auto"/>
              <w:right w:val="single" w:sz="4" w:space="0" w:color="auto"/>
            </w:tcBorders>
            <w:noWrap/>
            <w:vAlign w:val="center"/>
            <w:hideMark/>
          </w:tcPr>
          <w:p w14:paraId="46F47C4E" w14:textId="77777777" w:rsidR="0021390C" w:rsidRPr="00FB351A" w:rsidRDefault="0021390C">
            <w:pPr>
              <w:jc w:val="center"/>
              <w:rPr>
                <w:rFonts w:ascii="Arial" w:hAnsi="Arial" w:cs="Arial"/>
                <w:sz w:val="16"/>
                <w:szCs w:val="16"/>
              </w:rPr>
            </w:pPr>
            <w:r w:rsidRPr="00FB351A">
              <w:rPr>
                <w:rFonts w:ascii="Arial" w:hAnsi="Arial" w:cs="Arial"/>
                <w:sz w:val="16"/>
                <w:szCs w:val="16"/>
              </w:rPr>
              <w:t>N/A</w:t>
            </w:r>
          </w:p>
        </w:tc>
      </w:tr>
      <w:tr w:rsidR="0021390C" w:rsidRPr="00FB351A" w14:paraId="02EFD6B8" w14:textId="77777777" w:rsidTr="0021390C">
        <w:trPr>
          <w:trHeight w:val="20"/>
        </w:trPr>
        <w:tc>
          <w:tcPr>
            <w:tcW w:w="1902" w:type="pct"/>
            <w:tcBorders>
              <w:top w:val="single" w:sz="4" w:space="0" w:color="156082"/>
              <w:left w:val="single" w:sz="4" w:space="0" w:color="156082"/>
              <w:bottom w:val="single" w:sz="4" w:space="0" w:color="156082"/>
              <w:right w:val="single" w:sz="4" w:space="0" w:color="156082"/>
            </w:tcBorders>
            <w:vAlign w:val="center"/>
            <w:hideMark/>
          </w:tcPr>
          <w:p w14:paraId="4EAAE8A9" w14:textId="77777777" w:rsidR="0021390C" w:rsidRPr="00FB351A" w:rsidRDefault="0021390C">
            <w:pPr>
              <w:rPr>
                <w:rFonts w:ascii="Arial" w:hAnsi="Arial" w:cs="Arial"/>
                <w:sz w:val="16"/>
                <w:szCs w:val="16"/>
              </w:rPr>
            </w:pPr>
            <w:r w:rsidRPr="00FB351A">
              <w:rPr>
                <w:rFonts w:ascii="Arial" w:hAnsi="Arial" w:cs="Arial"/>
                <w:sz w:val="16"/>
                <w:szCs w:val="16"/>
              </w:rPr>
              <w:t>SOAT LO DE LEY</w:t>
            </w:r>
          </w:p>
        </w:tc>
        <w:tc>
          <w:tcPr>
            <w:tcW w:w="1452" w:type="pct"/>
            <w:tcBorders>
              <w:top w:val="nil"/>
              <w:left w:val="single" w:sz="4" w:space="0" w:color="auto"/>
              <w:bottom w:val="single" w:sz="4" w:space="0" w:color="auto"/>
              <w:right w:val="single" w:sz="4" w:space="0" w:color="auto"/>
            </w:tcBorders>
            <w:vAlign w:val="center"/>
            <w:hideMark/>
          </w:tcPr>
          <w:p w14:paraId="0DAC79BC" w14:textId="77777777" w:rsidR="0021390C" w:rsidRPr="00FB351A" w:rsidRDefault="0021390C">
            <w:pPr>
              <w:jc w:val="center"/>
              <w:rPr>
                <w:rFonts w:ascii="Arial" w:hAnsi="Arial" w:cs="Arial"/>
                <w:color w:val="000000"/>
                <w:sz w:val="16"/>
                <w:szCs w:val="16"/>
              </w:rPr>
            </w:pPr>
            <w:r w:rsidRPr="00FB351A">
              <w:rPr>
                <w:rFonts w:ascii="Arial" w:hAnsi="Arial" w:cs="Arial"/>
                <w:color w:val="000000"/>
                <w:sz w:val="16"/>
                <w:szCs w:val="16"/>
              </w:rPr>
              <w:t>N/A</w:t>
            </w:r>
          </w:p>
        </w:tc>
        <w:tc>
          <w:tcPr>
            <w:tcW w:w="445" w:type="pct"/>
            <w:vMerge/>
            <w:tcBorders>
              <w:top w:val="single" w:sz="4" w:space="0" w:color="auto"/>
              <w:left w:val="single" w:sz="4" w:space="0" w:color="auto"/>
              <w:bottom w:val="single" w:sz="4" w:space="0" w:color="auto"/>
              <w:right w:val="single" w:sz="4" w:space="0" w:color="auto"/>
            </w:tcBorders>
            <w:vAlign w:val="center"/>
            <w:hideMark/>
          </w:tcPr>
          <w:p w14:paraId="2CC6C8B6" w14:textId="77777777" w:rsidR="0021390C" w:rsidRPr="00FB351A" w:rsidRDefault="0021390C">
            <w:pPr>
              <w:rPr>
                <w:rFonts w:ascii="Arial" w:hAnsi="Arial" w:cs="Arial"/>
                <w:sz w:val="16"/>
                <w:szCs w:val="16"/>
              </w:rPr>
            </w:pPr>
          </w:p>
        </w:tc>
        <w:tc>
          <w:tcPr>
            <w:tcW w:w="219" w:type="pct"/>
            <w:tcBorders>
              <w:top w:val="nil"/>
              <w:left w:val="nil"/>
              <w:bottom w:val="single" w:sz="4" w:space="0" w:color="auto"/>
              <w:right w:val="single" w:sz="4" w:space="0" w:color="auto"/>
            </w:tcBorders>
            <w:shd w:val="clear" w:color="000000" w:fill="FFFFCC"/>
            <w:noWrap/>
            <w:vAlign w:val="center"/>
            <w:hideMark/>
          </w:tcPr>
          <w:p w14:paraId="610EB66C" w14:textId="77777777" w:rsidR="0021390C" w:rsidRPr="00FB351A" w:rsidRDefault="0021390C">
            <w:pPr>
              <w:jc w:val="center"/>
              <w:rPr>
                <w:rFonts w:ascii="Arial" w:hAnsi="Arial" w:cs="Arial"/>
                <w:sz w:val="16"/>
                <w:szCs w:val="16"/>
              </w:rPr>
            </w:pPr>
            <w:r w:rsidRPr="00FB351A">
              <w:rPr>
                <w:rFonts w:ascii="Arial" w:hAnsi="Arial" w:cs="Arial"/>
                <w:sz w:val="16"/>
                <w:szCs w:val="16"/>
              </w:rPr>
              <w:t>LO DE LEY</w:t>
            </w:r>
          </w:p>
        </w:tc>
        <w:tc>
          <w:tcPr>
            <w:tcW w:w="233" w:type="pct"/>
            <w:vMerge/>
            <w:tcBorders>
              <w:top w:val="nil"/>
              <w:left w:val="single" w:sz="4" w:space="0" w:color="auto"/>
              <w:bottom w:val="single" w:sz="4" w:space="0" w:color="auto"/>
              <w:right w:val="single" w:sz="4" w:space="0" w:color="auto"/>
            </w:tcBorders>
            <w:vAlign w:val="center"/>
            <w:hideMark/>
          </w:tcPr>
          <w:p w14:paraId="0C7931F1" w14:textId="77777777" w:rsidR="0021390C" w:rsidRPr="00FB351A" w:rsidRDefault="0021390C">
            <w:pPr>
              <w:rPr>
                <w:rFonts w:ascii="Arial" w:hAnsi="Arial" w:cs="Arial"/>
                <w:sz w:val="16"/>
                <w:szCs w:val="16"/>
              </w:rPr>
            </w:pPr>
          </w:p>
        </w:tc>
        <w:tc>
          <w:tcPr>
            <w:tcW w:w="150" w:type="pct"/>
            <w:vMerge/>
            <w:tcBorders>
              <w:top w:val="nil"/>
              <w:left w:val="single" w:sz="4" w:space="0" w:color="auto"/>
              <w:bottom w:val="single" w:sz="4" w:space="0" w:color="auto"/>
              <w:right w:val="single" w:sz="4" w:space="0" w:color="auto"/>
            </w:tcBorders>
            <w:vAlign w:val="center"/>
            <w:hideMark/>
          </w:tcPr>
          <w:p w14:paraId="207DA2D3" w14:textId="77777777" w:rsidR="0021390C" w:rsidRPr="00FB351A" w:rsidRDefault="0021390C">
            <w:pPr>
              <w:rPr>
                <w:rFonts w:ascii="Arial" w:hAnsi="Arial" w:cs="Arial"/>
                <w:sz w:val="16"/>
                <w:szCs w:val="16"/>
              </w:rPr>
            </w:pPr>
          </w:p>
        </w:tc>
        <w:tc>
          <w:tcPr>
            <w:tcW w:w="311" w:type="pct"/>
            <w:vMerge/>
            <w:tcBorders>
              <w:top w:val="nil"/>
              <w:left w:val="single" w:sz="4" w:space="0" w:color="auto"/>
              <w:bottom w:val="single" w:sz="4" w:space="0" w:color="auto"/>
              <w:right w:val="single" w:sz="4" w:space="0" w:color="auto"/>
            </w:tcBorders>
            <w:vAlign w:val="center"/>
            <w:hideMark/>
          </w:tcPr>
          <w:p w14:paraId="0EDC3BF1" w14:textId="77777777" w:rsidR="0021390C" w:rsidRPr="00FB351A" w:rsidRDefault="0021390C">
            <w:pPr>
              <w:rPr>
                <w:rFonts w:ascii="Arial" w:hAnsi="Arial" w:cs="Arial"/>
                <w:sz w:val="16"/>
                <w:szCs w:val="16"/>
              </w:rPr>
            </w:pPr>
          </w:p>
        </w:tc>
        <w:tc>
          <w:tcPr>
            <w:tcW w:w="287" w:type="pct"/>
            <w:vMerge/>
            <w:tcBorders>
              <w:top w:val="nil"/>
              <w:left w:val="single" w:sz="4" w:space="0" w:color="auto"/>
              <w:bottom w:val="single" w:sz="4" w:space="0" w:color="auto"/>
              <w:right w:val="single" w:sz="4" w:space="0" w:color="auto"/>
            </w:tcBorders>
            <w:vAlign w:val="center"/>
            <w:hideMark/>
          </w:tcPr>
          <w:p w14:paraId="31F44460" w14:textId="77777777" w:rsidR="0021390C" w:rsidRPr="00FB351A" w:rsidRDefault="0021390C">
            <w:pPr>
              <w:rPr>
                <w:rFonts w:ascii="Arial" w:hAnsi="Arial" w:cs="Arial"/>
                <w:sz w:val="16"/>
                <w:szCs w:val="16"/>
              </w:rPr>
            </w:pPr>
          </w:p>
        </w:tc>
      </w:tr>
    </w:tbl>
    <w:p w14:paraId="5938989A" w14:textId="31D35689" w:rsidR="00410F70" w:rsidRDefault="007305E5" w:rsidP="00803115">
      <w:pPr>
        <w:pStyle w:val="Descripcin"/>
        <w:jc w:val="both"/>
        <w:rPr>
          <w:rFonts w:ascii="Arial" w:hAnsi="Arial" w:cs="Arial"/>
          <w:b w:val="0"/>
          <w:bCs w:val="0"/>
          <w:lang w:val="es-CO"/>
        </w:rPr>
      </w:pPr>
      <w:r w:rsidRPr="00FB351A">
        <w:rPr>
          <w:rFonts w:ascii="Arial" w:hAnsi="Arial" w:cs="Arial"/>
          <w:b w:val="0"/>
          <w:bCs w:val="0"/>
        </w:rPr>
        <w:t xml:space="preserve"> </w:t>
      </w:r>
      <w:r w:rsidR="004402A0" w:rsidRPr="00FB351A">
        <w:rPr>
          <w:rFonts w:ascii="Arial" w:hAnsi="Arial" w:cs="Arial"/>
          <w:b w:val="0"/>
          <w:bCs w:val="0"/>
        </w:rPr>
        <w:t>Cuadro Estimación de tasa a aplicar. Fuente: Estudio de mercado elaborado por</w:t>
      </w:r>
      <w:r w:rsidR="00BD0673" w:rsidRPr="00FB351A">
        <w:rPr>
          <w:rFonts w:ascii="Arial" w:hAnsi="Arial" w:cs="Arial"/>
          <w:b w:val="0"/>
          <w:bCs w:val="0"/>
        </w:rPr>
        <w:t xml:space="preserve"> el</w:t>
      </w:r>
      <w:r w:rsidR="004402A0" w:rsidRPr="00FB351A">
        <w:rPr>
          <w:rFonts w:ascii="Arial" w:hAnsi="Arial" w:cs="Arial"/>
          <w:b w:val="0"/>
          <w:bCs w:val="0"/>
        </w:rPr>
        <w:t xml:space="preserve"> </w:t>
      </w:r>
      <w:r w:rsidR="00BD0673" w:rsidRPr="00FB351A">
        <w:rPr>
          <w:rFonts w:ascii="Arial" w:hAnsi="Arial" w:cs="Arial"/>
          <w:b w:val="0"/>
          <w:bCs w:val="0"/>
          <w:lang w:val="es-CO"/>
        </w:rPr>
        <w:t>intermediario de seguros de la entidad</w:t>
      </w:r>
      <w:r w:rsidR="00373BEA">
        <w:rPr>
          <w:rFonts w:ascii="Arial" w:hAnsi="Arial" w:cs="Arial"/>
          <w:b w:val="0"/>
          <w:bCs w:val="0"/>
          <w:lang w:val="es-CO"/>
        </w:rPr>
        <w:t>.</w:t>
      </w:r>
    </w:p>
    <w:p w14:paraId="376AD420" w14:textId="77777777" w:rsidR="00373BEA" w:rsidRDefault="00373BEA" w:rsidP="00373BEA">
      <w:pPr>
        <w:rPr>
          <w:lang w:eastAsia="es-ES"/>
        </w:rPr>
      </w:pPr>
    </w:p>
    <w:p w14:paraId="1AD85B1D" w14:textId="77777777" w:rsidR="00373BEA" w:rsidRDefault="00373BEA" w:rsidP="00373BEA">
      <w:pPr>
        <w:rPr>
          <w:lang w:eastAsia="es-ES"/>
        </w:rPr>
      </w:pPr>
      <w:r>
        <w:rPr>
          <w:lang w:eastAsia="es-ES"/>
        </w:rPr>
        <w:t>Ajustes de Homogeneización y Tratamiento de Valores Extremos:</w:t>
      </w:r>
    </w:p>
    <w:p w14:paraId="3CE86B34" w14:textId="77777777" w:rsidR="00373BEA" w:rsidRDefault="00373BEA" w:rsidP="00373BEA">
      <w:pPr>
        <w:jc w:val="both"/>
        <w:rPr>
          <w:rFonts w:ascii="Arial" w:hAnsi="Arial" w:cs="Arial"/>
          <w:iCs/>
          <w:color w:val="000000"/>
          <w:sz w:val="20"/>
          <w:szCs w:val="20"/>
          <w:lang w:eastAsia="en-US"/>
        </w:rPr>
      </w:pPr>
      <w:r w:rsidRPr="00373BEA">
        <w:rPr>
          <w:rFonts w:ascii="Arial" w:hAnsi="Arial" w:cs="Arial"/>
          <w:iCs/>
          <w:color w:val="000000"/>
          <w:sz w:val="20"/>
          <w:szCs w:val="20"/>
          <w:lang w:eastAsia="en-US"/>
        </w:rPr>
        <w:lastRenderedPageBreak/>
        <w:t xml:space="preserve">Para la estimación de la tasa de mercado, el intermediario de seguros verificó que los procesos consultados en </w:t>
      </w:r>
      <w:proofErr w:type="spellStart"/>
      <w:r w:rsidRPr="00373BEA">
        <w:rPr>
          <w:rFonts w:ascii="Arial" w:hAnsi="Arial" w:cs="Arial"/>
          <w:iCs/>
          <w:color w:val="000000"/>
          <w:sz w:val="20"/>
          <w:szCs w:val="20"/>
          <w:lang w:eastAsia="en-US"/>
        </w:rPr>
        <w:t>SECOP</w:t>
      </w:r>
      <w:proofErr w:type="spellEnd"/>
      <w:r w:rsidRPr="00373BEA">
        <w:rPr>
          <w:rFonts w:ascii="Arial" w:hAnsi="Arial" w:cs="Arial"/>
          <w:iCs/>
          <w:color w:val="000000"/>
          <w:sz w:val="20"/>
          <w:szCs w:val="20"/>
          <w:lang w:eastAsia="en-US"/>
        </w:rPr>
        <w:t xml:space="preserve"> II guardaran asimetría técnica con los riesgos de la ADR en términos de exposición y coberturas. </w:t>
      </w:r>
    </w:p>
    <w:p w14:paraId="3E1CE9E5" w14:textId="77777777" w:rsidR="00373BEA" w:rsidRDefault="00373BEA" w:rsidP="00373BEA">
      <w:pPr>
        <w:jc w:val="both"/>
        <w:rPr>
          <w:rFonts w:ascii="Arial" w:hAnsi="Arial" w:cs="Arial"/>
          <w:iCs/>
          <w:color w:val="000000"/>
          <w:sz w:val="20"/>
          <w:szCs w:val="20"/>
          <w:lang w:eastAsia="en-US"/>
        </w:rPr>
      </w:pPr>
    </w:p>
    <w:p w14:paraId="19DAA964" w14:textId="3B6573EC" w:rsidR="00373BEA" w:rsidRPr="00373BEA" w:rsidRDefault="00373BEA" w:rsidP="00373BEA">
      <w:pPr>
        <w:jc w:val="both"/>
        <w:rPr>
          <w:rFonts w:ascii="Arial" w:hAnsi="Arial" w:cs="Arial"/>
          <w:iCs/>
          <w:color w:val="000000"/>
          <w:sz w:val="20"/>
          <w:szCs w:val="20"/>
          <w:lang w:eastAsia="en-US"/>
        </w:rPr>
      </w:pPr>
      <w:r w:rsidRPr="00373BEA">
        <w:rPr>
          <w:rFonts w:ascii="Arial" w:hAnsi="Arial" w:cs="Arial"/>
          <w:iCs/>
          <w:color w:val="000000"/>
          <w:sz w:val="20"/>
          <w:szCs w:val="20"/>
          <w:lang w:eastAsia="en-US"/>
        </w:rPr>
        <w:t>Para homogeneizar la muestra, se aplicó un promedio simple sobre las tasas brutas identificadas. No se aplicaron recálculos a prorrata sobre las tasas de los comparables, ya que la tasa es un valor porcentual aplicable independientemente de la vigencia, ajustándose el valor final únicamente al liquidar la prima neta por los ochenta y dos (82) días de vigencia de la ADR. Asimismo, al analizar la dispersión de la muestra, no se evidenciaron valores atípicos o extremos que distorsionaran el promedio de mercado para los ramos principales.</w:t>
      </w:r>
    </w:p>
    <w:p w14:paraId="7578C115" w14:textId="77777777" w:rsidR="006F15D6" w:rsidRDefault="006F15D6" w:rsidP="006F15D6">
      <w:pPr>
        <w:rPr>
          <w:lang w:eastAsia="es-ES"/>
        </w:rPr>
      </w:pPr>
    </w:p>
    <w:p w14:paraId="7135242E" w14:textId="6771ED0F" w:rsidR="00940E95" w:rsidRPr="006E59B4" w:rsidRDefault="00B333BA" w:rsidP="00E16A2B">
      <w:pPr>
        <w:pStyle w:val="Prrafodelista"/>
        <w:numPr>
          <w:ilvl w:val="0"/>
          <w:numId w:val="45"/>
        </w:numPr>
        <w:jc w:val="both"/>
        <w:rPr>
          <w:rFonts w:ascii="Arial" w:hAnsi="Arial" w:cs="Arial"/>
          <w:iCs/>
          <w:color w:val="000000"/>
          <w:sz w:val="20"/>
          <w:szCs w:val="20"/>
          <w:lang w:eastAsia="en-US"/>
        </w:rPr>
      </w:pPr>
      <w:r w:rsidRPr="006E59B4">
        <w:rPr>
          <w:rFonts w:ascii="Arial" w:hAnsi="Arial" w:cs="Arial"/>
          <w:iCs/>
          <w:color w:val="000000"/>
          <w:sz w:val="20"/>
          <w:szCs w:val="20"/>
          <w:lang w:eastAsia="en-US"/>
        </w:rPr>
        <w:t>Respecto al seguro de Todo Riesgo Daños Materiales, si bien el promedio tarifario arrojó una tasa del 1.28 ‰, fue necesario efectuar un ajuste prudencial basado en la realidad del mercado. Debido al endurecimiento de las condiciones de aseguramiento y reaseguro provocado por el evento sísmico del 10 de agosto de 2026, se incrementó dicha tasa inicial en un 20 %</w:t>
      </w:r>
      <w:r w:rsidR="006E59B4">
        <w:rPr>
          <w:rStyle w:val="Refdenotaalpie"/>
          <w:rFonts w:ascii="Arial" w:hAnsi="Arial" w:cs="Arial"/>
          <w:iCs/>
          <w:color w:val="000000"/>
          <w:sz w:val="20"/>
          <w:szCs w:val="20"/>
          <w:lang w:eastAsia="en-US"/>
        </w:rPr>
        <w:footnoteReference w:id="22"/>
      </w:r>
      <w:r w:rsidRPr="006E59B4">
        <w:rPr>
          <w:rFonts w:ascii="Arial" w:hAnsi="Arial" w:cs="Arial"/>
          <w:iCs/>
          <w:color w:val="000000"/>
          <w:sz w:val="20"/>
          <w:szCs w:val="20"/>
          <w:lang w:eastAsia="en-US"/>
        </w:rPr>
        <w:t>. Por lo tanto, para efectos de garantizar la viabilidad financiera del proceso de selección, se proyecta una tasa comercial estimada del 1.53 ‰.</w:t>
      </w:r>
      <w:r w:rsidR="00940E95" w:rsidRPr="006E59B4">
        <w:rPr>
          <w:rFonts w:ascii="Arial" w:hAnsi="Arial" w:cs="Arial"/>
          <w:iCs/>
          <w:color w:val="000000"/>
          <w:sz w:val="20"/>
          <w:szCs w:val="20"/>
          <w:lang w:eastAsia="en-US"/>
        </w:rPr>
        <w:t xml:space="preserve"> </w:t>
      </w:r>
    </w:p>
    <w:p w14:paraId="0A567C01" w14:textId="77777777" w:rsidR="00940E95" w:rsidRPr="00940E95" w:rsidRDefault="00940E95" w:rsidP="00940E95">
      <w:pPr>
        <w:ind w:left="1560"/>
        <w:jc w:val="both"/>
        <w:rPr>
          <w:rFonts w:ascii="Arial" w:hAnsi="Arial" w:cs="Arial"/>
          <w:iCs/>
          <w:color w:val="000000"/>
          <w:sz w:val="20"/>
          <w:szCs w:val="20"/>
          <w:lang w:eastAsia="en-US"/>
        </w:rPr>
      </w:pPr>
    </w:p>
    <w:p w14:paraId="0B10BE89" w14:textId="53188AB8" w:rsidR="0039265A" w:rsidRDefault="0039265A"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Con base en ello, se llevó a cabo el cálculo del valor estimado de la contratación del seguro que se requiere contratar, considerando el presupuesto disponible y a comprometer, prorrateado por una vigencia de </w:t>
      </w:r>
      <w:r w:rsidR="00157E0C">
        <w:rPr>
          <w:rFonts w:ascii="Arial" w:hAnsi="Arial" w:cs="Arial"/>
          <w:iCs/>
          <w:color w:val="000000"/>
          <w:sz w:val="20"/>
          <w:szCs w:val="20"/>
          <w:lang w:eastAsia="en-US"/>
        </w:rPr>
        <w:t>ochenta y dos</w:t>
      </w:r>
      <w:r w:rsidRPr="00FB351A">
        <w:rPr>
          <w:rFonts w:ascii="Arial" w:hAnsi="Arial" w:cs="Arial"/>
          <w:iCs/>
          <w:color w:val="000000"/>
          <w:sz w:val="20"/>
          <w:szCs w:val="20"/>
          <w:lang w:eastAsia="en-US"/>
        </w:rPr>
        <w:t xml:space="preserve"> </w:t>
      </w:r>
      <w:r w:rsidRPr="00FB351A">
        <w:rPr>
          <w:rFonts w:ascii="Arial" w:hAnsi="Arial" w:cs="Arial"/>
          <w:iCs/>
          <w:color w:val="000000"/>
          <w:sz w:val="20"/>
          <w:szCs w:val="20"/>
          <w:u w:val="single"/>
          <w:lang w:eastAsia="en-US"/>
        </w:rPr>
        <w:t>(</w:t>
      </w:r>
      <w:r w:rsidR="00157E0C">
        <w:rPr>
          <w:rFonts w:ascii="Arial" w:hAnsi="Arial" w:cs="Arial"/>
          <w:iCs/>
          <w:color w:val="000000"/>
          <w:sz w:val="20"/>
          <w:szCs w:val="20"/>
          <w:u w:val="single"/>
          <w:lang w:eastAsia="en-US"/>
        </w:rPr>
        <w:t>82</w:t>
      </w:r>
      <w:r w:rsidRPr="00FB351A">
        <w:rPr>
          <w:rFonts w:ascii="Arial" w:hAnsi="Arial" w:cs="Arial"/>
          <w:iCs/>
          <w:color w:val="000000"/>
          <w:sz w:val="20"/>
          <w:szCs w:val="20"/>
          <w:u w:val="single"/>
          <w:lang w:eastAsia="en-US"/>
        </w:rPr>
        <w:t>)</w:t>
      </w:r>
      <w:r w:rsidRPr="00FB351A">
        <w:rPr>
          <w:rFonts w:ascii="Arial" w:hAnsi="Arial" w:cs="Arial"/>
          <w:iCs/>
          <w:color w:val="000000"/>
          <w:sz w:val="20"/>
          <w:szCs w:val="20"/>
          <w:lang w:eastAsia="en-US"/>
        </w:rPr>
        <w:t xml:space="preserve"> días, arrojando como resultado el presupuesto requerido para la contratación. </w:t>
      </w:r>
    </w:p>
    <w:p w14:paraId="64D432EF" w14:textId="77777777" w:rsidR="00157E0C" w:rsidRDefault="00157E0C" w:rsidP="00803115">
      <w:pPr>
        <w:jc w:val="both"/>
        <w:rPr>
          <w:rFonts w:ascii="Arial" w:hAnsi="Arial" w:cs="Arial"/>
          <w:iCs/>
          <w:color w:val="000000"/>
          <w:sz w:val="20"/>
          <w:szCs w:val="20"/>
          <w:lang w:eastAsia="en-US"/>
        </w:rPr>
      </w:pPr>
    </w:p>
    <w:p w14:paraId="56E5CBCF" w14:textId="5AAC27AD" w:rsidR="00157E0C" w:rsidRPr="00FB351A" w:rsidRDefault="00157E0C" w:rsidP="00803115">
      <w:pPr>
        <w:jc w:val="both"/>
        <w:rPr>
          <w:rFonts w:ascii="Arial" w:hAnsi="Arial" w:cs="Arial"/>
          <w:iCs/>
          <w:color w:val="000000"/>
          <w:sz w:val="20"/>
          <w:szCs w:val="20"/>
          <w:lang w:eastAsia="en-US"/>
        </w:rPr>
      </w:pPr>
      <w:r w:rsidRPr="00157E0C">
        <w:rPr>
          <w:rFonts w:ascii="Arial" w:hAnsi="Arial" w:cs="Arial"/>
          <w:iCs/>
          <w:color w:val="000000"/>
          <w:sz w:val="20"/>
          <w:szCs w:val="20"/>
          <w:lang w:eastAsia="en-US"/>
        </w:rPr>
        <w:t xml:space="preserve">A diferencia de los ramos de daños materiales y obras civiles (impactados al alza por el endurecimiento del mercado reasegurador tras el evento sísmico), el ramo de Casco Barco presenta una tasa proyectada del 7.21%, inferior a la referencia histórica (15.64%). Esta disminución se justifica técnicamente en la </w:t>
      </w:r>
      <w:r w:rsidRPr="00157E0C">
        <w:rPr>
          <w:rFonts w:ascii="Arial" w:hAnsi="Arial" w:cs="Arial"/>
          <w:iCs/>
          <w:color w:val="000000"/>
          <w:sz w:val="20"/>
          <w:szCs w:val="20"/>
          <w:lang w:eastAsia="en-US"/>
        </w:rPr>
        <w:lastRenderedPageBreak/>
        <w:t>siniestralidad favorable. Al asegurarse a valor comercial o de mercado, el demérito por uso del casco reduce la exposición máxima de pérdida para la aseguradora frente a vigencias anteriores; esto, sumado a un mercado de nicho con menor afectación directa por eventos catastróficos terrestres, permite un ajuste tarifario a la baja, garantizando la optimización de los recursos de la Entidad</w:t>
      </w:r>
      <w:r w:rsidR="00FC53A6">
        <w:rPr>
          <w:rFonts w:ascii="Arial" w:hAnsi="Arial" w:cs="Arial"/>
          <w:iCs/>
          <w:color w:val="000000"/>
          <w:sz w:val="20"/>
          <w:szCs w:val="20"/>
          <w:lang w:eastAsia="en-US"/>
        </w:rPr>
        <w:t>.</w:t>
      </w:r>
    </w:p>
    <w:p w14:paraId="49CABC09" w14:textId="77777777" w:rsidR="002D7A4A" w:rsidRPr="00FB351A" w:rsidRDefault="002D7A4A" w:rsidP="00803115">
      <w:pPr>
        <w:jc w:val="both"/>
        <w:rPr>
          <w:rFonts w:ascii="Arial" w:hAnsi="Arial" w:cs="Arial"/>
          <w:iCs/>
          <w:color w:val="000000"/>
          <w:sz w:val="20"/>
          <w:szCs w:val="20"/>
          <w:lang w:eastAsia="en-US"/>
        </w:rPr>
      </w:pPr>
    </w:p>
    <w:p w14:paraId="516E857A" w14:textId="77777777" w:rsidR="00410F70" w:rsidRPr="00FB351A" w:rsidRDefault="00410F70" w:rsidP="00803115">
      <w:pPr>
        <w:jc w:val="both"/>
        <w:rPr>
          <w:rFonts w:ascii="Arial" w:hAnsi="Arial" w:cs="Arial"/>
          <w:iCs/>
          <w:color w:val="000000"/>
          <w:sz w:val="20"/>
          <w:szCs w:val="20"/>
          <w:lang w:eastAsia="en-US"/>
        </w:rPr>
      </w:pPr>
      <w:r w:rsidRPr="00B333BA">
        <w:rPr>
          <w:rFonts w:ascii="Arial" w:hAnsi="Arial" w:cs="Arial"/>
          <w:iCs/>
          <w:color w:val="000000"/>
          <w:sz w:val="20"/>
          <w:szCs w:val="20"/>
          <w:lang w:eastAsia="en-US"/>
        </w:rPr>
        <w:t>No obstante, para los seguros de Responsabilidad Civil Extracontractual – proyecto del triángulo del Tolima y de Todo Riesgo Daños Materiales – obras civiles, se concluye que, por las características del riesgo, no resulta conveniente hacer un comparativo de tasas, en el entendido que difieren ampliamente de aquellas que aplican al riesgo de la Agencia de Desarrollo Rural - ADR, en tipo de riesgo, valor asegurado, vigencia, características de los bienes asegurables, entre otros.</w:t>
      </w:r>
    </w:p>
    <w:p w14:paraId="1898065B" w14:textId="77777777" w:rsidR="004402A0" w:rsidRPr="00FB351A" w:rsidRDefault="004402A0" w:rsidP="00803115">
      <w:pPr>
        <w:jc w:val="both"/>
        <w:rPr>
          <w:rFonts w:ascii="Arial" w:hAnsi="Arial" w:cs="Arial"/>
          <w:iCs/>
          <w:color w:val="000000"/>
          <w:sz w:val="20"/>
          <w:szCs w:val="20"/>
          <w:lang w:eastAsia="en-US"/>
        </w:rPr>
      </w:pPr>
    </w:p>
    <w:p w14:paraId="23F1EF38" w14:textId="77777777" w:rsidR="00410F70" w:rsidRPr="00B333BA" w:rsidRDefault="00410F7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Lo anterior obedece a que no se tienen un estándar para esta determinación de costos, porque los seguros no se enmarcan con las características de condiciones uniformes, en especial a la exposición de riesgos de la Entidad</w:t>
      </w:r>
      <w:r w:rsidRPr="00B333BA">
        <w:rPr>
          <w:rFonts w:ascii="Arial" w:hAnsi="Arial" w:cs="Arial"/>
          <w:iCs/>
          <w:color w:val="000000"/>
          <w:sz w:val="20"/>
          <w:szCs w:val="20"/>
          <w:lang w:eastAsia="en-US"/>
        </w:rPr>
        <w:t>.</w:t>
      </w:r>
    </w:p>
    <w:p w14:paraId="01F16E90" w14:textId="77777777" w:rsidR="004402A0" w:rsidRPr="00B333BA" w:rsidRDefault="004402A0" w:rsidP="00803115">
      <w:pPr>
        <w:jc w:val="both"/>
        <w:rPr>
          <w:rFonts w:ascii="Arial" w:hAnsi="Arial" w:cs="Arial"/>
          <w:iCs/>
          <w:color w:val="000000"/>
          <w:sz w:val="20"/>
          <w:szCs w:val="20"/>
          <w:lang w:eastAsia="en-US"/>
        </w:rPr>
      </w:pPr>
    </w:p>
    <w:p w14:paraId="262B3EEA" w14:textId="1914B62A" w:rsidR="004402A0" w:rsidRPr="00B333BA" w:rsidRDefault="004402A0">
      <w:pPr>
        <w:numPr>
          <w:ilvl w:val="2"/>
          <w:numId w:val="35"/>
        </w:numPr>
        <w:jc w:val="both"/>
        <w:rPr>
          <w:rFonts w:ascii="Arial" w:hAnsi="Arial" w:cs="Arial"/>
          <w:b/>
          <w:bCs/>
          <w:iCs/>
          <w:color w:val="000000"/>
          <w:sz w:val="20"/>
          <w:szCs w:val="20"/>
          <w:lang w:eastAsia="en-US"/>
        </w:rPr>
      </w:pPr>
      <w:r w:rsidRPr="00B333BA">
        <w:rPr>
          <w:rFonts w:ascii="Arial" w:hAnsi="Arial" w:cs="Arial"/>
          <w:b/>
          <w:bCs/>
          <w:iCs/>
          <w:color w:val="000000"/>
          <w:sz w:val="20"/>
          <w:szCs w:val="20"/>
          <w:lang w:eastAsia="en-US"/>
        </w:rPr>
        <w:t>Análisis de preciso históricos</w:t>
      </w:r>
      <w:r w:rsidR="00702570" w:rsidRPr="00B333BA">
        <w:rPr>
          <w:rFonts w:ascii="Arial" w:hAnsi="Arial" w:cs="Arial"/>
          <w:b/>
          <w:bCs/>
          <w:iCs/>
          <w:color w:val="000000"/>
          <w:sz w:val="20"/>
          <w:szCs w:val="20"/>
          <w:lang w:eastAsia="en-US"/>
        </w:rPr>
        <w:t xml:space="preserve"> </w:t>
      </w:r>
    </w:p>
    <w:p w14:paraId="64195E1D" w14:textId="77777777" w:rsidR="004402A0" w:rsidRPr="00B333BA" w:rsidRDefault="004402A0" w:rsidP="00803115">
      <w:pPr>
        <w:jc w:val="both"/>
        <w:rPr>
          <w:rFonts w:ascii="Arial" w:hAnsi="Arial" w:cs="Arial"/>
          <w:iCs/>
          <w:color w:val="000000"/>
          <w:sz w:val="20"/>
          <w:szCs w:val="20"/>
          <w:lang w:eastAsia="en-US"/>
        </w:rPr>
      </w:pPr>
    </w:p>
    <w:p w14:paraId="39E8F93A" w14:textId="20AD03A7" w:rsidR="009061B0" w:rsidRPr="00B333BA" w:rsidRDefault="009061B0" w:rsidP="00803115">
      <w:pPr>
        <w:jc w:val="both"/>
        <w:rPr>
          <w:rFonts w:ascii="Arial" w:hAnsi="Arial" w:cs="Arial"/>
          <w:iCs/>
          <w:sz w:val="20"/>
          <w:szCs w:val="20"/>
          <w:lang w:eastAsia="en-US"/>
        </w:rPr>
      </w:pPr>
      <w:r w:rsidRPr="00B333BA">
        <w:rPr>
          <w:rFonts w:ascii="Arial" w:hAnsi="Arial" w:cs="Arial"/>
          <w:iCs/>
          <w:sz w:val="20"/>
          <w:szCs w:val="20"/>
          <w:lang w:eastAsia="en-US"/>
        </w:rPr>
        <w:t xml:space="preserve">Para el cálculo del costo de los seguros de Todo Riesgo Daños Materiales – obras civiles, se tomó como referencia inicial la tasa ofrecida por el adjudicatario la PREVISORA SA COMPAÑÍA DE SEGUROS del proceso de SELECCIÓN ABREVIADA DE MENOR CUANTÍA No. </w:t>
      </w:r>
      <w:r w:rsidR="00702570" w:rsidRPr="00B333BA">
        <w:rPr>
          <w:rFonts w:ascii="Arial" w:eastAsia="Batang" w:hAnsi="Arial" w:cs="Arial"/>
          <w:sz w:val="20"/>
          <w:szCs w:val="20"/>
        </w:rPr>
        <w:t>SAMC-0</w:t>
      </w:r>
      <w:r w:rsidR="007423BD">
        <w:rPr>
          <w:rFonts w:ascii="Arial" w:eastAsia="Batang" w:hAnsi="Arial" w:cs="Arial"/>
          <w:sz w:val="20"/>
          <w:szCs w:val="20"/>
        </w:rPr>
        <w:t>3</w:t>
      </w:r>
      <w:r w:rsidR="00702570" w:rsidRPr="00B333BA">
        <w:rPr>
          <w:rFonts w:ascii="Arial" w:eastAsia="Batang" w:hAnsi="Arial" w:cs="Arial"/>
          <w:sz w:val="20"/>
          <w:szCs w:val="20"/>
        </w:rPr>
        <w:t>-2026</w:t>
      </w:r>
      <w:r w:rsidRPr="00B333BA">
        <w:rPr>
          <w:rFonts w:ascii="Arial" w:hAnsi="Arial" w:cs="Arial"/>
          <w:iCs/>
          <w:sz w:val="20"/>
          <w:szCs w:val="20"/>
          <w:lang w:eastAsia="en-US"/>
        </w:rPr>
        <w:t>, así:</w:t>
      </w:r>
    </w:p>
    <w:p w14:paraId="7B012B5A" w14:textId="77777777" w:rsidR="0085467A" w:rsidRPr="00B333BA" w:rsidRDefault="0085467A" w:rsidP="00803115">
      <w:pPr>
        <w:jc w:val="both"/>
        <w:rPr>
          <w:rFonts w:ascii="Arial" w:hAnsi="Arial" w:cs="Arial"/>
          <w:iCs/>
          <w:sz w:val="20"/>
          <w:szCs w:val="20"/>
          <w:lang w:eastAsia="en-US"/>
        </w:rPr>
      </w:pPr>
    </w:p>
    <w:tbl>
      <w:tblPr>
        <w:tblW w:w="5000" w:type="pct"/>
        <w:tblCellMar>
          <w:left w:w="70" w:type="dxa"/>
          <w:right w:w="70" w:type="dxa"/>
        </w:tblCellMar>
        <w:tblLook w:val="04A0" w:firstRow="1" w:lastRow="0" w:firstColumn="1" w:lastColumn="0" w:noHBand="0" w:noVBand="1"/>
      </w:tblPr>
      <w:tblGrid>
        <w:gridCol w:w="3626"/>
        <w:gridCol w:w="914"/>
        <w:gridCol w:w="976"/>
        <w:gridCol w:w="1164"/>
        <w:gridCol w:w="1075"/>
        <w:gridCol w:w="1864"/>
      </w:tblGrid>
      <w:tr w:rsidR="00CC433E" w:rsidRPr="00B333BA" w14:paraId="474A706C" w14:textId="77777777" w:rsidTr="00CC433E">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000000" w:fill="FCE4D6"/>
            <w:noWrap/>
            <w:vAlign w:val="center"/>
            <w:hideMark/>
          </w:tcPr>
          <w:p w14:paraId="678A7F81" w14:textId="77777777" w:rsidR="00CC433E" w:rsidRPr="00B333BA" w:rsidRDefault="00CC433E">
            <w:pPr>
              <w:jc w:val="center"/>
              <w:rPr>
                <w:rFonts w:ascii="Arial" w:hAnsi="Arial" w:cs="Arial"/>
                <w:b/>
                <w:bCs/>
                <w:sz w:val="16"/>
                <w:szCs w:val="16"/>
              </w:rPr>
            </w:pPr>
            <w:r w:rsidRPr="00B333BA">
              <w:rPr>
                <w:rFonts w:ascii="Arial" w:hAnsi="Arial" w:cs="Arial"/>
                <w:b/>
                <w:bCs/>
                <w:sz w:val="16"/>
                <w:szCs w:val="16"/>
              </w:rPr>
              <w:t>LA PREVISORA S.A. COMPAÑÍA DE SEGUROS</w:t>
            </w:r>
          </w:p>
        </w:tc>
      </w:tr>
      <w:tr w:rsidR="00CC433E" w:rsidRPr="00B333BA" w14:paraId="48F95BF0" w14:textId="77777777" w:rsidTr="00013674">
        <w:trPr>
          <w:trHeight w:val="20"/>
        </w:trPr>
        <w:tc>
          <w:tcPr>
            <w:tcW w:w="1885" w:type="pct"/>
            <w:tcBorders>
              <w:top w:val="nil"/>
              <w:left w:val="single" w:sz="8" w:space="0" w:color="auto"/>
              <w:bottom w:val="single" w:sz="8" w:space="0" w:color="auto"/>
              <w:right w:val="single" w:sz="8" w:space="0" w:color="auto"/>
            </w:tcBorders>
            <w:shd w:val="clear" w:color="000000" w:fill="5B9BD5"/>
            <w:noWrap/>
            <w:vAlign w:val="center"/>
            <w:hideMark/>
          </w:tcPr>
          <w:p w14:paraId="0DC7C30B" w14:textId="77777777" w:rsidR="00CC433E" w:rsidRPr="00B333BA" w:rsidRDefault="00CC433E">
            <w:pPr>
              <w:jc w:val="center"/>
              <w:rPr>
                <w:rFonts w:ascii="Arial" w:hAnsi="Arial" w:cs="Arial"/>
                <w:b/>
                <w:bCs/>
                <w:color w:val="E7E6E6"/>
                <w:sz w:val="16"/>
                <w:szCs w:val="16"/>
              </w:rPr>
            </w:pPr>
            <w:r w:rsidRPr="00B333BA">
              <w:rPr>
                <w:rFonts w:ascii="Arial" w:hAnsi="Arial" w:cs="Arial"/>
                <w:b/>
                <w:bCs/>
                <w:color w:val="E7E6E6"/>
                <w:sz w:val="16"/>
                <w:szCs w:val="16"/>
              </w:rPr>
              <w:t xml:space="preserve">PRESUPUESTO DISPONIBLE VIGENCIA </w:t>
            </w:r>
          </w:p>
        </w:tc>
        <w:tc>
          <w:tcPr>
            <w:tcW w:w="2146" w:type="pct"/>
            <w:gridSpan w:val="4"/>
            <w:tcBorders>
              <w:top w:val="single" w:sz="8" w:space="0" w:color="auto"/>
              <w:left w:val="nil"/>
              <w:bottom w:val="single" w:sz="8" w:space="0" w:color="auto"/>
              <w:right w:val="single" w:sz="8" w:space="0" w:color="auto"/>
            </w:tcBorders>
            <w:shd w:val="clear" w:color="000000" w:fill="F2F2F2"/>
            <w:noWrap/>
            <w:vAlign w:val="center"/>
            <w:hideMark/>
          </w:tcPr>
          <w:p w14:paraId="43922E60" w14:textId="77777777" w:rsidR="00CC433E" w:rsidRPr="00B333BA" w:rsidRDefault="00CC433E">
            <w:pPr>
              <w:jc w:val="center"/>
              <w:rPr>
                <w:rFonts w:ascii="Arial" w:hAnsi="Arial" w:cs="Arial"/>
                <w:b/>
                <w:bCs/>
                <w:sz w:val="16"/>
                <w:szCs w:val="16"/>
              </w:rPr>
            </w:pPr>
            <w:r w:rsidRPr="00B333BA">
              <w:rPr>
                <w:rFonts w:ascii="Arial" w:hAnsi="Arial" w:cs="Arial"/>
                <w:b/>
                <w:bCs/>
                <w:sz w:val="16"/>
                <w:szCs w:val="16"/>
              </w:rPr>
              <w:t>OFRECIMIENTO DEL PROPONENTE</w:t>
            </w:r>
          </w:p>
        </w:tc>
        <w:tc>
          <w:tcPr>
            <w:tcW w:w="969" w:type="pct"/>
            <w:tcBorders>
              <w:top w:val="nil"/>
              <w:left w:val="nil"/>
              <w:bottom w:val="single" w:sz="8" w:space="0" w:color="auto"/>
              <w:right w:val="single" w:sz="8" w:space="0" w:color="auto"/>
            </w:tcBorders>
            <w:shd w:val="clear" w:color="000000" w:fill="5B9BD5"/>
            <w:noWrap/>
            <w:vAlign w:val="center"/>
            <w:hideMark/>
          </w:tcPr>
          <w:p w14:paraId="5A09E740" w14:textId="6FB24F49" w:rsidR="00CC433E" w:rsidRPr="00B333BA" w:rsidRDefault="00CC433E">
            <w:pPr>
              <w:jc w:val="center"/>
              <w:rPr>
                <w:rFonts w:ascii="Arial" w:hAnsi="Arial" w:cs="Arial"/>
                <w:b/>
                <w:bCs/>
                <w:color w:val="E7E6E6"/>
                <w:sz w:val="16"/>
                <w:szCs w:val="16"/>
              </w:rPr>
            </w:pPr>
            <w:r w:rsidRPr="00B333BA">
              <w:rPr>
                <w:rFonts w:ascii="Arial" w:hAnsi="Arial" w:cs="Arial"/>
                <w:b/>
                <w:bCs/>
                <w:color w:val="E7E6E6"/>
                <w:sz w:val="16"/>
                <w:szCs w:val="16"/>
              </w:rPr>
              <w:t xml:space="preserve">TOTAL, VIGENCIA  </w:t>
            </w:r>
          </w:p>
        </w:tc>
      </w:tr>
      <w:tr w:rsidR="00CC433E" w:rsidRPr="00B333BA" w14:paraId="1CC9362F" w14:textId="77777777" w:rsidTr="00013674">
        <w:trPr>
          <w:trHeight w:val="20"/>
        </w:trPr>
        <w:tc>
          <w:tcPr>
            <w:tcW w:w="1885" w:type="pct"/>
            <w:vMerge w:val="restart"/>
            <w:tcBorders>
              <w:top w:val="nil"/>
              <w:left w:val="single" w:sz="8" w:space="0" w:color="auto"/>
              <w:bottom w:val="single" w:sz="8" w:space="0" w:color="auto"/>
              <w:right w:val="single" w:sz="8" w:space="0" w:color="auto"/>
            </w:tcBorders>
            <w:shd w:val="clear" w:color="000000" w:fill="F2F2F2"/>
            <w:vAlign w:val="center"/>
            <w:hideMark/>
          </w:tcPr>
          <w:p w14:paraId="2148F04A" w14:textId="77777777" w:rsidR="00CC433E" w:rsidRPr="00B333BA" w:rsidRDefault="00CC433E">
            <w:pPr>
              <w:jc w:val="center"/>
              <w:rPr>
                <w:rFonts w:ascii="Arial" w:hAnsi="Arial" w:cs="Arial"/>
                <w:b/>
                <w:bCs/>
                <w:sz w:val="16"/>
                <w:szCs w:val="16"/>
              </w:rPr>
            </w:pPr>
            <w:r w:rsidRPr="00B333BA">
              <w:rPr>
                <w:rFonts w:ascii="Arial" w:hAnsi="Arial" w:cs="Arial"/>
                <w:b/>
                <w:bCs/>
                <w:sz w:val="16"/>
                <w:szCs w:val="16"/>
              </w:rPr>
              <w:t xml:space="preserve">PÓLIZAS </w:t>
            </w:r>
          </w:p>
        </w:tc>
        <w:tc>
          <w:tcPr>
            <w:tcW w:w="475" w:type="pct"/>
            <w:vMerge w:val="restart"/>
            <w:tcBorders>
              <w:top w:val="nil"/>
              <w:left w:val="single" w:sz="8" w:space="0" w:color="auto"/>
              <w:bottom w:val="single" w:sz="8" w:space="0" w:color="auto"/>
              <w:right w:val="single" w:sz="8" w:space="0" w:color="auto"/>
            </w:tcBorders>
            <w:shd w:val="clear" w:color="000000" w:fill="DDEBF7"/>
            <w:vAlign w:val="center"/>
            <w:hideMark/>
          </w:tcPr>
          <w:p w14:paraId="06370228" w14:textId="77777777" w:rsidR="00CC433E" w:rsidRPr="00B333BA" w:rsidRDefault="00CC433E">
            <w:pPr>
              <w:jc w:val="center"/>
              <w:rPr>
                <w:rFonts w:ascii="Arial" w:hAnsi="Arial" w:cs="Arial"/>
                <w:b/>
                <w:bCs/>
                <w:color w:val="000000"/>
                <w:sz w:val="16"/>
                <w:szCs w:val="16"/>
              </w:rPr>
            </w:pPr>
            <w:r w:rsidRPr="00B333BA">
              <w:rPr>
                <w:rFonts w:ascii="Arial" w:hAnsi="Arial" w:cs="Arial"/>
                <w:b/>
                <w:bCs/>
                <w:color w:val="000000"/>
                <w:sz w:val="16"/>
                <w:szCs w:val="16"/>
              </w:rPr>
              <w:t>TASA VIGENCIA</w:t>
            </w:r>
          </w:p>
        </w:tc>
        <w:tc>
          <w:tcPr>
            <w:tcW w:w="507" w:type="pct"/>
            <w:tcBorders>
              <w:top w:val="nil"/>
              <w:left w:val="nil"/>
              <w:bottom w:val="single" w:sz="8" w:space="0" w:color="auto"/>
              <w:right w:val="single" w:sz="8" w:space="0" w:color="auto"/>
            </w:tcBorders>
            <w:shd w:val="clear" w:color="000000" w:fill="DDEBF7"/>
            <w:vAlign w:val="center"/>
            <w:hideMark/>
          </w:tcPr>
          <w:p w14:paraId="075A5FA6" w14:textId="77777777" w:rsidR="00CC433E" w:rsidRPr="00B333BA" w:rsidRDefault="00CC433E">
            <w:pPr>
              <w:jc w:val="center"/>
              <w:rPr>
                <w:rFonts w:ascii="Arial" w:hAnsi="Arial" w:cs="Arial"/>
                <w:b/>
                <w:bCs/>
                <w:color w:val="000000"/>
                <w:sz w:val="16"/>
                <w:szCs w:val="16"/>
              </w:rPr>
            </w:pPr>
            <w:r w:rsidRPr="00B333BA">
              <w:rPr>
                <w:rFonts w:ascii="Arial" w:hAnsi="Arial" w:cs="Arial"/>
                <w:b/>
                <w:bCs/>
                <w:color w:val="000000"/>
                <w:sz w:val="16"/>
                <w:szCs w:val="16"/>
              </w:rPr>
              <w:t> </w:t>
            </w:r>
          </w:p>
        </w:tc>
        <w:tc>
          <w:tcPr>
            <w:tcW w:w="1164" w:type="pct"/>
            <w:gridSpan w:val="2"/>
            <w:tcBorders>
              <w:top w:val="single" w:sz="8" w:space="0" w:color="auto"/>
              <w:left w:val="nil"/>
              <w:bottom w:val="single" w:sz="8" w:space="0" w:color="auto"/>
              <w:right w:val="single" w:sz="8" w:space="0" w:color="auto"/>
            </w:tcBorders>
            <w:shd w:val="clear" w:color="000000" w:fill="DDEBF7"/>
            <w:vAlign w:val="center"/>
            <w:hideMark/>
          </w:tcPr>
          <w:p w14:paraId="31140FBD" w14:textId="77777777" w:rsidR="00CC433E" w:rsidRPr="00B333BA" w:rsidRDefault="00CC433E">
            <w:pPr>
              <w:jc w:val="center"/>
              <w:rPr>
                <w:rFonts w:ascii="Arial" w:hAnsi="Arial" w:cs="Arial"/>
                <w:b/>
                <w:bCs/>
                <w:color w:val="000000"/>
                <w:sz w:val="16"/>
                <w:szCs w:val="16"/>
              </w:rPr>
            </w:pPr>
            <w:r w:rsidRPr="00B333BA">
              <w:rPr>
                <w:rFonts w:ascii="Arial" w:hAnsi="Arial" w:cs="Arial"/>
                <w:b/>
                <w:bCs/>
                <w:color w:val="000000"/>
                <w:sz w:val="16"/>
                <w:szCs w:val="16"/>
              </w:rPr>
              <w:t>2025-2026</w:t>
            </w:r>
          </w:p>
        </w:tc>
        <w:tc>
          <w:tcPr>
            <w:tcW w:w="969" w:type="pct"/>
            <w:vMerge w:val="restart"/>
            <w:tcBorders>
              <w:top w:val="nil"/>
              <w:left w:val="single" w:sz="8" w:space="0" w:color="auto"/>
              <w:bottom w:val="single" w:sz="8" w:space="0" w:color="auto"/>
              <w:right w:val="single" w:sz="8" w:space="0" w:color="auto"/>
            </w:tcBorders>
            <w:shd w:val="clear" w:color="000000" w:fill="DDEBF7"/>
            <w:vAlign w:val="center"/>
            <w:hideMark/>
          </w:tcPr>
          <w:p w14:paraId="69AC947C" w14:textId="07568C73" w:rsidR="00CC433E" w:rsidRPr="00B333BA" w:rsidRDefault="00CC433E">
            <w:pPr>
              <w:jc w:val="center"/>
              <w:rPr>
                <w:rFonts w:ascii="Arial" w:hAnsi="Arial" w:cs="Arial"/>
                <w:b/>
                <w:bCs/>
                <w:color w:val="000000"/>
                <w:sz w:val="16"/>
                <w:szCs w:val="16"/>
              </w:rPr>
            </w:pPr>
            <w:r w:rsidRPr="00B333BA">
              <w:rPr>
                <w:rFonts w:ascii="Arial" w:hAnsi="Arial" w:cs="Arial"/>
                <w:b/>
                <w:bCs/>
                <w:color w:val="000000"/>
                <w:sz w:val="16"/>
                <w:szCs w:val="16"/>
              </w:rPr>
              <w:t>TOTAL, VIGENCIA</w:t>
            </w:r>
          </w:p>
        </w:tc>
      </w:tr>
      <w:tr w:rsidR="00CC433E" w:rsidRPr="00B333BA" w14:paraId="06F7F704" w14:textId="77777777" w:rsidTr="00013674">
        <w:trPr>
          <w:trHeight w:val="20"/>
        </w:trPr>
        <w:tc>
          <w:tcPr>
            <w:tcW w:w="1885" w:type="pct"/>
            <w:vMerge/>
            <w:tcBorders>
              <w:top w:val="nil"/>
              <w:left w:val="single" w:sz="8" w:space="0" w:color="auto"/>
              <w:bottom w:val="single" w:sz="8" w:space="0" w:color="auto"/>
              <w:right w:val="single" w:sz="8" w:space="0" w:color="auto"/>
            </w:tcBorders>
            <w:vAlign w:val="center"/>
            <w:hideMark/>
          </w:tcPr>
          <w:p w14:paraId="6E307A72" w14:textId="77777777" w:rsidR="00CC433E" w:rsidRPr="00B333BA" w:rsidRDefault="00CC433E">
            <w:pPr>
              <w:rPr>
                <w:rFonts w:ascii="Arial" w:hAnsi="Arial" w:cs="Arial"/>
                <w:b/>
                <w:bCs/>
                <w:sz w:val="16"/>
                <w:szCs w:val="16"/>
              </w:rPr>
            </w:pPr>
          </w:p>
        </w:tc>
        <w:tc>
          <w:tcPr>
            <w:tcW w:w="475" w:type="pct"/>
            <w:vMerge/>
            <w:tcBorders>
              <w:top w:val="nil"/>
              <w:left w:val="single" w:sz="8" w:space="0" w:color="auto"/>
              <w:bottom w:val="single" w:sz="8" w:space="0" w:color="auto"/>
              <w:right w:val="single" w:sz="8" w:space="0" w:color="auto"/>
            </w:tcBorders>
            <w:vAlign w:val="center"/>
            <w:hideMark/>
          </w:tcPr>
          <w:p w14:paraId="54D64B4B" w14:textId="77777777" w:rsidR="00CC433E" w:rsidRPr="00B333BA" w:rsidRDefault="00CC433E">
            <w:pPr>
              <w:rPr>
                <w:rFonts w:ascii="Arial" w:hAnsi="Arial" w:cs="Arial"/>
                <w:b/>
                <w:bCs/>
                <w:color w:val="000000"/>
                <w:sz w:val="16"/>
                <w:szCs w:val="16"/>
              </w:rPr>
            </w:pPr>
          </w:p>
        </w:tc>
        <w:tc>
          <w:tcPr>
            <w:tcW w:w="507" w:type="pct"/>
            <w:tcBorders>
              <w:top w:val="nil"/>
              <w:left w:val="nil"/>
              <w:bottom w:val="single" w:sz="8" w:space="0" w:color="auto"/>
              <w:right w:val="single" w:sz="8" w:space="0" w:color="auto"/>
            </w:tcBorders>
            <w:shd w:val="clear" w:color="000000" w:fill="DDEBF7"/>
            <w:vAlign w:val="center"/>
            <w:hideMark/>
          </w:tcPr>
          <w:p w14:paraId="3C135B08" w14:textId="77777777" w:rsidR="00CC433E" w:rsidRPr="00B333BA" w:rsidRDefault="00CC433E">
            <w:pPr>
              <w:jc w:val="center"/>
              <w:rPr>
                <w:rFonts w:ascii="Arial" w:hAnsi="Arial" w:cs="Arial"/>
                <w:b/>
                <w:bCs/>
                <w:color w:val="000000"/>
                <w:sz w:val="16"/>
                <w:szCs w:val="16"/>
              </w:rPr>
            </w:pPr>
            <w:r w:rsidRPr="00B333BA">
              <w:rPr>
                <w:rFonts w:ascii="Arial" w:hAnsi="Arial" w:cs="Arial"/>
                <w:b/>
                <w:bCs/>
                <w:color w:val="000000"/>
                <w:sz w:val="16"/>
                <w:szCs w:val="16"/>
              </w:rPr>
              <w:t>VIGENCIA OFRECIDA</w:t>
            </w:r>
            <w:r w:rsidRPr="00B333BA">
              <w:rPr>
                <w:rFonts w:ascii="Arial" w:hAnsi="Arial" w:cs="Arial"/>
                <w:b/>
                <w:bCs/>
                <w:color w:val="000000"/>
                <w:sz w:val="16"/>
                <w:szCs w:val="16"/>
              </w:rPr>
              <w:br/>
              <w:t>(DÍAS)</w:t>
            </w:r>
          </w:p>
        </w:tc>
        <w:tc>
          <w:tcPr>
            <w:tcW w:w="605" w:type="pct"/>
            <w:tcBorders>
              <w:top w:val="nil"/>
              <w:left w:val="nil"/>
              <w:bottom w:val="single" w:sz="8" w:space="0" w:color="auto"/>
              <w:right w:val="single" w:sz="8" w:space="0" w:color="auto"/>
            </w:tcBorders>
            <w:shd w:val="clear" w:color="000000" w:fill="DDEBF7"/>
            <w:vAlign w:val="center"/>
            <w:hideMark/>
          </w:tcPr>
          <w:p w14:paraId="4D981321" w14:textId="77777777" w:rsidR="00CC433E" w:rsidRPr="00B333BA" w:rsidRDefault="00CC433E">
            <w:pPr>
              <w:jc w:val="center"/>
              <w:rPr>
                <w:rFonts w:ascii="Arial" w:hAnsi="Arial" w:cs="Arial"/>
                <w:b/>
                <w:bCs/>
                <w:color w:val="000000"/>
                <w:sz w:val="16"/>
                <w:szCs w:val="16"/>
              </w:rPr>
            </w:pPr>
            <w:r w:rsidRPr="00B333BA">
              <w:rPr>
                <w:rFonts w:ascii="Arial" w:hAnsi="Arial" w:cs="Arial"/>
                <w:b/>
                <w:bCs/>
                <w:color w:val="000000"/>
                <w:sz w:val="16"/>
                <w:szCs w:val="16"/>
              </w:rPr>
              <w:t>PRIMA NETA DE LA VIGENCIA OFRECIDA</w:t>
            </w:r>
          </w:p>
        </w:tc>
        <w:tc>
          <w:tcPr>
            <w:tcW w:w="559" w:type="pct"/>
            <w:tcBorders>
              <w:top w:val="nil"/>
              <w:left w:val="nil"/>
              <w:bottom w:val="single" w:sz="8" w:space="0" w:color="auto"/>
              <w:right w:val="single" w:sz="8" w:space="0" w:color="auto"/>
            </w:tcBorders>
            <w:shd w:val="clear" w:color="000000" w:fill="DDEBF7"/>
            <w:noWrap/>
            <w:vAlign w:val="center"/>
            <w:hideMark/>
          </w:tcPr>
          <w:p w14:paraId="5E22AEEE" w14:textId="77777777" w:rsidR="00CC433E" w:rsidRPr="00B333BA" w:rsidRDefault="00CC433E">
            <w:pPr>
              <w:jc w:val="center"/>
              <w:rPr>
                <w:rFonts w:ascii="Arial" w:hAnsi="Arial" w:cs="Arial"/>
                <w:b/>
                <w:bCs/>
                <w:color w:val="000000"/>
                <w:sz w:val="16"/>
                <w:szCs w:val="16"/>
              </w:rPr>
            </w:pPr>
            <w:r w:rsidRPr="00B333BA">
              <w:rPr>
                <w:rFonts w:ascii="Arial" w:hAnsi="Arial" w:cs="Arial"/>
                <w:b/>
                <w:bCs/>
                <w:color w:val="000000"/>
                <w:sz w:val="16"/>
                <w:szCs w:val="16"/>
              </w:rPr>
              <w:t>IVA (19%)</w:t>
            </w:r>
          </w:p>
        </w:tc>
        <w:tc>
          <w:tcPr>
            <w:tcW w:w="969" w:type="pct"/>
            <w:vMerge/>
            <w:tcBorders>
              <w:top w:val="nil"/>
              <w:left w:val="single" w:sz="8" w:space="0" w:color="auto"/>
              <w:bottom w:val="single" w:sz="8" w:space="0" w:color="auto"/>
              <w:right w:val="single" w:sz="8" w:space="0" w:color="auto"/>
            </w:tcBorders>
            <w:vAlign w:val="center"/>
            <w:hideMark/>
          </w:tcPr>
          <w:p w14:paraId="739DC769" w14:textId="77777777" w:rsidR="00CC433E" w:rsidRPr="00B333BA" w:rsidRDefault="00CC433E">
            <w:pPr>
              <w:rPr>
                <w:rFonts w:ascii="Arial" w:hAnsi="Arial" w:cs="Arial"/>
                <w:b/>
                <w:bCs/>
                <w:color w:val="000000"/>
                <w:sz w:val="16"/>
                <w:szCs w:val="16"/>
              </w:rPr>
            </w:pPr>
          </w:p>
        </w:tc>
      </w:tr>
      <w:tr w:rsidR="00CC433E" w:rsidRPr="00B333BA" w14:paraId="73C8BD9F" w14:textId="77777777" w:rsidTr="00013674">
        <w:trPr>
          <w:trHeight w:val="20"/>
        </w:trPr>
        <w:tc>
          <w:tcPr>
            <w:tcW w:w="1885" w:type="pct"/>
            <w:tcBorders>
              <w:top w:val="nil"/>
              <w:left w:val="single" w:sz="8" w:space="0" w:color="auto"/>
              <w:bottom w:val="single" w:sz="8" w:space="0" w:color="auto"/>
              <w:right w:val="single" w:sz="8" w:space="0" w:color="auto"/>
            </w:tcBorders>
            <w:noWrap/>
            <w:vAlign w:val="center"/>
            <w:hideMark/>
          </w:tcPr>
          <w:p w14:paraId="71CC0F45" w14:textId="36BE0D13" w:rsidR="00CC433E" w:rsidRPr="00B333BA" w:rsidRDefault="00CC433E">
            <w:pPr>
              <w:rPr>
                <w:rFonts w:ascii="Arial" w:hAnsi="Arial" w:cs="Arial"/>
                <w:color w:val="000000"/>
                <w:sz w:val="16"/>
                <w:szCs w:val="16"/>
              </w:rPr>
            </w:pPr>
            <w:r w:rsidRPr="00B333BA">
              <w:rPr>
                <w:rFonts w:ascii="Arial" w:hAnsi="Arial" w:cs="Arial"/>
                <w:color w:val="000000"/>
                <w:sz w:val="16"/>
                <w:szCs w:val="16"/>
              </w:rPr>
              <w:t xml:space="preserve">TODO RIESGO OBRAS CIVILES </w:t>
            </w:r>
            <w:r w:rsidR="007423BD" w:rsidRPr="00B333BA">
              <w:rPr>
                <w:rFonts w:ascii="Arial" w:hAnsi="Arial" w:cs="Arial"/>
                <w:color w:val="000000"/>
                <w:sz w:val="16"/>
                <w:szCs w:val="16"/>
              </w:rPr>
              <w:t>TERMINADAS</w:t>
            </w:r>
          </w:p>
        </w:tc>
        <w:tc>
          <w:tcPr>
            <w:tcW w:w="475" w:type="pct"/>
            <w:tcBorders>
              <w:top w:val="nil"/>
              <w:left w:val="nil"/>
              <w:bottom w:val="single" w:sz="8" w:space="0" w:color="auto"/>
              <w:right w:val="single" w:sz="8" w:space="0" w:color="auto"/>
            </w:tcBorders>
            <w:shd w:val="clear" w:color="000000" w:fill="DDEBF7"/>
            <w:noWrap/>
            <w:vAlign w:val="center"/>
            <w:hideMark/>
          </w:tcPr>
          <w:p w14:paraId="3C72BA76" w14:textId="5234A7A6" w:rsidR="00CC433E" w:rsidRPr="00B333BA" w:rsidRDefault="00CC433E">
            <w:pPr>
              <w:jc w:val="center"/>
              <w:rPr>
                <w:rFonts w:ascii="Arial" w:hAnsi="Arial" w:cs="Arial"/>
                <w:color w:val="000000"/>
                <w:sz w:val="16"/>
                <w:szCs w:val="16"/>
              </w:rPr>
            </w:pPr>
            <w:r w:rsidRPr="00B333BA">
              <w:rPr>
                <w:rFonts w:ascii="Arial" w:hAnsi="Arial" w:cs="Arial"/>
                <w:color w:val="000000"/>
                <w:sz w:val="16"/>
                <w:szCs w:val="16"/>
              </w:rPr>
              <w:t>4.</w:t>
            </w:r>
            <w:r w:rsidR="002D7A4A" w:rsidRPr="00B333BA">
              <w:rPr>
                <w:rFonts w:ascii="Arial" w:hAnsi="Arial" w:cs="Arial"/>
                <w:color w:val="000000"/>
                <w:sz w:val="16"/>
                <w:szCs w:val="16"/>
              </w:rPr>
              <w:t>8</w:t>
            </w:r>
          </w:p>
        </w:tc>
        <w:tc>
          <w:tcPr>
            <w:tcW w:w="507" w:type="pct"/>
            <w:tcBorders>
              <w:top w:val="nil"/>
              <w:left w:val="nil"/>
              <w:bottom w:val="single" w:sz="8" w:space="0" w:color="auto"/>
              <w:right w:val="single" w:sz="8" w:space="0" w:color="auto"/>
            </w:tcBorders>
            <w:shd w:val="clear" w:color="000000" w:fill="DDEBF7"/>
            <w:noWrap/>
            <w:vAlign w:val="center"/>
            <w:hideMark/>
          </w:tcPr>
          <w:p w14:paraId="18680607" w14:textId="77777777" w:rsidR="00CC433E" w:rsidRPr="00B333BA" w:rsidRDefault="00CC433E">
            <w:pPr>
              <w:jc w:val="center"/>
              <w:rPr>
                <w:rFonts w:ascii="Arial" w:hAnsi="Arial" w:cs="Arial"/>
                <w:color w:val="000000"/>
                <w:sz w:val="16"/>
                <w:szCs w:val="16"/>
              </w:rPr>
            </w:pPr>
            <w:r w:rsidRPr="00B333BA">
              <w:rPr>
                <w:rFonts w:ascii="Arial" w:hAnsi="Arial" w:cs="Arial"/>
                <w:color w:val="000000"/>
                <w:sz w:val="16"/>
                <w:szCs w:val="16"/>
              </w:rPr>
              <w:t>90</w:t>
            </w:r>
          </w:p>
        </w:tc>
        <w:tc>
          <w:tcPr>
            <w:tcW w:w="605" w:type="pct"/>
            <w:tcBorders>
              <w:top w:val="nil"/>
              <w:left w:val="nil"/>
              <w:bottom w:val="single" w:sz="8" w:space="0" w:color="auto"/>
              <w:right w:val="single" w:sz="8" w:space="0" w:color="auto"/>
            </w:tcBorders>
            <w:shd w:val="clear" w:color="000000" w:fill="DDEBF7"/>
            <w:noWrap/>
            <w:vAlign w:val="center"/>
            <w:hideMark/>
          </w:tcPr>
          <w:p w14:paraId="69BC071E" w14:textId="222934EF" w:rsidR="00CC433E" w:rsidRPr="00B333BA" w:rsidRDefault="00CC433E">
            <w:pPr>
              <w:jc w:val="right"/>
              <w:rPr>
                <w:rFonts w:ascii="Arial" w:hAnsi="Arial" w:cs="Arial"/>
                <w:color w:val="000000"/>
                <w:sz w:val="16"/>
                <w:szCs w:val="16"/>
              </w:rPr>
            </w:pPr>
            <w:r w:rsidRPr="00B333BA">
              <w:rPr>
                <w:rFonts w:ascii="Arial" w:hAnsi="Arial" w:cs="Arial"/>
                <w:color w:val="000000"/>
                <w:sz w:val="16"/>
                <w:szCs w:val="16"/>
              </w:rPr>
              <w:t xml:space="preserve">$ </w:t>
            </w:r>
            <w:r w:rsidR="00426FD2">
              <w:rPr>
                <w:rFonts w:ascii="Arial" w:hAnsi="Arial" w:cs="Arial"/>
                <w:color w:val="000000"/>
                <w:sz w:val="16"/>
                <w:szCs w:val="16"/>
              </w:rPr>
              <w:t>470.771.601</w:t>
            </w:r>
          </w:p>
        </w:tc>
        <w:tc>
          <w:tcPr>
            <w:tcW w:w="559" w:type="pct"/>
            <w:tcBorders>
              <w:top w:val="nil"/>
              <w:left w:val="nil"/>
              <w:bottom w:val="single" w:sz="8" w:space="0" w:color="auto"/>
              <w:right w:val="single" w:sz="8" w:space="0" w:color="auto"/>
            </w:tcBorders>
            <w:shd w:val="clear" w:color="000000" w:fill="DDEBF7"/>
            <w:noWrap/>
            <w:vAlign w:val="center"/>
            <w:hideMark/>
          </w:tcPr>
          <w:p w14:paraId="6D69FC29" w14:textId="14D2A0D6" w:rsidR="00CC433E" w:rsidRPr="00B333BA" w:rsidRDefault="00CC433E">
            <w:pPr>
              <w:jc w:val="right"/>
              <w:rPr>
                <w:rFonts w:ascii="Arial" w:hAnsi="Arial" w:cs="Arial"/>
                <w:color w:val="000000"/>
                <w:sz w:val="16"/>
                <w:szCs w:val="16"/>
              </w:rPr>
            </w:pPr>
            <w:r w:rsidRPr="00B333BA">
              <w:rPr>
                <w:rFonts w:ascii="Arial" w:hAnsi="Arial" w:cs="Arial"/>
                <w:color w:val="000000"/>
                <w:sz w:val="16"/>
                <w:szCs w:val="16"/>
              </w:rPr>
              <w:t xml:space="preserve">$ </w:t>
            </w:r>
            <w:r w:rsidR="00426FD2">
              <w:rPr>
                <w:rFonts w:ascii="Arial" w:hAnsi="Arial" w:cs="Arial"/>
                <w:color w:val="000000"/>
                <w:sz w:val="16"/>
                <w:szCs w:val="16"/>
              </w:rPr>
              <w:t>89.446.604</w:t>
            </w:r>
          </w:p>
        </w:tc>
        <w:tc>
          <w:tcPr>
            <w:tcW w:w="969" w:type="pct"/>
            <w:tcBorders>
              <w:top w:val="nil"/>
              <w:left w:val="nil"/>
              <w:bottom w:val="single" w:sz="8" w:space="0" w:color="auto"/>
              <w:right w:val="single" w:sz="8" w:space="0" w:color="auto"/>
            </w:tcBorders>
            <w:shd w:val="clear" w:color="000000" w:fill="DDEBF7"/>
            <w:noWrap/>
            <w:vAlign w:val="center"/>
            <w:hideMark/>
          </w:tcPr>
          <w:p w14:paraId="15FBB12D" w14:textId="18208F40" w:rsidR="00CC433E" w:rsidRPr="00B333BA" w:rsidRDefault="00CC433E">
            <w:pPr>
              <w:jc w:val="right"/>
              <w:rPr>
                <w:rFonts w:ascii="Arial" w:hAnsi="Arial" w:cs="Arial"/>
                <w:b/>
                <w:bCs/>
                <w:color w:val="000000"/>
                <w:sz w:val="16"/>
                <w:szCs w:val="16"/>
              </w:rPr>
            </w:pPr>
            <w:r w:rsidRPr="00B333BA">
              <w:rPr>
                <w:rFonts w:ascii="Arial" w:hAnsi="Arial" w:cs="Arial"/>
                <w:b/>
                <w:bCs/>
                <w:color w:val="000000"/>
                <w:sz w:val="16"/>
                <w:szCs w:val="16"/>
              </w:rPr>
              <w:t xml:space="preserve">$ </w:t>
            </w:r>
            <w:r w:rsidR="00426FD2">
              <w:rPr>
                <w:rFonts w:ascii="Arial" w:hAnsi="Arial" w:cs="Arial"/>
                <w:b/>
                <w:bCs/>
                <w:color w:val="000000"/>
                <w:sz w:val="16"/>
                <w:szCs w:val="16"/>
              </w:rPr>
              <w:t>560.218.205</w:t>
            </w:r>
          </w:p>
        </w:tc>
      </w:tr>
    </w:tbl>
    <w:p w14:paraId="70929AEE" w14:textId="71B0A894" w:rsidR="004402A0" w:rsidRPr="00B333BA" w:rsidRDefault="00D37E87" w:rsidP="00803115">
      <w:pPr>
        <w:pStyle w:val="Descripcin"/>
        <w:jc w:val="both"/>
        <w:rPr>
          <w:rFonts w:ascii="Arial" w:hAnsi="Arial" w:cs="Arial"/>
          <w:b w:val="0"/>
          <w:bCs w:val="0"/>
          <w:iCs/>
          <w:color w:val="000000"/>
          <w:lang w:val="es-CO" w:eastAsia="en-US"/>
        </w:rPr>
      </w:pPr>
      <w:r w:rsidRPr="00B333BA">
        <w:rPr>
          <w:rFonts w:ascii="Arial" w:hAnsi="Arial" w:cs="Arial"/>
          <w:b w:val="0"/>
          <w:bCs w:val="0"/>
        </w:rPr>
        <w:t>Cuadro</w:t>
      </w:r>
      <w:r w:rsidR="004402A0" w:rsidRPr="00B333BA">
        <w:rPr>
          <w:rFonts w:ascii="Arial" w:hAnsi="Arial" w:cs="Arial"/>
          <w:b w:val="0"/>
          <w:bCs w:val="0"/>
        </w:rPr>
        <w:t xml:space="preserve"> Oferta económica tomada del proceso de selección No </w:t>
      </w:r>
      <w:r w:rsidR="00013674" w:rsidRPr="00B333BA">
        <w:rPr>
          <w:rFonts w:ascii="Arial" w:hAnsi="Arial" w:cs="Arial"/>
          <w:b w:val="0"/>
          <w:bCs w:val="0"/>
        </w:rPr>
        <w:t>SAMC-0</w:t>
      </w:r>
      <w:r w:rsidR="00426FD2">
        <w:rPr>
          <w:rFonts w:ascii="Arial" w:hAnsi="Arial" w:cs="Arial"/>
          <w:b w:val="0"/>
          <w:bCs w:val="0"/>
        </w:rPr>
        <w:t>3</w:t>
      </w:r>
      <w:r w:rsidR="00013674" w:rsidRPr="00B333BA">
        <w:rPr>
          <w:rFonts w:ascii="Arial" w:hAnsi="Arial" w:cs="Arial"/>
          <w:b w:val="0"/>
          <w:bCs w:val="0"/>
        </w:rPr>
        <w:t>-2026</w:t>
      </w:r>
    </w:p>
    <w:p w14:paraId="434E9971" w14:textId="77777777" w:rsidR="004402A0" w:rsidRDefault="004402A0" w:rsidP="00803115">
      <w:pPr>
        <w:jc w:val="both"/>
        <w:rPr>
          <w:rFonts w:ascii="Arial" w:hAnsi="Arial" w:cs="Arial"/>
          <w:iCs/>
          <w:color w:val="000000"/>
          <w:sz w:val="20"/>
          <w:szCs w:val="20"/>
          <w:lang w:eastAsia="en-US"/>
        </w:rPr>
      </w:pPr>
    </w:p>
    <w:p w14:paraId="0274FDBC" w14:textId="5334CF7C" w:rsidR="002B146F" w:rsidRPr="00B333BA" w:rsidRDefault="002B146F" w:rsidP="002B146F">
      <w:pPr>
        <w:pStyle w:val="Prrafodelista"/>
        <w:numPr>
          <w:ilvl w:val="0"/>
          <w:numId w:val="45"/>
        </w:numPr>
        <w:jc w:val="both"/>
        <w:rPr>
          <w:rFonts w:ascii="Arial" w:hAnsi="Arial" w:cs="Arial"/>
          <w:iCs/>
          <w:color w:val="000000"/>
          <w:sz w:val="20"/>
          <w:szCs w:val="20"/>
          <w:lang w:eastAsia="en-US"/>
        </w:rPr>
      </w:pPr>
      <w:r w:rsidRPr="00B333BA">
        <w:rPr>
          <w:rFonts w:ascii="Arial" w:hAnsi="Arial" w:cs="Arial"/>
          <w:iCs/>
          <w:color w:val="000000"/>
          <w:sz w:val="20"/>
          <w:szCs w:val="20"/>
          <w:lang w:eastAsia="en-US"/>
        </w:rPr>
        <w:t>Respecto al seguro de Todo Riesgo Daños Materiales</w:t>
      </w:r>
      <w:r>
        <w:rPr>
          <w:rFonts w:ascii="Arial" w:hAnsi="Arial" w:cs="Arial"/>
          <w:iCs/>
          <w:color w:val="000000"/>
          <w:sz w:val="20"/>
          <w:szCs w:val="20"/>
          <w:lang w:eastAsia="en-US"/>
        </w:rPr>
        <w:t xml:space="preserve"> para Obras Civiles </w:t>
      </w:r>
      <w:r w:rsidR="00D6253F">
        <w:rPr>
          <w:rFonts w:ascii="Arial" w:hAnsi="Arial" w:cs="Arial"/>
          <w:iCs/>
          <w:color w:val="000000"/>
          <w:sz w:val="20"/>
          <w:szCs w:val="20"/>
          <w:lang w:eastAsia="en-US"/>
        </w:rPr>
        <w:t>Terminadas</w:t>
      </w:r>
      <w:r w:rsidRPr="00B333BA">
        <w:rPr>
          <w:rFonts w:ascii="Arial" w:hAnsi="Arial" w:cs="Arial"/>
          <w:iCs/>
          <w:color w:val="000000"/>
          <w:sz w:val="20"/>
          <w:szCs w:val="20"/>
          <w:lang w:eastAsia="en-US"/>
        </w:rPr>
        <w:t xml:space="preserve">, si bien </w:t>
      </w:r>
      <w:r w:rsidR="00D6253F">
        <w:rPr>
          <w:rFonts w:ascii="Arial" w:hAnsi="Arial" w:cs="Arial"/>
          <w:iCs/>
          <w:color w:val="000000"/>
          <w:sz w:val="20"/>
          <w:szCs w:val="20"/>
          <w:lang w:eastAsia="en-US"/>
        </w:rPr>
        <w:t>la tasa comercial que aplica actualmente es de 4.8</w:t>
      </w:r>
      <w:r w:rsidRPr="00B333BA">
        <w:rPr>
          <w:rFonts w:ascii="Arial" w:hAnsi="Arial" w:cs="Arial"/>
          <w:iCs/>
          <w:color w:val="000000"/>
          <w:sz w:val="20"/>
          <w:szCs w:val="20"/>
          <w:lang w:eastAsia="en-US"/>
        </w:rPr>
        <w:t xml:space="preserve"> ‰, fue necesario efectuar un ajuste prudencial basado en la realidad del mercado. Debido al endurecimiento de las condiciones de aseguramiento y reaseguro provocado por el evento sísmico del 10 de agosto de 2026, se incrementó dicha tasa inicial en un </w:t>
      </w:r>
      <w:r w:rsidR="00D6253F">
        <w:rPr>
          <w:rFonts w:ascii="Arial" w:hAnsi="Arial" w:cs="Arial"/>
          <w:iCs/>
          <w:color w:val="000000"/>
          <w:sz w:val="20"/>
          <w:szCs w:val="20"/>
          <w:lang w:eastAsia="en-US"/>
        </w:rPr>
        <w:t>1</w:t>
      </w:r>
      <w:r w:rsidRPr="00B333BA">
        <w:rPr>
          <w:rFonts w:ascii="Arial" w:hAnsi="Arial" w:cs="Arial"/>
          <w:iCs/>
          <w:color w:val="000000"/>
          <w:sz w:val="20"/>
          <w:szCs w:val="20"/>
          <w:lang w:eastAsia="en-US"/>
        </w:rPr>
        <w:t>0 %</w:t>
      </w:r>
      <w:r w:rsidR="000D2B8A">
        <w:rPr>
          <w:rStyle w:val="Refdenotaalpie"/>
          <w:rFonts w:ascii="Arial" w:hAnsi="Arial" w:cs="Arial"/>
          <w:iCs/>
          <w:color w:val="000000"/>
          <w:sz w:val="20"/>
          <w:szCs w:val="20"/>
          <w:lang w:eastAsia="en-US"/>
        </w:rPr>
        <w:footnoteReference w:id="23"/>
      </w:r>
      <w:r w:rsidRPr="00B333BA">
        <w:rPr>
          <w:rFonts w:ascii="Arial" w:hAnsi="Arial" w:cs="Arial"/>
          <w:iCs/>
          <w:color w:val="000000"/>
          <w:sz w:val="20"/>
          <w:szCs w:val="20"/>
          <w:lang w:eastAsia="en-US"/>
        </w:rPr>
        <w:t xml:space="preserve">. Por lo tanto, para efectos de garantizar la viabilidad financiera del proceso de selección, se proyecta una tasa comercial estimada del </w:t>
      </w:r>
      <w:r w:rsidR="00D6253F">
        <w:rPr>
          <w:rFonts w:ascii="Arial" w:hAnsi="Arial" w:cs="Arial"/>
          <w:iCs/>
          <w:color w:val="000000"/>
          <w:sz w:val="20"/>
          <w:szCs w:val="20"/>
          <w:lang w:eastAsia="en-US"/>
        </w:rPr>
        <w:t xml:space="preserve">5.28 </w:t>
      </w:r>
      <w:r w:rsidRPr="00B333BA">
        <w:rPr>
          <w:rFonts w:ascii="Arial" w:hAnsi="Arial" w:cs="Arial"/>
          <w:iCs/>
          <w:color w:val="000000"/>
          <w:sz w:val="20"/>
          <w:szCs w:val="20"/>
          <w:lang w:eastAsia="en-US"/>
        </w:rPr>
        <w:t>‰.</w:t>
      </w:r>
    </w:p>
    <w:p w14:paraId="65AB94B6" w14:textId="77777777" w:rsidR="002B146F" w:rsidRPr="00B333BA" w:rsidRDefault="002B146F" w:rsidP="00803115">
      <w:pPr>
        <w:jc w:val="both"/>
        <w:rPr>
          <w:rFonts w:ascii="Arial" w:hAnsi="Arial" w:cs="Arial"/>
          <w:iCs/>
          <w:color w:val="000000"/>
          <w:sz w:val="20"/>
          <w:szCs w:val="20"/>
          <w:lang w:eastAsia="en-US"/>
        </w:rPr>
      </w:pPr>
    </w:p>
    <w:p w14:paraId="757A0583" w14:textId="4FDE45C4" w:rsidR="00230DA5" w:rsidRPr="00B333BA" w:rsidRDefault="00230DA5" w:rsidP="00803115">
      <w:pPr>
        <w:jc w:val="both"/>
        <w:rPr>
          <w:rFonts w:ascii="Arial" w:hAnsi="Arial" w:cs="Arial"/>
          <w:iCs/>
          <w:sz w:val="20"/>
          <w:szCs w:val="20"/>
          <w:lang w:eastAsia="en-US"/>
        </w:rPr>
      </w:pPr>
      <w:r w:rsidRPr="00B333BA">
        <w:rPr>
          <w:rFonts w:ascii="Arial" w:hAnsi="Arial" w:cs="Arial"/>
          <w:iCs/>
          <w:sz w:val="20"/>
          <w:szCs w:val="20"/>
          <w:lang w:eastAsia="en-US"/>
        </w:rPr>
        <w:t xml:space="preserve">Para el cálculo del costo de los seguros de Responsabilidad Civil Extracontractual – Asociada al proyecto del triángulo del Tolima. Se tomó como referencia inicial la tasa ofrecida por el adjudicatario la </w:t>
      </w:r>
      <w:r w:rsidR="00315B20" w:rsidRPr="00315B20">
        <w:rPr>
          <w:rFonts w:ascii="Arial" w:hAnsi="Arial" w:cs="Arial"/>
          <w:iCs/>
          <w:sz w:val="20"/>
          <w:szCs w:val="20"/>
          <w:lang w:eastAsia="en-US"/>
        </w:rPr>
        <w:t>UT AXA-MAPFRE-SAMC-03-2026.</w:t>
      </w:r>
      <w:r w:rsidRPr="00B333BA">
        <w:rPr>
          <w:rFonts w:ascii="Arial" w:hAnsi="Arial" w:cs="Arial"/>
          <w:iCs/>
          <w:sz w:val="20"/>
          <w:szCs w:val="20"/>
          <w:lang w:eastAsia="en-US"/>
        </w:rPr>
        <w:t xml:space="preserve"> del proceso de </w:t>
      </w:r>
      <w:r w:rsidR="00315B20" w:rsidRPr="00B333BA">
        <w:rPr>
          <w:rFonts w:ascii="Arial" w:hAnsi="Arial" w:cs="Arial"/>
          <w:iCs/>
          <w:sz w:val="20"/>
          <w:szCs w:val="20"/>
          <w:lang w:eastAsia="en-US"/>
        </w:rPr>
        <w:t xml:space="preserve">SELECCIÓN ABREVIADA DE MENOR CUANTÍA No. </w:t>
      </w:r>
      <w:r w:rsidR="00315B20" w:rsidRPr="00B333BA">
        <w:rPr>
          <w:rFonts w:ascii="Arial" w:eastAsia="Batang" w:hAnsi="Arial" w:cs="Arial"/>
          <w:sz w:val="20"/>
          <w:szCs w:val="20"/>
        </w:rPr>
        <w:t>SAMC-0</w:t>
      </w:r>
      <w:r w:rsidR="00315B20">
        <w:rPr>
          <w:rFonts w:ascii="Arial" w:eastAsia="Batang" w:hAnsi="Arial" w:cs="Arial"/>
          <w:sz w:val="20"/>
          <w:szCs w:val="20"/>
        </w:rPr>
        <w:t>3</w:t>
      </w:r>
      <w:r w:rsidR="00315B20" w:rsidRPr="00B333BA">
        <w:rPr>
          <w:rFonts w:ascii="Arial" w:eastAsia="Batang" w:hAnsi="Arial" w:cs="Arial"/>
          <w:sz w:val="20"/>
          <w:szCs w:val="20"/>
        </w:rPr>
        <w:t>-2026</w:t>
      </w:r>
      <w:r w:rsidRPr="00B333BA">
        <w:rPr>
          <w:rFonts w:ascii="Arial" w:hAnsi="Arial" w:cs="Arial"/>
          <w:iCs/>
          <w:sz w:val="20"/>
          <w:szCs w:val="20"/>
          <w:lang w:eastAsia="en-US"/>
        </w:rPr>
        <w:t>, así:</w:t>
      </w:r>
    </w:p>
    <w:p w14:paraId="150660B6" w14:textId="77777777" w:rsidR="00686E8E" w:rsidRPr="00B333BA" w:rsidRDefault="00686E8E" w:rsidP="00803115">
      <w:pPr>
        <w:jc w:val="both"/>
        <w:rPr>
          <w:rFonts w:ascii="Arial" w:hAnsi="Arial" w:cs="Arial"/>
          <w:iCs/>
          <w:sz w:val="20"/>
          <w:szCs w:val="20"/>
          <w:lang w:eastAsia="en-US"/>
        </w:rPr>
      </w:pPr>
    </w:p>
    <w:tbl>
      <w:tblPr>
        <w:tblW w:w="5000" w:type="pct"/>
        <w:tblCellMar>
          <w:left w:w="70" w:type="dxa"/>
          <w:right w:w="70" w:type="dxa"/>
        </w:tblCellMar>
        <w:tblLook w:val="04A0" w:firstRow="1" w:lastRow="0" w:firstColumn="1" w:lastColumn="0" w:noHBand="0" w:noVBand="1"/>
      </w:tblPr>
      <w:tblGrid>
        <w:gridCol w:w="5276"/>
        <w:gridCol w:w="729"/>
        <w:gridCol w:w="776"/>
        <w:gridCol w:w="852"/>
        <w:gridCol w:w="784"/>
        <w:gridCol w:w="1202"/>
      </w:tblGrid>
      <w:tr w:rsidR="00013674" w:rsidRPr="00B333BA" w14:paraId="504A1B6B" w14:textId="77777777" w:rsidTr="00013674">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000000" w:fill="FCE4D6"/>
            <w:noWrap/>
            <w:vAlign w:val="center"/>
            <w:hideMark/>
          </w:tcPr>
          <w:p w14:paraId="1027573B" w14:textId="56CE0B54" w:rsidR="00013674" w:rsidRPr="00B333BA" w:rsidRDefault="00315B20">
            <w:pPr>
              <w:jc w:val="center"/>
              <w:rPr>
                <w:rFonts w:ascii="Arial" w:hAnsi="Arial" w:cs="Arial"/>
                <w:b/>
                <w:bCs/>
                <w:sz w:val="16"/>
                <w:szCs w:val="16"/>
              </w:rPr>
            </w:pPr>
            <w:r w:rsidRPr="00315B20">
              <w:rPr>
                <w:rFonts w:ascii="Arial" w:hAnsi="Arial" w:cs="Arial"/>
                <w:b/>
                <w:bCs/>
                <w:sz w:val="16"/>
                <w:szCs w:val="16"/>
              </w:rPr>
              <w:t>UT AXA-MAPFRE-SAMC-03-2026</w:t>
            </w:r>
          </w:p>
        </w:tc>
      </w:tr>
      <w:tr w:rsidR="00013674" w:rsidRPr="00B333BA" w14:paraId="6BC83942" w14:textId="77777777" w:rsidTr="00B44A6B">
        <w:trPr>
          <w:trHeight w:val="20"/>
        </w:trPr>
        <w:tc>
          <w:tcPr>
            <w:tcW w:w="2727" w:type="pct"/>
            <w:tcBorders>
              <w:top w:val="nil"/>
              <w:left w:val="single" w:sz="8" w:space="0" w:color="auto"/>
              <w:bottom w:val="single" w:sz="8" w:space="0" w:color="auto"/>
              <w:right w:val="single" w:sz="8" w:space="0" w:color="auto"/>
            </w:tcBorders>
            <w:shd w:val="clear" w:color="000000" w:fill="5B9BD5"/>
            <w:noWrap/>
            <w:vAlign w:val="center"/>
            <w:hideMark/>
          </w:tcPr>
          <w:p w14:paraId="460ABF6C" w14:textId="77777777" w:rsidR="00013674" w:rsidRPr="00B333BA" w:rsidRDefault="00013674">
            <w:pPr>
              <w:jc w:val="center"/>
              <w:rPr>
                <w:rFonts w:ascii="Arial" w:hAnsi="Arial" w:cs="Arial"/>
                <w:b/>
                <w:bCs/>
                <w:color w:val="E7E6E6"/>
                <w:sz w:val="16"/>
                <w:szCs w:val="16"/>
              </w:rPr>
            </w:pPr>
            <w:r w:rsidRPr="00B333BA">
              <w:rPr>
                <w:rFonts w:ascii="Arial" w:hAnsi="Arial" w:cs="Arial"/>
                <w:b/>
                <w:bCs/>
                <w:color w:val="E7E6E6"/>
                <w:sz w:val="16"/>
                <w:szCs w:val="16"/>
              </w:rPr>
              <w:t xml:space="preserve">PRESUPUESTO DISPONIBLE VIGENCIA </w:t>
            </w:r>
          </w:p>
        </w:tc>
        <w:tc>
          <w:tcPr>
            <w:tcW w:w="1320" w:type="pct"/>
            <w:gridSpan w:val="4"/>
            <w:tcBorders>
              <w:top w:val="single" w:sz="8" w:space="0" w:color="auto"/>
              <w:left w:val="nil"/>
              <w:bottom w:val="single" w:sz="8" w:space="0" w:color="auto"/>
              <w:right w:val="single" w:sz="8" w:space="0" w:color="auto"/>
            </w:tcBorders>
            <w:shd w:val="clear" w:color="000000" w:fill="F2F2F2"/>
            <w:noWrap/>
            <w:vAlign w:val="center"/>
            <w:hideMark/>
          </w:tcPr>
          <w:p w14:paraId="255E6D20" w14:textId="77777777" w:rsidR="00013674" w:rsidRPr="00B333BA" w:rsidRDefault="00013674">
            <w:pPr>
              <w:jc w:val="center"/>
              <w:rPr>
                <w:rFonts w:ascii="Arial" w:hAnsi="Arial" w:cs="Arial"/>
                <w:b/>
                <w:bCs/>
                <w:sz w:val="16"/>
                <w:szCs w:val="16"/>
              </w:rPr>
            </w:pPr>
            <w:r w:rsidRPr="00B333BA">
              <w:rPr>
                <w:rFonts w:ascii="Arial" w:hAnsi="Arial" w:cs="Arial"/>
                <w:b/>
                <w:bCs/>
                <w:sz w:val="16"/>
                <w:szCs w:val="16"/>
              </w:rPr>
              <w:t>OFRECIMIENTO DEL PROPONENTE</w:t>
            </w:r>
          </w:p>
        </w:tc>
        <w:tc>
          <w:tcPr>
            <w:tcW w:w="952" w:type="pct"/>
            <w:tcBorders>
              <w:top w:val="nil"/>
              <w:left w:val="nil"/>
              <w:bottom w:val="single" w:sz="8" w:space="0" w:color="auto"/>
              <w:right w:val="single" w:sz="8" w:space="0" w:color="auto"/>
            </w:tcBorders>
            <w:shd w:val="clear" w:color="000000" w:fill="5B9BD5"/>
            <w:noWrap/>
            <w:vAlign w:val="center"/>
            <w:hideMark/>
          </w:tcPr>
          <w:p w14:paraId="328D24C4" w14:textId="450ACAFE" w:rsidR="00013674" w:rsidRPr="00B333BA" w:rsidRDefault="00013674">
            <w:pPr>
              <w:jc w:val="center"/>
              <w:rPr>
                <w:rFonts w:ascii="Arial" w:hAnsi="Arial" w:cs="Arial"/>
                <w:b/>
                <w:bCs/>
                <w:color w:val="E7E6E6"/>
                <w:sz w:val="16"/>
                <w:szCs w:val="16"/>
              </w:rPr>
            </w:pPr>
            <w:r w:rsidRPr="00B333BA">
              <w:rPr>
                <w:rFonts w:ascii="Arial" w:hAnsi="Arial" w:cs="Arial"/>
                <w:b/>
                <w:bCs/>
                <w:color w:val="E7E6E6"/>
                <w:sz w:val="16"/>
                <w:szCs w:val="16"/>
              </w:rPr>
              <w:t xml:space="preserve">TOTAL, VIGENCIA  </w:t>
            </w:r>
          </w:p>
        </w:tc>
      </w:tr>
      <w:tr w:rsidR="00013674" w:rsidRPr="00B333BA" w14:paraId="5EDA548F" w14:textId="77777777" w:rsidTr="00B44A6B">
        <w:trPr>
          <w:trHeight w:val="20"/>
        </w:trPr>
        <w:tc>
          <w:tcPr>
            <w:tcW w:w="2727" w:type="pct"/>
            <w:vMerge w:val="restart"/>
            <w:tcBorders>
              <w:top w:val="nil"/>
              <w:left w:val="single" w:sz="8" w:space="0" w:color="auto"/>
              <w:bottom w:val="single" w:sz="8" w:space="0" w:color="auto"/>
              <w:right w:val="single" w:sz="8" w:space="0" w:color="auto"/>
            </w:tcBorders>
            <w:shd w:val="clear" w:color="000000" w:fill="F2F2F2"/>
            <w:vAlign w:val="center"/>
            <w:hideMark/>
          </w:tcPr>
          <w:p w14:paraId="7B4992CF" w14:textId="77777777" w:rsidR="00013674" w:rsidRPr="00B333BA" w:rsidRDefault="00013674">
            <w:pPr>
              <w:jc w:val="center"/>
              <w:rPr>
                <w:rFonts w:ascii="Arial" w:hAnsi="Arial" w:cs="Arial"/>
                <w:b/>
                <w:bCs/>
                <w:sz w:val="16"/>
                <w:szCs w:val="16"/>
              </w:rPr>
            </w:pPr>
            <w:r w:rsidRPr="00B333BA">
              <w:rPr>
                <w:rFonts w:ascii="Arial" w:hAnsi="Arial" w:cs="Arial"/>
                <w:b/>
                <w:bCs/>
                <w:sz w:val="16"/>
                <w:szCs w:val="16"/>
              </w:rPr>
              <w:t xml:space="preserve">PÓLIZAS </w:t>
            </w:r>
          </w:p>
        </w:tc>
        <w:tc>
          <w:tcPr>
            <w:tcW w:w="382" w:type="pct"/>
            <w:vMerge w:val="restart"/>
            <w:tcBorders>
              <w:top w:val="nil"/>
              <w:left w:val="single" w:sz="8" w:space="0" w:color="auto"/>
              <w:bottom w:val="single" w:sz="8" w:space="0" w:color="auto"/>
              <w:right w:val="single" w:sz="8" w:space="0" w:color="auto"/>
            </w:tcBorders>
            <w:shd w:val="clear" w:color="000000" w:fill="DDEBF7"/>
            <w:vAlign w:val="center"/>
            <w:hideMark/>
          </w:tcPr>
          <w:p w14:paraId="5091F686" w14:textId="77777777" w:rsidR="00013674" w:rsidRPr="00B333BA" w:rsidRDefault="00013674">
            <w:pPr>
              <w:jc w:val="center"/>
              <w:rPr>
                <w:rFonts w:ascii="Arial" w:hAnsi="Arial" w:cs="Arial"/>
                <w:b/>
                <w:bCs/>
                <w:color w:val="000000"/>
                <w:sz w:val="16"/>
                <w:szCs w:val="16"/>
              </w:rPr>
            </w:pPr>
            <w:r w:rsidRPr="00B333BA">
              <w:rPr>
                <w:rFonts w:ascii="Arial" w:hAnsi="Arial" w:cs="Arial"/>
                <w:b/>
                <w:bCs/>
                <w:color w:val="000000"/>
                <w:sz w:val="16"/>
                <w:szCs w:val="16"/>
              </w:rPr>
              <w:t>TASA VIGENCIA</w:t>
            </w:r>
          </w:p>
        </w:tc>
        <w:tc>
          <w:tcPr>
            <w:tcW w:w="406" w:type="pct"/>
            <w:tcBorders>
              <w:top w:val="nil"/>
              <w:left w:val="nil"/>
              <w:bottom w:val="single" w:sz="8" w:space="0" w:color="auto"/>
              <w:right w:val="single" w:sz="8" w:space="0" w:color="auto"/>
            </w:tcBorders>
            <w:shd w:val="clear" w:color="000000" w:fill="DDEBF7"/>
            <w:vAlign w:val="center"/>
            <w:hideMark/>
          </w:tcPr>
          <w:p w14:paraId="0AAB5F1B" w14:textId="77777777" w:rsidR="00013674" w:rsidRPr="00B333BA" w:rsidRDefault="00013674">
            <w:pPr>
              <w:jc w:val="center"/>
              <w:rPr>
                <w:rFonts w:ascii="Arial" w:hAnsi="Arial" w:cs="Arial"/>
                <w:b/>
                <w:bCs/>
                <w:color w:val="000000"/>
                <w:sz w:val="16"/>
                <w:szCs w:val="16"/>
              </w:rPr>
            </w:pPr>
            <w:r w:rsidRPr="00B333BA">
              <w:rPr>
                <w:rFonts w:ascii="Arial" w:hAnsi="Arial" w:cs="Arial"/>
                <w:b/>
                <w:bCs/>
                <w:color w:val="000000"/>
                <w:sz w:val="16"/>
                <w:szCs w:val="16"/>
              </w:rPr>
              <w:t> </w:t>
            </w:r>
          </w:p>
        </w:tc>
        <w:tc>
          <w:tcPr>
            <w:tcW w:w="533" w:type="pct"/>
            <w:gridSpan w:val="2"/>
            <w:tcBorders>
              <w:top w:val="single" w:sz="8" w:space="0" w:color="auto"/>
              <w:left w:val="nil"/>
              <w:bottom w:val="single" w:sz="8" w:space="0" w:color="auto"/>
              <w:right w:val="single" w:sz="8" w:space="0" w:color="auto"/>
            </w:tcBorders>
            <w:shd w:val="clear" w:color="000000" w:fill="DDEBF7"/>
            <w:vAlign w:val="center"/>
            <w:hideMark/>
          </w:tcPr>
          <w:p w14:paraId="6B6C3BEA" w14:textId="77777777" w:rsidR="00013674" w:rsidRPr="00B333BA" w:rsidRDefault="00013674">
            <w:pPr>
              <w:jc w:val="center"/>
              <w:rPr>
                <w:rFonts w:ascii="Arial" w:hAnsi="Arial" w:cs="Arial"/>
                <w:b/>
                <w:bCs/>
                <w:color w:val="000000"/>
                <w:sz w:val="16"/>
                <w:szCs w:val="16"/>
              </w:rPr>
            </w:pPr>
            <w:r w:rsidRPr="00B333BA">
              <w:rPr>
                <w:rFonts w:ascii="Arial" w:hAnsi="Arial" w:cs="Arial"/>
                <w:b/>
                <w:bCs/>
                <w:color w:val="000000"/>
                <w:sz w:val="16"/>
                <w:szCs w:val="16"/>
              </w:rPr>
              <w:t>2025-2026</w:t>
            </w:r>
          </w:p>
        </w:tc>
        <w:tc>
          <w:tcPr>
            <w:tcW w:w="952" w:type="pct"/>
            <w:vMerge w:val="restart"/>
            <w:tcBorders>
              <w:top w:val="nil"/>
              <w:left w:val="single" w:sz="8" w:space="0" w:color="auto"/>
              <w:bottom w:val="single" w:sz="8" w:space="0" w:color="auto"/>
              <w:right w:val="single" w:sz="8" w:space="0" w:color="auto"/>
            </w:tcBorders>
            <w:shd w:val="clear" w:color="000000" w:fill="DDEBF7"/>
            <w:vAlign w:val="center"/>
            <w:hideMark/>
          </w:tcPr>
          <w:p w14:paraId="3243672F" w14:textId="352D2862" w:rsidR="00013674" w:rsidRPr="00B333BA" w:rsidRDefault="00013674">
            <w:pPr>
              <w:jc w:val="center"/>
              <w:rPr>
                <w:rFonts w:ascii="Arial" w:hAnsi="Arial" w:cs="Arial"/>
                <w:b/>
                <w:bCs/>
                <w:color w:val="000000"/>
                <w:sz w:val="16"/>
                <w:szCs w:val="16"/>
              </w:rPr>
            </w:pPr>
            <w:r w:rsidRPr="00B333BA">
              <w:rPr>
                <w:rFonts w:ascii="Arial" w:hAnsi="Arial" w:cs="Arial"/>
                <w:b/>
                <w:bCs/>
                <w:color w:val="000000"/>
                <w:sz w:val="16"/>
                <w:szCs w:val="16"/>
              </w:rPr>
              <w:t>TOTAL, VIGENCIA</w:t>
            </w:r>
          </w:p>
        </w:tc>
      </w:tr>
      <w:tr w:rsidR="00013674" w:rsidRPr="00B333BA" w14:paraId="23EEAA34" w14:textId="77777777" w:rsidTr="00B44A6B">
        <w:trPr>
          <w:trHeight w:val="20"/>
        </w:trPr>
        <w:tc>
          <w:tcPr>
            <w:tcW w:w="2727" w:type="pct"/>
            <w:vMerge/>
            <w:tcBorders>
              <w:top w:val="nil"/>
              <w:left w:val="single" w:sz="8" w:space="0" w:color="auto"/>
              <w:bottom w:val="single" w:sz="8" w:space="0" w:color="auto"/>
              <w:right w:val="single" w:sz="8" w:space="0" w:color="auto"/>
            </w:tcBorders>
            <w:vAlign w:val="center"/>
            <w:hideMark/>
          </w:tcPr>
          <w:p w14:paraId="78EACDA9" w14:textId="77777777" w:rsidR="00013674" w:rsidRPr="00B333BA" w:rsidRDefault="00013674">
            <w:pPr>
              <w:rPr>
                <w:rFonts w:ascii="Arial" w:hAnsi="Arial" w:cs="Arial"/>
                <w:b/>
                <w:bCs/>
                <w:sz w:val="16"/>
                <w:szCs w:val="16"/>
              </w:rPr>
            </w:pPr>
          </w:p>
        </w:tc>
        <w:tc>
          <w:tcPr>
            <w:tcW w:w="382" w:type="pct"/>
            <w:vMerge/>
            <w:tcBorders>
              <w:top w:val="nil"/>
              <w:left w:val="single" w:sz="8" w:space="0" w:color="auto"/>
              <w:bottom w:val="single" w:sz="8" w:space="0" w:color="auto"/>
              <w:right w:val="single" w:sz="8" w:space="0" w:color="auto"/>
            </w:tcBorders>
            <w:vAlign w:val="center"/>
            <w:hideMark/>
          </w:tcPr>
          <w:p w14:paraId="62E0B2D2" w14:textId="77777777" w:rsidR="00013674" w:rsidRPr="00B333BA" w:rsidRDefault="00013674">
            <w:pPr>
              <w:rPr>
                <w:rFonts w:ascii="Arial" w:hAnsi="Arial" w:cs="Arial"/>
                <w:b/>
                <w:bCs/>
                <w:color w:val="000000"/>
                <w:sz w:val="16"/>
                <w:szCs w:val="16"/>
              </w:rPr>
            </w:pPr>
          </w:p>
        </w:tc>
        <w:tc>
          <w:tcPr>
            <w:tcW w:w="406" w:type="pct"/>
            <w:tcBorders>
              <w:top w:val="nil"/>
              <w:left w:val="nil"/>
              <w:bottom w:val="single" w:sz="8" w:space="0" w:color="auto"/>
              <w:right w:val="single" w:sz="8" w:space="0" w:color="auto"/>
            </w:tcBorders>
            <w:shd w:val="clear" w:color="000000" w:fill="DDEBF7"/>
            <w:vAlign w:val="center"/>
            <w:hideMark/>
          </w:tcPr>
          <w:p w14:paraId="613907D1" w14:textId="77777777" w:rsidR="00013674" w:rsidRPr="00B333BA" w:rsidRDefault="00013674">
            <w:pPr>
              <w:jc w:val="center"/>
              <w:rPr>
                <w:rFonts w:ascii="Arial" w:hAnsi="Arial" w:cs="Arial"/>
                <w:b/>
                <w:bCs/>
                <w:color w:val="000000"/>
                <w:sz w:val="16"/>
                <w:szCs w:val="16"/>
              </w:rPr>
            </w:pPr>
            <w:r w:rsidRPr="00B333BA">
              <w:rPr>
                <w:rFonts w:ascii="Arial" w:hAnsi="Arial" w:cs="Arial"/>
                <w:b/>
                <w:bCs/>
                <w:color w:val="000000"/>
                <w:sz w:val="16"/>
                <w:szCs w:val="16"/>
              </w:rPr>
              <w:t>VIGENCIA OFRECIDA</w:t>
            </w:r>
            <w:r w:rsidRPr="00B333BA">
              <w:rPr>
                <w:rFonts w:ascii="Arial" w:hAnsi="Arial" w:cs="Arial"/>
                <w:b/>
                <w:bCs/>
                <w:color w:val="000000"/>
                <w:sz w:val="16"/>
                <w:szCs w:val="16"/>
              </w:rPr>
              <w:br/>
              <w:t>(DÍAS)</w:t>
            </w:r>
          </w:p>
        </w:tc>
        <w:tc>
          <w:tcPr>
            <w:tcW w:w="445" w:type="pct"/>
            <w:tcBorders>
              <w:top w:val="nil"/>
              <w:left w:val="nil"/>
              <w:bottom w:val="single" w:sz="8" w:space="0" w:color="auto"/>
              <w:right w:val="single" w:sz="8" w:space="0" w:color="auto"/>
            </w:tcBorders>
            <w:shd w:val="clear" w:color="000000" w:fill="DDEBF7"/>
            <w:vAlign w:val="center"/>
            <w:hideMark/>
          </w:tcPr>
          <w:p w14:paraId="63EDBB7C" w14:textId="77777777" w:rsidR="00013674" w:rsidRPr="00B333BA" w:rsidRDefault="00013674">
            <w:pPr>
              <w:jc w:val="center"/>
              <w:rPr>
                <w:rFonts w:ascii="Arial" w:hAnsi="Arial" w:cs="Arial"/>
                <w:b/>
                <w:bCs/>
                <w:color w:val="000000"/>
                <w:sz w:val="16"/>
                <w:szCs w:val="16"/>
              </w:rPr>
            </w:pPr>
            <w:r w:rsidRPr="00B333BA">
              <w:rPr>
                <w:rFonts w:ascii="Arial" w:hAnsi="Arial" w:cs="Arial"/>
                <w:b/>
                <w:bCs/>
                <w:color w:val="000000"/>
                <w:sz w:val="16"/>
                <w:szCs w:val="16"/>
              </w:rPr>
              <w:t>PRIMA NETA DE LA VIGENCIA OFRECIDA</w:t>
            </w:r>
          </w:p>
        </w:tc>
        <w:tc>
          <w:tcPr>
            <w:tcW w:w="87" w:type="pct"/>
            <w:tcBorders>
              <w:top w:val="nil"/>
              <w:left w:val="nil"/>
              <w:bottom w:val="single" w:sz="8" w:space="0" w:color="auto"/>
              <w:right w:val="single" w:sz="8" w:space="0" w:color="auto"/>
            </w:tcBorders>
            <w:shd w:val="clear" w:color="000000" w:fill="DDEBF7"/>
            <w:noWrap/>
            <w:vAlign w:val="center"/>
            <w:hideMark/>
          </w:tcPr>
          <w:p w14:paraId="323E66BB" w14:textId="77777777" w:rsidR="00013674" w:rsidRPr="00B333BA" w:rsidRDefault="00013674">
            <w:pPr>
              <w:jc w:val="center"/>
              <w:rPr>
                <w:rFonts w:ascii="Arial" w:hAnsi="Arial" w:cs="Arial"/>
                <w:b/>
                <w:bCs/>
                <w:color w:val="000000"/>
                <w:sz w:val="16"/>
                <w:szCs w:val="16"/>
              </w:rPr>
            </w:pPr>
            <w:r w:rsidRPr="00B333BA">
              <w:rPr>
                <w:rFonts w:ascii="Arial" w:hAnsi="Arial" w:cs="Arial"/>
                <w:b/>
                <w:bCs/>
                <w:color w:val="000000"/>
                <w:sz w:val="16"/>
                <w:szCs w:val="16"/>
              </w:rPr>
              <w:t>IVA (19%)</w:t>
            </w:r>
          </w:p>
        </w:tc>
        <w:tc>
          <w:tcPr>
            <w:tcW w:w="952" w:type="pct"/>
            <w:vMerge/>
            <w:tcBorders>
              <w:top w:val="nil"/>
              <w:left w:val="single" w:sz="8" w:space="0" w:color="auto"/>
              <w:bottom w:val="single" w:sz="8" w:space="0" w:color="auto"/>
              <w:right w:val="single" w:sz="8" w:space="0" w:color="auto"/>
            </w:tcBorders>
            <w:vAlign w:val="center"/>
            <w:hideMark/>
          </w:tcPr>
          <w:p w14:paraId="1EF7CFE1" w14:textId="77777777" w:rsidR="00013674" w:rsidRPr="00B333BA" w:rsidRDefault="00013674">
            <w:pPr>
              <w:rPr>
                <w:rFonts w:ascii="Arial" w:hAnsi="Arial" w:cs="Arial"/>
                <w:b/>
                <w:bCs/>
                <w:color w:val="000000"/>
                <w:sz w:val="16"/>
                <w:szCs w:val="16"/>
              </w:rPr>
            </w:pPr>
          </w:p>
        </w:tc>
      </w:tr>
      <w:tr w:rsidR="00013674" w:rsidRPr="00B333BA" w14:paraId="546C04C5" w14:textId="77777777" w:rsidTr="00B44A6B">
        <w:trPr>
          <w:trHeight w:val="20"/>
        </w:trPr>
        <w:tc>
          <w:tcPr>
            <w:tcW w:w="2727" w:type="pct"/>
            <w:tcBorders>
              <w:top w:val="nil"/>
              <w:left w:val="single" w:sz="8" w:space="0" w:color="auto"/>
              <w:bottom w:val="single" w:sz="8" w:space="0" w:color="auto"/>
              <w:right w:val="single" w:sz="8" w:space="0" w:color="auto"/>
            </w:tcBorders>
            <w:noWrap/>
            <w:vAlign w:val="center"/>
            <w:hideMark/>
          </w:tcPr>
          <w:p w14:paraId="31B55E2D" w14:textId="20344193" w:rsidR="00013674" w:rsidRPr="00B333BA" w:rsidRDefault="00013674">
            <w:pPr>
              <w:rPr>
                <w:rFonts w:ascii="Arial" w:hAnsi="Arial" w:cs="Arial"/>
                <w:color w:val="000000"/>
                <w:sz w:val="16"/>
                <w:szCs w:val="16"/>
              </w:rPr>
            </w:pPr>
            <w:r w:rsidRPr="00B333BA">
              <w:rPr>
                <w:rFonts w:ascii="Arial" w:hAnsi="Arial" w:cs="Arial"/>
                <w:color w:val="000000"/>
                <w:sz w:val="16"/>
                <w:szCs w:val="16"/>
              </w:rPr>
              <w:t xml:space="preserve">RESPONSABILIDAD </w:t>
            </w:r>
            <w:r w:rsidR="002F3F83" w:rsidRPr="00B333BA">
              <w:rPr>
                <w:rFonts w:ascii="Arial" w:hAnsi="Arial" w:cs="Arial"/>
                <w:color w:val="000000"/>
                <w:sz w:val="16"/>
                <w:szCs w:val="16"/>
              </w:rPr>
              <w:t>CIVIL</w:t>
            </w:r>
            <w:r w:rsidRPr="00B333BA">
              <w:rPr>
                <w:rFonts w:ascii="Arial" w:hAnsi="Arial" w:cs="Arial"/>
                <w:color w:val="000000"/>
                <w:sz w:val="16"/>
                <w:szCs w:val="16"/>
              </w:rPr>
              <w:t xml:space="preserve"> EXTRACONTRACTUAL - PROYECTO TRIANGULO DEL TOLIMA</w:t>
            </w:r>
          </w:p>
        </w:tc>
        <w:tc>
          <w:tcPr>
            <w:tcW w:w="382" w:type="pct"/>
            <w:tcBorders>
              <w:top w:val="nil"/>
              <w:left w:val="nil"/>
              <w:bottom w:val="single" w:sz="8" w:space="0" w:color="auto"/>
              <w:right w:val="single" w:sz="8" w:space="0" w:color="auto"/>
            </w:tcBorders>
            <w:shd w:val="clear" w:color="000000" w:fill="DDEBF7"/>
            <w:noWrap/>
            <w:vAlign w:val="center"/>
            <w:hideMark/>
          </w:tcPr>
          <w:p w14:paraId="15EAB785" w14:textId="39956E02" w:rsidR="00013674" w:rsidRPr="00B333BA" w:rsidRDefault="00013674">
            <w:pPr>
              <w:jc w:val="center"/>
              <w:rPr>
                <w:rFonts w:ascii="Arial" w:hAnsi="Arial" w:cs="Arial"/>
                <w:color w:val="000000"/>
                <w:sz w:val="16"/>
                <w:szCs w:val="16"/>
              </w:rPr>
            </w:pPr>
            <w:r w:rsidRPr="00B333BA">
              <w:rPr>
                <w:rFonts w:ascii="Arial" w:hAnsi="Arial" w:cs="Arial"/>
                <w:color w:val="000000"/>
                <w:sz w:val="16"/>
                <w:szCs w:val="16"/>
              </w:rPr>
              <w:t>3.5</w:t>
            </w:r>
          </w:p>
        </w:tc>
        <w:tc>
          <w:tcPr>
            <w:tcW w:w="406" w:type="pct"/>
            <w:tcBorders>
              <w:top w:val="nil"/>
              <w:left w:val="nil"/>
              <w:bottom w:val="single" w:sz="8" w:space="0" w:color="auto"/>
              <w:right w:val="single" w:sz="8" w:space="0" w:color="auto"/>
            </w:tcBorders>
            <w:shd w:val="clear" w:color="000000" w:fill="DDEBF7"/>
            <w:noWrap/>
            <w:vAlign w:val="center"/>
            <w:hideMark/>
          </w:tcPr>
          <w:p w14:paraId="688F349E" w14:textId="77777777" w:rsidR="00013674" w:rsidRPr="00B333BA" w:rsidRDefault="00013674">
            <w:pPr>
              <w:jc w:val="center"/>
              <w:rPr>
                <w:rFonts w:ascii="Arial" w:hAnsi="Arial" w:cs="Arial"/>
                <w:color w:val="000000"/>
                <w:sz w:val="16"/>
                <w:szCs w:val="16"/>
              </w:rPr>
            </w:pPr>
            <w:r w:rsidRPr="00B333BA">
              <w:rPr>
                <w:rFonts w:ascii="Arial" w:hAnsi="Arial" w:cs="Arial"/>
                <w:color w:val="000000"/>
                <w:sz w:val="16"/>
                <w:szCs w:val="16"/>
              </w:rPr>
              <w:t>90</w:t>
            </w:r>
          </w:p>
        </w:tc>
        <w:tc>
          <w:tcPr>
            <w:tcW w:w="445" w:type="pct"/>
            <w:tcBorders>
              <w:top w:val="nil"/>
              <w:left w:val="nil"/>
              <w:bottom w:val="single" w:sz="8" w:space="0" w:color="auto"/>
              <w:right w:val="single" w:sz="8" w:space="0" w:color="auto"/>
            </w:tcBorders>
            <w:shd w:val="clear" w:color="000000" w:fill="DDEBF7"/>
            <w:noWrap/>
            <w:vAlign w:val="center"/>
            <w:hideMark/>
          </w:tcPr>
          <w:p w14:paraId="58E2804B" w14:textId="60FFA473" w:rsidR="00013674" w:rsidRPr="00B333BA" w:rsidRDefault="00013674">
            <w:pPr>
              <w:jc w:val="right"/>
              <w:rPr>
                <w:rFonts w:ascii="Arial" w:hAnsi="Arial" w:cs="Arial"/>
                <w:color w:val="000000"/>
                <w:sz w:val="16"/>
                <w:szCs w:val="16"/>
              </w:rPr>
            </w:pPr>
            <w:r w:rsidRPr="00B333BA">
              <w:rPr>
                <w:rFonts w:ascii="Arial" w:hAnsi="Arial" w:cs="Arial"/>
                <w:color w:val="000000"/>
                <w:sz w:val="16"/>
                <w:szCs w:val="16"/>
              </w:rPr>
              <w:t xml:space="preserve">$ </w:t>
            </w:r>
            <w:r w:rsidR="00315B20">
              <w:rPr>
                <w:rFonts w:ascii="Arial" w:hAnsi="Arial" w:cs="Arial"/>
                <w:color w:val="000000"/>
                <w:sz w:val="16"/>
                <w:szCs w:val="16"/>
              </w:rPr>
              <w:t>51.779.461</w:t>
            </w:r>
          </w:p>
        </w:tc>
        <w:tc>
          <w:tcPr>
            <w:tcW w:w="87" w:type="pct"/>
            <w:tcBorders>
              <w:top w:val="nil"/>
              <w:left w:val="nil"/>
              <w:bottom w:val="single" w:sz="8" w:space="0" w:color="auto"/>
              <w:right w:val="single" w:sz="8" w:space="0" w:color="auto"/>
            </w:tcBorders>
            <w:shd w:val="clear" w:color="000000" w:fill="DDEBF7"/>
            <w:noWrap/>
            <w:vAlign w:val="center"/>
            <w:hideMark/>
          </w:tcPr>
          <w:p w14:paraId="0460907F" w14:textId="3E469F2F" w:rsidR="00013674" w:rsidRPr="00B333BA" w:rsidRDefault="00013674">
            <w:pPr>
              <w:jc w:val="right"/>
              <w:rPr>
                <w:rFonts w:ascii="Arial" w:hAnsi="Arial" w:cs="Arial"/>
                <w:color w:val="000000"/>
                <w:sz w:val="16"/>
                <w:szCs w:val="16"/>
              </w:rPr>
            </w:pPr>
            <w:r w:rsidRPr="00B333BA">
              <w:rPr>
                <w:rFonts w:ascii="Arial" w:hAnsi="Arial" w:cs="Arial"/>
                <w:color w:val="000000"/>
                <w:sz w:val="16"/>
                <w:szCs w:val="16"/>
              </w:rPr>
              <w:t xml:space="preserve">$ </w:t>
            </w:r>
            <w:r w:rsidR="00315B20">
              <w:rPr>
                <w:rFonts w:ascii="Arial" w:hAnsi="Arial" w:cs="Arial"/>
                <w:color w:val="000000"/>
                <w:sz w:val="16"/>
                <w:szCs w:val="16"/>
              </w:rPr>
              <w:t>9.838.098</w:t>
            </w:r>
          </w:p>
        </w:tc>
        <w:tc>
          <w:tcPr>
            <w:tcW w:w="952" w:type="pct"/>
            <w:tcBorders>
              <w:top w:val="nil"/>
              <w:left w:val="nil"/>
              <w:bottom w:val="single" w:sz="8" w:space="0" w:color="auto"/>
              <w:right w:val="single" w:sz="8" w:space="0" w:color="auto"/>
            </w:tcBorders>
            <w:shd w:val="clear" w:color="000000" w:fill="DDEBF7"/>
            <w:noWrap/>
            <w:vAlign w:val="center"/>
            <w:hideMark/>
          </w:tcPr>
          <w:p w14:paraId="0794040C" w14:textId="539DE8DD" w:rsidR="00013674" w:rsidRPr="00B333BA" w:rsidRDefault="00013674">
            <w:pPr>
              <w:jc w:val="right"/>
              <w:rPr>
                <w:rFonts w:ascii="Arial" w:hAnsi="Arial" w:cs="Arial"/>
                <w:b/>
                <w:bCs/>
                <w:color w:val="000000"/>
                <w:sz w:val="16"/>
                <w:szCs w:val="16"/>
              </w:rPr>
            </w:pPr>
            <w:r w:rsidRPr="00B333BA">
              <w:rPr>
                <w:rFonts w:ascii="Arial" w:hAnsi="Arial" w:cs="Arial"/>
                <w:b/>
                <w:bCs/>
                <w:color w:val="000000"/>
                <w:sz w:val="16"/>
                <w:szCs w:val="16"/>
              </w:rPr>
              <w:t xml:space="preserve">$ </w:t>
            </w:r>
            <w:r w:rsidR="00315B20">
              <w:rPr>
                <w:rFonts w:ascii="Arial" w:hAnsi="Arial" w:cs="Arial"/>
                <w:b/>
                <w:bCs/>
                <w:color w:val="000000"/>
                <w:sz w:val="16"/>
                <w:szCs w:val="16"/>
              </w:rPr>
              <w:t>61.617.559</w:t>
            </w:r>
          </w:p>
        </w:tc>
      </w:tr>
    </w:tbl>
    <w:p w14:paraId="13495556" w14:textId="60FFB437" w:rsidR="00230DA5" w:rsidRPr="00B333BA" w:rsidRDefault="00230DA5" w:rsidP="00803115">
      <w:pPr>
        <w:pStyle w:val="Descripcin"/>
        <w:jc w:val="both"/>
        <w:rPr>
          <w:rFonts w:ascii="Arial" w:hAnsi="Arial" w:cs="Arial"/>
          <w:b w:val="0"/>
          <w:bCs w:val="0"/>
          <w:iCs/>
          <w:color w:val="000000"/>
          <w:lang w:val="es-CO" w:eastAsia="en-US"/>
        </w:rPr>
      </w:pPr>
      <w:r w:rsidRPr="00B333BA">
        <w:rPr>
          <w:rFonts w:ascii="Arial" w:hAnsi="Arial" w:cs="Arial"/>
          <w:b w:val="0"/>
          <w:bCs w:val="0"/>
        </w:rPr>
        <w:t>Cuadro Oferta económica tomada del proceso de selección No SAMC-02-2025</w:t>
      </w:r>
    </w:p>
    <w:p w14:paraId="6739470D" w14:textId="77777777" w:rsidR="004402A0" w:rsidRPr="00B333BA" w:rsidRDefault="004402A0" w:rsidP="00803115">
      <w:pPr>
        <w:jc w:val="both"/>
        <w:rPr>
          <w:rFonts w:ascii="Arial" w:hAnsi="Arial" w:cs="Arial"/>
          <w:iCs/>
          <w:color w:val="000000"/>
          <w:sz w:val="20"/>
          <w:szCs w:val="20"/>
          <w:lang w:eastAsia="en-US"/>
        </w:rPr>
      </w:pPr>
    </w:p>
    <w:p w14:paraId="4D311E32" w14:textId="77777777" w:rsidR="00630019" w:rsidRDefault="002F3F83" w:rsidP="002F3F83">
      <w:pPr>
        <w:jc w:val="both"/>
        <w:rPr>
          <w:rFonts w:ascii="Arial" w:hAnsi="Arial" w:cs="Arial"/>
          <w:iCs/>
          <w:color w:val="000000"/>
          <w:sz w:val="20"/>
          <w:szCs w:val="20"/>
          <w:lang w:eastAsia="en-US"/>
        </w:rPr>
      </w:pPr>
      <w:r w:rsidRPr="002F3F83">
        <w:rPr>
          <w:rFonts w:ascii="Arial" w:hAnsi="Arial" w:cs="Arial"/>
          <w:iCs/>
          <w:color w:val="000000"/>
          <w:sz w:val="20"/>
          <w:szCs w:val="20"/>
          <w:lang w:eastAsia="en-US"/>
        </w:rPr>
        <w:t>En relación con la cobertura de los riesgos asociados al proyecto Triángulo del Tolima, las tasas comerciales aplicables a los seguros de Todo Riesgo Obras Civiles Terminadas y Responsabilidad Civil Extracontractual (</w:t>
      </w:r>
      <w:proofErr w:type="spellStart"/>
      <w:r w:rsidRPr="002F3F83">
        <w:rPr>
          <w:rFonts w:ascii="Arial" w:hAnsi="Arial" w:cs="Arial"/>
          <w:iCs/>
          <w:color w:val="000000"/>
          <w:sz w:val="20"/>
          <w:szCs w:val="20"/>
          <w:lang w:eastAsia="en-US"/>
        </w:rPr>
        <w:t>RCE</w:t>
      </w:r>
      <w:proofErr w:type="spellEnd"/>
      <w:r w:rsidRPr="002F3F83">
        <w:rPr>
          <w:rFonts w:ascii="Arial" w:hAnsi="Arial" w:cs="Arial"/>
          <w:iCs/>
          <w:color w:val="000000"/>
          <w:sz w:val="20"/>
          <w:szCs w:val="20"/>
          <w:lang w:eastAsia="en-US"/>
        </w:rPr>
        <w:t xml:space="preserve">) se han mantenido constantes desde su adquisición inicial en la vigencia 2022 (Proceso LP-11-2022). </w:t>
      </w:r>
    </w:p>
    <w:p w14:paraId="3A849804" w14:textId="77777777" w:rsidR="00630019" w:rsidRDefault="00630019" w:rsidP="002F3F83">
      <w:pPr>
        <w:jc w:val="both"/>
        <w:rPr>
          <w:rFonts w:ascii="Arial" w:hAnsi="Arial" w:cs="Arial"/>
          <w:iCs/>
          <w:color w:val="000000"/>
          <w:sz w:val="20"/>
          <w:szCs w:val="20"/>
          <w:lang w:eastAsia="en-US"/>
        </w:rPr>
      </w:pPr>
    </w:p>
    <w:p w14:paraId="1C0F108B" w14:textId="70605408" w:rsidR="002F3F83" w:rsidRDefault="002F3F83" w:rsidP="002F3F83">
      <w:pPr>
        <w:jc w:val="both"/>
        <w:rPr>
          <w:rFonts w:ascii="Arial" w:hAnsi="Arial" w:cs="Arial"/>
          <w:iCs/>
          <w:color w:val="000000"/>
          <w:sz w:val="20"/>
          <w:szCs w:val="20"/>
          <w:lang w:eastAsia="en-US"/>
        </w:rPr>
      </w:pPr>
      <w:r w:rsidRPr="002F3F83">
        <w:rPr>
          <w:rFonts w:ascii="Arial" w:hAnsi="Arial" w:cs="Arial"/>
          <w:iCs/>
          <w:color w:val="000000"/>
          <w:sz w:val="20"/>
          <w:szCs w:val="20"/>
          <w:lang w:eastAsia="en-US"/>
        </w:rPr>
        <w:t>Esta estabilidad tarifaria obedece a que los índices actuales fueron el resultado de ajustes necesarios tras la declaratoria de desierta de varios procesos de selección por insuficiencia presupuestal.</w:t>
      </w:r>
    </w:p>
    <w:p w14:paraId="14115264" w14:textId="77777777" w:rsidR="002F3F83" w:rsidRPr="002F3F83" w:rsidRDefault="002F3F83" w:rsidP="002F3F83">
      <w:pPr>
        <w:jc w:val="both"/>
        <w:rPr>
          <w:rFonts w:ascii="Arial" w:hAnsi="Arial" w:cs="Arial"/>
          <w:iCs/>
          <w:color w:val="000000"/>
          <w:sz w:val="20"/>
          <w:szCs w:val="20"/>
          <w:lang w:eastAsia="en-US"/>
        </w:rPr>
      </w:pPr>
    </w:p>
    <w:p w14:paraId="08FA5C8C" w14:textId="1F1CEE6D" w:rsidR="002F3F83" w:rsidRPr="002F3F83" w:rsidRDefault="002F3F83" w:rsidP="002F3F83">
      <w:pPr>
        <w:jc w:val="both"/>
        <w:rPr>
          <w:rFonts w:ascii="Arial" w:hAnsi="Arial" w:cs="Arial"/>
          <w:iCs/>
          <w:color w:val="000000"/>
          <w:sz w:val="20"/>
          <w:szCs w:val="20"/>
          <w:lang w:eastAsia="en-US"/>
        </w:rPr>
      </w:pPr>
      <w:r w:rsidRPr="002F3F83">
        <w:rPr>
          <w:rFonts w:ascii="Arial" w:hAnsi="Arial" w:cs="Arial"/>
          <w:iCs/>
          <w:color w:val="000000"/>
          <w:sz w:val="20"/>
          <w:szCs w:val="20"/>
          <w:lang w:eastAsia="en-US"/>
        </w:rPr>
        <w:t xml:space="preserve">En la actualidad, las condiciones de aseguramiento para estos amparos son dictadas directamente por el mercado reasegurador, el cual exige una distribución del riesgo soportada en un esquema de respaldo facultativo. En consecuencia, resulta técnica y financieramente imperativo conservar las tasas del 4.8% para Todo Riesgo Obras Civiles Terminadas y del 3.5% para </w:t>
      </w:r>
      <w:proofErr w:type="spellStart"/>
      <w:r w:rsidRPr="002F3F83">
        <w:rPr>
          <w:rFonts w:ascii="Arial" w:hAnsi="Arial" w:cs="Arial"/>
          <w:iCs/>
          <w:color w:val="000000"/>
          <w:sz w:val="20"/>
          <w:szCs w:val="20"/>
          <w:lang w:eastAsia="en-US"/>
        </w:rPr>
        <w:t>RCE</w:t>
      </w:r>
      <w:proofErr w:type="spellEnd"/>
      <w:r w:rsidRPr="002F3F83">
        <w:rPr>
          <w:rFonts w:ascii="Arial" w:hAnsi="Arial" w:cs="Arial"/>
          <w:iCs/>
          <w:color w:val="000000"/>
          <w:sz w:val="20"/>
          <w:szCs w:val="20"/>
          <w:lang w:eastAsia="en-US"/>
        </w:rPr>
        <w:t>. Lo anterior garantiza el principio de suficiencia presupuestal para la viabilidad de la futura contratación, máxime cuando la cobertura no ampara la totalidad del riesgo, sino una porción específica de la infraestructura</w:t>
      </w:r>
    </w:p>
    <w:p w14:paraId="3784651C" w14:textId="77777777" w:rsidR="0049463D" w:rsidRPr="00FB351A" w:rsidRDefault="0049463D" w:rsidP="00803115">
      <w:pPr>
        <w:jc w:val="both"/>
        <w:rPr>
          <w:rFonts w:ascii="Arial" w:hAnsi="Arial" w:cs="Arial"/>
          <w:iCs/>
          <w:color w:val="000000"/>
          <w:sz w:val="20"/>
          <w:szCs w:val="20"/>
          <w:lang w:eastAsia="en-US"/>
        </w:rPr>
      </w:pPr>
    </w:p>
    <w:p w14:paraId="1B67A234" w14:textId="77777777" w:rsidR="004402A0" w:rsidRPr="00FB351A" w:rsidRDefault="004402A0">
      <w:pPr>
        <w:numPr>
          <w:ilvl w:val="1"/>
          <w:numId w:val="35"/>
        </w:num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Valor por Dinero</w:t>
      </w:r>
    </w:p>
    <w:p w14:paraId="71C66E9E" w14:textId="77777777" w:rsidR="004402A0" w:rsidRPr="00FB351A" w:rsidRDefault="004402A0" w:rsidP="00803115">
      <w:pPr>
        <w:jc w:val="both"/>
        <w:rPr>
          <w:rFonts w:ascii="Arial" w:hAnsi="Arial" w:cs="Arial"/>
          <w:iCs/>
          <w:color w:val="000000"/>
          <w:sz w:val="20"/>
          <w:szCs w:val="20"/>
          <w:lang w:eastAsia="en-US"/>
        </w:rPr>
      </w:pPr>
    </w:p>
    <w:p w14:paraId="648E9969"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La Entidad ha optimizado el valor de los recursos de presupuesto disponibles para la contratación de seguros, viendo satisfecho con este análisis, la forma más conveniente de satisfacer la necesidad, no solo en beneficio de la misma entidad, sino para beneficio de la economía en general, el ambiente y la sociedad. </w:t>
      </w:r>
    </w:p>
    <w:p w14:paraId="4DA02E48" w14:textId="77777777" w:rsidR="004402A0" w:rsidRPr="00FB351A" w:rsidRDefault="004402A0" w:rsidP="00803115">
      <w:pPr>
        <w:jc w:val="both"/>
        <w:rPr>
          <w:rFonts w:ascii="Arial" w:hAnsi="Arial" w:cs="Arial"/>
          <w:iCs/>
          <w:color w:val="000000"/>
          <w:sz w:val="20"/>
          <w:szCs w:val="20"/>
          <w:lang w:eastAsia="en-US"/>
        </w:rPr>
      </w:pPr>
    </w:p>
    <w:p w14:paraId="151C5188"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Por ello se promueve el uso íntegro, efectivo, eficiente y económico de los recursos destinados a la futura contratación, considerando entre otros, los costos indirectos de las propuestas y las externalidades positivas o negativas generadas por el ciclo de vida del seguro. </w:t>
      </w:r>
    </w:p>
    <w:p w14:paraId="7A708BEB" w14:textId="77777777" w:rsidR="004402A0" w:rsidRPr="00FB351A" w:rsidRDefault="004402A0" w:rsidP="00803115">
      <w:pPr>
        <w:jc w:val="both"/>
        <w:rPr>
          <w:rFonts w:ascii="Arial" w:hAnsi="Arial" w:cs="Arial"/>
          <w:iCs/>
          <w:color w:val="000000"/>
          <w:sz w:val="20"/>
          <w:szCs w:val="20"/>
          <w:lang w:eastAsia="en-US"/>
        </w:rPr>
      </w:pPr>
    </w:p>
    <w:p w14:paraId="4AB4BB72"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Esto, ponderado con los factores de calidad técnica, dirigidos a garantizar que los seguros por adquirir cumplan con </w:t>
      </w:r>
    </w:p>
    <w:p w14:paraId="1287CEAC" w14:textId="0EB9467A" w:rsidR="004402A0"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lastRenderedPageBreak/>
        <w:t>las especificaciones adecuadas para satisfacer totalmente las necesidades que motivan la contratación, y que generan beneficios sociales y ambientales asociados al ámbito de ejecución del contrato</w:t>
      </w:r>
      <w:r w:rsidR="00E322F7">
        <w:rPr>
          <w:rFonts w:ascii="Arial" w:hAnsi="Arial" w:cs="Arial"/>
          <w:iCs/>
          <w:color w:val="000000"/>
          <w:sz w:val="20"/>
          <w:szCs w:val="20"/>
          <w:lang w:eastAsia="en-US"/>
        </w:rPr>
        <w:t>.</w:t>
      </w:r>
    </w:p>
    <w:p w14:paraId="23164ECA" w14:textId="77777777" w:rsidR="00E322F7" w:rsidRDefault="00E322F7" w:rsidP="00803115">
      <w:pPr>
        <w:jc w:val="both"/>
        <w:rPr>
          <w:rFonts w:ascii="Arial" w:hAnsi="Arial" w:cs="Arial"/>
          <w:iCs/>
          <w:color w:val="000000"/>
          <w:sz w:val="20"/>
          <w:szCs w:val="20"/>
          <w:lang w:eastAsia="en-US"/>
        </w:rPr>
      </w:pPr>
    </w:p>
    <w:p w14:paraId="135C5082" w14:textId="66611E86" w:rsidR="0064597D" w:rsidRPr="0064597D" w:rsidRDefault="0064597D" w:rsidP="0064597D">
      <w:pPr>
        <w:pStyle w:val="Prrafodelista"/>
        <w:numPr>
          <w:ilvl w:val="1"/>
          <w:numId w:val="35"/>
        </w:numPr>
        <w:jc w:val="both"/>
        <w:rPr>
          <w:rFonts w:ascii="Arial" w:hAnsi="Arial" w:cs="Arial"/>
          <w:iCs/>
          <w:color w:val="000000"/>
          <w:sz w:val="20"/>
          <w:szCs w:val="20"/>
          <w:lang w:eastAsia="en-US"/>
        </w:rPr>
      </w:pPr>
      <w:r w:rsidRPr="0064597D">
        <w:rPr>
          <w:rFonts w:ascii="Arial" w:hAnsi="Arial" w:cs="Arial"/>
          <w:b/>
          <w:bCs/>
          <w:iCs/>
          <w:color w:val="000000"/>
          <w:sz w:val="20"/>
          <w:szCs w:val="20"/>
          <w:lang w:eastAsia="en-US"/>
        </w:rPr>
        <w:t>Justificación Jurídica Y Técnica Del Plazo De Ejecución</w:t>
      </w:r>
    </w:p>
    <w:p w14:paraId="134FF829" w14:textId="77777777" w:rsidR="0064597D" w:rsidRPr="0064597D" w:rsidRDefault="0064597D" w:rsidP="0064597D">
      <w:pPr>
        <w:pStyle w:val="Prrafodelista"/>
        <w:ind w:left="360" w:firstLine="0"/>
        <w:jc w:val="both"/>
        <w:rPr>
          <w:rFonts w:ascii="Arial" w:hAnsi="Arial" w:cs="Arial"/>
          <w:iCs/>
          <w:color w:val="000000"/>
          <w:sz w:val="20"/>
          <w:szCs w:val="20"/>
          <w:lang w:eastAsia="en-US"/>
        </w:rPr>
      </w:pPr>
    </w:p>
    <w:p w14:paraId="57893F4D" w14:textId="07AAAE06" w:rsidR="0064597D" w:rsidRDefault="0064597D" w:rsidP="0064597D">
      <w:pPr>
        <w:jc w:val="both"/>
        <w:rPr>
          <w:rFonts w:ascii="Arial" w:hAnsi="Arial" w:cs="Arial"/>
          <w:iCs/>
          <w:color w:val="000000"/>
          <w:sz w:val="20"/>
          <w:szCs w:val="20"/>
          <w:lang w:eastAsia="en-US"/>
        </w:rPr>
      </w:pPr>
      <w:r w:rsidRPr="0064597D">
        <w:rPr>
          <w:rFonts w:ascii="Arial" w:hAnsi="Arial" w:cs="Arial"/>
          <w:iCs/>
          <w:color w:val="000000"/>
          <w:sz w:val="20"/>
          <w:szCs w:val="20"/>
          <w:lang w:eastAsia="en-US"/>
        </w:rPr>
        <w:t xml:space="preserve">La determinación del plazo de ejecución del contrato, correspondiente a una vigencia de ochenta y dos (82) días para el programa de seguros de la Agencia de Desarrollo Rural (ADR), no es caprichosa ni arbitraria; obedece a una estructuración técnica, jurídica y financiera orientada a garantizar la protección del patrimonio público. </w:t>
      </w:r>
    </w:p>
    <w:p w14:paraId="151FFFF2" w14:textId="77777777" w:rsidR="005519A0" w:rsidRPr="0064597D" w:rsidRDefault="005519A0" w:rsidP="0064597D">
      <w:pPr>
        <w:jc w:val="both"/>
        <w:rPr>
          <w:rFonts w:ascii="Arial" w:hAnsi="Arial" w:cs="Arial"/>
          <w:iCs/>
          <w:color w:val="000000"/>
          <w:sz w:val="20"/>
          <w:szCs w:val="20"/>
          <w:lang w:eastAsia="en-US"/>
        </w:rPr>
      </w:pPr>
    </w:p>
    <w:p w14:paraId="19A99877" w14:textId="77777777" w:rsidR="00555A66" w:rsidRDefault="0064597D" w:rsidP="0064597D">
      <w:pPr>
        <w:jc w:val="both"/>
        <w:rPr>
          <w:rFonts w:ascii="Arial" w:hAnsi="Arial" w:cs="Arial"/>
          <w:iCs/>
          <w:color w:val="000000"/>
          <w:sz w:val="20"/>
          <w:szCs w:val="20"/>
          <w:lang w:eastAsia="en-US"/>
        </w:rPr>
      </w:pPr>
      <w:r w:rsidRPr="0064597D">
        <w:rPr>
          <w:rFonts w:ascii="Arial" w:hAnsi="Arial" w:cs="Arial"/>
          <w:iCs/>
          <w:color w:val="000000"/>
          <w:sz w:val="20"/>
          <w:szCs w:val="20"/>
          <w:lang w:eastAsia="en-US"/>
        </w:rPr>
        <w:t xml:space="preserve">El programa de seguros vigente de la Entidad finaliza su cobertura el próximo </w:t>
      </w:r>
      <w:r w:rsidR="005519A0">
        <w:rPr>
          <w:rFonts w:ascii="Arial" w:hAnsi="Arial" w:cs="Arial"/>
          <w:iCs/>
          <w:color w:val="000000"/>
          <w:sz w:val="20"/>
          <w:szCs w:val="20"/>
          <w:lang w:eastAsia="en-US"/>
        </w:rPr>
        <w:t>26</w:t>
      </w:r>
      <w:r w:rsidRPr="0064597D">
        <w:rPr>
          <w:rFonts w:ascii="Arial" w:hAnsi="Arial" w:cs="Arial"/>
          <w:iCs/>
          <w:color w:val="000000"/>
          <w:sz w:val="20"/>
          <w:szCs w:val="20"/>
          <w:lang w:eastAsia="en-US"/>
        </w:rPr>
        <w:t xml:space="preserve"> de noviembre de 2026</w:t>
      </w:r>
      <w:r w:rsidR="005519A0">
        <w:rPr>
          <w:rFonts w:ascii="Arial" w:hAnsi="Arial" w:cs="Arial"/>
          <w:iCs/>
          <w:color w:val="000000"/>
          <w:sz w:val="20"/>
          <w:szCs w:val="20"/>
          <w:lang w:eastAsia="en-US"/>
        </w:rPr>
        <w:t xml:space="preserve"> (SOAT: 16 de noviembre de 2026)</w:t>
      </w:r>
      <w:r w:rsidRPr="0064597D">
        <w:rPr>
          <w:rFonts w:ascii="Arial" w:hAnsi="Arial" w:cs="Arial"/>
          <w:iCs/>
          <w:color w:val="000000"/>
          <w:sz w:val="20"/>
          <w:szCs w:val="20"/>
          <w:lang w:eastAsia="en-US"/>
        </w:rPr>
        <w:t xml:space="preserve">. Por mandato constitucional y legal, los bienes e intereses patrimoniales del Estado no pueden quedar en situación de </w:t>
      </w:r>
      <w:proofErr w:type="spellStart"/>
      <w:r w:rsidRPr="0064597D">
        <w:rPr>
          <w:rFonts w:ascii="Arial" w:hAnsi="Arial" w:cs="Arial"/>
          <w:iCs/>
          <w:color w:val="000000"/>
          <w:sz w:val="20"/>
          <w:szCs w:val="20"/>
          <w:lang w:eastAsia="en-US"/>
        </w:rPr>
        <w:t>desaseguramiento</w:t>
      </w:r>
      <w:proofErr w:type="spellEnd"/>
      <w:r w:rsidRPr="0064597D">
        <w:rPr>
          <w:rFonts w:ascii="Arial" w:hAnsi="Arial" w:cs="Arial"/>
          <w:iCs/>
          <w:color w:val="000000"/>
          <w:sz w:val="20"/>
          <w:szCs w:val="20"/>
          <w:lang w:eastAsia="en-US"/>
        </w:rPr>
        <w:t>. Dado el estrecho margen de tiempo con el que cuenta la Entidad para estructurar, convocar y adjudicar el nuevo programa, resulta materialmente imposible adelantar un proceso de Licitación Pública (cuyos términos precontractuales son más extensos).</w:t>
      </w:r>
      <w:r w:rsidR="00555A66">
        <w:rPr>
          <w:rFonts w:ascii="Arial" w:hAnsi="Arial" w:cs="Arial"/>
          <w:iCs/>
          <w:color w:val="000000"/>
          <w:sz w:val="20"/>
          <w:szCs w:val="20"/>
          <w:lang w:eastAsia="en-US"/>
        </w:rPr>
        <w:t xml:space="preserve"> </w:t>
      </w:r>
      <w:r w:rsidRPr="0064597D">
        <w:rPr>
          <w:rFonts w:ascii="Arial" w:hAnsi="Arial" w:cs="Arial"/>
          <w:iCs/>
          <w:color w:val="000000"/>
          <w:sz w:val="20"/>
          <w:szCs w:val="20"/>
          <w:lang w:eastAsia="en-US"/>
        </w:rPr>
        <w:t>Por lo tanto, se requiere acudir a un proceso de selección más ágil que garantice la adjudicación y el inicio de cobertura sin solución de continuidad</w:t>
      </w:r>
      <w:r w:rsidR="00555A66">
        <w:rPr>
          <w:rFonts w:ascii="Arial" w:hAnsi="Arial" w:cs="Arial"/>
          <w:iCs/>
          <w:color w:val="000000"/>
          <w:sz w:val="20"/>
          <w:szCs w:val="20"/>
          <w:lang w:eastAsia="en-US"/>
        </w:rPr>
        <w:t>, sin incurrir en fraccionamiento de contrato y garantizando la participación plural de oferentes.</w:t>
      </w:r>
    </w:p>
    <w:p w14:paraId="402BD8CC" w14:textId="77777777" w:rsidR="00555A66" w:rsidRDefault="00555A66" w:rsidP="0064597D">
      <w:pPr>
        <w:jc w:val="both"/>
        <w:rPr>
          <w:rFonts w:ascii="Arial" w:hAnsi="Arial" w:cs="Arial"/>
          <w:iCs/>
          <w:color w:val="000000"/>
          <w:sz w:val="20"/>
          <w:szCs w:val="20"/>
          <w:lang w:eastAsia="en-US"/>
        </w:rPr>
      </w:pPr>
    </w:p>
    <w:p w14:paraId="470148F9" w14:textId="3C8C59C4" w:rsidR="0064597D" w:rsidRPr="0064597D" w:rsidRDefault="0064597D" w:rsidP="0064597D">
      <w:pPr>
        <w:jc w:val="both"/>
        <w:rPr>
          <w:rFonts w:ascii="Arial" w:hAnsi="Arial" w:cs="Arial"/>
          <w:iCs/>
          <w:color w:val="000000"/>
          <w:sz w:val="20"/>
          <w:szCs w:val="20"/>
          <w:lang w:eastAsia="en-US"/>
        </w:rPr>
      </w:pPr>
      <w:r w:rsidRPr="0064597D">
        <w:rPr>
          <w:rFonts w:ascii="Arial" w:hAnsi="Arial" w:cs="Arial"/>
          <w:iCs/>
          <w:color w:val="000000"/>
          <w:sz w:val="20"/>
          <w:szCs w:val="20"/>
          <w:lang w:eastAsia="en-US"/>
        </w:rPr>
        <w:t>De conformidad con lo establecido en la Ley 1150 de 2007 y el Decreto 1082 de 2015, para poder adelantar el proceso de contratación a través de la modalidad de Selección Abreviada de Menor Cuantía, el presupuesto oficial estimado no puede exceder el tope fijado por la ley para la ADR según su presupuesto anual.</w:t>
      </w:r>
      <w:r w:rsidR="00555A66">
        <w:rPr>
          <w:rFonts w:ascii="Arial" w:hAnsi="Arial" w:cs="Arial"/>
          <w:iCs/>
          <w:color w:val="000000"/>
          <w:sz w:val="20"/>
          <w:szCs w:val="20"/>
          <w:lang w:eastAsia="en-US"/>
        </w:rPr>
        <w:t xml:space="preserve"> </w:t>
      </w:r>
      <w:r w:rsidRPr="0064597D">
        <w:rPr>
          <w:rFonts w:ascii="Arial" w:hAnsi="Arial" w:cs="Arial"/>
          <w:iCs/>
          <w:color w:val="000000"/>
          <w:sz w:val="20"/>
          <w:szCs w:val="20"/>
          <w:lang w:eastAsia="en-US"/>
        </w:rPr>
        <w:t xml:space="preserve">Si la Entidad estructurara el proceso por una vigencia </w:t>
      </w:r>
      <w:r w:rsidR="009E4FA2">
        <w:rPr>
          <w:rFonts w:ascii="Arial" w:hAnsi="Arial" w:cs="Arial"/>
          <w:iCs/>
          <w:color w:val="000000"/>
          <w:sz w:val="20"/>
          <w:szCs w:val="20"/>
          <w:lang w:eastAsia="en-US"/>
        </w:rPr>
        <w:t>adicional</w:t>
      </w:r>
      <w:r w:rsidRPr="0064597D">
        <w:rPr>
          <w:rFonts w:ascii="Arial" w:hAnsi="Arial" w:cs="Arial"/>
          <w:iCs/>
          <w:color w:val="000000"/>
          <w:sz w:val="20"/>
          <w:szCs w:val="20"/>
          <w:lang w:eastAsia="en-US"/>
        </w:rPr>
        <w:t>, el valor de las primas superaría dicho tope legal</w:t>
      </w:r>
      <w:r w:rsidR="009E4FA2">
        <w:rPr>
          <w:rFonts w:ascii="Arial" w:hAnsi="Arial" w:cs="Arial"/>
          <w:iCs/>
          <w:color w:val="000000"/>
          <w:sz w:val="20"/>
          <w:szCs w:val="20"/>
          <w:lang w:eastAsia="en-US"/>
        </w:rPr>
        <w:t xml:space="preserve"> (450 SMLMV o $</w:t>
      </w:r>
      <w:r w:rsidR="009E4FA2" w:rsidRPr="009E4FA2">
        <w:rPr>
          <w:rFonts w:ascii="Arial" w:hAnsi="Arial" w:cs="Arial"/>
          <w:iCs/>
          <w:color w:val="000000"/>
          <w:sz w:val="20"/>
          <w:szCs w:val="20"/>
          <w:lang w:eastAsia="en-US"/>
        </w:rPr>
        <w:t>787</w:t>
      </w:r>
      <w:r w:rsidR="009E4FA2">
        <w:rPr>
          <w:rFonts w:ascii="Arial" w:hAnsi="Arial" w:cs="Arial"/>
          <w:iCs/>
          <w:color w:val="000000"/>
          <w:sz w:val="20"/>
          <w:szCs w:val="20"/>
          <w:lang w:eastAsia="en-US"/>
        </w:rPr>
        <w:t>.</w:t>
      </w:r>
      <w:r w:rsidR="009E4FA2" w:rsidRPr="009E4FA2">
        <w:rPr>
          <w:rFonts w:ascii="Arial" w:hAnsi="Arial" w:cs="Arial"/>
          <w:iCs/>
          <w:color w:val="000000"/>
          <w:sz w:val="20"/>
          <w:szCs w:val="20"/>
          <w:lang w:eastAsia="en-US"/>
        </w:rPr>
        <w:t>907</w:t>
      </w:r>
      <w:r w:rsidR="009E4FA2">
        <w:rPr>
          <w:rFonts w:ascii="Arial" w:hAnsi="Arial" w:cs="Arial"/>
          <w:iCs/>
          <w:color w:val="000000"/>
          <w:sz w:val="20"/>
          <w:szCs w:val="20"/>
          <w:lang w:eastAsia="en-US"/>
        </w:rPr>
        <w:t>.</w:t>
      </w:r>
      <w:r w:rsidR="009E4FA2" w:rsidRPr="009E4FA2">
        <w:rPr>
          <w:rFonts w:ascii="Arial" w:hAnsi="Arial" w:cs="Arial"/>
          <w:iCs/>
          <w:color w:val="000000"/>
          <w:sz w:val="20"/>
          <w:szCs w:val="20"/>
          <w:lang w:eastAsia="en-US"/>
        </w:rPr>
        <w:t>250</w:t>
      </w:r>
      <w:r w:rsidR="009E4FA2">
        <w:rPr>
          <w:rFonts w:ascii="Arial" w:hAnsi="Arial" w:cs="Arial"/>
          <w:iCs/>
          <w:color w:val="000000"/>
          <w:sz w:val="20"/>
          <w:szCs w:val="20"/>
          <w:lang w:eastAsia="en-US"/>
        </w:rPr>
        <w:t>)</w:t>
      </w:r>
      <w:r w:rsidRPr="0064597D">
        <w:rPr>
          <w:rFonts w:ascii="Arial" w:hAnsi="Arial" w:cs="Arial"/>
          <w:iCs/>
          <w:color w:val="000000"/>
          <w:sz w:val="20"/>
          <w:szCs w:val="20"/>
          <w:lang w:eastAsia="en-US"/>
        </w:rPr>
        <w:t xml:space="preserve">, obligando a la ADR a convocar una Licitación Pública que no culminaría antes del 16 de noviembre, dejando a la entidad en descubierto. Al </w:t>
      </w:r>
      <w:r w:rsidR="009E4FA2">
        <w:rPr>
          <w:rFonts w:ascii="Arial" w:hAnsi="Arial" w:cs="Arial"/>
          <w:iCs/>
          <w:color w:val="000000"/>
          <w:sz w:val="20"/>
          <w:szCs w:val="20"/>
          <w:lang w:eastAsia="en-US"/>
        </w:rPr>
        <w:t>calcular</w:t>
      </w:r>
      <w:r w:rsidRPr="0064597D">
        <w:rPr>
          <w:rFonts w:ascii="Arial" w:hAnsi="Arial" w:cs="Arial"/>
          <w:iCs/>
          <w:color w:val="000000"/>
          <w:sz w:val="20"/>
          <w:szCs w:val="20"/>
          <w:lang w:eastAsia="en-US"/>
        </w:rPr>
        <w:t xml:space="preserve"> el plazo a 82 días, la prima a prorrata se ajusta estrictamente al límite permitido para la Menor Cuantía. Esto habilita el uso de la Selección Abreviada, un mecanismo expedito que permite cumplir con los cronogramas exigidos para empalmar con el vencimiento de las pólizas actuales.</w:t>
      </w:r>
    </w:p>
    <w:p w14:paraId="4EB1454E" w14:textId="77777777" w:rsidR="00A62D4B" w:rsidRDefault="00A62D4B" w:rsidP="0064597D">
      <w:pPr>
        <w:jc w:val="both"/>
        <w:rPr>
          <w:rFonts w:ascii="Arial" w:hAnsi="Arial" w:cs="Arial"/>
          <w:b/>
          <w:bCs/>
          <w:iCs/>
          <w:color w:val="000000"/>
          <w:sz w:val="20"/>
          <w:szCs w:val="20"/>
          <w:lang w:eastAsia="en-US"/>
        </w:rPr>
      </w:pPr>
    </w:p>
    <w:p w14:paraId="574FAF72" w14:textId="455AFD39" w:rsidR="0064597D" w:rsidRDefault="0064597D" w:rsidP="0064597D">
      <w:pPr>
        <w:jc w:val="both"/>
        <w:rPr>
          <w:rFonts w:ascii="Arial" w:hAnsi="Arial" w:cs="Arial"/>
          <w:iCs/>
          <w:color w:val="000000"/>
          <w:sz w:val="20"/>
          <w:szCs w:val="20"/>
          <w:lang w:eastAsia="en-US"/>
        </w:rPr>
      </w:pPr>
      <w:r w:rsidRPr="0064597D">
        <w:rPr>
          <w:rFonts w:ascii="Arial" w:hAnsi="Arial" w:cs="Arial"/>
          <w:iCs/>
          <w:color w:val="000000"/>
          <w:sz w:val="20"/>
          <w:szCs w:val="20"/>
          <w:lang w:eastAsia="en-US"/>
        </w:rPr>
        <w:t>El plazo de 82 días guarda absoluta correspondencia con el Certificado de Disponibilidad Presupuestal (CDP) expedido para este proceso. La Entidad cuenta con una apropiación presupuestal específica y limitada que alcanza para cubrir el costo de las primas exactamente por este periodo. Ampliar la vigencia requeriría comprometer recursos no disponibles actualmente o tramitar vigencias futuras, un procedimiento administrativo complejo que retrasaría la apertura del proceso y pondría en riesgo la continuidad de las coberturas a partir del 16 de noviembre.</w:t>
      </w:r>
    </w:p>
    <w:p w14:paraId="151D4835" w14:textId="77777777" w:rsidR="00A62D4B" w:rsidRDefault="00A62D4B" w:rsidP="0064597D">
      <w:pPr>
        <w:jc w:val="both"/>
        <w:rPr>
          <w:rFonts w:ascii="Arial" w:hAnsi="Arial" w:cs="Arial"/>
          <w:iCs/>
          <w:color w:val="000000"/>
          <w:sz w:val="20"/>
          <w:szCs w:val="20"/>
          <w:lang w:eastAsia="en-US"/>
        </w:rPr>
      </w:pPr>
    </w:p>
    <w:p w14:paraId="270A9237" w14:textId="73AB7E68" w:rsidR="0064597D" w:rsidRPr="0064597D" w:rsidRDefault="0064597D" w:rsidP="0064597D">
      <w:pPr>
        <w:jc w:val="both"/>
        <w:rPr>
          <w:rFonts w:ascii="Arial" w:hAnsi="Arial" w:cs="Arial"/>
          <w:iCs/>
          <w:color w:val="000000"/>
          <w:sz w:val="20"/>
          <w:szCs w:val="20"/>
          <w:lang w:eastAsia="en-US"/>
        </w:rPr>
      </w:pPr>
      <w:r w:rsidRPr="0064597D">
        <w:rPr>
          <w:rFonts w:ascii="Arial" w:hAnsi="Arial" w:cs="Arial"/>
          <w:iCs/>
          <w:color w:val="000000"/>
          <w:sz w:val="20"/>
          <w:szCs w:val="20"/>
          <w:lang w:eastAsia="en-US"/>
        </w:rPr>
        <w:t xml:space="preserve">En consecuencia, la vigencia de 82 días es el resultado de una armonización obligatoria entre el tiempo necesario para no exceder el presupuesto de la menor cuantía (habilitando un proceso de selección abreviada expedito), el respaldo presupuestal disponible emitido por el área financiera, y la necesidad ineludible de contar con un programa de seguros adjudicado y vigente a partir del 16 de noviembre de 2026 para evitar el </w:t>
      </w:r>
      <w:proofErr w:type="spellStart"/>
      <w:r w:rsidRPr="0064597D">
        <w:rPr>
          <w:rFonts w:ascii="Arial" w:hAnsi="Arial" w:cs="Arial"/>
          <w:iCs/>
          <w:color w:val="000000"/>
          <w:sz w:val="20"/>
          <w:szCs w:val="20"/>
          <w:lang w:eastAsia="en-US"/>
        </w:rPr>
        <w:t>desaseguramiento</w:t>
      </w:r>
      <w:proofErr w:type="spellEnd"/>
      <w:r w:rsidRPr="0064597D">
        <w:rPr>
          <w:rFonts w:ascii="Arial" w:hAnsi="Arial" w:cs="Arial"/>
          <w:iCs/>
          <w:color w:val="000000"/>
          <w:sz w:val="20"/>
          <w:szCs w:val="20"/>
          <w:lang w:eastAsia="en-US"/>
        </w:rPr>
        <w:t xml:space="preserve"> de la Agencia de Desarrollo Rura</w:t>
      </w:r>
    </w:p>
    <w:bookmarkEnd w:id="32"/>
    <w:bookmarkEnd w:id="33"/>
    <w:bookmarkEnd w:id="34"/>
    <w:bookmarkEnd w:id="35"/>
    <w:p w14:paraId="7F10502E" w14:textId="77777777" w:rsidR="004402A0" w:rsidRPr="00FB351A" w:rsidRDefault="004402A0" w:rsidP="00803115">
      <w:pPr>
        <w:jc w:val="both"/>
        <w:rPr>
          <w:rFonts w:ascii="Arial" w:hAnsi="Arial" w:cs="Arial"/>
          <w:iCs/>
          <w:color w:val="000000"/>
          <w:sz w:val="20"/>
          <w:szCs w:val="20"/>
          <w:lang w:eastAsia="en-US"/>
        </w:rPr>
      </w:pPr>
    </w:p>
    <w:p w14:paraId="2FE101A7" w14:textId="77777777" w:rsidR="004402A0" w:rsidRPr="00FB351A" w:rsidRDefault="004402A0">
      <w:pPr>
        <w:numPr>
          <w:ilvl w:val="1"/>
          <w:numId w:val="35"/>
        </w:num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Valor Proyectado</w:t>
      </w:r>
    </w:p>
    <w:p w14:paraId="660930C4" w14:textId="77777777" w:rsidR="004402A0" w:rsidRPr="00FB351A" w:rsidRDefault="004402A0" w:rsidP="00803115">
      <w:pPr>
        <w:jc w:val="both"/>
        <w:rPr>
          <w:rFonts w:ascii="Arial" w:hAnsi="Arial" w:cs="Arial"/>
          <w:b/>
          <w:bCs/>
          <w:iCs/>
          <w:color w:val="000000"/>
          <w:sz w:val="20"/>
          <w:szCs w:val="20"/>
          <w:lang w:eastAsia="en-US"/>
        </w:rPr>
      </w:pPr>
    </w:p>
    <w:p w14:paraId="0B0F8A73" w14:textId="1BF4C887" w:rsidR="00515836" w:rsidRPr="00F33B06" w:rsidRDefault="00515836" w:rsidP="00803115">
      <w:pPr>
        <w:jc w:val="both"/>
        <w:rPr>
          <w:rFonts w:ascii="Arial" w:hAnsi="Arial" w:cs="Arial"/>
          <w:b/>
          <w:bCs/>
          <w:iCs/>
          <w:color w:val="000000"/>
          <w:sz w:val="20"/>
          <w:szCs w:val="20"/>
          <w:lang w:eastAsia="en-US"/>
        </w:rPr>
      </w:pPr>
      <w:bookmarkStart w:id="36" w:name="_Hlk182388207"/>
      <w:r w:rsidRPr="00FB351A">
        <w:rPr>
          <w:rFonts w:ascii="Arial" w:hAnsi="Arial" w:cs="Arial"/>
          <w:iCs/>
          <w:color w:val="000000"/>
          <w:sz w:val="20"/>
          <w:szCs w:val="20"/>
          <w:lang w:eastAsia="en-US"/>
        </w:rPr>
        <w:t>De conformidad con el análisis de precios y la determinación de la necesidad contenida, el valor del presupuesto para el presente proceso es de hasta</w:t>
      </w:r>
      <w:r w:rsidR="00127808" w:rsidRPr="00FB351A">
        <w:rPr>
          <w:rFonts w:ascii="Arial" w:hAnsi="Arial" w:cs="Arial"/>
          <w:iCs/>
          <w:color w:val="000000"/>
          <w:sz w:val="20"/>
          <w:szCs w:val="20"/>
          <w:lang w:eastAsia="en-US"/>
        </w:rPr>
        <w:t xml:space="preserve"> </w:t>
      </w:r>
      <w:r w:rsidR="00F33B06" w:rsidRPr="00F33B06">
        <w:rPr>
          <w:rFonts w:ascii="Arial" w:hAnsi="Arial" w:cs="Arial"/>
          <w:b/>
          <w:bCs/>
          <w:iCs/>
          <w:color w:val="000000"/>
          <w:sz w:val="20"/>
          <w:szCs w:val="20"/>
          <w:lang w:eastAsia="en-US"/>
        </w:rPr>
        <w:t>SETECIENTOS OCHENTA Y SIETE MILLONES TRESCIENTOS NOVENTA Y NUEVE MIL VEINTE PESOS MC/TE ($ 787.399.020</w:t>
      </w:r>
      <w:r w:rsidR="00514147" w:rsidRPr="00FB351A">
        <w:rPr>
          <w:rFonts w:ascii="Arial" w:hAnsi="Arial" w:cs="Arial"/>
          <w:b/>
          <w:bCs/>
          <w:iCs/>
          <w:color w:val="000000"/>
          <w:sz w:val="20"/>
          <w:szCs w:val="20"/>
          <w:lang w:eastAsia="en-US"/>
        </w:rPr>
        <w:t>)</w:t>
      </w:r>
      <w:r w:rsidR="00514147" w:rsidRPr="00FB351A">
        <w:rPr>
          <w:rFonts w:ascii="Arial" w:hAnsi="Arial" w:cs="Arial"/>
          <w:iCs/>
          <w:color w:val="000000"/>
          <w:sz w:val="20"/>
          <w:szCs w:val="20"/>
          <w:lang w:eastAsia="en-US"/>
        </w:rPr>
        <w:t xml:space="preserve"> </w:t>
      </w:r>
      <w:r w:rsidR="009E1B71" w:rsidRPr="00FB351A">
        <w:rPr>
          <w:rFonts w:ascii="Arial" w:hAnsi="Arial" w:cs="Arial"/>
          <w:b/>
          <w:bCs/>
          <w:iCs/>
          <w:color w:val="000000"/>
          <w:sz w:val="20"/>
          <w:szCs w:val="20"/>
          <w:lang w:eastAsia="en-US"/>
        </w:rPr>
        <w:t>I</w:t>
      </w:r>
      <w:r w:rsidR="009E1B71" w:rsidRPr="00FB351A">
        <w:rPr>
          <w:rFonts w:ascii="Arial" w:hAnsi="Arial" w:cs="Arial"/>
          <w:iCs/>
          <w:color w:val="000000"/>
          <w:sz w:val="20"/>
          <w:szCs w:val="20"/>
          <w:lang w:eastAsia="en-US"/>
        </w:rPr>
        <w:t>ncluido</w:t>
      </w:r>
      <w:r w:rsidRPr="00FB351A">
        <w:rPr>
          <w:rFonts w:ascii="Arial" w:hAnsi="Arial" w:cs="Arial"/>
          <w:iCs/>
          <w:color w:val="000000"/>
          <w:sz w:val="20"/>
          <w:szCs w:val="20"/>
          <w:lang w:eastAsia="en-US"/>
        </w:rPr>
        <w:t xml:space="preserve"> IVA y demás impuestos, tasas y contribuciones que apliquen, así como los costos directos e indirectos en que incurra el contratista, distribuido en lotes de la siguiente manera:</w:t>
      </w:r>
    </w:p>
    <w:p w14:paraId="78BA8087" w14:textId="77777777" w:rsidR="004402A0" w:rsidRPr="00FB351A" w:rsidRDefault="004402A0" w:rsidP="00803115">
      <w:pPr>
        <w:jc w:val="both"/>
        <w:rPr>
          <w:rFonts w:ascii="Arial" w:hAnsi="Arial" w:cs="Arial"/>
          <w:iCs/>
          <w:color w:val="000000"/>
          <w:sz w:val="20"/>
          <w:szCs w:val="20"/>
          <w:lang w:eastAsia="en-US"/>
        </w:rPr>
      </w:pPr>
    </w:p>
    <w:p w14:paraId="25E1BCAC" w14:textId="5E7B3D85" w:rsidR="004402A0" w:rsidRPr="00FB351A" w:rsidRDefault="00737031" w:rsidP="00803115">
      <w:p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Lote</w:t>
      </w:r>
      <w:r w:rsidR="004402A0" w:rsidRPr="00FB351A">
        <w:rPr>
          <w:rFonts w:ascii="Arial" w:hAnsi="Arial" w:cs="Arial"/>
          <w:b/>
          <w:bCs/>
          <w:iCs/>
          <w:color w:val="000000"/>
          <w:sz w:val="20"/>
          <w:szCs w:val="20"/>
          <w:lang w:eastAsia="en-US"/>
        </w:rPr>
        <w:t xml:space="preserve"> Uno</w:t>
      </w:r>
      <w:r w:rsidR="004402A0" w:rsidRPr="00FB351A">
        <w:rPr>
          <w:rFonts w:ascii="Arial" w:hAnsi="Arial" w:cs="Arial"/>
          <w:iCs/>
          <w:color w:val="000000"/>
          <w:sz w:val="20"/>
          <w:szCs w:val="20"/>
          <w:lang w:eastAsia="en-US"/>
        </w:rPr>
        <w:t xml:space="preserve">: hasta </w:t>
      </w:r>
      <w:r w:rsidR="00972F3A" w:rsidRPr="00972F3A">
        <w:rPr>
          <w:rFonts w:ascii="Arial" w:hAnsi="Arial" w:cs="Arial"/>
          <w:b/>
          <w:bCs/>
          <w:iCs/>
          <w:color w:val="000000"/>
          <w:sz w:val="20"/>
          <w:szCs w:val="20"/>
          <w:lang w:eastAsia="en-US"/>
        </w:rPr>
        <w:t>OCHENTA Y UN MILLONES TRESCIENTOS OCHO MIL SETECIENTOS SESENTA Y SIETE PESOS MC/TE ($ 81.308.767)</w:t>
      </w:r>
      <w:r w:rsidR="00972F3A">
        <w:rPr>
          <w:rFonts w:ascii="Arial" w:hAnsi="Arial" w:cs="Arial"/>
          <w:b/>
          <w:bCs/>
          <w:iCs/>
          <w:color w:val="000000"/>
          <w:sz w:val="20"/>
          <w:szCs w:val="20"/>
          <w:lang w:eastAsia="en-US"/>
        </w:rPr>
        <w:t xml:space="preserve"> </w:t>
      </w:r>
      <w:r w:rsidR="00EC3276" w:rsidRPr="00FB351A">
        <w:rPr>
          <w:rFonts w:ascii="Arial" w:hAnsi="Arial" w:cs="Arial"/>
          <w:iCs/>
          <w:color w:val="000000"/>
          <w:sz w:val="20"/>
          <w:szCs w:val="20"/>
          <w:lang w:eastAsia="en-US"/>
        </w:rPr>
        <w:t>incluido</w:t>
      </w:r>
      <w:r w:rsidR="004402A0" w:rsidRPr="00FB351A">
        <w:rPr>
          <w:rFonts w:ascii="Arial" w:hAnsi="Arial" w:cs="Arial"/>
          <w:iCs/>
          <w:color w:val="000000"/>
          <w:sz w:val="20"/>
          <w:szCs w:val="20"/>
          <w:lang w:eastAsia="en-US"/>
        </w:rPr>
        <w:t xml:space="preserve"> IVA y demás impuestos, tasas y contribuciones que apliquen, así como los costos directos e indirectos en que incurra el contratista, para una vigencia mínima de </w:t>
      </w:r>
      <w:r w:rsidR="00972F3A">
        <w:rPr>
          <w:rFonts w:ascii="Arial" w:hAnsi="Arial" w:cs="Arial"/>
          <w:iCs/>
          <w:color w:val="000000"/>
          <w:sz w:val="20"/>
          <w:szCs w:val="20"/>
          <w:lang w:eastAsia="en-US"/>
        </w:rPr>
        <w:t>ochenta y dos</w:t>
      </w:r>
      <w:r w:rsidR="00820BBE" w:rsidRPr="00FB351A">
        <w:rPr>
          <w:rFonts w:ascii="Arial" w:hAnsi="Arial" w:cs="Arial"/>
          <w:iCs/>
          <w:color w:val="000000"/>
          <w:sz w:val="20"/>
          <w:szCs w:val="20"/>
          <w:lang w:eastAsia="en-US"/>
        </w:rPr>
        <w:t xml:space="preserve"> </w:t>
      </w:r>
      <w:r w:rsidR="004402A0" w:rsidRPr="00FB351A">
        <w:rPr>
          <w:rFonts w:ascii="Arial" w:hAnsi="Arial" w:cs="Arial"/>
          <w:iCs/>
          <w:color w:val="000000"/>
          <w:sz w:val="20"/>
          <w:szCs w:val="20"/>
          <w:lang w:eastAsia="en-US"/>
        </w:rPr>
        <w:t>(</w:t>
      </w:r>
      <w:r w:rsidR="00972F3A">
        <w:rPr>
          <w:rFonts w:ascii="Arial" w:hAnsi="Arial" w:cs="Arial"/>
          <w:iCs/>
          <w:color w:val="000000"/>
          <w:sz w:val="20"/>
          <w:szCs w:val="20"/>
          <w:lang w:eastAsia="en-US"/>
        </w:rPr>
        <w:t>82</w:t>
      </w:r>
      <w:r w:rsidR="004402A0" w:rsidRPr="00FB351A">
        <w:rPr>
          <w:rFonts w:ascii="Arial" w:hAnsi="Arial" w:cs="Arial"/>
          <w:iCs/>
          <w:color w:val="000000"/>
          <w:sz w:val="20"/>
          <w:szCs w:val="20"/>
          <w:lang w:eastAsia="en-US"/>
        </w:rPr>
        <w:t>) días.</w:t>
      </w:r>
    </w:p>
    <w:p w14:paraId="600FCF40" w14:textId="77777777" w:rsidR="004402A0" w:rsidRPr="00FB351A" w:rsidRDefault="004402A0" w:rsidP="00803115">
      <w:pPr>
        <w:jc w:val="both"/>
        <w:rPr>
          <w:rFonts w:ascii="Arial" w:hAnsi="Arial" w:cs="Arial"/>
          <w:b/>
          <w:bCs/>
          <w:iCs/>
          <w:color w:val="000000"/>
          <w:sz w:val="20"/>
          <w:szCs w:val="20"/>
          <w:lang w:eastAsia="en-US"/>
        </w:rPr>
      </w:pPr>
    </w:p>
    <w:tbl>
      <w:tblPr>
        <w:tblW w:w="0" w:type="auto"/>
        <w:tblCellMar>
          <w:left w:w="70" w:type="dxa"/>
          <w:right w:w="70" w:type="dxa"/>
        </w:tblCellMar>
        <w:tblLook w:val="04A0" w:firstRow="1" w:lastRow="0" w:firstColumn="1" w:lastColumn="0" w:noHBand="0" w:noVBand="1"/>
      </w:tblPr>
      <w:tblGrid>
        <w:gridCol w:w="3277"/>
        <w:gridCol w:w="982"/>
        <w:gridCol w:w="519"/>
        <w:gridCol w:w="435"/>
        <w:gridCol w:w="1559"/>
        <w:gridCol w:w="1288"/>
        <w:gridCol w:w="1559"/>
      </w:tblGrid>
      <w:tr w:rsidR="00F624B7" w:rsidRPr="00F624B7" w14:paraId="7B89BA8D" w14:textId="77777777" w:rsidTr="00F624B7">
        <w:trPr>
          <w:trHeight w:val="675"/>
        </w:trPr>
        <w:tc>
          <w:tcPr>
            <w:tcW w:w="0" w:type="auto"/>
            <w:tcBorders>
              <w:top w:val="single" w:sz="4" w:space="0" w:color="auto"/>
              <w:left w:val="single" w:sz="8" w:space="0" w:color="auto"/>
              <w:bottom w:val="single" w:sz="4" w:space="0" w:color="auto"/>
              <w:right w:val="single" w:sz="4" w:space="0" w:color="auto"/>
            </w:tcBorders>
            <w:shd w:val="clear" w:color="000000" w:fill="DAF2D0"/>
            <w:vAlign w:val="center"/>
            <w:hideMark/>
          </w:tcPr>
          <w:p w14:paraId="2CD1F6FF"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RAMO</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0DFD5381"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VALOR ASEGURADO</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4A793E8D"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TASA ANUAL</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28617407"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TIPO TASA</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3DACEAFD"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PRIMA NETA  </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2DBFB976"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IVA </w:t>
            </w:r>
          </w:p>
        </w:tc>
        <w:tc>
          <w:tcPr>
            <w:tcW w:w="0" w:type="auto"/>
            <w:tcBorders>
              <w:top w:val="single" w:sz="4" w:space="0" w:color="auto"/>
              <w:left w:val="nil"/>
              <w:bottom w:val="single" w:sz="4" w:space="0" w:color="auto"/>
              <w:right w:val="single" w:sz="8" w:space="0" w:color="auto"/>
            </w:tcBorders>
            <w:shd w:val="clear" w:color="000000" w:fill="DAF2D0"/>
            <w:vAlign w:val="center"/>
            <w:hideMark/>
          </w:tcPr>
          <w:p w14:paraId="2F3ABDA2" w14:textId="77777777" w:rsidR="00F624B7" w:rsidRPr="00F624B7" w:rsidRDefault="00F624B7" w:rsidP="00C726EF">
            <w:pPr>
              <w:jc w:val="center"/>
              <w:rPr>
                <w:rFonts w:ascii="Arial" w:hAnsi="Arial" w:cs="Arial"/>
                <w:b/>
                <w:bCs/>
                <w:color w:val="FF0000"/>
                <w:sz w:val="16"/>
                <w:szCs w:val="16"/>
              </w:rPr>
            </w:pPr>
            <w:r w:rsidRPr="00F624B7">
              <w:rPr>
                <w:rFonts w:ascii="Arial" w:hAnsi="Arial" w:cs="Arial"/>
                <w:b/>
                <w:bCs/>
                <w:color w:val="FF0000"/>
                <w:sz w:val="16"/>
                <w:szCs w:val="16"/>
              </w:rPr>
              <w:t xml:space="preserve"> PRIMA TOTAL </w:t>
            </w:r>
          </w:p>
        </w:tc>
      </w:tr>
      <w:tr w:rsidR="00F624B7" w:rsidRPr="00F624B7" w14:paraId="0522BBDC" w14:textId="77777777" w:rsidTr="00F624B7">
        <w:trPr>
          <w:trHeight w:val="499"/>
        </w:trPr>
        <w:tc>
          <w:tcPr>
            <w:tcW w:w="0" w:type="auto"/>
            <w:tcBorders>
              <w:top w:val="nil"/>
              <w:left w:val="single" w:sz="8" w:space="0" w:color="auto"/>
              <w:bottom w:val="single" w:sz="4" w:space="0" w:color="auto"/>
              <w:right w:val="single" w:sz="4" w:space="0" w:color="auto"/>
            </w:tcBorders>
            <w:noWrap/>
            <w:vAlign w:val="center"/>
            <w:hideMark/>
          </w:tcPr>
          <w:p w14:paraId="6DC6B718"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TODO RIESGO DAÑOS MATERIALES</w:t>
            </w:r>
          </w:p>
        </w:tc>
        <w:tc>
          <w:tcPr>
            <w:tcW w:w="0" w:type="auto"/>
            <w:tcBorders>
              <w:top w:val="nil"/>
              <w:left w:val="nil"/>
              <w:bottom w:val="single" w:sz="4" w:space="0" w:color="auto"/>
              <w:right w:val="single" w:sz="4" w:space="0" w:color="auto"/>
            </w:tcBorders>
            <w:noWrap/>
            <w:vAlign w:val="center"/>
            <w:hideMark/>
          </w:tcPr>
          <w:p w14:paraId="7B6B07EE"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$ 44,947,125,529</w:t>
            </w:r>
          </w:p>
        </w:tc>
        <w:tc>
          <w:tcPr>
            <w:tcW w:w="0" w:type="auto"/>
            <w:tcBorders>
              <w:top w:val="nil"/>
              <w:left w:val="nil"/>
              <w:bottom w:val="single" w:sz="4" w:space="0" w:color="auto"/>
              <w:right w:val="single" w:sz="4" w:space="0" w:color="auto"/>
            </w:tcBorders>
            <w:noWrap/>
            <w:vAlign w:val="center"/>
            <w:hideMark/>
          </w:tcPr>
          <w:p w14:paraId="541C2B2C"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1.53</w:t>
            </w:r>
          </w:p>
        </w:tc>
        <w:tc>
          <w:tcPr>
            <w:tcW w:w="0" w:type="auto"/>
            <w:vMerge w:val="restart"/>
            <w:tcBorders>
              <w:top w:val="nil"/>
              <w:left w:val="single" w:sz="4" w:space="0" w:color="auto"/>
              <w:bottom w:val="single" w:sz="4" w:space="0" w:color="auto"/>
              <w:right w:val="single" w:sz="4" w:space="0" w:color="auto"/>
            </w:tcBorders>
            <w:noWrap/>
            <w:vAlign w:val="center"/>
            <w:hideMark/>
          </w:tcPr>
          <w:p w14:paraId="57B11E9C" w14:textId="77777777" w:rsidR="00F624B7" w:rsidRPr="00F624B7" w:rsidRDefault="00F624B7" w:rsidP="00C726EF">
            <w:pPr>
              <w:jc w:val="center"/>
              <w:rPr>
                <w:rFonts w:ascii="Arial" w:hAnsi="Arial" w:cs="Arial"/>
                <w:color w:val="000000"/>
                <w:sz w:val="16"/>
                <w:szCs w:val="16"/>
              </w:rPr>
            </w:pPr>
            <w:r w:rsidRPr="00F624B7">
              <w:rPr>
                <w:rFonts w:ascii="Arial" w:hAnsi="Arial" w:cs="Arial"/>
                <w:color w:val="000000"/>
                <w:sz w:val="16"/>
                <w:szCs w:val="16"/>
              </w:rPr>
              <w:t>%o</w:t>
            </w:r>
          </w:p>
        </w:tc>
        <w:tc>
          <w:tcPr>
            <w:tcW w:w="0" w:type="auto"/>
            <w:tcBorders>
              <w:top w:val="nil"/>
              <w:left w:val="nil"/>
              <w:bottom w:val="single" w:sz="4" w:space="0" w:color="auto"/>
              <w:right w:val="single" w:sz="4" w:space="0" w:color="auto"/>
            </w:tcBorders>
            <w:noWrap/>
            <w:vAlign w:val="center"/>
            <w:hideMark/>
          </w:tcPr>
          <w:p w14:paraId="40F02887"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15,456,767 </w:t>
            </w:r>
          </w:p>
        </w:tc>
        <w:tc>
          <w:tcPr>
            <w:tcW w:w="0" w:type="auto"/>
            <w:tcBorders>
              <w:top w:val="nil"/>
              <w:left w:val="nil"/>
              <w:bottom w:val="single" w:sz="4" w:space="0" w:color="auto"/>
              <w:right w:val="single" w:sz="4" w:space="0" w:color="auto"/>
            </w:tcBorders>
            <w:noWrap/>
            <w:vAlign w:val="center"/>
            <w:hideMark/>
          </w:tcPr>
          <w:p w14:paraId="584FA56C"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2,936,786 </w:t>
            </w:r>
          </w:p>
        </w:tc>
        <w:tc>
          <w:tcPr>
            <w:tcW w:w="0" w:type="auto"/>
            <w:tcBorders>
              <w:top w:val="nil"/>
              <w:left w:val="nil"/>
              <w:bottom w:val="single" w:sz="4" w:space="0" w:color="auto"/>
              <w:right w:val="single" w:sz="8" w:space="0" w:color="auto"/>
            </w:tcBorders>
            <w:noWrap/>
            <w:vAlign w:val="center"/>
            <w:hideMark/>
          </w:tcPr>
          <w:p w14:paraId="028A0D09"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xml:space="preserve"> $                       18,393,553 </w:t>
            </w:r>
          </w:p>
        </w:tc>
      </w:tr>
      <w:tr w:rsidR="00F624B7" w:rsidRPr="00F624B7" w14:paraId="4722B78D" w14:textId="77777777" w:rsidTr="00F624B7">
        <w:trPr>
          <w:trHeight w:val="360"/>
        </w:trPr>
        <w:tc>
          <w:tcPr>
            <w:tcW w:w="0" w:type="auto"/>
            <w:tcBorders>
              <w:top w:val="nil"/>
              <w:left w:val="single" w:sz="8" w:space="0" w:color="auto"/>
              <w:bottom w:val="single" w:sz="4" w:space="0" w:color="auto"/>
              <w:right w:val="single" w:sz="4" w:space="0" w:color="auto"/>
            </w:tcBorders>
            <w:noWrap/>
            <w:vAlign w:val="center"/>
            <w:hideMark/>
          </w:tcPr>
          <w:p w14:paraId="208D9322" w14:textId="77777777" w:rsidR="00F624B7" w:rsidRPr="00F624B7" w:rsidRDefault="00F624B7" w:rsidP="00C726EF">
            <w:pPr>
              <w:rPr>
                <w:rFonts w:ascii="Arial" w:hAnsi="Arial" w:cs="Arial"/>
                <w:color w:val="000000"/>
                <w:sz w:val="16"/>
                <w:szCs w:val="16"/>
              </w:rPr>
            </w:pPr>
            <w:r w:rsidRPr="00F624B7">
              <w:rPr>
                <w:rFonts w:ascii="Arial" w:hAnsi="Arial" w:cs="Arial"/>
                <w:color w:val="000000"/>
                <w:sz w:val="16"/>
                <w:szCs w:val="16"/>
              </w:rPr>
              <w:t xml:space="preserve"> Índice Variable 5% </w:t>
            </w:r>
          </w:p>
        </w:tc>
        <w:tc>
          <w:tcPr>
            <w:tcW w:w="0" w:type="auto"/>
            <w:tcBorders>
              <w:top w:val="nil"/>
              <w:left w:val="nil"/>
              <w:bottom w:val="single" w:sz="4" w:space="0" w:color="auto"/>
              <w:right w:val="single" w:sz="4" w:space="0" w:color="auto"/>
            </w:tcBorders>
            <w:shd w:val="clear" w:color="000000" w:fill="FFFF00"/>
            <w:noWrap/>
            <w:vAlign w:val="center"/>
            <w:hideMark/>
          </w:tcPr>
          <w:p w14:paraId="72525043" w14:textId="77777777" w:rsidR="00F624B7" w:rsidRPr="00F624B7" w:rsidRDefault="00F624B7" w:rsidP="00C726EF">
            <w:pPr>
              <w:jc w:val="right"/>
              <w:rPr>
                <w:rFonts w:ascii="Arial" w:hAnsi="Arial" w:cs="Arial"/>
                <w:color w:val="000000"/>
                <w:sz w:val="16"/>
                <w:szCs w:val="16"/>
              </w:rPr>
            </w:pPr>
            <w:r w:rsidRPr="00F624B7">
              <w:rPr>
                <w:rFonts w:ascii="Arial" w:hAnsi="Arial" w:cs="Arial"/>
                <w:color w:val="000000"/>
                <w:sz w:val="16"/>
                <w:szCs w:val="16"/>
              </w:rPr>
              <w:t>$ 333,853,283</w:t>
            </w:r>
          </w:p>
        </w:tc>
        <w:tc>
          <w:tcPr>
            <w:tcW w:w="0" w:type="auto"/>
            <w:tcBorders>
              <w:top w:val="nil"/>
              <w:left w:val="nil"/>
              <w:bottom w:val="single" w:sz="4" w:space="0" w:color="auto"/>
              <w:right w:val="single" w:sz="4" w:space="0" w:color="auto"/>
            </w:tcBorders>
            <w:noWrap/>
            <w:vAlign w:val="center"/>
            <w:hideMark/>
          </w:tcPr>
          <w:p w14:paraId="5ADE11E3" w14:textId="77777777" w:rsidR="00F624B7" w:rsidRPr="00F624B7" w:rsidRDefault="00F624B7" w:rsidP="00C726EF">
            <w:pPr>
              <w:jc w:val="center"/>
              <w:rPr>
                <w:rFonts w:ascii="Arial" w:hAnsi="Arial" w:cs="Arial"/>
                <w:color w:val="00B0F0"/>
                <w:sz w:val="16"/>
                <w:szCs w:val="16"/>
              </w:rPr>
            </w:pPr>
            <w:r w:rsidRPr="00F624B7">
              <w:rPr>
                <w:rFonts w:ascii="Arial" w:hAnsi="Arial" w:cs="Arial"/>
                <w:color w:val="00B0F0"/>
                <w:sz w:val="16"/>
                <w:szCs w:val="16"/>
              </w:rPr>
              <w:t>0.77</w:t>
            </w:r>
          </w:p>
        </w:tc>
        <w:tc>
          <w:tcPr>
            <w:tcW w:w="0" w:type="auto"/>
            <w:vMerge/>
            <w:tcBorders>
              <w:top w:val="nil"/>
              <w:left w:val="single" w:sz="4" w:space="0" w:color="auto"/>
              <w:bottom w:val="single" w:sz="4" w:space="0" w:color="auto"/>
              <w:right w:val="single" w:sz="4" w:space="0" w:color="auto"/>
            </w:tcBorders>
            <w:vAlign w:val="center"/>
            <w:hideMark/>
          </w:tcPr>
          <w:p w14:paraId="14611725" w14:textId="77777777" w:rsidR="00F624B7" w:rsidRPr="00F624B7" w:rsidRDefault="00F624B7" w:rsidP="00C726EF">
            <w:pPr>
              <w:rPr>
                <w:rFonts w:ascii="Arial" w:hAnsi="Arial" w:cs="Arial"/>
                <w:color w:val="000000"/>
                <w:sz w:val="16"/>
                <w:szCs w:val="16"/>
              </w:rPr>
            </w:pPr>
          </w:p>
        </w:tc>
        <w:tc>
          <w:tcPr>
            <w:tcW w:w="0" w:type="auto"/>
            <w:tcBorders>
              <w:top w:val="nil"/>
              <w:left w:val="nil"/>
              <w:bottom w:val="single" w:sz="4" w:space="0" w:color="auto"/>
              <w:right w:val="single" w:sz="4" w:space="0" w:color="auto"/>
            </w:tcBorders>
            <w:noWrap/>
            <w:vAlign w:val="center"/>
            <w:hideMark/>
          </w:tcPr>
          <w:p w14:paraId="6BC1AC92" w14:textId="77777777" w:rsidR="00F624B7" w:rsidRPr="00F624B7" w:rsidRDefault="00F624B7" w:rsidP="00C726EF">
            <w:pPr>
              <w:jc w:val="center"/>
              <w:rPr>
                <w:rFonts w:ascii="Arial" w:hAnsi="Arial" w:cs="Arial"/>
                <w:color w:val="000000"/>
                <w:sz w:val="16"/>
                <w:szCs w:val="16"/>
              </w:rPr>
            </w:pPr>
            <w:r w:rsidRPr="00F624B7">
              <w:rPr>
                <w:rFonts w:ascii="Arial" w:hAnsi="Arial" w:cs="Arial"/>
                <w:color w:val="000000"/>
                <w:sz w:val="16"/>
                <w:szCs w:val="16"/>
              </w:rPr>
              <w:t xml:space="preserve"> $                              255,398 </w:t>
            </w:r>
          </w:p>
        </w:tc>
        <w:tc>
          <w:tcPr>
            <w:tcW w:w="0" w:type="auto"/>
            <w:tcBorders>
              <w:top w:val="nil"/>
              <w:left w:val="nil"/>
              <w:bottom w:val="single" w:sz="4" w:space="0" w:color="auto"/>
              <w:right w:val="single" w:sz="4" w:space="0" w:color="auto"/>
            </w:tcBorders>
            <w:noWrap/>
            <w:vAlign w:val="center"/>
            <w:hideMark/>
          </w:tcPr>
          <w:p w14:paraId="00065DD8" w14:textId="77777777" w:rsidR="00F624B7" w:rsidRPr="00F624B7" w:rsidRDefault="00F624B7" w:rsidP="00C726EF">
            <w:pPr>
              <w:jc w:val="center"/>
              <w:rPr>
                <w:rFonts w:ascii="Arial" w:hAnsi="Arial" w:cs="Arial"/>
                <w:color w:val="000000"/>
                <w:sz w:val="16"/>
                <w:szCs w:val="16"/>
              </w:rPr>
            </w:pPr>
            <w:r w:rsidRPr="00F624B7">
              <w:rPr>
                <w:rFonts w:ascii="Arial" w:hAnsi="Arial" w:cs="Arial"/>
                <w:color w:val="000000"/>
                <w:sz w:val="16"/>
                <w:szCs w:val="16"/>
              </w:rPr>
              <w:t xml:space="preserve"> $                       48,526 </w:t>
            </w:r>
          </w:p>
        </w:tc>
        <w:tc>
          <w:tcPr>
            <w:tcW w:w="0" w:type="auto"/>
            <w:tcBorders>
              <w:top w:val="nil"/>
              <w:left w:val="nil"/>
              <w:bottom w:val="single" w:sz="4" w:space="0" w:color="auto"/>
              <w:right w:val="single" w:sz="8" w:space="0" w:color="auto"/>
            </w:tcBorders>
            <w:noWrap/>
            <w:vAlign w:val="center"/>
            <w:hideMark/>
          </w:tcPr>
          <w:p w14:paraId="0F4AE43D" w14:textId="77777777" w:rsidR="00F624B7" w:rsidRPr="00F624B7" w:rsidRDefault="00F624B7" w:rsidP="00C726EF">
            <w:pPr>
              <w:jc w:val="right"/>
              <w:rPr>
                <w:rFonts w:ascii="Arial" w:hAnsi="Arial" w:cs="Arial"/>
                <w:color w:val="000000"/>
                <w:sz w:val="16"/>
                <w:szCs w:val="16"/>
              </w:rPr>
            </w:pPr>
            <w:r w:rsidRPr="00F624B7">
              <w:rPr>
                <w:rFonts w:ascii="Arial" w:hAnsi="Arial" w:cs="Arial"/>
                <w:color w:val="000000"/>
                <w:sz w:val="16"/>
                <w:szCs w:val="16"/>
              </w:rPr>
              <w:t xml:space="preserve"> $                             303,924 </w:t>
            </w:r>
          </w:p>
        </w:tc>
      </w:tr>
      <w:tr w:rsidR="00F624B7" w:rsidRPr="00F624B7" w14:paraId="2A77F331" w14:textId="77777777" w:rsidTr="00F624B7">
        <w:trPr>
          <w:trHeight w:val="499"/>
        </w:trPr>
        <w:tc>
          <w:tcPr>
            <w:tcW w:w="0" w:type="auto"/>
            <w:tcBorders>
              <w:top w:val="nil"/>
              <w:left w:val="single" w:sz="8" w:space="0" w:color="auto"/>
              <w:bottom w:val="single" w:sz="4" w:space="0" w:color="auto"/>
              <w:right w:val="single" w:sz="4" w:space="0" w:color="auto"/>
            </w:tcBorders>
            <w:noWrap/>
            <w:vAlign w:val="center"/>
            <w:hideMark/>
          </w:tcPr>
          <w:p w14:paraId="19E876FB" w14:textId="77777777" w:rsidR="00F624B7" w:rsidRPr="00F624B7" w:rsidRDefault="00F624B7" w:rsidP="00C726EF">
            <w:pPr>
              <w:rPr>
                <w:rFonts w:ascii="Arial" w:hAnsi="Arial" w:cs="Arial"/>
                <w:b/>
                <w:bCs/>
                <w:color w:val="FF0000"/>
                <w:sz w:val="16"/>
                <w:szCs w:val="16"/>
              </w:rPr>
            </w:pPr>
            <w:r w:rsidRPr="00F624B7">
              <w:rPr>
                <w:rFonts w:ascii="Arial" w:hAnsi="Arial" w:cs="Arial"/>
                <w:b/>
                <w:bCs/>
                <w:color w:val="FF0000"/>
                <w:sz w:val="16"/>
                <w:szCs w:val="16"/>
              </w:rPr>
              <w:t xml:space="preserve"> Futuras Inclusiones </w:t>
            </w:r>
            <w:proofErr w:type="spellStart"/>
            <w:r w:rsidRPr="00F624B7">
              <w:rPr>
                <w:rFonts w:ascii="Arial" w:hAnsi="Arial" w:cs="Arial"/>
                <w:b/>
                <w:bCs/>
                <w:color w:val="FF0000"/>
                <w:sz w:val="16"/>
                <w:szCs w:val="16"/>
              </w:rPr>
              <w:t>TRDM</w:t>
            </w:r>
            <w:proofErr w:type="spellEnd"/>
            <w:r w:rsidRPr="00F624B7">
              <w:rPr>
                <w:rFonts w:ascii="Arial" w:hAnsi="Arial" w:cs="Arial"/>
                <w:b/>
                <w:bCs/>
                <w:color w:val="FF0000"/>
                <w:sz w:val="16"/>
                <w:szCs w:val="16"/>
              </w:rPr>
              <w:t xml:space="preserve"> </w:t>
            </w:r>
          </w:p>
        </w:tc>
        <w:tc>
          <w:tcPr>
            <w:tcW w:w="0" w:type="auto"/>
            <w:tcBorders>
              <w:top w:val="nil"/>
              <w:left w:val="nil"/>
              <w:bottom w:val="single" w:sz="4" w:space="0" w:color="auto"/>
              <w:right w:val="single" w:sz="4" w:space="0" w:color="auto"/>
            </w:tcBorders>
            <w:noWrap/>
            <w:vAlign w:val="center"/>
            <w:hideMark/>
          </w:tcPr>
          <w:p w14:paraId="06294BE3" w14:textId="77777777" w:rsidR="00F624B7" w:rsidRPr="00F624B7" w:rsidRDefault="00F624B7" w:rsidP="00C726EF">
            <w:pPr>
              <w:rPr>
                <w:rFonts w:ascii="Arial" w:hAnsi="Arial" w:cs="Arial"/>
                <w:color w:val="FF0000"/>
                <w:sz w:val="16"/>
                <w:szCs w:val="16"/>
              </w:rPr>
            </w:pPr>
            <w:r w:rsidRPr="00F624B7">
              <w:rPr>
                <w:rFonts w:ascii="Arial" w:hAnsi="Arial" w:cs="Arial"/>
                <w:color w:val="FF0000"/>
                <w:sz w:val="16"/>
                <w:szCs w:val="16"/>
              </w:rPr>
              <w:t> </w:t>
            </w:r>
          </w:p>
        </w:tc>
        <w:tc>
          <w:tcPr>
            <w:tcW w:w="0" w:type="auto"/>
            <w:tcBorders>
              <w:top w:val="nil"/>
              <w:left w:val="nil"/>
              <w:bottom w:val="single" w:sz="4" w:space="0" w:color="auto"/>
              <w:right w:val="single" w:sz="4" w:space="0" w:color="auto"/>
            </w:tcBorders>
            <w:noWrap/>
            <w:vAlign w:val="center"/>
            <w:hideMark/>
          </w:tcPr>
          <w:p w14:paraId="7950E8A0" w14:textId="77777777" w:rsidR="00F624B7" w:rsidRPr="00F624B7" w:rsidRDefault="00F624B7" w:rsidP="00C726EF">
            <w:pPr>
              <w:jc w:val="center"/>
              <w:rPr>
                <w:rFonts w:ascii="Arial" w:hAnsi="Arial" w:cs="Arial"/>
                <w:color w:val="FF0000"/>
                <w:sz w:val="16"/>
                <w:szCs w:val="16"/>
              </w:rPr>
            </w:pPr>
            <w:r w:rsidRPr="00F624B7">
              <w:rPr>
                <w:rFonts w:ascii="Arial" w:hAnsi="Arial" w:cs="Arial"/>
                <w:color w:val="FF0000"/>
                <w:sz w:val="16"/>
                <w:szCs w:val="16"/>
              </w:rPr>
              <w:t> </w:t>
            </w:r>
          </w:p>
        </w:tc>
        <w:tc>
          <w:tcPr>
            <w:tcW w:w="0" w:type="auto"/>
            <w:tcBorders>
              <w:top w:val="nil"/>
              <w:left w:val="nil"/>
              <w:bottom w:val="single" w:sz="4" w:space="0" w:color="auto"/>
              <w:right w:val="single" w:sz="4" w:space="0" w:color="auto"/>
            </w:tcBorders>
            <w:noWrap/>
            <w:vAlign w:val="center"/>
            <w:hideMark/>
          </w:tcPr>
          <w:p w14:paraId="2FF945ED" w14:textId="77777777" w:rsidR="00F624B7" w:rsidRPr="00F624B7" w:rsidRDefault="00F624B7" w:rsidP="00C726EF">
            <w:pPr>
              <w:jc w:val="center"/>
              <w:rPr>
                <w:rFonts w:ascii="Arial" w:hAnsi="Arial" w:cs="Arial"/>
                <w:color w:val="FF0000"/>
                <w:sz w:val="16"/>
                <w:szCs w:val="16"/>
              </w:rPr>
            </w:pPr>
            <w:r w:rsidRPr="00F624B7">
              <w:rPr>
                <w:rFonts w:ascii="Arial" w:hAnsi="Arial" w:cs="Arial"/>
                <w:color w:val="FF0000"/>
                <w:sz w:val="16"/>
                <w:szCs w:val="16"/>
              </w:rPr>
              <w:t> </w:t>
            </w:r>
          </w:p>
        </w:tc>
        <w:tc>
          <w:tcPr>
            <w:tcW w:w="0" w:type="auto"/>
            <w:tcBorders>
              <w:top w:val="nil"/>
              <w:left w:val="nil"/>
              <w:bottom w:val="single" w:sz="4" w:space="0" w:color="auto"/>
              <w:right w:val="single" w:sz="4" w:space="0" w:color="auto"/>
            </w:tcBorders>
            <w:noWrap/>
            <w:vAlign w:val="center"/>
            <w:hideMark/>
          </w:tcPr>
          <w:p w14:paraId="08FC5C0F" w14:textId="77777777" w:rsidR="00F624B7" w:rsidRPr="00F624B7" w:rsidRDefault="00F624B7" w:rsidP="00C726EF">
            <w:pPr>
              <w:rPr>
                <w:rFonts w:ascii="Arial" w:hAnsi="Arial" w:cs="Arial"/>
                <w:color w:val="FF0000"/>
                <w:sz w:val="16"/>
                <w:szCs w:val="16"/>
              </w:rPr>
            </w:pPr>
            <w:r w:rsidRPr="00F624B7">
              <w:rPr>
                <w:rFonts w:ascii="Arial" w:hAnsi="Arial" w:cs="Arial"/>
                <w:color w:val="FF0000"/>
                <w:sz w:val="16"/>
                <w:szCs w:val="16"/>
              </w:rPr>
              <w:t xml:space="preserve"> $                                           - </w:t>
            </w:r>
          </w:p>
        </w:tc>
        <w:tc>
          <w:tcPr>
            <w:tcW w:w="0" w:type="auto"/>
            <w:tcBorders>
              <w:top w:val="nil"/>
              <w:left w:val="nil"/>
              <w:bottom w:val="single" w:sz="4" w:space="0" w:color="auto"/>
              <w:right w:val="single" w:sz="4" w:space="0" w:color="auto"/>
            </w:tcBorders>
            <w:noWrap/>
            <w:vAlign w:val="center"/>
            <w:hideMark/>
          </w:tcPr>
          <w:p w14:paraId="54645F73" w14:textId="77777777" w:rsidR="00F624B7" w:rsidRPr="00F624B7" w:rsidRDefault="00F624B7" w:rsidP="00C726EF">
            <w:pPr>
              <w:rPr>
                <w:rFonts w:ascii="Arial" w:hAnsi="Arial" w:cs="Arial"/>
                <w:color w:val="FF0000"/>
                <w:sz w:val="16"/>
                <w:szCs w:val="16"/>
              </w:rPr>
            </w:pPr>
            <w:r w:rsidRPr="00F624B7">
              <w:rPr>
                <w:rFonts w:ascii="Arial" w:hAnsi="Arial" w:cs="Arial"/>
                <w:color w:val="FF0000"/>
                <w:sz w:val="16"/>
                <w:szCs w:val="16"/>
              </w:rPr>
              <w:t xml:space="preserve"> $                                  - </w:t>
            </w:r>
          </w:p>
        </w:tc>
        <w:tc>
          <w:tcPr>
            <w:tcW w:w="0" w:type="auto"/>
            <w:tcBorders>
              <w:top w:val="nil"/>
              <w:left w:val="nil"/>
              <w:bottom w:val="single" w:sz="4" w:space="0" w:color="auto"/>
              <w:right w:val="single" w:sz="8" w:space="0" w:color="auto"/>
            </w:tcBorders>
            <w:noWrap/>
            <w:vAlign w:val="center"/>
            <w:hideMark/>
          </w:tcPr>
          <w:p w14:paraId="29AE9ADE" w14:textId="77777777" w:rsidR="00F624B7" w:rsidRPr="00F624B7" w:rsidRDefault="00F624B7" w:rsidP="00C726EF">
            <w:pPr>
              <w:jc w:val="right"/>
              <w:rPr>
                <w:rFonts w:ascii="Arial" w:hAnsi="Arial" w:cs="Arial"/>
                <w:b/>
                <w:bCs/>
                <w:color w:val="FF0000"/>
                <w:sz w:val="16"/>
                <w:szCs w:val="16"/>
              </w:rPr>
            </w:pPr>
            <w:r w:rsidRPr="00F624B7">
              <w:rPr>
                <w:rFonts w:ascii="Arial" w:hAnsi="Arial" w:cs="Arial"/>
                <w:b/>
                <w:bCs/>
                <w:color w:val="FF0000"/>
                <w:sz w:val="16"/>
                <w:szCs w:val="16"/>
              </w:rPr>
              <w:t xml:space="preserve"> $                                           - </w:t>
            </w:r>
          </w:p>
        </w:tc>
      </w:tr>
      <w:tr w:rsidR="00F624B7" w:rsidRPr="00F624B7" w14:paraId="016F0932" w14:textId="77777777" w:rsidTr="00F624B7">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56B96FA6"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TOTAL TODO RIESGO DAÑOS MATERIALES </w:t>
            </w:r>
          </w:p>
        </w:tc>
        <w:tc>
          <w:tcPr>
            <w:tcW w:w="0" w:type="auto"/>
            <w:tcBorders>
              <w:top w:val="nil"/>
              <w:left w:val="nil"/>
              <w:bottom w:val="single" w:sz="4" w:space="0" w:color="auto"/>
              <w:right w:val="single" w:sz="4" w:space="0" w:color="auto"/>
            </w:tcBorders>
            <w:shd w:val="clear" w:color="000000" w:fill="DAF2D0"/>
            <w:noWrap/>
            <w:vAlign w:val="center"/>
            <w:hideMark/>
          </w:tcPr>
          <w:p w14:paraId="22FD0CC5"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$ 45,280,978,812</w:t>
            </w:r>
          </w:p>
        </w:tc>
        <w:tc>
          <w:tcPr>
            <w:tcW w:w="0" w:type="auto"/>
            <w:gridSpan w:val="2"/>
            <w:tcBorders>
              <w:top w:val="single" w:sz="4" w:space="0" w:color="auto"/>
              <w:left w:val="nil"/>
              <w:bottom w:val="single" w:sz="4" w:space="0" w:color="auto"/>
              <w:right w:val="single" w:sz="4" w:space="0" w:color="auto"/>
            </w:tcBorders>
            <w:shd w:val="clear" w:color="000000" w:fill="DAF2D0"/>
            <w:noWrap/>
            <w:vAlign w:val="center"/>
            <w:hideMark/>
          </w:tcPr>
          <w:p w14:paraId="60DFB6C2"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w:t>
            </w:r>
          </w:p>
        </w:tc>
        <w:tc>
          <w:tcPr>
            <w:tcW w:w="0" w:type="auto"/>
            <w:tcBorders>
              <w:top w:val="nil"/>
              <w:left w:val="nil"/>
              <w:bottom w:val="single" w:sz="4" w:space="0" w:color="auto"/>
              <w:right w:val="single" w:sz="4" w:space="0" w:color="auto"/>
            </w:tcBorders>
            <w:shd w:val="clear" w:color="000000" w:fill="DAF2D0"/>
            <w:noWrap/>
            <w:vAlign w:val="center"/>
            <w:hideMark/>
          </w:tcPr>
          <w:p w14:paraId="01731E7A"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                        15,712,165 </w:t>
            </w:r>
          </w:p>
        </w:tc>
        <w:tc>
          <w:tcPr>
            <w:tcW w:w="0" w:type="auto"/>
            <w:tcBorders>
              <w:top w:val="nil"/>
              <w:left w:val="nil"/>
              <w:bottom w:val="single" w:sz="4" w:space="0" w:color="auto"/>
              <w:right w:val="single" w:sz="4" w:space="0" w:color="auto"/>
            </w:tcBorders>
            <w:shd w:val="clear" w:color="000000" w:fill="DAF2D0"/>
            <w:noWrap/>
            <w:vAlign w:val="center"/>
            <w:hideMark/>
          </w:tcPr>
          <w:p w14:paraId="3864D44F"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                 2,985,312 </w:t>
            </w:r>
          </w:p>
        </w:tc>
        <w:tc>
          <w:tcPr>
            <w:tcW w:w="0" w:type="auto"/>
            <w:tcBorders>
              <w:top w:val="nil"/>
              <w:left w:val="nil"/>
              <w:bottom w:val="single" w:sz="4" w:space="0" w:color="auto"/>
              <w:right w:val="single" w:sz="8" w:space="0" w:color="auto"/>
            </w:tcBorders>
            <w:shd w:val="clear" w:color="000000" w:fill="DAF2D0"/>
            <w:noWrap/>
            <w:vAlign w:val="center"/>
            <w:hideMark/>
          </w:tcPr>
          <w:p w14:paraId="0F31B810"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                       18,697,477 </w:t>
            </w:r>
          </w:p>
        </w:tc>
      </w:tr>
      <w:tr w:rsidR="00F624B7" w:rsidRPr="00F624B7" w14:paraId="0663E198" w14:textId="77777777" w:rsidTr="00F624B7">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1BC06C4D"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MANEJO GLOBAL ENTIDADES ESTATALES</w:t>
            </w:r>
          </w:p>
        </w:tc>
        <w:tc>
          <w:tcPr>
            <w:tcW w:w="0" w:type="auto"/>
            <w:tcBorders>
              <w:top w:val="nil"/>
              <w:left w:val="nil"/>
              <w:bottom w:val="single" w:sz="4" w:space="0" w:color="auto"/>
              <w:right w:val="single" w:sz="4" w:space="0" w:color="auto"/>
            </w:tcBorders>
            <w:shd w:val="clear" w:color="000000" w:fill="DAF2D0"/>
            <w:noWrap/>
            <w:vAlign w:val="center"/>
            <w:hideMark/>
          </w:tcPr>
          <w:p w14:paraId="40079519"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$ 700,000,001</w:t>
            </w:r>
          </w:p>
        </w:tc>
        <w:tc>
          <w:tcPr>
            <w:tcW w:w="0" w:type="auto"/>
            <w:tcBorders>
              <w:top w:val="nil"/>
              <w:left w:val="nil"/>
              <w:bottom w:val="single" w:sz="4" w:space="0" w:color="auto"/>
              <w:right w:val="single" w:sz="4" w:space="0" w:color="auto"/>
            </w:tcBorders>
            <w:shd w:val="clear" w:color="000000" w:fill="DAF2D0"/>
            <w:noWrap/>
            <w:vAlign w:val="center"/>
            <w:hideMark/>
          </w:tcPr>
          <w:p w14:paraId="7DEFBE3A"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4.02</w:t>
            </w:r>
          </w:p>
        </w:tc>
        <w:tc>
          <w:tcPr>
            <w:tcW w:w="0" w:type="auto"/>
            <w:tcBorders>
              <w:top w:val="nil"/>
              <w:left w:val="nil"/>
              <w:bottom w:val="single" w:sz="4" w:space="0" w:color="auto"/>
              <w:right w:val="single" w:sz="4" w:space="0" w:color="auto"/>
            </w:tcBorders>
            <w:shd w:val="clear" w:color="000000" w:fill="DAF2D0"/>
            <w:noWrap/>
            <w:vAlign w:val="center"/>
            <w:hideMark/>
          </w:tcPr>
          <w:p w14:paraId="7161AD01"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w:t>
            </w:r>
          </w:p>
        </w:tc>
        <w:tc>
          <w:tcPr>
            <w:tcW w:w="0" w:type="auto"/>
            <w:tcBorders>
              <w:top w:val="nil"/>
              <w:left w:val="nil"/>
              <w:bottom w:val="single" w:sz="4" w:space="0" w:color="auto"/>
              <w:right w:val="single" w:sz="4" w:space="0" w:color="auto"/>
            </w:tcBorders>
            <w:shd w:val="clear" w:color="000000" w:fill="DAF2D0"/>
            <w:noWrap/>
            <w:vAlign w:val="center"/>
            <w:hideMark/>
          </w:tcPr>
          <w:p w14:paraId="4B36FBF8"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6,321,549 </w:t>
            </w:r>
          </w:p>
        </w:tc>
        <w:tc>
          <w:tcPr>
            <w:tcW w:w="0" w:type="auto"/>
            <w:tcBorders>
              <w:top w:val="nil"/>
              <w:left w:val="nil"/>
              <w:bottom w:val="single" w:sz="4" w:space="0" w:color="auto"/>
              <w:right w:val="single" w:sz="4" w:space="0" w:color="auto"/>
            </w:tcBorders>
            <w:shd w:val="clear" w:color="000000" w:fill="DAF2D0"/>
            <w:noWrap/>
            <w:vAlign w:val="center"/>
            <w:hideMark/>
          </w:tcPr>
          <w:p w14:paraId="176D35A2"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1,201,094 </w:t>
            </w:r>
          </w:p>
        </w:tc>
        <w:tc>
          <w:tcPr>
            <w:tcW w:w="0" w:type="auto"/>
            <w:tcBorders>
              <w:top w:val="nil"/>
              <w:left w:val="nil"/>
              <w:bottom w:val="single" w:sz="4" w:space="0" w:color="auto"/>
              <w:right w:val="single" w:sz="8" w:space="0" w:color="auto"/>
            </w:tcBorders>
            <w:shd w:val="clear" w:color="000000" w:fill="DAF2D0"/>
            <w:noWrap/>
            <w:vAlign w:val="center"/>
            <w:hideMark/>
          </w:tcPr>
          <w:p w14:paraId="53AF47D7"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xml:space="preserve"> $                          7,522,643 </w:t>
            </w:r>
          </w:p>
        </w:tc>
      </w:tr>
      <w:tr w:rsidR="00F624B7" w:rsidRPr="00F624B7" w14:paraId="39E69016" w14:textId="77777777" w:rsidTr="00F624B7">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40D23991"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RESPONSABILIDAD CIVI EXTRACONTRACTUAL</w:t>
            </w:r>
          </w:p>
        </w:tc>
        <w:tc>
          <w:tcPr>
            <w:tcW w:w="0" w:type="auto"/>
            <w:tcBorders>
              <w:top w:val="nil"/>
              <w:left w:val="nil"/>
              <w:bottom w:val="single" w:sz="4" w:space="0" w:color="auto"/>
              <w:right w:val="single" w:sz="4" w:space="0" w:color="auto"/>
            </w:tcBorders>
            <w:shd w:val="clear" w:color="000000" w:fill="DAF2D0"/>
            <w:noWrap/>
            <w:vAlign w:val="center"/>
            <w:hideMark/>
          </w:tcPr>
          <w:p w14:paraId="5BF7561A"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$ 5,000,000,001</w:t>
            </w:r>
          </w:p>
        </w:tc>
        <w:tc>
          <w:tcPr>
            <w:tcW w:w="0" w:type="auto"/>
            <w:tcBorders>
              <w:top w:val="nil"/>
              <w:left w:val="nil"/>
              <w:bottom w:val="single" w:sz="4" w:space="0" w:color="auto"/>
              <w:right w:val="single" w:sz="4" w:space="0" w:color="auto"/>
            </w:tcBorders>
            <w:shd w:val="clear" w:color="000000" w:fill="DAF2D0"/>
            <w:noWrap/>
            <w:vAlign w:val="center"/>
            <w:hideMark/>
          </w:tcPr>
          <w:p w14:paraId="3AAF08E6"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0.20</w:t>
            </w:r>
          </w:p>
        </w:tc>
        <w:tc>
          <w:tcPr>
            <w:tcW w:w="0" w:type="auto"/>
            <w:tcBorders>
              <w:top w:val="nil"/>
              <w:left w:val="nil"/>
              <w:bottom w:val="single" w:sz="4" w:space="0" w:color="auto"/>
              <w:right w:val="single" w:sz="4" w:space="0" w:color="auto"/>
            </w:tcBorders>
            <w:shd w:val="clear" w:color="000000" w:fill="DAF2D0"/>
            <w:noWrap/>
            <w:vAlign w:val="center"/>
            <w:hideMark/>
          </w:tcPr>
          <w:p w14:paraId="67F53725"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w:t>
            </w:r>
          </w:p>
        </w:tc>
        <w:tc>
          <w:tcPr>
            <w:tcW w:w="0" w:type="auto"/>
            <w:tcBorders>
              <w:top w:val="nil"/>
              <w:left w:val="nil"/>
              <w:bottom w:val="single" w:sz="4" w:space="0" w:color="auto"/>
              <w:right w:val="single" w:sz="4" w:space="0" w:color="auto"/>
            </w:tcBorders>
            <w:shd w:val="clear" w:color="000000" w:fill="DAF2D0"/>
            <w:noWrap/>
            <w:vAlign w:val="center"/>
            <w:hideMark/>
          </w:tcPr>
          <w:p w14:paraId="45516D3E"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2,224,110 </w:t>
            </w:r>
          </w:p>
        </w:tc>
        <w:tc>
          <w:tcPr>
            <w:tcW w:w="0" w:type="auto"/>
            <w:tcBorders>
              <w:top w:val="nil"/>
              <w:left w:val="nil"/>
              <w:bottom w:val="single" w:sz="4" w:space="0" w:color="auto"/>
              <w:right w:val="single" w:sz="4" w:space="0" w:color="auto"/>
            </w:tcBorders>
            <w:shd w:val="clear" w:color="000000" w:fill="DAF2D0"/>
            <w:noWrap/>
            <w:vAlign w:val="center"/>
            <w:hideMark/>
          </w:tcPr>
          <w:p w14:paraId="5FD8C574"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422,581 </w:t>
            </w:r>
          </w:p>
        </w:tc>
        <w:tc>
          <w:tcPr>
            <w:tcW w:w="0" w:type="auto"/>
            <w:tcBorders>
              <w:top w:val="nil"/>
              <w:left w:val="nil"/>
              <w:bottom w:val="single" w:sz="4" w:space="0" w:color="auto"/>
              <w:right w:val="single" w:sz="8" w:space="0" w:color="auto"/>
            </w:tcBorders>
            <w:shd w:val="clear" w:color="000000" w:fill="DAF2D0"/>
            <w:noWrap/>
            <w:vAlign w:val="center"/>
            <w:hideMark/>
          </w:tcPr>
          <w:p w14:paraId="1A1BDC7E"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xml:space="preserve"> $                          2,646,691 </w:t>
            </w:r>
          </w:p>
        </w:tc>
      </w:tr>
      <w:tr w:rsidR="00F624B7" w:rsidRPr="00F624B7" w14:paraId="696B7861" w14:textId="77777777" w:rsidTr="00F624B7">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5D326C50"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TRANSPORTE DE VALORES -LIM. DESPACHO $6.000.000</w:t>
            </w:r>
          </w:p>
        </w:tc>
        <w:tc>
          <w:tcPr>
            <w:tcW w:w="0" w:type="auto"/>
            <w:tcBorders>
              <w:top w:val="nil"/>
              <w:left w:val="nil"/>
              <w:bottom w:val="single" w:sz="4" w:space="0" w:color="auto"/>
              <w:right w:val="single" w:sz="4" w:space="0" w:color="auto"/>
            </w:tcBorders>
            <w:shd w:val="clear" w:color="000000" w:fill="DAF2D0"/>
            <w:noWrap/>
            <w:vAlign w:val="center"/>
            <w:hideMark/>
          </w:tcPr>
          <w:p w14:paraId="72722E79"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$ 40,000,000</w:t>
            </w:r>
          </w:p>
        </w:tc>
        <w:tc>
          <w:tcPr>
            <w:tcW w:w="0" w:type="auto"/>
            <w:tcBorders>
              <w:top w:val="nil"/>
              <w:left w:val="nil"/>
              <w:bottom w:val="single" w:sz="4" w:space="0" w:color="auto"/>
              <w:right w:val="single" w:sz="4" w:space="0" w:color="auto"/>
            </w:tcBorders>
            <w:shd w:val="clear" w:color="000000" w:fill="DAF2D0"/>
            <w:noWrap/>
            <w:vAlign w:val="center"/>
            <w:hideMark/>
          </w:tcPr>
          <w:p w14:paraId="216DCA00"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0.34</w:t>
            </w:r>
          </w:p>
        </w:tc>
        <w:tc>
          <w:tcPr>
            <w:tcW w:w="0" w:type="auto"/>
            <w:tcBorders>
              <w:top w:val="nil"/>
              <w:left w:val="nil"/>
              <w:bottom w:val="single" w:sz="4" w:space="0" w:color="auto"/>
              <w:right w:val="single" w:sz="4" w:space="0" w:color="auto"/>
            </w:tcBorders>
            <w:shd w:val="clear" w:color="000000" w:fill="DAF2D0"/>
            <w:noWrap/>
            <w:vAlign w:val="center"/>
            <w:hideMark/>
          </w:tcPr>
          <w:p w14:paraId="0BEB272A"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w:t>
            </w:r>
          </w:p>
        </w:tc>
        <w:tc>
          <w:tcPr>
            <w:tcW w:w="0" w:type="auto"/>
            <w:tcBorders>
              <w:top w:val="nil"/>
              <w:left w:val="nil"/>
              <w:bottom w:val="single" w:sz="4" w:space="0" w:color="auto"/>
              <w:right w:val="single" w:sz="4" w:space="0" w:color="auto"/>
            </w:tcBorders>
            <w:shd w:val="clear" w:color="000000" w:fill="DAF2D0"/>
            <w:noWrap/>
            <w:vAlign w:val="center"/>
            <w:hideMark/>
          </w:tcPr>
          <w:p w14:paraId="574A1C78"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30,194 </w:t>
            </w:r>
          </w:p>
        </w:tc>
        <w:tc>
          <w:tcPr>
            <w:tcW w:w="0" w:type="auto"/>
            <w:tcBorders>
              <w:top w:val="nil"/>
              <w:left w:val="nil"/>
              <w:bottom w:val="single" w:sz="4" w:space="0" w:color="auto"/>
              <w:right w:val="single" w:sz="4" w:space="0" w:color="auto"/>
            </w:tcBorders>
            <w:shd w:val="clear" w:color="000000" w:fill="DAF2D0"/>
            <w:noWrap/>
            <w:vAlign w:val="center"/>
            <w:hideMark/>
          </w:tcPr>
          <w:p w14:paraId="513319DC"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5,737 </w:t>
            </w:r>
          </w:p>
        </w:tc>
        <w:tc>
          <w:tcPr>
            <w:tcW w:w="0" w:type="auto"/>
            <w:tcBorders>
              <w:top w:val="nil"/>
              <w:left w:val="nil"/>
              <w:bottom w:val="single" w:sz="4" w:space="0" w:color="auto"/>
              <w:right w:val="single" w:sz="8" w:space="0" w:color="auto"/>
            </w:tcBorders>
            <w:shd w:val="clear" w:color="000000" w:fill="DAF2D0"/>
            <w:noWrap/>
            <w:vAlign w:val="center"/>
            <w:hideMark/>
          </w:tcPr>
          <w:p w14:paraId="3073E6D6"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xml:space="preserve"> $                               35,931 </w:t>
            </w:r>
          </w:p>
        </w:tc>
      </w:tr>
      <w:tr w:rsidR="00F624B7" w:rsidRPr="00F624B7" w14:paraId="0FC36A4D" w14:textId="77777777" w:rsidTr="00F624B7">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5AF61CDE"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TRANSPORTE DE MERCANCÍAS- LIM. despacho $70.000.000</w:t>
            </w:r>
          </w:p>
        </w:tc>
        <w:tc>
          <w:tcPr>
            <w:tcW w:w="0" w:type="auto"/>
            <w:tcBorders>
              <w:top w:val="nil"/>
              <w:left w:val="nil"/>
              <w:bottom w:val="single" w:sz="4" w:space="0" w:color="auto"/>
              <w:right w:val="single" w:sz="4" w:space="0" w:color="auto"/>
            </w:tcBorders>
            <w:shd w:val="clear" w:color="000000" w:fill="DAF2D0"/>
            <w:noWrap/>
            <w:vAlign w:val="center"/>
            <w:hideMark/>
          </w:tcPr>
          <w:p w14:paraId="2EBE659D"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$ 200,000,000</w:t>
            </w:r>
          </w:p>
        </w:tc>
        <w:tc>
          <w:tcPr>
            <w:tcW w:w="0" w:type="auto"/>
            <w:tcBorders>
              <w:top w:val="nil"/>
              <w:left w:val="nil"/>
              <w:bottom w:val="single" w:sz="4" w:space="0" w:color="auto"/>
              <w:right w:val="single" w:sz="4" w:space="0" w:color="auto"/>
            </w:tcBorders>
            <w:shd w:val="clear" w:color="000000" w:fill="DAF2D0"/>
            <w:noWrap/>
            <w:vAlign w:val="center"/>
            <w:hideMark/>
          </w:tcPr>
          <w:p w14:paraId="594D0044"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0.33</w:t>
            </w:r>
          </w:p>
        </w:tc>
        <w:tc>
          <w:tcPr>
            <w:tcW w:w="0" w:type="auto"/>
            <w:tcBorders>
              <w:top w:val="nil"/>
              <w:left w:val="nil"/>
              <w:bottom w:val="single" w:sz="4" w:space="0" w:color="auto"/>
              <w:right w:val="single" w:sz="4" w:space="0" w:color="auto"/>
            </w:tcBorders>
            <w:shd w:val="clear" w:color="000000" w:fill="DAF2D0"/>
            <w:noWrap/>
            <w:vAlign w:val="center"/>
            <w:hideMark/>
          </w:tcPr>
          <w:p w14:paraId="7A100E6F"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w:t>
            </w:r>
          </w:p>
        </w:tc>
        <w:tc>
          <w:tcPr>
            <w:tcW w:w="0" w:type="auto"/>
            <w:tcBorders>
              <w:top w:val="nil"/>
              <w:left w:val="nil"/>
              <w:bottom w:val="single" w:sz="4" w:space="0" w:color="auto"/>
              <w:right w:val="single" w:sz="4" w:space="0" w:color="auto"/>
            </w:tcBorders>
            <w:shd w:val="clear" w:color="000000" w:fill="DAF2D0"/>
            <w:noWrap/>
            <w:vAlign w:val="center"/>
            <w:hideMark/>
          </w:tcPr>
          <w:p w14:paraId="5506C171"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149,397 </w:t>
            </w:r>
          </w:p>
        </w:tc>
        <w:tc>
          <w:tcPr>
            <w:tcW w:w="0" w:type="auto"/>
            <w:tcBorders>
              <w:top w:val="nil"/>
              <w:left w:val="nil"/>
              <w:bottom w:val="single" w:sz="4" w:space="0" w:color="auto"/>
              <w:right w:val="single" w:sz="4" w:space="0" w:color="auto"/>
            </w:tcBorders>
            <w:shd w:val="clear" w:color="000000" w:fill="DAF2D0"/>
            <w:noWrap/>
            <w:vAlign w:val="center"/>
            <w:hideMark/>
          </w:tcPr>
          <w:p w14:paraId="7F37F579"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28,385 </w:t>
            </w:r>
          </w:p>
        </w:tc>
        <w:tc>
          <w:tcPr>
            <w:tcW w:w="0" w:type="auto"/>
            <w:tcBorders>
              <w:top w:val="nil"/>
              <w:left w:val="nil"/>
              <w:bottom w:val="single" w:sz="4" w:space="0" w:color="auto"/>
              <w:right w:val="single" w:sz="8" w:space="0" w:color="auto"/>
            </w:tcBorders>
            <w:shd w:val="clear" w:color="000000" w:fill="DAF2D0"/>
            <w:noWrap/>
            <w:vAlign w:val="center"/>
            <w:hideMark/>
          </w:tcPr>
          <w:p w14:paraId="20D1129A"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xml:space="preserve"> $                             177,782 </w:t>
            </w:r>
          </w:p>
        </w:tc>
      </w:tr>
      <w:tr w:rsidR="00F624B7" w:rsidRPr="00F624B7" w14:paraId="1F9A1E3A" w14:textId="77777777" w:rsidTr="00F624B7">
        <w:trPr>
          <w:trHeight w:val="499"/>
        </w:trPr>
        <w:tc>
          <w:tcPr>
            <w:tcW w:w="0" w:type="auto"/>
            <w:tcBorders>
              <w:top w:val="nil"/>
              <w:left w:val="single" w:sz="8" w:space="0" w:color="auto"/>
              <w:bottom w:val="single" w:sz="4" w:space="0" w:color="auto"/>
              <w:right w:val="single" w:sz="4" w:space="0" w:color="auto"/>
            </w:tcBorders>
            <w:noWrap/>
            <w:vAlign w:val="center"/>
            <w:hideMark/>
          </w:tcPr>
          <w:p w14:paraId="56D1C2F8"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TODO RIESGO EQUIPO Y MAQUINARÍA</w:t>
            </w:r>
          </w:p>
        </w:tc>
        <w:tc>
          <w:tcPr>
            <w:tcW w:w="0" w:type="auto"/>
            <w:tcBorders>
              <w:top w:val="nil"/>
              <w:left w:val="nil"/>
              <w:bottom w:val="single" w:sz="4" w:space="0" w:color="auto"/>
              <w:right w:val="single" w:sz="4" w:space="0" w:color="auto"/>
            </w:tcBorders>
            <w:noWrap/>
            <w:vAlign w:val="center"/>
            <w:hideMark/>
          </w:tcPr>
          <w:p w14:paraId="48318A5F"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$ 13,504,490,731</w:t>
            </w:r>
          </w:p>
        </w:tc>
        <w:tc>
          <w:tcPr>
            <w:tcW w:w="0" w:type="auto"/>
            <w:tcBorders>
              <w:top w:val="nil"/>
              <w:left w:val="nil"/>
              <w:bottom w:val="single" w:sz="4" w:space="0" w:color="auto"/>
              <w:right w:val="single" w:sz="4" w:space="0" w:color="auto"/>
            </w:tcBorders>
            <w:noWrap/>
            <w:vAlign w:val="center"/>
            <w:hideMark/>
          </w:tcPr>
          <w:p w14:paraId="2F963607"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8.67</w:t>
            </w:r>
          </w:p>
        </w:tc>
        <w:tc>
          <w:tcPr>
            <w:tcW w:w="0" w:type="auto"/>
            <w:tcBorders>
              <w:top w:val="nil"/>
              <w:left w:val="nil"/>
              <w:bottom w:val="single" w:sz="4" w:space="0" w:color="auto"/>
              <w:right w:val="single" w:sz="4" w:space="0" w:color="auto"/>
            </w:tcBorders>
            <w:noWrap/>
            <w:vAlign w:val="center"/>
            <w:hideMark/>
          </w:tcPr>
          <w:p w14:paraId="30A38A61" w14:textId="77777777" w:rsidR="00F624B7" w:rsidRPr="00F624B7" w:rsidRDefault="00F624B7" w:rsidP="00C726EF">
            <w:pPr>
              <w:jc w:val="center"/>
              <w:rPr>
                <w:rFonts w:ascii="Arial" w:hAnsi="Arial" w:cs="Arial"/>
                <w:color w:val="000000"/>
                <w:sz w:val="16"/>
                <w:szCs w:val="16"/>
              </w:rPr>
            </w:pPr>
            <w:r w:rsidRPr="00F624B7">
              <w:rPr>
                <w:rFonts w:ascii="Arial" w:hAnsi="Arial" w:cs="Arial"/>
                <w:color w:val="000000"/>
                <w:sz w:val="16"/>
                <w:szCs w:val="16"/>
              </w:rPr>
              <w:t>%o</w:t>
            </w:r>
          </w:p>
        </w:tc>
        <w:tc>
          <w:tcPr>
            <w:tcW w:w="0" w:type="auto"/>
            <w:tcBorders>
              <w:top w:val="nil"/>
              <w:left w:val="nil"/>
              <w:bottom w:val="single" w:sz="4" w:space="0" w:color="auto"/>
              <w:right w:val="single" w:sz="4" w:space="0" w:color="auto"/>
            </w:tcBorders>
            <w:noWrap/>
            <w:vAlign w:val="center"/>
            <w:hideMark/>
          </w:tcPr>
          <w:p w14:paraId="0D006AEE"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26,306,822 </w:t>
            </w:r>
          </w:p>
        </w:tc>
        <w:tc>
          <w:tcPr>
            <w:tcW w:w="0" w:type="auto"/>
            <w:tcBorders>
              <w:top w:val="nil"/>
              <w:left w:val="nil"/>
              <w:bottom w:val="single" w:sz="4" w:space="0" w:color="auto"/>
              <w:right w:val="single" w:sz="4" w:space="0" w:color="auto"/>
            </w:tcBorders>
            <w:noWrap/>
            <w:vAlign w:val="center"/>
            <w:hideMark/>
          </w:tcPr>
          <w:p w14:paraId="6412EF12"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4,998,296 </w:t>
            </w:r>
          </w:p>
        </w:tc>
        <w:tc>
          <w:tcPr>
            <w:tcW w:w="0" w:type="auto"/>
            <w:tcBorders>
              <w:top w:val="nil"/>
              <w:left w:val="nil"/>
              <w:bottom w:val="single" w:sz="4" w:space="0" w:color="auto"/>
              <w:right w:val="single" w:sz="8" w:space="0" w:color="auto"/>
            </w:tcBorders>
            <w:noWrap/>
            <w:vAlign w:val="center"/>
            <w:hideMark/>
          </w:tcPr>
          <w:p w14:paraId="456A71BC"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xml:space="preserve"> $                       31,305,118 </w:t>
            </w:r>
          </w:p>
        </w:tc>
      </w:tr>
      <w:tr w:rsidR="00F624B7" w:rsidRPr="00F624B7" w14:paraId="7EA5BC41" w14:textId="77777777" w:rsidTr="00F624B7">
        <w:trPr>
          <w:trHeight w:val="300"/>
        </w:trPr>
        <w:tc>
          <w:tcPr>
            <w:tcW w:w="0" w:type="auto"/>
            <w:tcBorders>
              <w:top w:val="nil"/>
              <w:left w:val="single" w:sz="8" w:space="0" w:color="auto"/>
              <w:bottom w:val="single" w:sz="4" w:space="0" w:color="auto"/>
              <w:right w:val="single" w:sz="4" w:space="0" w:color="auto"/>
            </w:tcBorders>
            <w:noWrap/>
            <w:vAlign w:val="center"/>
            <w:hideMark/>
          </w:tcPr>
          <w:p w14:paraId="7686643E" w14:textId="77777777" w:rsidR="00F624B7" w:rsidRPr="00F624B7" w:rsidRDefault="00F624B7" w:rsidP="00C726EF">
            <w:pPr>
              <w:rPr>
                <w:rFonts w:ascii="Arial" w:hAnsi="Arial" w:cs="Arial"/>
                <w:color w:val="000000"/>
                <w:sz w:val="16"/>
                <w:szCs w:val="16"/>
              </w:rPr>
            </w:pPr>
            <w:r w:rsidRPr="00F624B7">
              <w:rPr>
                <w:rFonts w:ascii="Arial" w:hAnsi="Arial" w:cs="Arial"/>
                <w:color w:val="000000"/>
                <w:sz w:val="16"/>
                <w:szCs w:val="16"/>
              </w:rPr>
              <w:t xml:space="preserve"> Índice Variable 10% </w:t>
            </w:r>
          </w:p>
        </w:tc>
        <w:tc>
          <w:tcPr>
            <w:tcW w:w="0" w:type="auto"/>
            <w:tcBorders>
              <w:top w:val="nil"/>
              <w:left w:val="nil"/>
              <w:bottom w:val="single" w:sz="4" w:space="0" w:color="auto"/>
              <w:right w:val="single" w:sz="4" w:space="0" w:color="auto"/>
            </w:tcBorders>
            <w:shd w:val="clear" w:color="000000" w:fill="FFFF00"/>
            <w:noWrap/>
            <w:vAlign w:val="center"/>
            <w:hideMark/>
          </w:tcPr>
          <w:p w14:paraId="1CC0A22D" w14:textId="77777777" w:rsidR="00F624B7" w:rsidRPr="00F624B7" w:rsidRDefault="00F624B7" w:rsidP="00C726EF">
            <w:pPr>
              <w:jc w:val="right"/>
              <w:rPr>
                <w:rFonts w:ascii="Arial" w:hAnsi="Arial" w:cs="Arial"/>
                <w:color w:val="000000"/>
                <w:sz w:val="16"/>
                <w:szCs w:val="16"/>
              </w:rPr>
            </w:pPr>
            <w:r w:rsidRPr="00F624B7">
              <w:rPr>
                <w:rFonts w:ascii="Arial" w:hAnsi="Arial" w:cs="Arial"/>
                <w:color w:val="000000"/>
                <w:sz w:val="16"/>
                <w:szCs w:val="16"/>
              </w:rPr>
              <w:t>$ 303,388,560</w:t>
            </w:r>
          </w:p>
        </w:tc>
        <w:tc>
          <w:tcPr>
            <w:tcW w:w="0" w:type="auto"/>
            <w:tcBorders>
              <w:top w:val="nil"/>
              <w:left w:val="nil"/>
              <w:bottom w:val="single" w:sz="4" w:space="0" w:color="auto"/>
              <w:right w:val="single" w:sz="4" w:space="0" w:color="auto"/>
            </w:tcBorders>
            <w:noWrap/>
            <w:vAlign w:val="center"/>
            <w:hideMark/>
          </w:tcPr>
          <w:p w14:paraId="251A515F" w14:textId="77777777" w:rsidR="00F624B7" w:rsidRPr="00F624B7" w:rsidRDefault="00F624B7" w:rsidP="00C726EF">
            <w:pPr>
              <w:jc w:val="center"/>
              <w:rPr>
                <w:rFonts w:ascii="Arial" w:hAnsi="Arial" w:cs="Arial"/>
                <w:color w:val="00B0F0"/>
                <w:sz w:val="16"/>
                <w:szCs w:val="16"/>
              </w:rPr>
            </w:pPr>
            <w:r w:rsidRPr="00F624B7">
              <w:rPr>
                <w:rFonts w:ascii="Arial" w:hAnsi="Arial" w:cs="Arial"/>
                <w:color w:val="00B0F0"/>
                <w:sz w:val="16"/>
                <w:szCs w:val="16"/>
              </w:rPr>
              <w:t>4.34</w:t>
            </w:r>
          </w:p>
        </w:tc>
        <w:tc>
          <w:tcPr>
            <w:tcW w:w="0" w:type="auto"/>
            <w:tcBorders>
              <w:top w:val="nil"/>
              <w:left w:val="nil"/>
              <w:bottom w:val="single" w:sz="4" w:space="0" w:color="auto"/>
              <w:right w:val="single" w:sz="4" w:space="0" w:color="auto"/>
            </w:tcBorders>
            <w:noWrap/>
            <w:vAlign w:val="center"/>
            <w:hideMark/>
          </w:tcPr>
          <w:p w14:paraId="7DB065C0" w14:textId="77777777" w:rsidR="00F624B7" w:rsidRPr="00F624B7" w:rsidRDefault="00F624B7" w:rsidP="00C726EF">
            <w:pPr>
              <w:jc w:val="center"/>
              <w:rPr>
                <w:rFonts w:ascii="Arial" w:hAnsi="Arial" w:cs="Arial"/>
                <w:color w:val="000000"/>
                <w:sz w:val="16"/>
                <w:szCs w:val="16"/>
              </w:rPr>
            </w:pPr>
            <w:r w:rsidRPr="00F624B7">
              <w:rPr>
                <w:rFonts w:ascii="Arial" w:hAnsi="Arial" w:cs="Arial"/>
                <w:color w:val="000000"/>
                <w:sz w:val="16"/>
                <w:szCs w:val="16"/>
              </w:rPr>
              <w:t>%o</w:t>
            </w:r>
          </w:p>
        </w:tc>
        <w:tc>
          <w:tcPr>
            <w:tcW w:w="0" w:type="auto"/>
            <w:tcBorders>
              <w:top w:val="nil"/>
              <w:left w:val="nil"/>
              <w:bottom w:val="single" w:sz="4" w:space="0" w:color="auto"/>
              <w:right w:val="single" w:sz="4" w:space="0" w:color="auto"/>
            </w:tcBorders>
            <w:noWrap/>
            <w:vAlign w:val="center"/>
            <w:hideMark/>
          </w:tcPr>
          <w:p w14:paraId="733C7873" w14:textId="77777777" w:rsidR="00F624B7" w:rsidRPr="00F624B7" w:rsidRDefault="00F624B7" w:rsidP="00C726EF">
            <w:pPr>
              <w:jc w:val="center"/>
              <w:rPr>
                <w:rFonts w:ascii="Arial" w:hAnsi="Arial" w:cs="Arial"/>
                <w:color w:val="000000"/>
                <w:sz w:val="16"/>
                <w:szCs w:val="16"/>
              </w:rPr>
            </w:pPr>
            <w:r w:rsidRPr="00F624B7">
              <w:rPr>
                <w:rFonts w:ascii="Arial" w:hAnsi="Arial" w:cs="Arial"/>
                <w:color w:val="000000"/>
                <w:sz w:val="16"/>
                <w:szCs w:val="16"/>
              </w:rPr>
              <w:t xml:space="preserve"> $                          1,315,493 </w:t>
            </w:r>
          </w:p>
        </w:tc>
        <w:tc>
          <w:tcPr>
            <w:tcW w:w="0" w:type="auto"/>
            <w:tcBorders>
              <w:top w:val="nil"/>
              <w:left w:val="nil"/>
              <w:bottom w:val="single" w:sz="4" w:space="0" w:color="auto"/>
              <w:right w:val="single" w:sz="4" w:space="0" w:color="auto"/>
            </w:tcBorders>
            <w:noWrap/>
            <w:vAlign w:val="center"/>
            <w:hideMark/>
          </w:tcPr>
          <w:p w14:paraId="71E5BDCC" w14:textId="77777777" w:rsidR="00F624B7" w:rsidRPr="00F624B7" w:rsidRDefault="00F624B7" w:rsidP="00C726EF">
            <w:pPr>
              <w:jc w:val="center"/>
              <w:rPr>
                <w:rFonts w:ascii="Arial" w:hAnsi="Arial" w:cs="Arial"/>
                <w:color w:val="000000"/>
                <w:sz w:val="16"/>
                <w:szCs w:val="16"/>
              </w:rPr>
            </w:pPr>
            <w:r w:rsidRPr="00F624B7">
              <w:rPr>
                <w:rFonts w:ascii="Arial" w:hAnsi="Arial" w:cs="Arial"/>
                <w:color w:val="000000"/>
                <w:sz w:val="16"/>
                <w:szCs w:val="16"/>
              </w:rPr>
              <w:t xml:space="preserve"> $                     249,944 </w:t>
            </w:r>
          </w:p>
        </w:tc>
        <w:tc>
          <w:tcPr>
            <w:tcW w:w="0" w:type="auto"/>
            <w:tcBorders>
              <w:top w:val="nil"/>
              <w:left w:val="nil"/>
              <w:bottom w:val="single" w:sz="4" w:space="0" w:color="auto"/>
              <w:right w:val="single" w:sz="8" w:space="0" w:color="auto"/>
            </w:tcBorders>
            <w:noWrap/>
            <w:vAlign w:val="center"/>
            <w:hideMark/>
          </w:tcPr>
          <w:p w14:paraId="15AF3C37" w14:textId="77777777" w:rsidR="00F624B7" w:rsidRPr="00F624B7" w:rsidRDefault="00F624B7" w:rsidP="00C726EF">
            <w:pPr>
              <w:jc w:val="right"/>
              <w:rPr>
                <w:rFonts w:ascii="Arial" w:hAnsi="Arial" w:cs="Arial"/>
                <w:color w:val="000000"/>
                <w:sz w:val="16"/>
                <w:szCs w:val="16"/>
              </w:rPr>
            </w:pPr>
            <w:r w:rsidRPr="00F624B7">
              <w:rPr>
                <w:rFonts w:ascii="Arial" w:hAnsi="Arial" w:cs="Arial"/>
                <w:color w:val="000000"/>
                <w:sz w:val="16"/>
                <w:szCs w:val="16"/>
              </w:rPr>
              <w:t xml:space="preserve"> $                          1,565,437 </w:t>
            </w:r>
          </w:p>
        </w:tc>
      </w:tr>
      <w:tr w:rsidR="00F624B7" w:rsidRPr="00F624B7" w14:paraId="6529C68C" w14:textId="77777777" w:rsidTr="00F624B7">
        <w:trPr>
          <w:trHeight w:val="499"/>
        </w:trPr>
        <w:tc>
          <w:tcPr>
            <w:tcW w:w="0" w:type="auto"/>
            <w:tcBorders>
              <w:top w:val="nil"/>
              <w:left w:val="single" w:sz="8" w:space="0" w:color="auto"/>
              <w:bottom w:val="single" w:sz="4" w:space="0" w:color="auto"/>
              <w:right w:val="single" w:sz="4" w:space="0" w:color="auto"/>
            </w:tcBorders>
            <w:vAlign w:val="center"/>
            <w:hideMark/>
          </w:tcPr>
          <w:p w14:paraId="3734053F" w14:textId="77777777" w:rsidR="00F624B7" w:rsidRPr="00F624B7" w:rsidRDefault="00F624B7" w:rsidP="00C726EF">
            <w:pPr>
              <w:rPr>
                <w:rFonts w:ascii="Arial" w:hAnsi="Arial" w:cs="Arial"/>
                <w:b/>
                <w:bCs/>
                <w:color w:val="FF0000"/>
                <w:sz w:val="16"/>
                <w:szCs w:val="16"/>
              </w:rPr>
            </w:pPr>
            <w:r w:rsidRPr="00F624B7">
              <w:rPr>
                <w:rFonts w:ascii="Arial" w:hAnsi="Arial" w:cs="Arial"/>
                <w:b/>
                <w:bCs/>
                <w:color w:val="FF0000"/>
                <w:sz w:val="16"/>
                <w:szCs w:val="16"/>
              </w:rPr>
              <w:t xml:space="preserve"> Futuras Inclusiones Todo Riesgo Equipo y Maquinaria </w:t>
            </w:r>
          </w:p>
        </w:tc>
        <w:tc>
          <w:tcPr>
            <w:tcW w:w="0" w:type="auto"/>
            <w:tcBorders>
              <w:top w:val="nil"/>
              <w:left w:val="nil"/>
              <w:bottom w:val="single" w:sz="4" w:space="0" w:color="auto"/>
              <w:right w:val="single" w:sz="4" w:space="0" w:color="auto"/>
            </w:tcBorders>
            <w:noWrap/>
            <w:vAlign w:val="center"/>
            <w:hideMark/>
          </w:tcPr>
          <w:p w14:paraId="61BA10A2" w14:textId="77777777" w:rsidR="00F624B7" w:rsidRPr="00F624B7" w:rsidRDefault="00F624B7" w:rsidP="00C726EF">
            <w:pPr>
              <w:jc w:val="right"/>
              <w:rPr>
                <w:rFonts w:ascii="Arial" w:hAnsi="Arial" w:cs="Arial"/>
                <w:color w:val="FF0000"/>
                <w:sz w:val="16"/>
                <w:szCs w:val="16"/>
              </w:rPr>
            </w:pPr>
            <w:r w:rsidRPr="00F624B7">
              <w:rPr>
                <w:rFonts w:ascii="Arial" w:hAnsi="Arial" w:cs="Arial"/>
                <w:color w:val="FF0000"/>
                <w:sz w:val="16"/>
                <w:szCs w:val="16"/>
              </w:rPr>
              <w:t>$ 0</w:t>
            </w:r>
          </w:p>
        </w:tc>
        <w:tc>
          <w:tcPr>
            <w:tcW w:w="0" w:type="auto"/>
            <w:tcBorders>
              <w:top w:val="nil"/>
              <w:left w:val="nil"/>
              <w:bottom w:val="single" w:sz="4" w:space="0" w:color="auto"/>
              <w:right w:val="single" w:sz="4" w:space="0" w:color="auto"/>
            </w:tcBorders>
            <w:noWrap/>
            <w:vAlign w:val="center"/>
            <w:hideMark/>
          </w:tcPr>
          <w:p w14:paraId="3A1D1362" w14:textId="77777777" w:rsidR="00F624B7" w:rsidRPr="00F624B7" w:rsidRDefault="00F624B7" w:rsidP="00C726EF">
            <w:pPr>
              <w:jc w:val="center"/>
              <w:rPr>
                <w:rFonts w:ascii="Arial" w:hAnsi="Arial" w:cs="Arial"/>
                <w:color w:val="FF0000"/>
                <w:sz w:val="16"/>
                <w:szCs w:val="16"/>
              </w:rPr>
            </w:pPr>
            <w:r w:rsidRPr="00F624B7">
              <w:rPr>
                <w:rFonts w:ascii="Arial" w:hAnsi="Arial" w:cs="Arial"/>
                <w:color w:val="FF0000"/>
                <w:sz w:val="16"/>
                <w:szCs w:val="16"/>
              </w:rPr>
              <w:t>$ 0</w:t>
            </w:r>
          </w:p>
        </w:tc>
        <w:tc>
          <w:tcPr>
            <w:tcW w:w="0" w:type="auto"/>
            <w:tcBorders>
              <w:top w:val="nil"/>
              <w:left w:val="nil"/>
              <w:bottom w:val="single" w:sz="4" w:space="0" w:color="auto"/>
              <w:right w:val="single" w:sz="4" w:space="0" w:color="auto"/>
            </w:tcBorders>
            <w:noWrap/>
            <w:vAlign w:val="center"/>
            <w:hideMark/>
          </w:tcPr>
          <w:p w14:paraId="087D6C19" w14:textId="77777777" w:rsidR="00F624B7" w:rsidRPr="00F624B7" w:rsidRDefault="00F624B7" w:rsidP="00C726EF">
            <w:pPr>
              <w:jc w:val="center"/>
              <w:rPr>
                <w:rFonts w:ascii="Arial" w:hAnsi="Arial" w:cs="Arial"/>
                <w:color w:val="FF0000"/>
                <w:sz w:val="16"/>
                <w:szCs w:val="16"/>
              </w:rPr>
            </w:pPr>
            <w:r w:rsidRPr="00F624B7">
              <w:rPr>
                <w:rFonts w:ascii="Arial" w:hAnsi="Arial" w:cs="Arial"/>
                <w:color w:val="FF0000"/>
                <w:sz w:val="16"/>
                <w:szCs w:val="16"/>
              </w:rPr>
              <w:t> </w:t>
            </w:r>
          </w:p>
        </w:tc>
        <w:tc>
          <w:tcPr>
            <w:tcW w:w="0" w:type="auto"/>
            <w:tcBorders>
              <w:top w:val="nil"/>
              <w:left w:val="nil"/>
              <w:bottom w:val="single" w:sz="4" w:space="0" w:color="auto"/>
              <w:right w:val="single" w:sz="4" w:space="0" w:color="auto"/>
            </w:tcBorders>
            <w:noWrap/>
            <w:vAlign w:val="center"/>
            <w:hideMark/>
          </w:tcPr>
          <w:p w14:paraId="4EA8B839" w14:textId="77777777" w:rsidR="00F624B7" w:rsidRPr="00F624B7" w:rsidRDefault="00F624B7" w:rsidP="00C726EF">
            <w:pPr>
              <w:jc w:val="center"/>
              <w:rPr>
                <w:rFonts w:ascii="Arial" w:hAnsi="Arial" w:cs="Arial"/>
                <w:color w:val="FF0000"/>
                <w:sz w:val="16"/>
                <w:szCs w:val="16"/>
              </w:rPr>
            </w:pPr>
            <w:r w:rsidRPr="00F624B7">
              <w:rPr>
                <w:rFonts w:ascii="Arial" w:hAnsi="Arial" w:cs="Arial"/>
                <w:color w:val="FF0000"/>
                <w:sz w:val="16"/>
                <w:szCs w:val="16"/>
              </w:rPr>
              <w:t xml:space="preserve"> $                                           - </w:t>
            </w:r>
          </w:p>
        </w:tc>
        <w:tc>
          <w:tcPr>
            <w:tcW w:w="0" w:type="auto"/>
            <w:tcBorders>
              <w:top w:val="nil"/>
              <w:left w:val="nil"/>
              <w:bottom w:val="single" w:sz="4" w:space="0" w:color="auto"/>
              <w:right w:val="single" w:sz="4" w:space="0" w:color="auto"/>
            </w:tcBorders>
            <w:noWrap/>
            <w:vAlign w:val="center"/>
            <w:hideMark/>
          </w:tcPr>
          <w:p w14:paraId="39B044F0" w14:textId="77777777" w:rsidR="00F624B7" w:rsidRPr="00F624B7" w:rsidRDefault="00F624B7" w:rsidP="00C726EF">
            <w:pPr>
              <w:jc w:val="center"/>
              <w:rPr>
                <w:rFonts w:ascii="Arial" w:hAnsi="Arial" w:cs="Arial"/>
                <w:color w:val="FF0000"/>
                <w:sz w:val="16"/>
                <w:szCs w:val="16"/>
              </w:rPr>
            </w:pPr>
            <w:r w:rsidRPr="00F624B7">
              <w:rPr>
                <w:rFonts w:ascii="Arial" w:hAnsi="Arial" w:cs="Arial"/>
                <w:color w:val="FF0000"/>
                <w:sz w:val="16"/>
                <w:szCs w:val="16"/>
              </w:rPr>
              <w:t xml:space="preserve"> $                                  - </w:t>
            </w:r>
          </w:p>
        </w:tc>
        <w:tc>
          <w:tcPr>
            <w:tcW w:w="0" w:type="auto"/>
            <w:tcBorders>
              <w:top w:val="nil"/>
              <w:left w:val="nil"/>
              <w:bottom w:val="single" w:sz="4" w:space="0" w:color="auto"/>
              <w:right w:val="single" w:sz="8" w:space="0" w:color="auto"/>
            </w:tcBorders>
            <w:noWrap/>
            <w:vAlign w:val="center"/>
            <w:hideMark/>
          </w:tcPr>
          <w:p w14:paraId="3A518A0C" w14:textId="77777777" w:rsidR="00F624B7" w:rsidRPr="00F624B7" w:rsidRDefault="00F624B7" w:rsidP="00C726EF">
            <w:pPr>
              <w:jc w:val="right"/>
              <w:rPr>
                <w:rFonts w:ascii="Arial" w:hAnsi="Arial" w:cs="Arial"/>
                <w:b/>
                <w:bCs/>
                <w:color w:val="FF0000"/>
                <w:sz w:val="16"/>
                <w:szCs w:val="16"/>
              </w:rPr>
            </w:pPr>
            <w:r w:rsidRPr="00F624B7">
              <w:rPr>
                <w:rFonts w:ascii="Arial" w:hAnsi="Arial" w:cs="Arial"/>
                <w:b/>
                <w:bCs/>
                <w:color w:val="FF0000"/>
                <w:sz w:val="16"/>
                <w:szCs w:val="16"/>
              </w:rPr>
              <w:t xml:space="preserve"> $                                           - </w:t>
            </w:r>
          </w:p>
        </w:tc>
      </w:tr>
      <w:tr w:rsidR="00F624B7" w:rsidRPr="00F624B7" w14:paraId="62E51AB0" w14:textId="77777777" w:rsidTr="00F624B7">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0EB2E10C"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TOTAL TODO RIESGO EQUIPO Y MAQUINARÍA </w:t>
            </w:r>
          </w:p>
        </w:tc>
        <w:tc>
          <w:tcPr>
            <w:tcW w:w="0" w:type="auto"/>
            <w:tcBorders>
              <w:top w:val="nil"/>
              <w:left w:val="nil"/>
              <w:bottom w:val="single" w:sz="4" w:space="0" w:color="auto"/>
              <w:right w:val="single" w:sz="4" w:space="0" w:color="auto"/>
            </w:tcBorders>
            <w:shd w:val="clear" w:color="000000" w:fill="DAF2D0"/>
            <w:noWrap/>
            <w:vAlign w:val="center"/>
            <w:hideMark/>
          </w:tcPr>
          <w:p w14:paraId="7F704A52"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$ 13,807,879,291</w:t>
            </w:r>
          </w:p>
        </w:tc>
        <w:tc>
          <w:tcPr>
            <w:tcW w:w="0" w:type="auto"/>
            <w:gridSpan w:val="2"/>
            <w:tcBorders>
              <w:top w:val="single" w:sz="4" w:space="0" w:color="auto"/>
              <w:left w:val="nil"/>
              <w:bottom w:val="single" w:sz="4" w:space="0" w:color="auto"/>
              <w:right w:val="single" w:sz="4" w:space="0" w:color="auto"/>
            </w:tcBorders>
            <w:shd w:val="clear" w:color="000000" w:fill="DAF2D0"/>
            <w:noWrap/>
            <w:vAlign w:val="center"/>
            <w:hideMark/>
          </w:tcPr>
          <w:p w14:paraId="11E01823"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w:t>
            </w:r>
          </w:p>
        </w:tc>
        <w:tc>
          <w:tcPr>
            <w:tcW w:w="0" w:type="auto"/>
            <w:tcBorders>
              <w:top w:val="nil"/>
              <w:left w:val="nil"/>
              <w:bottom w:val="single" w:sz="4" w:space="0" w:color="auto"/>
              <w:right w:val="single" w:sz="4" w:space="0" w:color="auto"/>
            </w:tcBorders>
            <w:shd w:val="clear" w:color="000000" w:fill="DAF2D0"/>
            <w:noWrap/>
            <w:vAlign w:val="center"/>
            <w:hideMark/>
          </w:tcPr>
          <w:p w14:paraId="5D0AC35D"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                        27,622,315 </w:t>
            </w:r>
          </w:p>
        </w:tc>
        <w:tc>
          <w:tcPr>
            <w:tcW w:w="0" w:type="auto"/>
            <w:tcBorders>
              <w:top w:val="nil"/>
              <w:left w:val="nil"/>
              <w:bottom w:val="single" w:sz="4" w:space="0" w:color="auto"/>
              <w:right w:val="single" w:sz="4" w:space="0" w:color="auto"/>
            </w:tcBorders>
            <w:shd w:val="clear" w:color="000000" w:fill="DAF2D0"/>
            <w:noWrap/>
            <w:vAlign w:val="center"/>
            <w:hideMark/>
          </w:tcPr>
          <w:p w14:paraId="00F5C006"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                 5,248,240 </w:t>
            </w:r>
          </w:p>
        </w:tc>
        <w:tc>
          <w:tcPr>
            <w:tcW w:w="0" w:type="auto"/>
            <w:tcBorders>
              <w:top w:val="nil"/>
              <w:left w:val="nil"/>
              <w:bottom w:val="single" w:sz="4" w:space="0" w:color="auto"/>
              <w:right w:val="single" w:sz="4" w:space="0" w:color="auto"/>
            </w:tcBorders>
            <w:shd w:val="clear" w:color="000000" w:fill="DAF2D0"/>
            <w:noWrap/>
            <w:vAlign w:val="center"/>
            <w:hideMark/>
          </w:tcPr>
          <w:p w14:paraId="6ED4559B"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                       32,870,555 </w:t>
            </w:r>
          </w:p>
        </w:tc>
      </w:tr>
      <w:tr w:rsidR="00F624B7" w:rsidRPr="00F624B7" w14:paraId="7EF3AE90" w14:textId="77777777" w:rsidTr="00F624B7">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0A3DAF3A" w14:textId="77777777" w:rsidR="00F624B7" w:rsidRPr="00F624B7" w:rsidRDefault="00F624B7" w:rsidP="00C726EF">
            <w:pPr>
              <w:rPr>
                <w:rFonts w:ascii="Arial" w:hAnsi="Arial" w:cs="Arial"/>
                <w:b/>
                <w:bCs/>
                <w:color w:val="000000"/>
                <w:sz w:val="16"/>
                <w:szCs w:val="16"/>
              </w:rPr>
            </w:pPr>
            <w:r w:rsidRPr="00F624B7">
              <w:rPr>
                <w:rFonts w:ascii="Arial" w:hAnsi="Arial" w:cs="Arial"/>
                <w:b/>
                <w:bCs/>
                <w:color w:val="000000"/>
                <w:sz w:val="16"/>
                <w:szCs w:val="16"/>
              </w:rPr>
              <w:t xml:space="preserve"> </w:t>
            </w:r>
            <w:proofErr w:type="spellStart"/>
            <w:r w:rsidRPr="00F624B7">
              <w:rPr>
                <w:rFonts w:ascii="Arial" w:hAnsi="Arial" w:cs="Arial"/>
                <w:b/>
                <w:bCs/>
                <w:color w:val="000000"/>
                <w:sz w:val="16"/>
                <w:szCs w:val="16"/>
              </w:rPr>
              <w:t>AUTOMOVILES</w:t>
            </w:r>
            <w:proofErr w:type="spellEnd"/>
            <w:r w:rsidRPr="00F624B7">
              <w:rPr>
                <w:rFonts w:ascii="Arial" w:hAnsi="Arial" w:cs="Arial"/>
                <w:b/>
                <w:bCs/>
                <w:color w:val="000000"/>
                <w:sz w:val="16"/>
                <w:szCs w:val="16"/>
              </w:rPr>
              <w:t xml:space="preserve"> - </w:t>
            </w:r>
            <w:proofErr w:type="spellStart"/>
            <w:r w:rsidRPr="00F624B7">
              <w:rPr>
                <w:rFonts w:ascii="Arial" w:hAnsi="Arial" w:cs="Arial"/>
                <w:b/>
                <w:bCs/>
                <w:color w:val="000000"/>
                <w:sz w:val="16"/>
                <w:szCs w:val="16"/>
              </w:rPr>
              <w:t>VEHICULOS</w:t>
            </w:r>
            <w:proofErr w:type="spellEnd"/>
            <w:r w:rsidRPr="00F624B7">
              <w:rPr>
                <w:rFonts w:ascii="Arial" w:hAnsi="Arial" w:cs="Arial"/>
                <w:b/>
                <w:bCs/>
                <w:color w:val="000000"/>
                <w:sz w:val="16"/>
                <w:szCs w:val="16"/>
              </w:rPr>
              <w:t xml:space="preserve"> </w:t>
            </w:r>
            <w:proofErr w:type="spellStart"/>
            <w:r w:rsidRPr="00F624B7">
              <w:rPr>
                <w:rFonts w:ascii="Arial" w:hAnsi="Arial" w:cs="Arial"/>
                <w:b/>
                <w:bCs/>
                <w:color w:val="000000"/>
                <w:sz w:val="16"/>
                <w:szCs w:val="16"/>
              </w:rPr>
              <w:t>PESAADOS</w:t>
            </w:r>
            <w:proofErr w:type="spellEnd"/>
            <w:r w:rsidRPr="00F624B7">
              <w:rPr>
                <w:rFonts w:ascii="Arial" w:hAnsi="Arial" w:cs="Arial"/>
                <w:b/>
                <w:bCs/>
                <w:color w:val="000000"/>
                <w:sz w:val="16"/>
                <w:szCs w:val="16"/>
              </w:rPr>
              <w:t xml:space="preserve"> Y LIVIANOS </w:t>
            </w:r>
          </w:p>
        </w:tc>
        <w:tc>
          <w:tcPr>
            <w:tcW w:w="0" w:type="auto"/>
            <w:tcBorders>
              <w:top w:val="nil"/>
              <w:left w:val="nil"/>
              <w:bottom w:val="single" w:sz="4" w:space="0" w:color="auto"/>
              <w:right w:val="single" w:sz="4" w:space="0" w:color="auto"/>
            </w:tcBorders>
            <w:shd w:val="clear" w:color="000000" w:fill="DAF2D0"/>
            <w:noWrap/>
            <w:vAlign w:val="center"/>
            <w:hideMark/>
          </w:tcPr>
          <w:p w14:paraId="7B77FD03"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$ 2,035,300,000</w:t>
            </w:r>
          </w:p>
        </w:tc>
        <w:tc>
          <w:tcPr>
            <w:tcW w:w="0" w:type="auto"/>
            <w:tcBorders>
              <w:top w:val="nil"/>
              <w:left w:val="nil"/>
              <w:bottom w:val="single" w:sz="4" w:space="0" w:color="auto"/>
              <w:right w:val="single" w:sz="4" w:space="0" w:color="auto"/>
            </w:tcBorders>
            <w:shd w:val="clear" w:color="000000" w:fill="DAF2D0"/>
            <w:noWrap/>
            <w:vAlign w:val="center"/>
            <w:hideMark/>
          </w:tcPr>
          <w:p w14:paraId="45325E17"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3.56</w:t>
            </w:r>
          </w:p>
        </w:tc>
        <w:tc>
          <w:tcPr>
            <w:tcW w:w="0" w:type="auto"/>
            <w:tcBorders>
              <w:top w:val="nil"/>
              <w:left w:val="nil"/>
              <w:bottom w:val="single" w:sz="4" w:space="0" w:color="auto"/>
              <w:right w:val="single" w:sz="4" w:space="0" w:color="auto"/>
            </w:tcBorders>
            <w:shd w:val="clear" w:color="000000" w:fill="DAF2D0"/>
            <w:noWrap/>
            <w:vAlign w:val="center"/>
            <w:hideMark/>
          </w:tcPr>
          <w:p w14:paraId="385077E4"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w:t>
            </w:r>
          </w:p>
        </w:tc>
        <w:tc>
          <w:tcPr>
            <w:tcW w:w="0" w:type="auto"/>
            <w:tcBorders>
              <w:top w:val="nil"/>
              <w:left w:val="nil"/>
              <w:bottom w:val="single" w:sz="4" w:space="0" w:color="auto"/>
              <w:right w:val="single" w:sz="4" w:space="0" w:color="auto"/>
            </w:tcBorders>
            <w:shd w:val="clear" w:color="000000" w:fill="DAF2D0"/>
            <w:noWrap/>
            <w:vAlign w:val="center"/>
            <w:hideMark/>
          </w:tcPr>
          <w:p w14:paraId="02143003"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16,266,965 </w:t>
            </w:r>
          </w:p>
        </w:tc>
        <w:tc>
          <w:tcPr>
            <w:tcW w:w="0" w:type="auto"/>
            <w:tcBorders>
              <w:top w:val="nil"/>
              <w:left w:val="nil"/>
              <w:bottom w:val="single" w:sz="4" w:space="0" w:color="auto"/>
              <w:right w:val="single" w:sz="4" w:space="0" w:color="auto"/>
            </w:tcBorders>
            <w:shd w:val="clear" w:color="000000" w:fill="DAF2D0"/>
            <w:noWrap/>
            <w:vAlign w:val="center"/>
            <w:hideMark/>
          </w:tcPr>
          <w:p w14:paraId="5B828FD2" w14:textId="77777777" w:rsidR="00F624B7" w:rsidRPr="00F624B7" w:rsidRDefault="00F624B7" w:rsidP="00C726EF">
            <w:pPr>
              <w:jc w:val="center"/>
              <w:rPr>
                <w:rFonts w:ascii="Arial" w:hAnsi="Arial" w:cs="Arial"/>
                <w:b/>
                <w:bCs/>
                <w:color w:val="000000"/>
                <w:sz w:val="16"/>
                <w:szCs w:val="16"/>
              </w:rPr>
            </w:pPr>
            <w:r w:rsidRPr="00F624B7">
              <w:rPr>
                <w:rFonts w:ascii="Arial" w:hAnsi="Arial" w:cs="Arial"/>
                <w:b/>
                <w:bCs/>
                <w:color w:val="000000"/>
                <w:sz w:val="16"/>
                <w:szCs w:val="16"/>
              </w:rPr>
              <w:t xml:space="preserve"> $                 3,090,723 </w:t>
            </w:r>
          </w:p>
        </w:tc>
        <w:tc>
          <w:tcPr>
            <w:tcW w:w="0" w:type="auto"/>
            <w:tcBorders>
              <w:top w:val="nil"/>
              <w:left w:val="nil"/>
              <w:bottom w:val="single" w:sz="4" w:space="0" w:color="auto"/>
              <w:right w:val="single" w:sz="8" w:space="0" w:color="auto"/>
            </w:tcBorders>
            <w:shd w:val="clear" w:color="000000" w:fill="DAF2D0"/>
            <w:noWrap/>
            <w:vAlign w:val="center"/>
            <w:hideMark/>
          </w:tcPr>
          <w:p w14:paraId="3AD455FD" w14:textId="77777777" w:rsidR="00F624B7" w:rsidRPr="00F624B7" w:rsidRDefault="00F624B7" w:rsidP="00C726EF">
            <w:pPr>
              <w:jc w:val="right"/>
              <w:rPr>
                <w:rFonts w:ascii="Arial" w:hAnsi="Arial" w:cs="Arial"/>
                <w:b/>
                <w:bCs/>
                <w:color w:val="000000"/>
                <w:sz w:val="16"/>
                <w:szCs w:val="16"/>
              </w:rPr>
            </w:pPr>
            <w:r w:rsidRPr="00F624B7">
              <w:rPr>
                <w:rFonts w:ascii="Arial" w:hAnsi="Arial" w:cs="Arial"/>
                <w:b/>
                <w:bCs/>
                <w:color w:val="000000"/>
                <w:sz w:val="16"/>
                <w:szCs w:val="16"/>
              </w:rPr>
              <w:t xml:space="preserve"> $                       19,357,688 </w:t>
            </w:r>
          </w:p>
        </w:tc>
      </w:tr>
      <w:tr w:rsidR="00F624B7" w:rsidRPr="00F624B7" w14:paraId="1C0907B4" w14:textId="77777777" w:rsidTr="00F624B7">
        <w:trPr>
          <w:trHeight w:val="499"/>
        </w:trPr>
        <w:tc>
          <w:tcPr>
            <w:tcW w:w="0" w:type="auto"/>
            <w:gridSpan w:val="4"/>
            <w:tcBorders>
              <w:top w:val="single" w:sz="4" w:space="0" w:color="auto"/>
              <w:left w:val="single" w:sz="8" w:space="0" w:color="auto"/>
              <w:bottom w:val="single" w:sz="4" w:space="0" w:color="auto"/>
              <w:right w:val="single" w:sz="4" w:space="0" w:color="auto"/>
            </w:tcBorders>
            <w:shd w:val="clear" w:color="000000" w:fill="C1F0C8"/>
            <w:noWrap/>
            <w:vAlign w:val="center"/>
            <w:hideMark/>
          </w:tcPr>
          <w:p w14:paraId="657CBA7A" w14:textId="77777777" w:rsidR="00F624B7" w:rsidRPr="00F624B7" w:rsidRDefault="00F624B7" w:rsidP="00C726EF">
            <w:pPr>
              <w:jc w:val="center"/>
              <w:rPr>
                <w:rFonts w:ascii="Arial" w:hAnsi="Arial" w:cs="Arial"/>
                <w:b/>
                <w:bCs/>
                <w:color w:val="00B0F0"/>
                <w:sz w:val="16"/>
                <w:szCs w:val="16"/>
              </w:rPr>
            </w:pPr>
            <w:r w:rsidRPr="00F624B7">
              <w:rPr>
                <w:rFonts w:ascii="Arial" w:hAnsi="Arial" w:cs="Arial"/>
                <w:b/>
                <w:bCs/>
                <w:color w:val="00B0F0"/>
                <w:sz w:val="16"/>
                <w:szCs w:val="16"/>
              </w:rPr>
              <w:t xml:space="preserve"> TOTAL GRUPO No. 1 </w:t>
            </w:r>
          </w:p>
        </w:tc>
        <w:tc>
          <w:tcPr>
            <w:tcW w:w="0" w:type="auto"/>
            <w:tcBorders>
              <w:top w:val="nil"/>
              <w:left w:val="nil"/>
              <w:bottom w:val="single" w:sz="4" w:space="0" w:color="auto"/>
              <w:right w:val="single" w:sz="4" w:space="0" w:color="auto"/>
            </w:tcBorders>
            <w:shd w:val="clear" w:color="000000" w:fill="C1F0C8"/>
            <w:noWrap/>
            <w:vAlign w:val="center"/>
            <w:hideMark/>
          </w:tcPr>
          <w:p w14:paraId="7D0AD75F" w14:textId="77777777" w:rsidR="00F624B7" w:rsidRPr="00F624B7" w:rsidRDefault="00F624B7" w:rsidP="00C726EF">
            <w:pPr>
              <w:rPr>
                <w:rFonts w:ascii="Arial" w:hAnsi="Arial" w:cs="Arial"/>
                <w:b/>
                <w:bCs/>
                <w:color w:val="00B0F0"/>
                <w:sz w:val="16"/>
                <w:szCs w:val="16"/>
              </w:rPr>
            </w:pPr>
            <w:r w:rsidRPr="00F624B7">
              <w:rPr>
                <w:rFonts w:ascii="Arial" w:hAnsi="Arial" w:cs="Arial"/>
                <w:b/>
                <w:bCs/>
                <w:color w:val="00B0F0"/>
                <w:sz w:val="16"/>
                <w:szCs w:val="16"/>
              </w:rPr>
              <w:t xml:space="preserve"> $                        68,326,695 </w:t>
            </w:r>
          </w:p>
        </w:tc>
        <w:tc>
          <w:tcPr>
            <w:tcW w:w="0" w:type="auto"/>
            <w:tcBorders>
              <w:top w:val="nil"/>
              <w:left w:val="nil"/>
              <w:bottom w:val="single" w:sz="4" w:space="0" w:color="auto"/>
              <w:right w:val="single" w:sz="4" w:space="0" w:color="auto"/>
            </w:tcBorders>
            <w:shd w:val="clear" w:color="000000" w:fill="C1F0C8"/>
            <w:noWrap/>
            <w:vAlign w:val="center"/>
            <w:hideMark/>
          </w:tcPr>
          <w:p w14:paraId="23F55DC9" w14:textId="77777777" w:rsidR="00F624B7" w:rsidRPr="00F624B7" w:rsidRDefault="00F624B7" w:rsidP="00C726EF">
            <w:pPr>
              <w:rPr>
                <w:rFonts w:ascii="Arial" w:hAnsi="Arial" w:cs="Arial"/>
                <w:b/>
                <w:bCs/>
                <w:color w:val="00B0F0"/>
                <w:sz w:val="16"/>
                <w:szCs w:val="16"/>
              </w:rPr>
            </w:pPr>
            <w:r w:rsidRPr="00F624B7">
              <w:rPr>
                <w:rFonts w:ascii="Arial" w:hAnsi="Arial" w:cs="Arial"/>
                <w:b/>
                <w:bCs/>
                <w:color w:val="00B0F0"/>
                <w:sz w:val="16"/>
                <w:szCs w:val="16"/>
              </w:rPr>
              <w:t xml:space="preserve"> $               12,982,072 </w:t>
            </w:r>
          </w:p>
        </w:tc>
        <w:tc>
          <w:tcPr>
            <w:tcW w:w="0" w:type="auto"/>
            <w:tcBorders>
              <w:top w:val="nil"/>
              <w:left w:val="nil"/>
              <w:bottom w:val="single" w:sz="4" w:space="0" w:color="auto"/>
              <w:right w:val="single" w:sz="4" w:space="0" w:color="auto"/>
            </w:tcBorders>
            <w:shd w:val="clear" w:color="000000" w:fill="C1F0C8"/>
            <w:noWrap/>
            <w:vAlign w:val="center"/>
            <w:hideMark/>
          </w:tcPr>
          <w:p w14:paraId="171BAEAE" w14:textId="77777777" w:rsidR="00F624B7" w:rsidRPr="00F624B7" w:rsidRDefault="00F624B7" w:rsidP="00C726EF">
            <w:pPr>
              <w:rPr>
                <w:rFonts w:ascii="Arial" w:hAnsi="Arial" w:cs="Arial"/>
                <w:b/>
                <w:bCs/>
                <w:color w:val="00B0F0"/>
                <w:sz w:val="16"/>
                <w:szCs w:val="16"/>
              </w:rPr>
            </w:pPr>
            <w:r w:rsidRPr="00F624B7">
              <w:rPr>
                <w:rFonts w:ascii="Arial" w:hAnsi="Arial" w:cs="Arial"/>
                <w:b/>
                <w:bCs/>
                <w:color w:val="00B0F0"/>
                <w:sz w:val="16"/>
                <w:szCs w:val="16"/>
              </w:rPr>
              <w:t xml:space="preserve"> $                       81,308,767 </w:t>
            </w:r>
          </w:p>
        </w:tc>
      </w:tr>
    </w:tbl>
    <w:p w14:paraId="5202E377" w14:textId="531127F3" w:rsidR="004402A0" w:rsidRPr="00FB351A" w:rsidRDefault="00820BBE" w:rsidP="00803115">
      <w:pPr>
        <w:pStyle w:val="Descripcin"/>
        <w:jc w:val="both"/>
        <w:rPr>
          <w:rFonts w:ascii="Arial" w:hAnsi="Arial" w:cs="Arial"/>
          <w:b w:val="0"/>
          <w:bCs w:val="0"/>
        </w:rPr>
      </w:pPr>
      <w:r w:rsidRPr="00FB351A">
        <w:rPr>
          <w:rFonts w:ascii="Arial" w:hAnsi="Arial" w:cs="Arial"/>
          <w:b w:val="0"/>
          <w:bCs w:val="0"/>
        </w:rPr>
        <w:t xml:space="preserve"> </w:t>
      </w:r>
      <w:r w:rsidR="004402A0" w:rsidRPr="00FB351A">
        <w:rPr>
          <w:rFonts w:ascii="Arial" w:hAnsi="Arial" w:cs="Arial"/>
          <w:b w:val="0"/>
          <w:bCs w:val="0"/>
        </w:rPr>
        <w:t xml:space="preserve">Cuadro Estudio de mercado elaborado por </w:t>
      </w:r>
      <w:r w:rsidR="00BD0673" w:rsidRPr="00FB351A">
        <w:rPr>
          <w:rFonts w:ascii="Arial" w:hAnsi="Arial" w:cs="Arial"/>
          <w:b w:val="0"/>
          <w:bCs w:val="0"/>
        </w:rPr>
        <w:t xml:space="preserve">el </w:t>
      </w:r>
      <w:r w:rsidR="00BD0673" w:rsidRPr="00FB351A">
        <w:rPr>
          <w:rFonts w:ascii="Arial" w:hAnsi="Arial" w:cs="Arial"/>
          <w:b w:val="0"/>
          <w:bCs w:val="0"/>
          <w:lang w:val="es-CO"/>
        </w:rPr>
        <w:t xml:space="preserve">intermediario de seguros de la entidad </w:t>
      </w:r>
      <w:r w:rsidR="004402A0" w:rsidRPr="00FB351A">
        <w:rPr>
          <w:rFonts w:ascii="Arial" w:hAnsi="Arial" w:cs="Arial"/>
          <w:b w:val="0"/>
          <w:bCs w:val="0"/>
        </w:rPr>
        <w:t xml:space="preserve"> </w:t>
      </w:r>
    </w:p>
    <w:p w14:paraId="76134A24" w14:textId="77777777" w:rsidR="004402A0" w:rsidRPr="00FB351A" w:rsidRDefault="004402A0" w:rsidP="00803115">
      <w:pPr>
        <w:jc w:val="both"/>
        <w:rPr>
          <w:rFonts w:ascii="Arial" w:hAnsi="Arial" w:cs="Arial"/>
          <w:b/>
          <w:bCs/>
          <w:iCs/>
          <w:color w:val="000000"/>
          <w:sz w:val="20"/>
          <w:szCs w:val="20"/>
          <w:lang w:eastAsia="en-US"/>
        </w:rPr>
      </w:pPr>
    </w:p>
    <w:p w14:paraId="6CDF9C3B" w14:textId="22D58B21" w:rsidR="00570FB7" w:rsidRPr="00FB351A" w:rsidRDefault="00E45BF2" w:rsidP="00803115">
      <w:p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Lote</w:t>
      </w:r>
      <w:r w:rsidR="004402A0" w:rsidRPr="00FB351A">
        <w:rPr>
          <w:rFonts w:ascii="Arial" w:hAnsi="Arial" w:cs="Arial"/>
          <w:b/>
          <w:bCs/>
          <w:iCs/>
          <w:color w:val="000000"/>
          <w:sz w:val="20"/>
          <w:szCs w:val="20"/>
          <w:lang w:eastAsia="en-US"/>
        </w:rPr>
        <w:t xml:space="preserve"> Dos</w:t>
      </w:r>
      <w:r w:rsidR="004402A0" w:rsidRPr="00FB351A">
        <w:rPr>
          <w:rFonts w:ascii="Arial" w:hAnsi="Arial" w:cs="Arial"/>
          <w:iCs/>
          <w:color w:val="000000"/>
          <w:sz w:val="20"/>
          <w:szCs w:val="20"/>
          <w:lang w:eastAsia="en-US"/>
        </w:rPr>
        <w:t>: hast</w:t>
      </w:r>
      <w:r w:rsidR="00363EE6" w:rsidRPr="00FB351A">
        <w:rPr>
          <w:rFonts w:ascii="Arial" w:hAnsi="Arial" w:cs="Arial"/>
          <w:iCs/>
          <w:color w:val="000000"/>
          <w:sz w:val="20"/>
          <w:szCs w:val="20"/>
          <w:lang w:eastAsia="en-US"/>
        </w:rPr>
        <w:t>a</w:t>
      </w:r>
      <w:r w:rsidR="00D646BA">
        <w:rPr>
          <w:rFonts w:ascii="Arial" w:hAnsi="Arial" w:cs="Arial"/>
          <w:iCs/>
          <w:color w:val="000000"/>
          <w:sz w:val="20"/>
          <w:szCs w:val="20"/>
          <w:lang w:eastAsia="en-US"/>
        </w:rPr>
        <w:t xml:space="preserve"> </w:t>
      </w:r>
      <w:r w:rsidR="00D646BA" w:rsidRPr="00D646BA">
        <w:rPr>
          <w:rFonts w:ascii="Arial" w:hAnsi="Arial" w:cs="Arial"/>
          <w:b/>
          <w:bCs/>
          <w:iCs/>
          <w:color w:val="000000"/>
          <w:sz w:val="20"/>
          <w:szCs w:val="20"/>
          <w:lang w:eastAsia="en-US"/>
        </w:rPr>
        <w:t>CIENTO VEINTICUATRO MILLONES CIENTO SESENTA Y SEIS MIL CINCUENTA Y TRES PESOS MC/TE ($ 124.166.053)</w:t>
      </w:r>
      <w:r w:rsidR="007F3160">
        <w:rPr>
          <w:rFonts w:ascii="Arial" w:hAnsi="Arial" w:cs="Arial"/>
          <w:b/>
          <w:bCs/>
          <w:iCs/>
          <w:color w:val="000000"/>
          <w:sz w:val="20"/>
          <w:szCs w:val="20"/>
          <w:lang w:eastAsia="en-US"/>
        </w:rPr>
        <w:t xml:space="preserve"> </w:t>
      </w:r>
      <w:r w:rsidR="004402A0" w:rsidRPr="00FB351A">
        <w:rPr>
          <w:rFonts w:ascii="Arial" w:hAnsi="Arial" w:cs="Arial"/>
          <w:iCs/>
          <w:color w:val="000000"/>
          <w:sz w:val="20"/>
          <w:szCs w:val="20"/>
          <w:lang w:eastAsia="en-US"/>
        </w:rPr>
        <w:t xml:space="preserve">incluido IVA y demás impuestos, tasas y contribuciones que apliquen, así como los costos directos e indirectos en que incurra el contratista, para una vigencia mínima de </w:t>
      </w:r>
      <w:r w:rsidR="007F3160">
        <w:rPr>
          <w:rFonts w:ascii="Arial" w:hAnsi="Arial" w:cs="Arial"/>
          <w:iCs/>
          <w:color w:val="000000"/>
          <w:sz w:val="20"/>
          <w:szCs w:val="20"/>
          <w:lang w:eastAsia="en-US"/>
        </w:rPr>
        <w:t>ochenta y dos</w:t>
      </w:r>
      <w:r w:rsidR="007F3160" w:rsidRPr="00FB351A">
        <w:rPr>
          <w:rFonts w:ascii="Arial" w:hAnsi="Arial" w:cs="Arial"/>
          <w:iCs/>
          <w:color w:val="000000"/>
          <w:sz w:val="20"/>
          <w:szCs w:val="20"/>
          <w:lang w:eastAsia="en-US"/>
        </w:rPr>
        <w:t xml:space="preserve"> (</w:t>
      </w:r>
      <w:r w:rsidR="007F3160">
        <w:rPr>
          <w:rFonts w:ascii="Arial" w:hAnsi="Arial" w:cs="Arial"/>
          <w:iCs/>
          <w:color w:val="000000"/>
          <w:sz w:val="20"/>
          <w:szCs w:val="20"/>
          <w:lang w:eastAsia="en-US"/>
        </w:rPr>
        <w:t>82</w:t>
      </w:r>
      <w:r w:rsidR="007F3160" w:rsidRPr="00FB351A">
        <w:rPr>
          <w:rFonts w:ascii="Arial" w:hAnsi="Arial" w:cs="Arial"/>
          <w:iCs/>
          <w:color w:val="000000"/>
          <w:sz w:val="20"/>
          <w:szCs w:val="20"/>
          <w:lang w:eastAsia="en-US"/>
        </w:rPr>
        <w:t>)</w:t>
      </w:r>
      <w:r w:rsidR="007F3160">
        <w:rPr>
          <w:rFonts w:ascii="Arial" w:hAnsi="Arial" w:cs="Arial"/>
          <w:iCs/>
          <w:color w:val="000000"/>
          <w:sz w:val="20"/>
          <w:szCs w:val="20"/>
          <w:lang w:eastAsia="en-US"/>
        </w:rPr>
        <w:t xml:space="preserve"> días</w:t>
      </w:r>
      <w:r w:rsidR="00570FB7" w:rsidRPr="00FB351A">
        <w:rPr>
          <w:rFonts w:ascii="Arial" w:hAnsi="Arial" w:cs="Arial"/>
          <w:iCs/>
          <w:color w:val="000000"/>
          <w:sz w:val="20"/>
          <w:szCs w:val="20"/>
          <w:lang w:eastAsia="en-US"/>
        </w:rPr>
        <w:t>.</w:t>
      </w:r>
    </w:p>
    <w:p w14:paraId="55EA1720" w14:textId="59796464" w:rsidR="004402A0" w:rsidRPr="00FB351A" w:rsidRDefault="004402A0" w:rsidP="00803115">
      <w:pPr>
        <w:jc w:val="both"/>
        <w:rPr>
          <w:rFonts w:ascii="Arial" w:hAnsi="Arial" w:cs="Arial"/>
          <w:b/>
          <w:bCs/>
          <w:iCs/>
          <w:color w:val="000000"/>
          <w:sz w:val="20"/>
          <w:szCs w:val="20"/>
          <w:lang w:eastAsia="en-US"/>
        </w:rPr>
      </w:pPr>
    </w:p>
    <w:tbl>
      <w:tblPr>
        <w:tblW w:w="5000" w:type="pct"/>
        <w:tblCellMar>
          <w:left w:w="70" w:type="dxa"/>
          <w:right w:w="70" w:type="dxa"/>
        </w:tblCellMar>
        <w:tblLook w:val="04A0" w:firstRow="1" w:lastRow="0" w:firstColumn="1" w:lastColumn="0" w:noHBand="0" w:noVBand="1"/>
      </w:tblPr>
      <w:tblGrid>
        <w:gridCol w:w="3073"/>
        <w:gridCol w:w="996"/>
        <w:gridCol w:w="554"/>
        <w:gridCol w:w="463"/>
        <w:gridCol w:w="1621"/>
        <w:gridCol w:w="1324"/>
        <w:gridCol w:w="1588"/>
      </w:tblGrid>
      <w:tr w:rsidR="007F3160" w:rsidRPr="007F3160" w14:paraId="29F7F12A" w14:textId="77777777" w:rsidTr="007F3160">
        <w:trPr>
          <w:trHeight w:val="20"/>
        </w:trPr>
        <w:tc>
          <w:tcPr>
            <w:tcW w:w="1663" w:type="pct"/>
            <w:tcBorders>
              <w:top w:val="single" w:sz="4" w:space="0" w:color="auto"/>
              <w:left w:val="single" w:sz="8" w:space="0" w:color="auto"/>
              <w:bottom w:val="single" w:sz="4" w:space="0" w:color="auto"/>
              <w:right w:val="single" w:sz="4" w:space="0" w:color="auto"/>
            </w:tcBorders>
            <w:shd w:val="clear" w:color="000000" w:fill="DAF2D0"/>
            <w:vAlign w:val="center"/>
            <w:hideMark/>
          </w:tcPr>
          <w:p w14:paraId="101997A3"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RAMO</w:t>
            </w:r>
          </w:p>
        </w:tc>
        <w:tc>
          <w:tcPr>
            <w:tcW w:w="799" w:type="pct"/>
            <w:tcBorders>
              <w:top w:val="single" w:sz="4" w:space="0" w:color="auto"/>
              <w:left w:val="nil"/>
              <w:bottom w:val="single" w:sz="4" w:space="0" w:color="auto"/>
              <w:right w:val="single" w:sz="4" w:space="0" w:color="auto"/>
            </w:tcBorders>
            <w:shd w:val="clear" w:color="000000" w:fill="DAF2D0"/>
            <w:vAlign w:val="center"/>
            <w:hideMark/>
          </w:tcPr>
          <w:p w14:paraId="40DB0D86"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VALOR ASEGURADO</w:t>
            </w:r>
          </w:p>
        </w:tc>
        <w:tc>
          <w:tcPr>
            <w:tcW w:w="331" w:type="pct"/>
            <w:tcBorders>
              <w:top w:val="single" w:sz="4" w:space="0" w:color="auto"/>
              <w:left w:val="nil"/>
              <w:bottom w:val="single" w:sz="4" w:space="0" w:color="auto"/>
              <w:right w:val="single" w:sz="4" w:space="0" w:color="auto"/>
            </w:tcBorders>
            <w:shd w:val="clear" w:color="000000" w:fill="DAF2D0"/>
            <w:vAlign w:val="center"/>
            <w:hideMark/>
          </w:tcPr>
          <w:p w14:paraId="2EA2A832"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TASA ANUAL</w:t>
            </w:r>
          </w:p>
        </w:tc>
        <w:tc>
          <w:tcPr>
            <w:tcW w:w="296" w:type="pct"/>
            <w:tcBorders>
              <w:top w:val="single" w:sz="4" w:space="0" w:color="auto"/>
              <w:left w:val="nil"/>
              <w:bottom w:val="single" w:sz="4" w:space="0" w:color="auto"/>
              <w:right w:val="single" w:sz="4" w:space="0" w:color="auto"/>
            </w:tcBorders>
            <w:shd w:val="clear" w:color="000000" w:fill="DAF2D0"/>
            <w:vAlign w:val="center"/>
            <w:hideMark/>
          </w:tcPr>
          <w:p w14:paraId="311B49D3"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TIPO TASA</w:t>
            </w:r>
          </w:p>
        </w:tc>
        <w:tc>
          <w:tcPr>
            <w:tcW w:w="680" w:type="pct"/>
            <w:tcBorders>
              <w:top w:val="single" w:sz="4" w:space="0" w:color="auto"/>
              <w:left w:val="nil"/>
              <w:bottom w:val="single" w:sz="4" w:space="0" w:color="auto"/>
              <w:right w:val="single" w:sz="4" w:space="0" w:color="auto"/>
            </w:tcBorders>
            <w:shd w:val="clear" w:color="000000" w:fill="DAF2D0"/>
            <w:vAlign w:val="center"/>
            <w:hideMark/>
          </w:tcPr>
          <w:p w14:paraId="7EEBFE50" w14:textId="5DEBFE4E"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PRIMA NETA</w:t>
            </w:r>
          </w:p>
        </w:tc>
        <w:tc>
          <w:tcPr>
            <w:tcW w:w="562" w:type="pct"/>
            <w:tcBorders>
              <w:top w:val="single" w:sz="4" w:space="0" w:color="auto"/>
              <w:left w:val="nil"/>
              <w:bottom w:val="single" w:sz="4" w:space="0" w:color="auto"/>
              <w:right w:val="single" w:sz="4" w:space="0" w:color="auto"/>
            </w:tcBorders>
            <w:shd w:val="clear" w:color="000000" w:fill="DAF2D0"/>
            <w:vAlign w:val="center"/>
            <w:hideMark/>
          </w:tcPr>
          <w:p w14:paraId="3E883B06"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IVA </w:t>
            </w:r>
          </w:p>
        </w:tc>
        <w:tc>
          <w:tcPr>
            <w:tcW w:w="669" w:type="pct"/>
            <w:tcBorders>
              <w:top w:val="single" w:sz="4" w:space="0" w:color="auto"/>
              <w:left w:val="nil"/>
              <w:bottom w:val="single" w:sz="4" w:space="0" w:color="auto"/>
              <w:right w:val="single" w:sz="8" w:space="0" w:color="auto"/>
            </w:tcBorders>
            <w:shd w:val="clear" w:color="000000" w:fill="DAF2D0"/>
            <w:vAlign w:val="center"/>
            <w:hideMark/>
          </w:tcPr>
          <w:p w14:paraId="0B4D27AE" w14:textId="77777777" w:rsidR="007F3160" w:rsidRPr="007F3160" w:rsidRDefault="007F3160">
            <w:pPr>
              <w:jc w:val="center"/>
              <w:rPr>
                <w:rFonts w:ascii="Arial" w:hAnsi="Arial" w:cs="Arial"/>
                <w:b/>
                <w:bCs/>
                <w:color w:val="FF0000"/>
                <w:sz w:val="16"/>
                <w:szCs w:val="16"/>
              </w:rPr>
            </w:pPr>
            <w:r w:rsidRPr="007F3160">
              <w:rPr>
                <w:rFonts w:ascii="Arial" w:hAnsi="Arial" w:cs="Arial"/>
                <w:b/>
                <w:bCs/>
                <w:color w:val="FF0000"/>
                <w:sz w:val="16"/>
                <w:szCs w:val="16"/>
              </w:rPr>
              <w:t xml:space="preserve"> PRIMA TOTAL </w:t>
            </w:r>
          </w:p>
        </w:tc>
      </w:tr>
      <w:tr w:rsidR="007F3160" w:rsidRPr="007F3160" w14:paraId="328BFB87" w14:textId="77777777" w:rsidTr="007F3160">
        <w:trPr>
          <w:trHeight w:val="20"/>
        </w:trPr>
        <w:tc>
          <w:tcPr>
            <w:tcW w:w="1663" w:type="pct"/>
            <w:tcBorders>
              <w:top w:val="nil"/>
              <w:left w:val="single" w:sz="8" w:space="0" w:color="auto"/>
              <w:bottom w:val="single" w:sz="4" w:space="0" w:color="auto"/>
              <w:right w:val="single" w:sz="4" w:space="0" w:color="auto"/>
            </w:tcBorders>
            <w:shd w:val="clear" w:color="000000" w:fill="DAF2D0"/>
            <w:noWrap/>
            <w:vAlign w:val="center"/>
            <w:hideMark/>
          </w:tcPr>
          <w:p w14:paraId="27EB9F84" w14:textId="2112CBFD" w:rsidR="007F3160" w:rsidRPr="007F3160" w:rsidRDefault="007F3160">
            <w:pPr>
              <w:rPr>
                <w:rFonts w:ascii="Arial" w:hAnsi="Arial" w:cs="Arial"/>
                <w:b/>
                <w:bCs/>
                <w:color w:val="000000"/>
                <w:sz w:val="16"/>
                <w:szCs w:val="16"/>
              </w:rPr>
            </w:pPr>
            <w:r w:rsidRPr="007F3160">
              <w:rPr>
                <w:rFonts w:ascii="Arial" w:hAnsi="Arial" w:cs="Arial"/>
                <w:b/>
                <w:bCs/>
                <w:color w:val="000000"/>
                <w:sz w:val="16"/>
                <w:szCs w:val="16"/>
              </w:rPr>
              <w:t>RESPONSABILIDAD CIVIL SERVIDORES PÚBLICOS</w:t>
            </w:r>
          </w:p>
        </w:tc>
        <w:tc>
          <w:tcPr>
            <w:tcW w:w="799" w:type="pct"/>
            <w:tcBorders>
              <w:top w:val="nil"/>
              <w:left w:val="nil"/>
              <w:bottom w:val="single" w:sz="4" w:space="0" w:color="auto"/>
              <w:right w:val="single" w:sz="4" w:space="0" w:color="auto"/>
            </w:tcBorders>
            <w:shd w:val="clear" w:color="000000" w:fill="DAF2D0"/>
            <w:noWrap/>
            <w:vAlign w:val="center"/>
            <w:hideMark/>
          </w:tcPr>
          <w:p w14:paraId="15535AD4" w14:textId="77777777" w:rsidR="007F3160" w:rsidRPr="007F3160" w:rsidRDefault="007F3160">
            <w:pPr>
              <w:jc w:val="right"/>
              <w:rPr>
                <w:rFonts w:ascii="Arial" w:hAnsi="Arial" w:cs="Arial"/>
                <w:b/>
                <w:bCs/>
                <w:color w:val="000000"/>
                <w:sz w:val="16"/>
                <w:szCs w:val="16"/>
              </w:rPr>
            </w:pPr>
            <w:r w:rsidRPr="007F3160">
              <w:rPr>
                <w:rFonts w:ascii="Arial" w:hAnsi="Arial" w:cs="Arial"/>
                <w:b/>
                <w:bCs/>
                <w:color w:val="000000"/>
                <w:sz w:val="16"/>
                <w:szCs w:val="16"/>
              </w:rPr>
              <w:t>$ 6,600,000,001</w:t>
            </w:r>
          </w:p>
        </w:tc>
        <w:tc>
          <w:tcPr>
            <w:tcW w:w="331" w:type="pct"/>
            <w:tcBorders>
              <w:top w:val="nil"/>
              <w:left w:val="nil"/>
              <w:bottom w:val="single" w:sz="4" w:space="0" w:color="auto"/>
              <w:right w:val="single" w:sz="4" w:space="0" w:color="auto"/>
            </w:tcBorders>
            <w:shd w:val="clear" w:color="000000" w:fill="DAF2D0"/>
            <w:noWrap/>
            <w:vAlign w:val="center"/>
            <w:hideMark/>
          </w:tcPr>
          <w:p w14:paraId="39D0429E" w14:textId="77777777" w:rsidR="007F3160" w:rsidRPr="007F3160" w:rsidRDefault="007F3160">
            <w:pPr>
              <w:jc w:val="center"/>
              <w:rPr>
                <w:rFonts w:ascii="Arial" w:hAnsi="Arial" w:cs="Arial"/>
                <w:b/>
                <w:bCs/>
                <w:color w:val="00B0F0"/>
                <w:sz w:val="16"/>
                <w:szCs w:val="16"/>
              </w:rPr>
            </w:pPr>
            <w:r w:rsidRPr="007F3160">
              <w:rPr>
                <w:rFonts w:ascii="Arial" w:hAnsi="Arial" w:cs="Arial"/>
                <w:b/>
                <w:bCs/>
                <w:color w:val="00B0F0"/>
                <w:sz w:val="16"/>
                <w:szCs w:val="16"/>
              </w:rPr>
              <w:t>2.86</w:t>
            </w:r>
          </w:p>
        </w:tc>
        <w:tc>
          <w:tcPr>
            <w:tcW w:w="296" w:type="pct"/>
            <w:tcBorders>
              <w:top w:val="nil"/>
              <w:left w:val="nil"/>
              <w:bottom w:val="single" w:sz="4" w:space="0" w:color="auto"/>
              <w:right w:val="single" w:sz="4" w:space="0" w:color="auto"/>
            </w:tcBorders>
            <w:shd w:val="clear" w:color="000000" w:fill="DAF2D0"/>
            <w:noWrap/>
            <w:vAlign w:val="center"/>
            <w:hideMark/>
          </w:tcPr>
          <w:p w14:paraId="05988BCE" w14:textId="77777777" w:rsidR="007F3160" w:rsidRPr="007F3160" w:rsidRDefault="007F3160">
            <w:pPr>
              <w:jc w:val="center"/>
              <w:rPr>
                <w:rFonts w:ascii="Arial" w:hAnsi="Arial" w:cs="Arial"/>
                <w:color w:val="000000"/>
                <w:sz w:val="16"/>
                <w:szCs w:val="16"/>
              </w:rPr>
            </w:pPr>
            <w:r w:rsidRPr="007F3160">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48382099"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                        42,383,819 </w:t>
            </w:r>
          </w:p>
        </w:tc>
        <w:tc>
          <w:tcPr>
            <w:tcW w:w="562" w:type="pct"/>
            <w:tcBorders>
              <w:top w:val="nil"/>
              <w:left w:val="nil"/>
              <w:bottom w:val="single" w:sz="4" w:space="0" w:color="auto"/>
              <w:right w:val="single" w:sz="4" w:space="0" w:color="auto"/>
            </w:tcBorders>
            <w:shd w:val="clear" w:color="000000" w:fill="DAF2D0"/>
            <w:noWrap/>
            <w:vAlign w:val="center"/>
            <w:hideMark/>
          </w:tcPr>
          <w:p w14:paraId="2C47615A"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                 8,052,926 </w:t>
            </w:r>
          </w:p>
        </w:tc>
        <w:tc>
          <w:tcPr>
            <w:tcW w:w="669" w:type="pct"/>
            <w:tcBorders>
              <w:top w:val="nil"/>
              <w:left w:val="nil"/>
              <w:bottom w:val="single" w:sz="4" w:space="0" w:color="auto"/>
              <w:right w:val="single" w:sz="8" w:space="0" w:color="auto"/>
            </w:tcBorders>
            <w:shd w:val="clear" w:color="000000" w:fill="DAF2D0"/>
            <w:noWrap/>
            <w:vAlign w:val="center"/>
            <w:hideMark/>
          </w:tcPr>
          <w:p w14:paraId="496E9662" w14:textId="77777777" w:rsidR="007F3160" w:rsidRPr="007F3160" w:rsidRDefault="007F3160">
            <w:pPr>
              <w:jc w:val="right"/>
              <w:rPr>
                <w:rFonts w:ascii="Arial" w:hAnsi="Arial" w:cs="Arial"/>
                <w:b/>
                <w:bCs/>
                <w:color w:val="000000"/>
                <w:sz w:val="16"/>
                <w:szCs w:val="16"/>
              </w:rPr>
            </w:pPr>
            <w:r w:rsidRPr="007F3160">
              <w:rPr>
                <w:rFonts w:ascii="Arial" w:hAnsi="Arial" w:cs="Arial"/>
                <w:b/>
                <w:bCs/>
                <w:color w:val="000000"/>
                <w:sz w:val="16"/>
                <w:szCs w:val="16"/>
              </w:rPr>
              <w:t xml:space="preserve"> $                       50,436,745 </w:t>
            </w:r>
          </w:p>
        </w:tc>
      </w:tr>
      <w:tr w:rsidR="007F3160" w:rsidRPr="007F3160" w14:paraId="01F910A4" w14:textId="77777777" w:rsidTr="007F3160">
        <w:trPr>
          <w:trHeight w:val="20"/>
        </w:trPr>
        <w:tc>
          <w:tcPr>
            <w:tcW w:w="1663" w:type="pct"/>
            <w:tcBorders>
              <w:top w:val="nil"/>
              <w:left w:val="single" w:sz="8" w:space="0" w:color="auto"/>
              <w:bottom w:val="single" w:sz="4" w:space="0" w:color="auto"/>
              <w:right w:val="single" w:sz="4" w:space="0" w:color="auto"/>
            </w:tcBorders>
            <w:shd w:val="clear" w:color="000000" w:fill="DAF2D0"/>
            <w:noWrap/>
            <w:vAlign w:val="center"/>
            <w:hideMark/>
          </w:tcPr>
          <w:p w14:paraId="3F3D4049" w14:textId="77777777" w:rsidR="007F3160" w:rsidRPr="007F3160" w:rsidRDefault="007F3160">
            <w:pPr>
              <w:rPr>
                <w:rFonts w:ascii="Arial" w:hAnsi="Arial" w:cs="Arial"/>
                <w:b/>
                <w:bCs/>
                <w:color w:val="000000"/>
                <w:sz w:val="16"/>
                <w:szCs w:val="16"/>
              </w:rPr>
            </w:pPr>
            <w:r w:rsidRPr="007F3160">
              <w:rPr>
                <w:rFonts w:ascii="Arial" w:hAnsi="Arial" w:cs="Arial"/>
                <w:b/>
                <w:bCs/>
                <w:color w:val="000000"/>
                <w:sz w:val="16"/>
                <w:szCs w:val="16"/>
              </w:rPr>
              <w:t>INFIDELIDAD Y RIESGOS FINANCIEROS</w:t>
            </w:r>
          </w:p>
        </w:tc>
        <w:tc>
          <w:tcPr>
            <w:tcW w:w="799" w:type="pct"/>
            <w:tcBorders>
              <w:top w:val="nil"/>
              <w:left w:val="nil"/>
              <w:bottom w:val="single" w:sz="4" w:space="0" w:color="auto"/>
              <w:right w:val="single" w:sz="4" w:space="0" w:color="auto"/>
            </w:tcBorders>
            <w:shd w:val="clear" w:color="000000" w:fill="DAF2D0"/>
            <w:noWrap/>
            <w:vAlign w:val="center"/>
            <w:hideMark/>
          </w:tcPr>
          <w:p w14:paraId="2BD80CFC" w14:textId="77777777" w:rsidR="007F3160" w:rsidRPr="007F3160" w:rsidRDefault="007F3160">
            <w:pPr>
              <w:jc w:val="right"/>
              <w:rPr>
                <w:rFonts w:ascii="Arial" w:hAnsi="Arial" w:cs="Arial"/>
                <w:b/>
                <w:bCs/>
                <w:color w:val="000000"/>
                <w:sz w:val="16"/>
                <w:szCs w:val="16"/>
              </w:rPr>
            </w:pPr>
            <w:r w:rsidRPr="007F3160">
              <w:rPr>
                <w:rFonts w:ascii="Arial" w:hAnsi="Arial" w:cs="Arial"/>
                <w:b/>
                <w:bCs/>
                <w:color w:val="000000"/>
                <w:sz w:val="16"/>
                <w:szCs w:val="16"/>
              </w:rPr>
              <w:t>$ 4,000,000,000</w:t>
            </w:r>
          </w:p>
        </w:tc>
        <w:tc>
          <w:tcPr>
            <w:tcW w:w="331" w:type="pct"/>
            <w:tcBorders>
              <w:top w:val="nil"/>
              <w:left w:val="nil"/>
              <w:bottom w:val="single" w:sz="4" w:space="0" w:color="auto"/>
              <w:right w:val="single" w:sz="4" w:space="0" w:color="auto"/>
            </w:tcBorders>
            <w:shd w:val="clear" w:color="000000" w:fill="DAF2D0"/>
            <w:noWrap/>
            <w:vAlign w:val="center"/>
            <w:hideMark/>
          </w:tcPr>
          <w:p w14:paraId="1A76D892" w14:textId="77777777" w:rsidR="007F3160" w:rsidRPr="007F3160" w:rsidRDefault="007F3160">
            <w:pPr>
              <w:jc w:val="center"/>
              <w:rPr>
                <w:rFonts w:ascii="Arial" w:hAnsi="Arial" w:cs="Arial"/>
                <w:b/>
                <w:bCs/>
                <w:color w:val="00B0F0"/>
                <w:sz w:val="16"/>
                <w:szCs w:val="16"/>
              </w:rPr>
            </w:pPr>
            <w:r w:rsidRPr="007F3160">
              <w:rPr>
                <w:rFonts w:ascii="Arial" w:hAnsi="Arial" w:cs="Arial"/>
                <w:b/>
                <w:bCs/>
                <w:color w:val="00B0F0"/>
                <w:sz w:val="16"/>
                <w:szCs w:val="16"/>
              </w:rPr>
              <w:t>1.64</w:t>
            </w:r>
          </w:p>
        </w:tc>
        <w:tc>
          <w:tcPr>
            <w:tcW w:w="296" w:type="pct"/>
            <w:tcBorders>
              <w:top w:val="nil"/>
              <w:left w:val="nil"/>
              <w:bottom w:val="single" w:sz="4" w:space="0" w:color="auto"/>
              <w:right w:val="single" w:sz="4" w:space="0" w:color="auto"/>
            </w:tcBorders>
            <w:shd w:val="clear" w:color="000000" w:fill="DAF2D0"/>
            <w:noWrap/>
            <w:vAlign w:val="center"/>
            <w:hideMark/>
          </w:tcPr>
          <w:p w14:paraId="5C5F1548" w14:textId="77777777" w:rsidR="007F3160" w:rsidRPr="007F3160" w:rsidRDefault="007F3160">
            <w:pPr>
              <w:jc w:val="center"/>
              <w:rPr>
                <w:rFonts w:ascii="Arial" w:hAnsi="Arial" w:cs="Arial"/>
                <w:color w:val="000000"/>
                <w:sz w:val="16"/>
                <w:szCs w:val="16"/>
              </w:rPr>
            </w:pPr>
            <w:r w:rsidRPr="007F3160">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46C0467E"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                        14,780,668 </w:t>
            </w:r>
          </w:p>
        </w:tc>
        <w:tc>
          <w:tcPr>
            <w:tcW w:w="562" w:type="pct"/>
            <w:tcBorders>
              <w:top w:val="nil"/>
              <w:left w:val="nil"/>
              <w:bottom w:val="single" w:sz="4" w:space="0" w:color="auto"/>
              <w:right w:val="single" w:sz="4" w:space="0" w:color="auto"/>
            </w:tcBorders>
            <w:shd w:val="clear" w:color="000000" w:fill="DAF2D0"/>
            <w:noWrap/>
            <w:vAlign w:val="center"/>
            <w:hideMark/>
          </w:tcPr>
          <w:p w14:paraId="595D39B9"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                 2,808,327 </w:t>
            </w:r>
          </w:p>
        </w:tc>
        <w:tc>
          <w:tcPr>
            <w:tcW w:w="669" w:type="pct"/>
            <w:tcBorders>
              <w:top w:val="nil"/>
              <w:left w:val="nil"/>
              <w:bottom w:val="single" w:sz="4" w:space="0" w:color="auto"/>
              <w:right w:val="single" w:sz="8" w:space="0" w:color="auto"/>
            </w:tcBorders>
            <w:shd w:val="clear" w:color="000000" w:fill="DAF2D0"/>
            <w:noWrap/>
            <w:vAlign w:val="center"/>
            <w:hideMark/>
          </w:tcPr>
          <w:p w14:paraId="687C41E6" w14:textId="77777777" w:rsidR="007F3160" w:rsidRPr="007F3160" w:rsidRDefault="007F3160">
            <w:pPr>
              <w:jc w:val="right"/>
              <w:rPr>
                <w:rFonts w:ascii="Arial" w:hAnsi="Arial" w:cs="Arial"/>
                <w:b/>
                <w:bCs/>
                <w:color w:val="000000"/>
                <w:sz w:val="16"/>
                <w:szCs w:val="16"/>
              </w:rPr>
            </w:pPr>
            <w:r w:rsidRPr="007F3160">
              <w:rPr>
                <w:rFonts w:ascii="Arial" w:hAnsi="Arial" w:cs="Arial"/>
                <w:b/>
                <w:bCs/>
                <w:color w:val="000000"/>
                <w:sz w:val="16"/>
                <w:szCs w:val="16"/>
              </w:rPr>
              <w:t xml:space="preserve"> $                       17,588,995 </w:t>
            </w:r>
          </w:p>
        </w:tc>
      </w:tr>
      <w:tr w:rsidR="007F3160" w:rsidRPr="007F3160" w14:paraId="249FB009" w14:textId="77777777" w:rsidTr="007F3160">
        <w:trPr>
          <w:trHeight w:val="20"/>
        </w:trPr>
        <w:tc>
          <w:tcPr>
            <w:tcW w:w="1663" w:type="pct"/>
            <w:tcBorders>
              <w:top w:val="nil"/>
              <w:left w:val="single" w:sz="8" w:space="0" w:color="auto"/>
              <w:bottom w:val="single" w:sz="4" w:space="0" w:color="auto"/>
              <w:right w:val="single" w:sz="4" w:space="0" w:color="auto"/>
            </w:tcBorders>
            <w:shd w:val="clear" w:color="000000" w:fill="DAF2D0"/>
            <w:vAlign w:val="center"/>
            <w:hideMark/>
          </w:tcPr>
          <w:p w14:paraId="4B000F43" w14:textId="7324001B" w:rsidR="007F3160" w:rsidRPr="007F3160" w:rsidRDefault="007F3160">
            <w:pPr>
              <w:rPr>
                <w:rFonts w:ascii="Arial" w:hAnsi="Arial" w:cs="Arial"/>
                <w:b/>
                <w:bCs/>
                <w:color w:val="000000"/>
                <w:sz w:val="16"/>
                <w:szCs w:val="16"/>
              </w:rPr>
            </w:pPr>
            <w:r w:rsidRPr="007F3160">
              <w:rPr>
                <w:rFonts w:ascii="Arial" w:hAnsi="Arial" w:cs="Arial"/>
                <w:b/>
                <w:bCs/>
                <w:color w:val="000000"/>
                <w:sz w:val="16"/>
                <w:szCs w:val="16"/>
              </w:rPr>
              <w:t>RESPONSABILIDAD CIVIL EXTRACONTRACTUAL - PROYECTO TRIANGULO DEL TOLIMA</w:t>
            </w:r>
          </w:p>
        </w:tc>
        <w:tc>
          <w:tcPr>
            <w:tcW w:w="799" w:type="pct"/>
            <w:tcBorders>
              <w:top w:val="nil"/>
              <w:left w:val="nil"/>
              <w:bottom w:val="single" w:sz="4" w:space="0" w:color="auto"/>
              <w:right w:val="single" w:sz="4" w:space="0" w:color="auto"/>
            </w:tcBorders>
            <w:shd w:val="clear" w:color="000000" w:fill="DAF2D0"/>
            <w:noWrap/>
            <w:vAlign w:val="center"/>
            <w:hideMark/>
          </w:tcPr>
          <w:p w14:paraId="5C565335" w14:textId="77777777" w:rsidR="007F3160" w:rsidRPr="007F3160" w:rsidRDefault="007F3160">
            <w:pPr>
              <w:jc w:val="right"/>
              <w:rPr>
                <w:rFonts w:ascii="Arial" w:hAnsi="Arial" w:cs="Arial"/>
                <w:b/>
                <w:bCs/>
                <w:color w:val="000000"/>
                <w:sz w:val="16"/>
                <w:szCs w:val="16"/>
              </w:rPr>
            </w:pPr>
            <w:r w:rsidRPr="007F3160">
              <w:rPr>
                <w:rFonts w:ascii="Arial" w:hAnsi="Arial" w:cs="Arial"/>
                <w:b/>
                <w:bCs/>
                <w:color w:val="000000"/>
                <w:sz w:val="16"/>
                <w:szCs w:val="16"/>
              </w:rPr>
              <w:t>$ 6,000,000,000</w:t>
            </w:r>
          </w:p>
        </w:tc>
        <w:tc>
          <w:tcPr>
            <w:tcW w:w="331" w:type="pct"/>
            <w:tcBorders>
              <w:top w:val="nil"/>
              <w:left w:val="nil"/>
              <w:bottom w:val="single" w:sz="4" w:space="0" w:color="auto"/>
              <w:right w:val="single" w:sz="4" w:space="0" w:color="auto"/>
            </w:tcBorders>
            <w:shd w:val="clear" w:color="000000" w:fill="DAF2D0"/>
            <w:noWrap/>
            <w:vAlign w:val="center"/>
            <w:hideMark/>
          </w:tcPr>
          <w:p w14:paraId="76C30F3D" w14:textId="77777777" w:rsidR="007F3160" w:rsidRPr="007F3160" w:rsidRDefault="007F3160">
            <w:pPr>
              <w:jc w:val="center"/>
              <w:rPr>
                <w:rFonts w:ascii="Arial" w:hAnsi="Arial" w:cs="Arial"/>
                <w:b/>
                <w:bCs/>
                <w:color w:val="00B0F0"/>
                <w:sz w:val="16"/>
                <w:szCs w:val="16"/>
              </w:rPr>
            </w:pPr>
            <w:r w:rsidRPr="007F3160">
              <w:rPr>
                <w:rFonts w:ascii="Arial" w:hAnsi="Arial" w:cs="Arial"/>
                <w:b/>
                <w:bCs/>
                <w:color w:val="00B0F0"/>
                <w:sz w:val="16"/>
                <w:szCs w:val="16"/>
              </w:rPr>
              <w:t>3.50</w:t>
            </w:r>
          </w:p>
        </w:tc>
        <w:tc>
          <w:tcPr>
            <w:tcW w:w="296" w:type="pct"/>
            <w:tcBorders>
              <w:top w:val="nil"/>
              <w:left w:val="nil"/>
              <w:bottom w:val="single" w:sz="4" w:space="0" w:color="auto"/>
              <w:right w:val="single" w:sz="4" w:space="0" w:color="auto"/>
            </w:tcBorders>
            <w:shd w:val="clear" w:color="000000" w:fill="DAF2D0"/>
            <w:noWrap/>
            <w:vAlign w:val="center"/>
            <w:hideMark/>
          </w:tcPr>
          <w:p w14:paraId="342C8215" w14:textId="77777777" w:rsidR="007F3160" w:rsidRPr="007F3160" w:rsidRDefault="007F3160">
            <w:pPr>
              <w:jc w:val="center"/>
              <w:rPr>
                <w:rFonts w:ascii="Arial" w:hAnsi="Arial" w:cs="Arial"/>
                <w:color w:val="000000"/>
                <w:sz w:val="16"/>
                <w:szCs w:val="16"/>
              </w:rPr>
            </w:pPr>
            <w:r w:rsidRPr="007F3160">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2A874143"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                        47,176,734 </w:t>
            </w:r>
          </w:p>
        </w:tc>
        <w:tc>
          <w:tcPr>
            <w:tcW w:w="562" w:type="pct"/>
            <w:tcBorders>
              <w:top w:val="nil"/>
              <w:left w:val="nil"/>
              <w:bottom w:val="single" w:sz="4" w:space="0" w:color="auto"/>
              <w:right w:val="single" w:sz="4" w:space="0" w:color="auto"/>
            </w:tcBorders>
            <w:shd w:val="clear" w:color="000000" w:fill="DAF2D0"/>
            <w:noWrap/>
            <w:vAlign w:val="center"/>
            <w:hideMark/>
          </w:tcPr>
          <w:p w14:paraId="21DF74D1" w14:textId="77777777" w:rsidR="007F3160" w:rsidRPr="007F3160" w:rsidRDefault="007F3160">
            <w:pPr>
              <w:jc w:val="center"/>
              <w:rPr>
                <w:rFonts w:ascii="Arial" w:hAnsi="Arial" w:cs="Arial"/>
                <w:b/>
                <w:bCs/>
                <w:color w:val="000000"/>
                <w:sz w:val="16"/>
                <w:szCs w:val="16"/>
              </w:rPr>
            </w:pPr>
            <w:r w:rsidRPr="007F3160">
              <w:rPr>
                <w:rFonts w:ascii="Arial" w:hAnsi="Arial" w:cs="Arial"/>
                <w:b/>
                <w:bCs/>
                <w:color w:val="000000"/>
                <w:sz w:val="16"/>
                <w:szCs w:val="16"/>
              </w:rPr>
              <w:t xml:space="preserve"> $                 8,963,579 </w:t>
            </w:r>
          </w:p>
        </w:tc>
        <w:tc>
          <w:tcPr>
            <w:tcW w:w="669" w:type="pct"/>
            <w:tcBorders>
              <w:top w:val="nil"/>
              <w:left w:val="nil"/>
              <w:bottom w:val="single" w:sz="4" w:space="0" w:color="auto"/>
              <w:right w:val="single" w:sz="8" w:space="0" w:color="auto"/>
            </w:tcBorders>
            <w:shd w:val="clear" w:color="000000" w:fill="DAF2D0"/>
            <w:noWrap/>
            <w:vAlign w:val="center"/>
            <w:hideMark/>
          </w:tcPr>
          <w:p w14:paraId="149148B9" w14:textId="77777777" w:rsidR="007F3160" w:rsidRPr="007F3160" w:rsidRDefault="007F3160">
            <w:pPr>
              <w:jc w:val="right"/>
              <w:rPr>
                <w:rFonts w:ascii="Arial" w:hAnsi="Arial" w:cs="Arial"/>
                <w:b/>
                <w:bCs/>
                <w:color w:val="000000"/>
                <w:sz w:val="16"/>
                <w:szCs w:val="16"/>
              </w:rPr>
            </w:pPr>
            <w:r w:rsidRPr="007F3160">
              <w:rPr>
                <w:rFonts w:ascii="Arial" w:hAnsi="Arial" w:cs="Arial"/>
                <w:b/>
                <w:bCs/>
                <w:color w:val="000000"/>
                <w:sz w:val="16"/>
                <w:szCs w:val="16"/>
              </w:rPr>
              <w:t xml:space="preserve"> $                       56,140,313 </w:t>
            </w:r>
          </w:p>
        </w:tc>
      </w:tr>
      <w:tr w:rsidR="007F3160" w:rsidRPr="007F3160" w14:paraId="2E0B63BD" w14:textId="77777777" w:rsidTr="007F3160">
        <w:trPr>
          <w:trHeight w:val="20"/>
        </w:trPr>
        <w:tc>
          <w:tcPr>
            <w:tcW w:w="3089" w:type="pct"/>
            <w:gridSpan w:val="4"/>
            <w:tcBorders>
              <w:top w:val="single" w:sz="4" w:space="0" w:color="auto"/>
              <w:left w:val="single" w:sz="8" w:space="0" w:color="auto"/>
              <w:bottom w:val="single" w:sz="4" w:space="0" w:color="auto"/>
              <w:right w:val="single" w:sz="4" w:space="0" w:color="000000"/>
            </w:tcBorders>
            <w:shd w:val="clear" w:color="000000" w:fill="C1F0C8"/>
            <w:noWrap/>
            <w:vAlign w:val="center"/>
            <w:hideMark/>
          </w:tcPr>
          <w:p w14:paraId="1D31000B" w14:textId="33B12B19" w:rsidR="007F3160" w:rsidRPr="007F3160" w:rsidRDefault="007F3160">
            <w:pPr>
              <w:jc w:val="center"/>
              <w:rPr>
                <w:rFonts w:ascii="Arial" w:hAnsi="Arial" w:cs="Arial"/>
                <w:b/>
                <w:bCs/>
                <w:color w:val="00B0F0"/>
                <w:sz w:val="16"/>
                <w:szCs w:val="16"/>
              </w:rPr>
            </w:pPr>
            <w:r w:rsidRPr="007F3160">
              <w:rPr>
                <w:rFonts w:ascii="Arial" w:hAnsi="Arial" w:cs="Arial"/>
                <w:b/>
                <w:bCs/>
                <w:color w:val="00B0F0"/>
                <w:sz w:val="16"/>
                <w:szCs w:val="16"/>
              </w:rPr>
              <w:t xml:space="preserve"> TOTAL, GRUPO No. 2 </w:t>
            </w:r>
          </w:p>
        </w:tc>
        <w:tc>
          <w:tcPr>
            <w:tcW w:w="680" w:type="pct"/>
            <w:tcBorders>
              <w:top w:val="nil"/>
              <w:left w:val="nil"/>
              <w:bottom w:val="single" w:sz="4" w:space="0" w:color="auto"/>
              <w:right w:val="single" w:sz="4" w:space="0" w:color="auto"/>
            </w:tcBorders>
            <w:shd w:val="clear" w:color="000000" w:fill="C1F0C8"/>
            <w:noWrap/>
            <w:vAlign w:val="center"/>
            <w:hideMark/>
          </w:tcPr>
          <w:p w14:paraId="7BDB775D" w14:textId="77777777" w:rsidR="007F3160" w:rsidRPr="007F3160" w:rsidRDefault="007F3160">
            <w:pPr>
              <w:jc w:val="right"/>
              <w:rPr>
                <w:rFonts w:ascii="Arial" w:hAnsi="Arial" w:cs="Arial"/>
                <w:b/>
                <w:bCs/>
                <w:color w:val="00B0F0"/>
                <w:sz w:val="16"/>
                <w:szCs w:val="16"/>
              </w:rPr>
            </w:pPr>
            <w:r w:rsidRPr="007F3160">
              <w:rPr>
                <w:rFonts w:ascii="Arial" w:hAnsi="Arial" w:cs="Arial"/>
                <w:b/>
                <w:bCs/>
                <w:color w:val="00B0F0"/>
                <w:sz w:val="16"/>
                <w:szCs w:val="16"/>
              </w:rPr>
              <w:t>$ 104,341,221</w:t>
            </w:r>
          </w:p>
        </w:tc>
        <w:tc>
          <w:tcPr>
            <w:tcW w:w="562" w:type="pct"/>
            <w:tcBorders>
              <w:top w:val="nil"/>
              <w:left w:val="nil"/>
              <w:bottom w:val="single" w:sz="4" w:space="0" w:color="auto"/>
              <w:right w:val="single" w:sz="4" w:space="0" w:color="auto"/>
            </w:tcBorders>
            <w:shd w:val="clear" w:color="000000" w:fill="C1F0C8"/>
            <w:noWrap/>
            <w:vAlign w:val="center"/>
            <w:hideMark/>
          </w:tcPr>
          <w:p w14:paraId="2D7F3508" w14:textId="77777777" w:rsidR="007F3160" w:rsidRPr="007F3160" w:rsidRDefault="007F3160">
            <w:pPr>
              <w:jc w:val="right"/>
              <w:rPr>
                <w:rFonts w:ascii="Arial" w:hAnsi="Arial" w:cs="Arial"/>
                <w:b/>
                <w:bCs/>
                <w:color w:val="00B0F0"/>
                <w:sz w:val="16"/>
                <w:szCs w:val="16"/>
              </w:rPr>
            </w:pPr>
            <w:r w:rsidRPr="007F3160">
              <w:rPr>
                <w:rFonts w:ascii="Arial" w:hAnsi="Arial" w:cs="Arial"/>
                <w:b/>
                <w:bCs/>
                <w:color w:val="00B0F0"/>
                <w:sz w:val="16"/>
                <w:szCs w:val="16"/>
              </w:rPr>
              <w:t>$ 19,824,832</w:t>
            </w:r>
          </w:p>
        </w:tc>
        <w:tc>
          <w:tcPr>
            <w:tcW w:w="669" w:type="pct"/>
            <w:tcBorders>
              <w:top w:val="nil"/>
              <w:left w:val="nil"/>
              <w:bottom w:val="single" w:sz="4" w:space="0" w:color="auto"/>
              <w:right w:val="single" w:sz="8" w:space="0" w:color="auto"/>
            </w:tcBorders>
            <w:shd w:val="clear" w:color="000000" w:fill="C1F0C8"/>
            <w:noWrap/>
            <w:vAlign w:val="center"/>
            <w:hideMark/>
          </w:tcPr>
          <w:p w14:paraId="04222C55" w14:textId="77777777" w:rsidR="007F3160" w:rsidRPr="007F3160" w:rsidRDefault="007F3160">
            <w:pPr>
              <w:jc w:val="right"/>
              <w:rPr>
                <w:rFonts w:ascii="Arial" w:hAnsi="Arial" w:cs="Arial"/>
                <w:b/>
                <w:bCs/>
                <w:color w:val="00B0F0"/>
                <w:sz w:val="16"/>
                <w:szCs w:val="16"/>
              </w:rPr>
            </w:pPr>
            <w:r w:rsidRPr="007F3160">
              <w:rPr>
                <w:rFonts w:ascii="Arial" w:hAnsi="Arial" w:cs="Arial"/>
                <w:b/>
                <w:bCs/>
                <w:color w:val="00B0F0"/>
                <w:sz w:val="16"/>
                <w:szCs w:val="16"/>
              </w:rPr>
              <w:t>$ 124,166,053</w:t>
            </w:r>
          </w:p>
        </w:tc>
      </w:tr>
    </w:tbl>
    <w:p w14:paraId="002B82A4" w14:textId="30EBCFA3" w:rsidR="004402A0" w:rsidRPr="00FB351A" w:rsidRDefault="004402A0" w:rsidP="00803115">
      <w:pPr>
        <w:pStyle w:val="Descripcin"/>
        <w:jc w:val="both"/>
        <w:rPr>
          <w:rFonts w:ascii="Arial" w:hAnsi="Arial" w:cs="Arial"/>
          <w:b w:val="0"/>
          <w:bCs w:val="0"/>
        </w:rPr>
      </w:pPr>
      <w:r w:rsidRPr="00FB351A">
        <w:rPr>
          <w:rFonts w:ascii="Arial" w:hAnsi="Arial" w:cs="Arial"/>
          <w:b w:val="0"/>
          <w:bCs w:val="0"/>
        </w:rPr>
        <w:t xml:space="preserve">Cuadro Estudio de mercado elaborado por </w:t>
      </w:r>
      <w:r w:rsidR="00BD0673" w:rsidRPr="00FB351A">
        <w:rPr>
          <w:rFonts w:ascii="Arial" w:hAnsi="Arial" w:cs="Arial"/>
          <w:b w:val="0"/>
          <w:bCs w:val="0"/>
        </w:rPr>
        <w:t xml:space="preserve">el </w:t>
      </w:r>
      <w:r w:rsidR="00BD0673" w:rsidRPr="00FB351A">
        <w:rPr>
          <w:rFonts w:ascii="Arial" w:hAnsi="Arial" w:cs="Arial"/>
          <w:b w:val="0"/>
          <w:bCs w:val="0"/>
          <w:lang w:val="es-CO"/>
        </w:rPr>
        <w:t xml:space="preserve">intermediario de seguros de la entidad </w:t>
      </w:r>
      <w:r w:rsidRPr="00FB351A">
        <w:rPr>
          <w:rFonts w:ascii="Arial" w:hAnsi="Arial" w:cs="Arial"/>
          <w:b w:val="0"/>
          <w:bCs w:val="0"/>
        </w:rPr>
        <w:t xml:space="preserve"> </w:t>
      </w:r>
    </w:p>
    <w:p w14:paraId="24E9AE0B" w14:textId="77777777" w:rsidR="00D26162" w:rsidRPr="00FB351A" w:rsidRDefault="00D26162" w:rsidP="00803115">
      <w:pPr>
        <w:jc w:val="both"/>
        <w:rPr>
          <w:rFonts w:ascii="Arial" w:hAnsi="Arial" w:cs="Arial"/>
          <w:lang w:val="es-ES" w:eastAsia="es-ES"/>
        </w:rPr>
      </w:pPr>
    </w:p>
    <w:p w14:paraId="290523AD" w14:textId="248A7C82" w:rsidR="00570FB7" w:rsidRPr="00FB351A" w:rsidRDefault="00D26162" w:rsidP="00803115">
      <w:pPr>
        <w:jc w:val="both"/>
        <w:rPr>
          <w:rFonts w:ascii="Arial" w:hAnsi="Arial" w:cs="Arial"/>
          <w:b/>
          <w:bCs/>
          <w:iCs/>
          <w:color w:val="000000"/>
          <w:sz w:val="20"/>
          <w:szCs w:val="20"/>
          <w:lang w:eastAsia="en-US"/>
        </w:rPr>
      </w:pPr>
      <w:r w:rsidRPr="00FB351A">
        <w:rPr>
          <w:rFonts w:ascii="Arial" w:hAnsi="Arial" w:cs="Arial"/>
          <w:b/>
          <w:bCs/>
          <w:iCs/>
          <w:color w:val="000000"/>
          <w:sz w:val="20"/>
          <w:szCs w:val="20"/>
          <w:lang w:eastAsia="en-US"/>
        </w:rPr>
        <w:t>Lote Tres</w:t>
      </w:r>
      <w:r w:rsidRPr="00FB351A">
        <w:rPr>
          <w:rFonts w:ascii="Arial" w:hAnsi="Arial" w:cs="Arial"/>
          <w:iCs/>
          <w:color w:val="000000"/>
          <w:sz w:val="20"/>
          <w:szCs w:val="20"/>
          <w:lang w:eastAsia="en-US"/>
        </w:rPr>
        <w:t xml:space="preserve">: hasta </w:t>
      </w:r>
      <w:r w:rsidR="007F3160" w:rsidRPr="007F3160">
        <w:rPr>
          <w:rFonts w:ascii="Arial" w:hAnsi="Arial" w:cs="Arial"/>
          <w:b/>
          <w:bCs/>
          <w:iCs/>
          <w:color w:val="000000"/>
          <w:sz w:val="20"/>
          <w:szCs w:val="20"/>
          <w:lang w:eastAsia="en-US"/>
        </w:rPr>
        <w:t>QUINIENTOS SETENTA Y UN MILLONES OCHOCIENTOS QUINCE MIL NOVECIENTOS PESOS MC/TE ($ 571.815.900)</w:t>
      </w:r>
      <w:r w:rsidR="007F3160">
        <w:rPr>
          <w:rFonts w:ascii="Arial" w:hAnsi="Arial" w:cs="Arial"/>
          <w:b/>
          <w:bCs/>
          <w:iCs/>
          <w:color w:val="000000"/>
          <w:sz w:val="20"/>
          <w:szCs w:val="20"/>
          <w:lang w:eastAsia="en-US"/>
        </w:rPr>
        <w:t xml:space="preserve"> </w:t>
      </w:r>
      <w:r w:rsidRPr="00FB351A">
        <w:rPr>
          <w:rFonts w:ascii="Arial" w:hAnsi="Arial" w:cs="Arial"/>
          <w:iCs/>
          <w:color w:val="000000"/>
          <w:sz w:val="20"/>
          <w:szCs w:val="20"/>
          <w:lang w:eastAsia="en-US"/>
        </w:rPr>
        <w:t xml:space="preserve">incluido IVA y demás impuestos, tasas y contribuciones que apliquen, así como los costos directos e indirectos en que incurra el contratista, para una vigencia mínima de </w:t>
      </w:r>
      <w:r w:rsidR="007F3160">
        <w:rPr>
          <w:rFonts w:ascii="Arial" w:hAnsi="Arial" w:cs="Arial"/>
          <w:iCs/>
          <w:color w:val="000000"/>
          <w:sz w:val="20"/>
          <w:szCs w:val="20"/>
          <w:lang w:eastAsia="en-US"/>
        </w:rPr>
        <w:t>ochenta y dos</w:t>
      </w:r>
      <w:r w:rsidR="00E52799" w:rsidRPr="00FB351A">
        <w:rPr>
          <w:rFonts w:ascii="Arial" w:hAnsi="Arial" w:cs="Arial"/>
          <w:iCs/>
          <w:color w:val="000000"/>
          <w:sz w:val="20"/>
          <w:szCs w:val="20"/>
          <w:lang w:eastAsia="en-US"/>
        </w:rPr>
        <w:t xml:space="preserve"> </w:t>
      </w:r>
      <w:r w:rsidR="00570FB7" w:rsidRPr="00FB351A">
        <w:rPr>
          <w:rFonts w:ascii="Arial" w:hAnsi="Arial" w:cs="Arial"/>
          <w:iCs/>
          <w:color w:val="000000"/>
          <w:sz w:val="20"/>
          <w:szCs w:val="20"/>
          <w:lang w:eastAsia="en-US"/>
        </w:rPr>
        <w:t>(</w:t>
      </w:r>
      <w:r w:rsidR="007F3160">
        <w:rPr>
          <w:rFonts w:ascii="Arial" w:hAnsi="Arial" w:cs="Arial"/>
          <w:iCs/>
          <w:color w:val="000000"/>
          <w:sz w:val="20"/>
          <w:szCs w:val="20"/>
          <w:lang w:eastAsia="en-US"/>
        </w:rPr>
        <w:t>82</w:t>
      </w:r>
      <w:r w:rsidR="00E52799" w:rsidRPr="00FB351A">
        <w:rPr>
          <w:rFonts w:ascii="Arial" w:hAnsi="Arial" w:cs="Arial"/>
          <w:iCs/>
          <w:color w:val="000000"/>
          <w:sz w:val="20"/>
          <w:szCs w:val="20"/>
          <w:lang w:eastAsia="en-US"/>
        </w:rPr>
        <w:t>)</w:t>
      </w:r>
      <w:r w:rsidR="00570FB7" w:rsidRPr="00FB351A">
        <w:rPr>
          <w:rFonts w:ascii="Arial" w:hAnsi="Arial" w:cs="Arial"/>
          <w:iCs/>
          <w:color w:val="000000"/>
          <w:sz w:val="20"/>
          <w:szCs w:val="20"/>
          <w:lang w:eastAsia="en-US"/>
        </w:rPr>
        <w:t xml:space="preserve"> días.</w:t>
      </w:r>
    </w:p>
    <w:p w14:paraId="62A96EE5" w14:textId="77777777" w:rsidR="004E5C6D" w:rsidRPr="00FB351A" w:rsidRDefault="004E5C6D" w:rsidP="00803115">
      <w:pPr>
        <w:jc w:val="both"/>
        <w:rPr>
          <w:rFonts w:ascii="Arial" w:hAnsi="Arial" w:cs="Arial"/>
          <w:iCs/>
          <w:color w:val="000000"/>
          <w:sz w:val="20"/>
          <w:szCs w:val="20"/>
          <w:lang w:eastAsia="en-US"/>
        </w:rPr>
      </w:pPr>
    </w:p>
    <w:tbl>
      <w:tblPr>
        <w:tblW w:w="5000" w:type="pct"/>
        <w:tblCellMar>
          <w:left w:w="70" w:type="dxa"/>
          <w:right w:w="70" w:type="dxa"/>
        </w:tblCellMar>
        <w:tblLook w:val="04A0" w:firstRow="1" w:lastRow="0" w:firstColumn="1" w:lastColumn="0" w:noHBand="0" w:noVBand="1"/>
      </w:tblPr>
      <w:tblGrid>
        <w:gridCol w:w="2287"/>
        <w:gridCol w:w="1847"/>
        <w:gridCol w:w="538"/>
        <w:gridCol w:w="450"/>
        <w:gridCol w:w="1594"/>
        <w:gridCol w:w="1309"/>
        <w:gridCol w:w="1594"/>
      </w:tblGrid>
      <w:tr w:rsidR="00B64F1E" w:rsidRPr="00B64F1E" w14:paraId="28D35907" w14:textId="77777777" w:rsidTr="009D3A97">
        <w:trPr>
          <w:trHeight w:val="20"/>
        </w:trPr>
        <w:tc>
          <w:tcPr>
            <w:tcW w:w="1163" w:type="pct"/>
            <w:tcBorders>
              <w:top w:val="single" w:sz="4" w:space="0" w:color="auto"/>
              <w:left w:val="single" w:sz="8" w:space="0" w:color="auto"/>
              <w:bottom w:val="single" w:sz="4" w:space="0" w:color="auto"/>
              <w:right w:val="single" w:sz="4" w:space="0" w:color="auto"/>
            </w:tcBorders>
            <w:shd w:val="clear" w:color="000000" w:fill="DAF2D0"/>
            <w:vAlign w:val="center"/>
            <w:hideMark/>
          </w:tcPr>
          <w:p w14:paraId="6FD97A52"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RAMO</w:t>
            </w:r>
          </w:p>
        </w:tc>
        <w:tc>
          <w:tcPr>
            <w:tcW w:w="990" w:type="pct"/>
            <w:tcBorders>
              <w:top w:val="single" w:sz="4" w:space="0" w:color="auto"/>
              <w:left w:val="nil"/>
              <w:bottom w:val="single" w:sz="4" w:space="0" w:color="auto"/>
              <w:right w:val="single" w:sz="4" w:space="0" w:color="auto"/>
            </w:tcBorders>
            <w:shd w:val="clear" w:color="000000" w:fill="DAF2D0"/>
            <w:vAlign w:val="center"/>
            <w:hideMark/>
          </w:tcPr>
          <w:p w14:paraId="053693D4"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VALOR ASEGURADO</w:t>
            </w:r>
          </w:p>
        </w:tc>
        <w:tc>
          <w:tcPr>
            <w:tcW w:w="274" w:type="pct"/>
            <w:tcBorders>
              <w:top w:val="single" w:sz="4" w:space="0" w:color="auto"/>
              <w:left w:val="nil"/>
              <w:bottom w:val="single" w:sz="4" w:space="0" w:color="auto"/>
              <w:right w:val="single" w:sz="4" w:space="0" w:color="auto"/>
            </w:tcBorders>
            <w:shd w:val="clear" w:color="000000" w:fill="DAF2D0"/>
            <w:vAlign w:val="center"/>
            <w:hideMark/>
          </w:tcPr>
          <w:p w14:paraId="19D1DF32"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TASA ANUAL</w:t>
            </w:r>
          </w:p>
        </w:tc>
        <w:tc>
          <w:tcPr>
            <w:tcW w:w="230" w:type="pct"/>
            <w:tcBorders>
              <w:top w:val="single" w:sz="4" w:space="0" w:color="auto"/>
              <w:left w:val="nil"/>
              <w:bottom w:val="single" w:sz="4" w:space="0" w:color="auto"/>
              <w:right w:val="single" w:sz="4" w:space="0" w:color="auto"/>
            </w:tcBorders>
            <w:shd w:val="clear" w:color="000000" w:fill="DAF2D0"/>
            <w:vAlign w:val="center"/>
            <w:hideMark/>
          </w:tcPr>
          <w:p w14:paraId="236C36F7"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TIPO TASA</w:t>
            </w:r>
          </w:p>
        </w:tc>
        <w:tc>
          <w:tcPr>
            <w:tcW w:w="829" w:type="pct"/>
            <w:tcBorders>
              <w:top w:val="single" w:sz="4" w:space="0" w:color="auto"/>
              <w:left w:val="nil"/>
              <w:bottom w:val="single" w:sz="4" w:space="0" w:color="auto"/>
              <w:right w:val="single" w:sz="4" w:space="0" w:color="auto"/>
            </w:tcBorders>
            <w:shd w:val="clear" w:color="000000" w:fill="DAF2D0"/>
            <w:vAlign w:val="center"/>
            <w:hideMark/>
          </w:tcPr>
          <w:p w14:paraId="0985653F" w14:textId="14A8A4BC"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PRIMA NETA</w:t>
            </w:r>
          </w:p>
        </w:tc>
        <w:tc>
          <w:tcPr>
            <w:tcW w:w="685" w:type="pct"/>
            <w:tcBorders>
              <w:top w:val="single" w:sz="4" w:space="0" w:color="auto"/>
              <w:left w:val="nil"/>
              <w:bottom w:val="single" w:sz="4" w:space="0" w:color="auto"/>
              <w:right w:val="single" w:sz="4" w:space="0" w:color="auto"/>
            </w:tcBorders>
            <w:shd w:val="clear" w:color="000000" w:fill="DAF2D0"/>
            <w:vAlign w:val="center"/>
            <w:hideMark/>
          </w:tcPr>
          <w:p w14:paraId="5D89C840"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IVA </w:t>
            </w:r>
          </w:p>
        </w:tc>
        <w:tc>
          <w:tcPr>
            <w:tcW w:w="829" w:type="pct"/>
            <w:tcBorders>
              <w:top w:val="single" w:sz="4" w:space="0" w:color="auto"/>
              <w:left w:val="nil"/>
              <w:bottom w:val="single" w:sz="4" w:space="0" w:color="auto"/>
              <w:right w:val="single" w:sz="8" w:space="0" w:color="auto"/>
            </w:tcBorders>
            <w:shd w:val="clear" w:color="000000" w:fill="DAF2D0"/>
            <w:vAlign w:val="center"/>
            <w:hideMark/>
          </w:tcPr>
          <w:p w14:paraId="09D41918" w14:textId="77777777" w:rsidR="00B64F1E" w:rsidRPr="00B64F1E" w:rsidRDefault="00B64F1E">
            <w:pPr>
              <w:jc w:val="center"/>
              <w:rPr>
                <w:rFonts w:ascii="Arial" w:hAnsi="Arial" w:cs="Arial"/>
                <w:b/>
                <w:bCs/>
                <w:color w:val="FF0000"/>
                <w:sz w:val="16"/>
                <w:szCs w:val="16"/>
              </w:rPr>
            </w:pPr>
            <w:r w:rsidRPr="00B64F1E">
              <w:rPr>
                <w:rFonts w:ascii="Arial" w:hAnsi="Arial" w:cs="Arial"/>
                <w:b/>
                <w:bCs/>
                <w:color w:val="FF0000"/>
                <w:sz w:val="16"/>
                <w:szCs w:val="16"/>
              </w:rPr>
              <w:t xml:space="preserve"> PRIMA TOTAL </w:t>
            </w:r>
          </w:p>
        </w:tc>
      </w:tr>
      <w:tr w:rsidR="00B64F1E" w:rsidRPr="00B64F1E" w14:paraId="74721446" w14:textId="77777777" w:rsidTr="009D3A97">
        <w:trPr>
          <w:trHeight w:val="20"/>
        </w:trPr>
        <w:tc>
          <w:tcPr>
            <w:tcW w:w="1163" w:type="pct"/>
            <w:tcBorders>
              <w:top w:val="nil"/>
              <w:left w:val="single" w:sz="8" w:space="0" w:color="auto"/>
              <w:bottom w:val="single" w:sz="4" w:space="0" w:color="auto"/>
              <w:right w:val="single" w:sz="4" w:space="0" w:color="auto"/>
            </w:tcBorders>
            <w:noWrap/>
            <w:vAlign w:val="center"/>
            <w:hideMark/>
          </w:tcPr>
          <w:p w14:paraId="4F0B3AEF" w14:textId="77777777" w:rsidR="00B64F1E" w:rsidRPr="00B64F1E" w:rsidRDefault="00B64F1E">
            <w:pPr>
              <w:rPr>
                <w:rFonts w:ascii="Arial" w:hAnsi="Arial" w:cs="Arial"/>
                <w:b/>
                <w:bCs/>
                <w:color w:val="000000"/>
                <w:sz w:val="16"/>
                <w:szCs w:val="16"/>
              </w:rPr>
            </w:pPr>
            <w:proofErr w:type="spellStart"/>
            <w:r w:rsidRPr="00B64F1E">
              <w:rPr>
                <w:rFonts w:ascii="Arial" w:hAnsi="Arial" w:cs="Arial"/>
                <w:b/>
                <w:bCs/>
                <w:color w:val="000000"/>
                <w:sz w:val="16"/>
                <w:szCs w:val="16"/>
              </w:rPr>
              <w:t>TRDM</w:t>
            </w:r>
            <w:proofErr w:type="spellEnd"/>
            <w:r w:rsidRPr="00B64F1E">
              <w:rPr>
                <w:rFonts w:ascii="Arial" w:hAnsi="Arial" w:cs="Arial"/>
                <w:b/>
                <w:bCs/>
                <w:color w:val="000000"/>
                <w:sz w:val="16"/>
                <w:szCs w:val="16"/>
              </w:rPr>
              <w:t xml:space="preserve"> OBRAS CIVILES TERMINADAS</w:t>
            </w:r>
          </w:p>
        </w:tc>
        <w:tc>
          <w:tcPr>
            <w:tcW w:w="990" w:type="pct"/>
            <w:tcBorders>
              <w:top w:val="nil"/>
              <w:left w:val="nil"/>
              <w:bottom w:val="single" w:sz="4" w:space="0" w:color="auto"/>
              <w:right w:val="single" w:sz="4" w:space="0" w:color="auto"/>
            </w:tcBorders>
            <w:noWrap/>
            <w:vAlign w:val="center"/>
            <w:hideMark/>
          </w:tcPr>
          <w:p w14:paraId="7CE0B10C"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$ 344,713,687,902</w:t>
            </w:r>
          </w:p>
        </w:tc>
        <w:tc>
          <w:tcPr>
            <w:tcW w:w="274" w:type="pct"/>
            <w:tcBorders>
              <w:top w:val="nil"/>
              <w:left w:val="nil"/>
              <w:bottom w:val="single" w:sz="4" w:space="0" w:color="auto"/>
              <w:right w:val="single" w:sz="4" w:space="0" w:color="auto"/>
            </w:tcBorders>
            <w:noWrap/>
            <w:vAlign w:val="center"/>
            <w:hideMark/>
          </w:tcPr>
          <w:p w14:paraId="52F50B79" w14:textId="77777777"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5.28</w:t>
            </w:r>
          </w:p>
        </w:tc>
        <w:tc>
          <w:tcPr>
            <w:tcW w:w="230" w:type="pct"/>
            <w:tcBorders>
              <w:top w:val="nil"/>
              <w:left w:val="nil"/>
              <w:bottom w:val="single" w:sz="4" w:space="0" w:color="auto"/>
              <w:right w:val="single" w:sz="4" w:space="0" w:color="auto"/>
            </w:tcBorders>
            <w:noWrap/>
            <w:vAlign w:val="center"/>
            <w:hideMark/>
          </w:tcPr>
          <w:p w14:paraId="1DC61360" w14:textId="77777777" w:rsidR="00B64F1E" w:rsidRPr="00B64F1E" w:rsidRDefault="00B64F1E">
            <w:pPr>
              <w:jc w:val="center"/>
              <w:rPr>
                <w:rFonts w:ascii="Arial" w:hAnsi="Arial" w:cs="Arial"/>
                <w:color w:val="000000"/>
                <w:sz w:val="16"/>
                <w:szCs w:val="16"/>
              </w:rPr>
            </w:pPr>
            <w:r w:rsidRPr="00B64F1E">
              <w:rPr>
                <w:rFonts w:ascii="Arial" w:hAnsi="Arial" w:cs="Arial"/>
                <w:color w:val="000000"/>
                <w:sz w:val="16"/>
                <w:szCs w:val="16"/>
              </w:rPr>
              <w:t>%o</w:t>
            </w:r>
          </w:p>
        </w:tc>
        <w:tc>
          <w:tcPr>
            <w:tcW w:w="829" w:type="pct"/>
            <w:tcBorders>
              <w:top w:val="nil"/>
              <w:left w:val="nil"/>
              <w:bottom w:val="single" w:sz="4" w:space="0" w:color="auto"/>
              <w:right w:val="single" w:sz="4" w:space="0" w:color="auto"/>
            </w:tcBorders>
            <w:noWrap/>
            <w:vAlign w:val="center"/>
            <w:hideMark/>
          </w:tcPr>
          <w:p w14:paraId="52E20B5D"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408,896,543 </w:t>
            </w:r>
          </w:p>
        </w:tc>
        <w:tc>
          <w:tcPr>
            <w:tcW w:w="685" w:type="pct"/>
            <w:tcBorders>
              <w:top w:val="nil"/>
              <w:left w:val="nil"/>
              <w:bottom w:val="single" w:sz="4" w:space="0" w:color="auto"/>
              <w:right w:val="single" w:sz="4" w:space="0" w:color="auto"/>
            </w:tcBorders>
            <w:noWrap/>
            <w:vAlign w:val="center"/>
            <w:hideMark/>
          </w:tcPr>
          <w:p w14:paraId="44DABF2F"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77,690,343 </w:t>
            </w:r>
          </w:p>
        </w:tc>
        <w:tc>
          <w:tcPr>
            <w:tcW w:w="829" w:type="pct"/>
            <w:tcBorders>
              <w:top w:val="nil"/>
              <w:left w:val="nil"/>
              <w:bottom w:val="single" w:sz="4" w:space="0" w:color="auto"/>
              <w:right w:val="single" w:sz="8" w:space="0" w:color="auto"/>
            </w:tcBorders>
            <w:noWrap/>
            <w:vAlign w:val="center"/>
            <w:hideMark/>
          </w:tcPr>
          <w:p w14:paraId="16E54418"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486,586,886 </w:t>
            </w:r>
          </w:p>
        </w:tc>
      </w:tr>
      <w:tr w:rsidR="00B64F1E" w:rsidRPr="00B64F1E" w14:paraId="7DF4D4BB" w14:textId="77777777" w:rsidTr="009D3A97">
        <w:trPr>
          <w:trHeight w:val="20"/>
        </w:trPr>
        <w:tc>
          <w:tcPr>
            <w:tcW w:w="1163" w:type="pct"/>
            <w:tcBorders>
              <w:top w:val="nil"/>
              <w:left w:val="single" w:sz="8" w:space="0" w:color="auto"/>
              <w:bottom w:val="single" w:sz="4" w:space="0" w:color="auto"/>
              <w:right w:val="single" w:sz="4" w:space="0" w:color="auto"/>
            </w:tcBorders>
            <w:shd w:val="clear" w:color="000000" w:fill="F2F2F2"/>
            <w:noWrap/>
            <w:vAlign w:val="center"/>
            <w:hideMark/>
          </w:tcPr>
          <w:p w14:paraId="5780AD2D" w14:textId="7B7A93FC"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Índice Variable 5% </w:t>
            </w:r>
          </w:p>
        </w:tc>
        <w:tc>
          <w:tcPr>
            <w:tcW w:w="990" w:type="pct"/>
            <w:tcBorders>
              <w:top w:val="nil"/>
              <w:left w:val="nil"/>
              <w:bottom w:val="single" w:sz="4" w:space="0" w:color="auto"/>
              <w:right w:val="single" w:sz="4" w:space="0" w:color="auto"/>
            </w:tcBorders>
            <w:shd w:val="clear" w:color="000000" w:fill="FFFF00"/>
            <w:noWrap/>
            <w:vAlign w:val="center"/>
            <w:hideMark/>
          </w:tcPr>
          <w:p w14:paraId="7E8078FA" w14:textId="77777777"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3,872,126,357 </w:t>
            </w:r>
          </w:p>
        </w:tc>
        <w:tc>
          <w:tcPr>
            <w:tcW w:w="274" w:type="pct"/>
            <w:tcBorders>
              <w:top w:val="nil"/>
              <w:left w:val="nil"/>
              <w:bottom w:val="single" w:sz="4" w:space="0" w:color="auto"/>
              <w:right w:val="single" w:sz="4" w:space="0" w:color="auto"/>
            </w:tcBorders>
            <w:shd w:val="clear" w:color="000000" w:fill="F2F2F2"/>
            <w:noWrap/>
            <w:vAlign w:val="center"/>
            <w:hideMark/>
          </w:tcPr>
          <w:p w14:paraId="21AE02A9" w14:textId="77777777"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2.64</w:t>
            </w:r>
          </w:p>
        </w:tc>
        <w:tc>
          <w:tcPr>
            <w:tcW w:w="230" w:type="pct"/>
            <w:tcBorders>
              <w:top w:val="nil"/>
              <w:left w:val="nil"/>
              <w:bottom w:val="single" w:sz="4" w:space="0" w:color="auto"/>
              <w:right w:val="single" w:sz="4" w:space="0" w:color="auto"/>
            </w:tcBorders>
            <w:shd w:val="clear" w:color="000000" w:fill="F2F2F2"/>
            <w:noWrap/>
            <w:vAlign w:val="center"/>
            <w:hideMark/>
          </w:tcPr>
          <w:p w14:paraId="2BA8E057" w14:textId="77777777" w:rsidR="00B64F1E" w:rsidRPr="00B64F1E" w:rsidRDefault="00B64F1E">
            <w:pPr>
              <w:jc w:val="center"/>
              <w:rPr>
                <w:rFonts w:ascii="Arial" w:hAnsi="Arial" w:cs="Arial"/>
                <w:color w:val="000000"/>
                <w:sz w:val="16"/>
                <w:szCs w:val="16"/>
              </w:rPr>
            </w:pPr>
            <w:r w:rsidRPr="00B64F1E">
              <w:rPr>
                <w:rFonts w:ascii="Arial" w:hAnsi="Arial" w:cs="Arial"/>
                <w:color w:val="000000"/>
                <w:sz w:val="16"/>
                <w:szCs w:val="16"/>
              </w:rPr>
              <w:t>%o</w:t>
            </w:r>
          </w:p>
        </w:tc>
        <w:tc>
          <w:tcPr>
            <w:tcW w:w="829" w:type="pct"/>
            <w:tcBorders>
              <w:top w:val="nil"/>
              <w:left w:val="nil"/>
              <w:bottom w:val="single" w:sz="4" w:space="0" w:color="auto"/>
              <w:right w:val="single" w:sz="4" w:space="0" w:color="auto"/>
            </w:tcBorders>
            <w:shd w:val="clear" w:color="000000" w:fill="F2F2F2"/>
            <w:noWrap/>
            <w:vAlign w:val="center"/>
            <w:hideMark/>
          </w:tcPr>
          <w:p w14:paraId="08B3465F"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10,222,414 </w:t>
            </w:r>
          </w:p>
        </w:tc>
        <w:tc>
          <w:tcPr>
            <w:tcW w:w="685" w:type="pct"/>
            <w:tcBorders>
              <w:top w:val="nil"/>
              <w:left w:val="nil"/>
              <w:bottom w:val="single" w:sz="4" w:space="0" w:color="auto"/>
              <w:right w:val="single" w:sz="4" w:space="0" w:color="auto"/>
            </w:tcBorders>
            <w:shd w:val="clear" w:color="000000" w:fill="F2F2F2"/>
            <w:noWrap/>
            <w:vAlign w:val="center"/>
            <w:hideMark/>
          </w:tcPr>
          <w:p w14:paraId="609F590A"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1,942,259 </w:t>
            </w:r>
          </w:p>
        </w:tc>
        <w:tc>
          <w:tcPr>
            <w:tcW w:w="829" w:type="pct"/>
            <w:tcBorders>
              <w:top w:val="nil"/>
              <w:left w:val="nil"/>
              <w:bottom w:val="single" w:sz="4" w:space="0" w:color="auto"/>
              <w:right w:val="single" w:sz="8" w:space="0" w:color="auto"/>
            </w:tcBorders>
            <w:shd w:val="clear" w:color="000000" w:fill="F2F2F2"/>
            <w:noWrap/>
            <w:vAlign w:val="center"/>
            <w:hideMark/>
          </w:tcPr>
          <w:p w14:paraId="5C27CD1E"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12,164,673 </w:t>
            </w:r>
          </w:p>
        </w:tc>
      </w:tr>
      <w:tr w:rsidR="00B64F1E" w:rsidRPr="00B64F1E" w14:paraId="485C8C82" w14:textId="77777777" w:rsidTr="009D3A97">
        <w:trPr>
          <w:trHeight w:val="20"/>
        </w:trPr>
        <w:tc>
          <w:tcPr>
            <w:tcW w:w="1163" w:type="pct"/>
            <w:tcBorders>
              <w:top w:val="nil"/>
              <w:left w:val="single" w:sz="8" w:space="0" w:color="auto"/>
              <w:bottom w:val="single" w:sz="4" w:space="0" w:color="auto"/>
              <w:right w:val="single" w:sz="4" w:space="0" w:color="auto"/>
            </w:tcBorders>
            <w:shd w:val="clear" w:color="000000" w:fill="F2F2F2"/>
            <w:vAlign w:val="center"/>
            <w:hideMark/>
          </w:tcPr>
          <w:p w14:paraId="34920C29" w14:textId="77777777"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10% Del Valor Asegurado de Edificio a Construcciones a las Normas de Sismo Resistencia </w:t>
            </w:r>
          </w:p>
        </w:tc>
        <w:tc>
          <w:tcPr>
            <w:tcW w:w="990" w:type="pct"/>
            <w:tcBorders>
              <w:top w:val="nil"/>
              <w:left w:val="nil"/>
              <w:bottom w:val="single" w:sz="4" w:space="0" w:color="auto"/>
              <w:right w:val="single" w:sz="4" w:space="0" w:color="auto"/>
            </w:tcBorders>
            <w:shd w:val="clear" w:color="000000" w:fill="F2F2F2"/>
            <w:noWrap/>
            <w:vAlign w:val="center"/>
            <w:hideMark/>
          </w:tcPr>
          <w:p w14:paraId="61E94F0B" w14:textId="77777777"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34,326,892,118 </w:t>
            </w:r>
          </w:p>
        </w:tc>
        <w:tc>
          <w:tcPr>
            <w:tcW w:w="274" w:type="pct"/>
            <w:tcBorders>
              <w:top w:val="nil"/>
              <w:left w:val="nil"/>
              <w:bottom w:val="single" w:sz="4" w:space="0" w:color="auto"/>
              <w:right w:val="single" w:sz="4" w:space="0" w:color="auto"/>
            </w:tcBorders>
            <w:shd w:val="clear" w:color="000000" w:fill="F2F2F2"/>
            <w:noWrap/>
            <w:vAlign w:val="center"/>
            <w:hideMark/>
          </w:tcPr>
          <w:p w14:paraId="4E8A4425" w14:textId="77777777"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5.28</w:t>
            </w:r>
          </w:p>
        </w:tc>
        <w:tc>
          <w:tcPr>
            <w:tcW w:w="230" w:type="pct"/>
            <w:tcBorders>
              <w:top w:val="nil"/>
              <w:left w:val="nil"/>
              <w:bottom w:val="single" w:sz="4" w:space="0" w:color="auto"/>
              <w:right w:val="single" w:sz="4" w:space="0" w:color="auto"/>
            </w:tcBorders>
            <w:shd w:val="clear" w:color="000000" w:fill="F2F2F2"/>
            <w:noWrap/>
            <w:vAlign w:val="center"/>
            <w:hideMark/>
          </w:tcPr>
          <w:p w14:paraId="29650F8B" w14:textId="77777777" w:rsidR="00B64F1E" w:rsidRPr="00B64F1E" w:rsidRDefault="00B64F1E">
            <w:pPr>
              <w:jc w:val="center"/>
              <w:rPr>
                <w:rFonts w:ascii="Arial" w:hAnsi="Arial" w:cs="Arial"/>
                <w:color w:val="000000"/>
                <w:sz w:val="16"/>
                <w:szCs w:val="16"/>
              </w:rPr>
            </w:pPr>
            <w:r w:rsidRPr="00B64F1E">
              <w:rPr>
                <w:rFonts w:ascii="Arial" w:hAnsi="Arial" w:cs="Arial"/>
                <w:color w:val="000000"/>
                <w:sz w:val="16"/>
                <w:szCs w:val="16"/>
              </w:rPr>
              <w:t>%o</w:t>
            </w:r>
          </w:p>
        </w:tc>
        <w:tc>
          <w:tcPr>
            <w:tcW w:w="829" w:type="pct"/>
            <w:tcBorders>
              <w:top w:val="nil"/>
              <w:left w:val="nil"/>
              <w:bottom w:val="single" w:sz="4" w:space="0" w:color="auto"/>
              <w:right w:val="single" w:sz="4" w:space="0" w:color="auto"/>
            </w:tcBorders>
            <w:shd w:val="clear" w:color="000000" w:fill="F2F2F2"/>
            <w:noWrap/>
            <w:vAlign w:val="center"/>
            <w:hideMark/>
          </w:tcPr>
          <w:p w14:paraId="251201A4"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40,718,277 </w:t>
            </w:r>
          </w:p>
        </w:tc>
        <w:tc>
          <w:tcPr>
            <w:tcW w:w="685" w:type="pct"/>
            <w:tcBorders>
              <w:top w:val="nil"/>
              <w:left w:val="nil"/>
              <w:bottom w:val="single" w:sz="4" w:space="0" w:color="auto"/>
              <w:right w:val="single" w:sz="4" w:space="0" w:color="auto"/>
            </w:tcBorders>
            <w:shd w:val="clear" w:color="000000" w:fill="F2F2F2"/>
            <w:noWrap/>
            <w:vAlign w:val="center"/>
            <w:hideMark/>
          </w:tcPr>
          <w:p w14:paraId="3ED5C89F"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7,736,473 </w:t>
            </w:r>
          </w:p>
        </w:tc>
        <w:tc>
          <w:tcPr>
            <w:tcW w:w="829" w:type="pct"/>
            <w:tcBorders>
              <w:top w:val="nil"/>
              <w:left w:val="nil"/>
              <w:bottom w:val="single" w:sz="4" w:space="0" w:color="auto"/>
              <w:right w:val="single" w:sz="8" w:space="0" w:color="auto"/>
            </w:tcBorders>
            <w:shd w:val="clear" w:color="000000" w:fill="F2F2F2"/>
            <w:noWrap/>
            <w:vAlign w:val="center"/>
            <w:hideMark/>
          </w:tcPr>
          <w:p w14:paraId="2A7E3FA6"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48,454,750 </w:t>
            </w:r>
          </w:p>
        </w:tc>
      </w:tr>
      <w:tr w:rsidR="00B64F1E" w:rsidRPr="00B64F1E" w14:paraId="773DD1AC" w14:textId="77777777" w:rsidTr="009D3A97">
        <w:trPr>
          <w:trHeight w:val="20"/>
        </w:trPr>
        <w:tc>
          <w:tcPr>
            <w:tcW w:w="1163" w:type="pct"/>
            <w:tcBorders>
              <w:top w:val="nil"/>
              <w:left w:val="single" w:sz="8" w:space="0" w:color="auto"/>
              <w:bottom w:val="single" w:sz="4" w:space="0" w:color="auto"/>
              <w:right w:val="single" w:sz="4" w:space="0" w:color="auto"/>
            </w:tcBorders>
            <w:shd w:val="clear" w:color="000000" w:fill="F2F2F2"/>
            <w:vAlign w:val="center"/>
            <w:hideMark/>
          </w:tcPr>
          <w:p w14:paraId="218742D3" w14:textId="21543BE6"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5% Del Valor Asegurado de Edificio de Gastos para la Adecuación de Terrenos </w:t>
            </w:r>
          </w:p>
        </w:tc>
        <w:tc>
          <w:tcPr>
            <w:tcW w:w="990" w:type="pct"/>
            <w:tcBorders>
              <w:top w:val="nil"/>
              <w:left w:val="nil"/>
              <w:bottom w:val="single" w:sz="4" w:space="0" w:color="auto"/>
              <w:right w:val="single" w:sz="4" w:space="0" w:color="auto"/>
            </w:tcBorders>
            <w:shd w:val="clear" w:color="000000" w:fill="F2F2F2"/>
            <w:noWrap/>
            <w:vAlign w:val="center"/>
            <w:hideMark/>
          </w:tcPr>
          <w:p w14:paraId="5D1B6C32" w14:textId="77777777"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17,163,446,059 </w:t>
            </w:r>
          </w:p>
        </w:tc>
        <w:tc>
          <w:tcPr>
            <w:tcW w:w="274" w:type="pct"/>
            <w:tcBorders>
              <w:top w:val="nil"/>
              <w:left w:val="nil"/>
              <w:bottom w:val="single" w:sz="4" w:space="0" w:color="auto"/>
              <w:right w:val="single" w:sz="4" w:space="0" w:color="auto"/>
            </w:tcBorders>
            <w:shd w:val="clear" w:color="000000" w:fill="F2F2F2"/>
            <w:noWrap/>
            <w:vAlign w:val="center"/>
            <w:hideMark/>
          </w:tcPr>
          <w:p w14:paraId="0012A850" w14:textId="77777777"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5.28</w:t>
            </w:r>
          </w:p>
        </w:tc>
        <w:tc>
          <w:tcPr>
            <w:tcW w:w="230" w:type="pct"/>
            <w:tcBorders>
              <w:top w:val="nil"/>
              <w:left w:val="nil"/>
              <w:bottom w:val="single" w:sz="4" w:space="0" w:color="auto"/>
              <w:right w:val="single" w:sz="4" w:space="0" w:color="auto"/>
            </w:tcBorders>
            <w:shd w:val="clear" w:color="000000" w:fill="F2F2F2"/>
            <w:noWrap/>
            <w:vAlign w:val="center"/>
            <w:hideMark/>
          </w:tcPr>
          <w:p w14:paraId="66CFB8FC" w14:textId="77777777" w:rsidR="00B64F1E" w:rsidRPr="00B64F1E" w:rsidRDefault="00B64F1E">
            <w:pPr>
              <w:jc w:val="center"/>
              <w:rPr>
                <w:rFonts w:ascii="Arial" w:hAnsi="Arial" w:cs="Arial"/>
                <w:color w:val="000000"/>
                <w:sz w:val="16"/>
                <w:szCs w:val="16"/>
              </w:rPr>
            </w:pPr>
            <w:r w:rsidRPr="00B64F1E">
              <w:rPr>
                <w:rFonts w:ascii="Arial" w:hAnsi="Arial" w:cs="Arial"/>
                <w:color w:val="000000"/>
                <w:sz w:val="16"/>
                <w:szCs w:val="16"/>
              </w:rPr>
              <w:t>%o</w:t>
            </w:r>
          </w:p>
        </w:tc>
        <w:tc>
          <w:tcPr>
            <w:tcW w:w="829" w:type="pct"/>
            <w:tcBorders>
              <w:top w:val="nil"/>
              <w:left w:val="nil"/>
              <w:bottom w:val="single" w:sz="4" w:space="0" w:color="auto"/>
              <w:right w:val="single" w:sz="4" w:space="0" w:color="auto"/>
            </w:tcBorders>
            <w:shd w:val="clear" w:color="000000" w:fill="F2F2F2"/>
            <w:noWrap/>
            <w:vAlign w:val="center"/>
            <w:hideMark/>
          </w:tcPr>
          <w:p w14:paraId="49F89708"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20,359,139 </w:t>
            </w:r>
          </w:p>
        </w:tc>
        <w:tc>
          <w:tcPr>
            <w:tcW w:w="685" w:type="pct"/>
            <w:tcBorders>
              <w:top w:val="nil"/>
              <w:left w:val="nil"/>
              <w:bottom w:val="single" w:sz="4" w:space="0" w:color="auto"/>
              <w:right w:val="single" w:sz="4" w:space="0" w:color="auto"/>
            </w:tcBorders>
            <w:shd w:val="clear" w:color="000000" w:fill="F2F2F2"/>
            <w:noWrap/>
            <w:vAlign w:val="center"/>
            <w:hideMark/>
          </w:tcPr>
          <w:p w14:paraId="60C6DC34"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3,868,236 </w:t>
            </w:r>
          </w:p>
        </w:tc>
        <w:tc>
          <w:tcPr>
            <w:tcW w:w="829" w:type="pct"/>
            <w:tcBorders>
              <w:top w:val="nil"/>
              <w:left w:val="nil"/>
              <w:bottom w:val="single" w:sz="4" w:space="0" w:color="auto"/>
              <w:right w:val="single" w:sz="8" w:space="0" w:color="auto"/>
            </w:tcBorders>
            <w:shd w:val="clear" w:color="000000" w:fill="F2F2F2"/>
            <w:noWrap/>
            <w:vAlign w:val="center"/>
            <w:hideMark/>
          </w:tcPr>
          <w:p w14:paraId="47FAAFF9"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24,227,375 </w:t>
            </w:r>
          </w:p>
        </w:tc>
      </w:tr>
      <w:tr w:rsidR="00B64F1E" w:rsidRPr="00B64F1E" w14:paraId="3F45DAD2" w14:textId="77777777" w:rsidTr="009D3A97">
        <w:trPr>
          <w:trHeight w:val="20"/>
        </w:trPr>
        <w:tc>
          <w:tcPr>
            <w:tcW w:w="1163" w:type="pct"/>
            <w:tcBorders>
              <w:top w:val="nil"/>
              <w:left w:val="single" w:sz="8" w:space="0" w:color="auto"/>
              <w:bottom w:val="single" w:sz="4" w:space="0" w:color="auto"/>
              <w:right w:val="single" w:sz="4" w:space="0" w:color="auto"/>
            </w:tcBorders>
            <w:shd w:val="clear" w:color="000000" w:fill="DAF2D0"/>
            <w:noWrap/>
            <w:vAlign w:val="center"/>
            <w:hideMark/>
          </w:tcPr>
          <w:p w14:paraId="5FBC173C" w14:textId="7822FD7F"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TOTAL, OBRAS CIVILES TERMINADAS </w:t>
            </w:r>
          </w:p>
        </w:tc>
        <w:tc>
          <w:tcPr>
            <w:tcW w:w="990" w:type="pct"/>
            <w:tcBorders>
              <w:top w:val="nil"/>
              <w:left w:val="nil"/>
              <w:bottom w:val="single" w:sz="4" w:space="0" w:color="auto"/>
              <w:right w:val="single" w:sz="4" w:space="0" w:color="auto"/>
            </w:tcBorders>
            <w:shd w:val="clear" w:color="000000" w:fill="DAF2D0"/>
            <w:noWrap/>
            <w:vAlign w:val="center"/>
            <w:hideMark/>
          </w:tcPr>
          <w:p w14:paraId="4DD441EC"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$ 400,076,152,436</w:t>
            </w:r>
          </w:p>
        </w:tc>
        <w:tc>
          <w:tcPr>
            <w:tcW w:w="504" w:type="pct"/>
            <w:gridSpan w:val="2"/>
            <w:tcBorders>
              <w:top w:val="single" w:sz="4" w:space="0" w:color="auto"/>
              <w:left w:val="nil"/>
              <w:bottom w:val="single" w:sz="4" w:space="0" w:color="auto"/>
              <w:right w:val="single" w:sz="4" w:space="0" w:color="auto"/>
            </w:tcBorders>
            <w:shd w:val="clear" w:color="000000" w:fill="DAF2D0"/>
            <w:noWrap/>
            <w:vAlign w:val="center"/>
            <w:hideMark/>
          </w:tcPr>
          <w:p w14:paraId="62F1CE81"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w:t>
            </w:r>
          </w:p>
        </w:tc>
        <w:tc>
          <w:tcPr>
            <w:tcW w:w="829" w:type="pct"/>
            <w:tcBorders>
              <w:top w:val="nil"/>
              <w:left w:val="nil"/>
              <w:bottom w:val="single" w:sz="4" w:space="0" w:color="auto"/>
              <w:right w:val="single" w:sz="4" w:space="0" w:color="auto"/>
            </w:tcBorders>
            <w:shd w:val="clear" w:color="000000" w:fill="DAF2D0"/>
            <w:noWrap/>
            <w:vAlign w:val="center"/>
            <w:hideMark/>
          </w:tcPr>
          <w:p w14:paraId="718C078C"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$ 480,196,373</w:t>
            </w:r>
          </w:p>
        </w:tc>
        <w:tc>
          <w:tcPr>
            <w:tcW w:w="685" w:type="pct"/>
            <w:tcBorders>
              <w:top w:val="nil"/>
              <w:left w:val="nil"/>
              <w:bottom w:val="single" w:sz="4" w:space="0" w:color="auto"/>
              <w:right w:val="single" w:sz="4" w:space="0" w:color="auto"/>
            </w:tcBorders>
            <w:shd w:val="clear" w:color="000000" w:fill="DAF2D0"/>
            <w:noWrap/>
            <w:vAlign w:val="center"/>
            <w:hideMark/>
          </w:tcPr>
          <w:p w14:paraId="240A7A26"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$ 91,237,311</w:t>
            </w:r>
          </w:p>
        </w:tc>
        <w:tc>
          <w:tcPr>
            <w:tcW w:w="829" w:type="pct"/>
            <w:tcBorders>
              <w:top w:val="nil"/>
              <w:left w:val="nil"/>
              <w:bottom w:val="single" w:sz="4" w:space="0" w:color="auto"/>
              <w:right w:val="single" w:sz="8" w:space="0" w:color="auto"/>
            </w:tcBorders>
            <w:shd w:val="clear" w:color="000000" w:fill="DAF2D0"/>
            <w:noWrap/>
            <w:vAlign w:val="center"/>
            <w:hideMark/>
          </w:tcPr>
          <w:p w14:paraId="40FCDA0C"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$ 571,433,684</w:t>
            </w:r>
          </w:p>
        </w:tc>
      </w:tr>
      <w:tr w:rsidR="00B64F1E" w:rsidRPr="00B64F1E" w14:paraId="597206CA" w14:textId="77777777" w:rsidTr="009D3A97">
        <w:trPr>
          <w:trHeight w:val="20"/>
        </w:trPr>
        <w:tc>
          <w:tcPr>
            <w:tcW w:w="1163" w:type="pct"/>
            <w:tcBorders>
              <w:top w:val="nil"/>
              <w:left w:val="single" w:sz="8" w:space="0" w:color="auto"/>
              <w:bottom w:val="single" w:sz="4" w:space="0" w:color="auto"/>
              <w:right w:val="single" w:sz="4" w:space="0" w:color="auto"/>
            </w:tcBorders>
            <w:noWrap/>
            <w:vAlign w:val="center"/>
            <w:hideMark/>
          </w:tcPr>
          <w:p w14:paraId="75E889AB" w14:textId="77777777"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CASCO BARCO</w:t>
            </w:r>
          </w:p>
        </w:tc>
        <w:tc>
          <w:tcPr>
            <w:tcW w:w="990" w:type="pct"/>
            <w:tcBorders>
              <w:top w:val="nil"/>
              <w:left w:val="nil"/>
              <w:bottom w:val="single" w:sz="4" w:space="0" w:color="auto"/>
              <w:right w:val="single" w:sz="4" w:space="0" w:color="auto"/>
            </w:tcBorders>
            <w:noWrap/>
            <w:vAlign w:val="center"/>
            <w:hideMark/>
          </w:tcPr>
          <w:p w14:paraId="74F66E16"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$ 19,835,926</w:t>
            </w:r>
          </w:p>
        </w:tc>
        <w:tc>
          <w:tcPr>
            <w:tcW w:w="274" w:type="pct"/>
            <w:tcBorders>
              <w:top w:val="nil"/>
              <w:left w:val="nil"/>
              <w:bottom w:val="single" w:sz="4" w:space="0" w:color="auto"/>
              <w:right w:val="single" w:sz="4" w:space="0" w:color="auto"/>
            </w:tcBorders>
            <w:noWrap/>
            <w:vAlign w:val="center"/>
            <w:hideMark/>
          </w:tcPr>
          <w:p w14:paraId="2CEA43B2" w14:textId="77777777"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7.03</w:t>
            </w:r>
          </w:p>
        </w:tc>
        <w:tc>
          <w:tcPr>
            <w:tcW w:w="230" w:type="pct"/>
            <w:tcBorders>
              <w:top w:val="nil"/>
              <w:left w:val="nil"/>
              <w:bottom w:val="single" w:sz="4" w:space="0" w:color="auto"/>
              <w:right w:val="single" w:sz="4" w:space="0" w:color="auto"/>
            </w:tcBorders>
            <w:noWrap/>
            <w:vAlign w:val="center"/>
            <w:hideMark/>
          </w:tcPr>
          <w:p w14:paraId="3233C753" w14:textId="77777777" w:rsidR="00B64F1E" w:rsidRPr="00B64F1E" w:rsidRDefault="00B64F1E">
            <w:pPr>
              <w:jc w:val="center"/>
              <w:rPr>
                <w:rFonts w:ascii="Arial" w:hAnsi="Arial" w:cs="Arial"/>
                <w:color w:val="000000"/>
                <w:sz w:val="16"/>
                <w:szCs w:val="16"/>
              </w:rPr>
            </w:pPr>
            <w:r w:rsidRPr="00B64F1E">
              <w:rPr>
                <w:rFonts w:ascii="Arial" w:hAnsi="Arial" w:cs="Arial"/>
                <w:color w:val="000000"/>
                <w:sz w:val="16"/>
                <w:szCs w:val="16"/>
              </w:rPr>
              <w:t>%</w:t>
            </w:r>
          </w:p>
        </w:tc>
        <w:tc>
          <w:tcPr>
            <w:tcW w:w="829" w:type="pct"/>
            <w:tcBorders>
              <w:top w:val="nil"/>
              <w:left w:val="nil"/>
              <w:bottom w:val="single" w:sz="4" w:space="0" w:color="auto"/>
              <w:right w:val="single" w:sz="4" w:space="0" w:color="auto"/>
            </w:tcBorders>
            <w:noWrap/>
            <w:vAlign w:val="center"/>
            <w:hideMark/>
          </w:tcPr>
          <w:p w14:paraId="077295D2"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313,356 </w:t>
            </w:r>
          </w:p>
        </w:tc>
        <w:tc>
          <w:tcPr>
            <w:tcW w:w="685" w:type="pct"/>
            <w:tcBorders>
              <w:top w:val="nil"/>
              <w:left w:val="nil"/>
              <w:bottom w:val="single" w:sz="4" w:space="0" w:color="auto"/>
              <w:right w:val="single" w:sz="4" w:space="0" w:color="auto"/>
            </w:tcBorders>
            <w:noWrap/>
            <w:vAlign w:val="center"/>
            <w:hideMark/>
          </w:tcPr>
          <w:p w14:paraId="51EA4486"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59,538 </w:t>
            </w:r>
          </w:p>
        </w:tc>
        <w:tc>
          <w:tcPr>
            <w:tcW w:w="829" w:type="pct"/>
            <w:tcBorders>
              <w:top w:val="nil"/>
              <w:left w:val="nil"/>
              <w:bottom w:val="single" w:sz="4" w:space="0" w:color="auto"/>
              <w:right w:val="single" w:sz="8" w:space="0" w:color="auto"/>
            </w:tcBorders>
            <w:noWrap/>
            <w:vAlign w:val="center"/>
            <w:hideMark/>
          </w:tcPr>
          <w:p w14:paraId="23539B1A"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372,894 </w:t>
            </w:r>
          </w:p>
        </w:tc>
      </w:tr>
      <w:tr w:rsidR="00B64F1E" w:rsidRPr="00B64F1E" w14:paraId="34EA948D" w14:textId="77777777" w:rsidTr="009D3A97">
        <w:trPr>
          <w:trHeight w:val="20"/>
        </w:trPr>
        <w:tc>
          <w:tcPr>
            <w:tcW w:w="1163" w:type="pct"/>
            <w:tcBorders>
              <w:top w:val="nil"/>
              <w:left w:val="single" w:sz="8" w:space="0" w:color="auto"/>
              <w:bottom w:val="single" w:sz="4" w:space="0" w:color="auto"/>
              <w:right w:val="single" w:sz="4" w:space="0" w:color="auto"/>
            </w:tcBorders>
            <w:shd w:val="clear" w:color="000000" w:fill="F2F2F2"/>
            <w:noWrap/>
            <w:vAlign w:val="center"/>
            <w:hideMark/>
          </w:tcPr>
          <w:p w14:paraId="067B6521" w14:textId="37D5D7A3"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Índice Variable 5% </w:t>
            </w:r>
          </w:p>
        </w:tc>
        <w:tc>
          <w:tcPr>
            <w:tcW w:w="990" w:type="pct"/>
            <w:tcBorders>
              <w:top w:val="nil"/>
              <w:left w:val="nil"/>
              <w:bottom w:val="single" w:sz="4" w:space="0" w:color="auto"/>
              <w:right w:val="single" w:sz="4" w:space="0" w:color="auto"/>
            </w:tcBorders>
            <w:shd w:val="clear" w:color="000000" w:fill="FFFF00"/>
            <w:noWrap/>
            <w:vAlign w:val="center"/>
            <w:hideMark/>
          </w:tcPr>
          <w:p w14:paraId="46E34C20"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$ 222,815</w:t>
            </w:r>
          </w:p>
        </w:tc>
        <w:tc>
          <w:tcPr>
            <w:tcW w:w="274" w:type="pct"/>
            <w:tcBorders>
              <w:top w:val="nil"/>
              <w:left w:val="nil"/>
              <w:bottom w:val="single" w:sz="4" w:space="0" w:color="auto"/>
              <w:right w:val="single" w:sz="4" w:space="0" w:color="auto"/>
            </w:tcBorders>
            <w:shd w:val="clear" w:color="000000" w:fill="F2F2F2"/>
            <w:noWrap/>
            <w:vAlign w:val="center"/>
            <w:hideMark/>
          </w:tcPr>
          <w:p w14:paraId="18EC36C1" w14:textId="77777777"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3.52</w:t>
            </w:r>
          </w:p>
        </w:tc>
        <w:tc>
          <w:tcPr>
            <w:tcW w:w="230" w:type="pct"/>
            <w:tcBorders>
              <w:top w:val="nil"/>
              <w:left w:val="nil"/>
              <w:bottom w:val="single" w:sz="4" w:space="0" w:color="auto"/>
              <w:right w:val="single" w:sz="4" w:space="0" w:color="auto"/>
            </w:tcBorders>
            <w:shd w:val="clear" w:color="000000" w:fill="F2F2F2"/>
            <w:noWrap/>
            <w:vAlign w:val="center"/>
            <w:hideMark/>
          </w:tcPr>
          <w:p w14:paraId="38FD3666" w14:textId="77777777" w:rsidR="00B64F1E" w:rsidRPr="00B64F1E" w:rsidRDefault="00B64F1E">
            <w:pPr>
              <w:jc w:val="center"/>
              <w:rPr>
                <w:rFonts w:ascii="Arial" w:hAnsi="Arial" w:cs="Arial"/>
                <w:color w:val="000000"/>
                <w:sz w:val="16"/>
                <w:szCs w:val="16"/>
              </w:rPr>
            </w:pPr>
            <w:r w:rsidRPr="00B64F1E">
              <w:rPr>
                <w:rFonts w:ascii="Arial" w:hAnsi="Arial" w:cs="Arial"/>
                <w:color w:val="000000"/>
                <w:sz w:val="16"/>
                <w:szCs w:val="16"/>
              </w:rPr>
              <w:t>%</w:t>
            </w:r>
          </w:p>
        </w:tc>
        <w:tc>
          <w:tcPr>
            <w:tcW w:w="829" w:type="pct"/>
            <w:tcBorders>
              <w:top w:val="nil"/>
              <w:left w:val="nil"/>
              <w:bottom w:val="single" w:sz="4" w:space="0" w:color="auto"/>
              <w:right w:val="single" w:sz="4" w:space="0" w:color="auto"/>
            </w:tcBorders>
            <w:shd w:val="clear" w:color="000000" w:fill="F2F2F2"/>
            <w:noWrap/>
            <w:vAlign w:val="center"/>
            <w:hideMark/>
          </w:tcPr>
          <w:p w14:paraId="651CA7F1"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7,834 </w:t>
            </w:r>
          </w:p>
        </w:tc>
        <w:tc>
          <w:tcPr>
            <w:tcW w:w="685" w:type="pct"/>
            <w:tcBorders>
              <w:top w:val="nil"/>
              <w:left w:val="nil"/>
              <w:bottom w:val="single" w:sz="4" w:space="0" w:color="auto"/>
              <w:right w:val="single" w:sz="4" w:space="0" w:color="auto"/>
            </w:tcBorders>
            <w:shd w:val="clear" w:color="000000" w:fill="F2F2F2"/>
            <w:noWrap/>
            <w:vAlign w:val="center"/>
            <w:hideMark/>
          </w:tcPr>
          <w:p w14:paraId="1763ADEE"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1,488 </w:t>
            </w:r>
          </w:p>
        </w:tc>
        <w:tc>
          <w:tcPr>
            <w:tcW w:w="829" w:type="pct"/>
            <w:tcBorders>
              <w:top w:val="nil"/>
              <w:left w:val="nil"/>
              <w:bottom w:val="single" w:sz="4" w:space="0" w:color="auto"/>
              <w:right w:val="single" w:sz="8" w:space="0" w:color="auto"/>
            </w:tcBorders>
            <w:shd w:val="clear" w:color="000000" w:fill="F2F2F2"/>
            <w:noWrap/>
            <w:vAlign w:val="center"/>
            <w:hideMark/>
          </w:tcPr>
          <w:p w14:paraId="66145415"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9,322 </w:t>
            </w:r>
          </w:p>
        </w:tc>
      </w:tr>
      <w:tr w:rsidR="00B64F1E" w:rsidRPr="00B64F1E" w14:paraId="5F6E25E6" w14:textId="77777777" w:rsidTr="009D3A97">
        <w:trPr>
          <w:trHeight w:val="20"/>
        </w:trPr>
        <w:tc>
          <w:tcPr>
            <w:tcW w:w="1163" w:type="pct"/>
            <w:tcBorders>
              <w:top w:val="nil"/>
              <w:left w:val="single" w:sz="8" w:space="0" w:color="auto"/>
              <w:bottom w:val="single" w:sz="4" w:space="0" w:color="auto"/>
              <w:right w:val="single" w:sz="4" w:space="0" w:color="auto"/>
            </w:tcBorders>
            <w:shd w:val="clear" w:color="000000" w:fill="DAF2D0"/>
            <w:noWrap/>
            <w:vAlign w:val="center"/>
            <w:hideMark/>
          </w:tcPr>
          <w:p w14:paraId="2651C6C8" w14:textId="31BEB5FD"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 xml:space="preserve"> TOTAL, CASCO BARCO </w:t>
            </w:r>
          </w:p>
        </w:tc>
        <w:tc>
          <w:tcPr>
            <w:tcW w:w="990" w:type="pct"/>
            <w:tcBorders>
              <w:top w:val="nil"/>
              <w:left w:val="nil"/>
              <w:bottom w:val="single" w:sz="4" w:space="0" w:color="auto"/>
              <w:right w:val="single" w:sz="4" w:space="0" w:color="auto"/>
            </w:tcBorders>
            <w:shd w:val="clear" w:color="000000" w:fill="DAF2D0"/>
            <w:noWrap/>
            <w:vAlign w:val="center"/>
            <w:hideMark/>
          </w:tcPr>
          <w:p w14:paraId="2A43AD2A"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$ 20,058,741</w:t>
            </w:r>
          </w:p>
        </w:tc>
        <w:tc>
          <w:tcPr>
            <w:tcW w:w="504" w:type="pct"/>
            <w:gridSpan w:val="2"/>
            <w:tcBorders>
              <w:top w:val="single" w:sz="4" w:space="0" w:color="auto"/>
              <w:left w:val="nil"/>
              <w:bottom w:val="single" w:sz="4" w:space="0" w:color="auto"/>
              <w:right w:val="single" w:sz="4" w:space="0" w:color="auto"/>
            </w:tcBorders>
            <w:shd w:val="clear" w:color="000000" w:fill="DAF2D0"/>
            <w:noWrap/>
            <w:vAlign w:val="center"/>
            <w:hideMark/>
          </w:tcPr>
          <w:p w14:paraId="0156FB2E"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w:t>
            </w:r>
          </w:p>
        </w:tc>
        <w:tc>
          <w:tcPr>
            <w:tcW w:w="829" w:type="pct"/>
            <w:tcBorders>
              <w:top w:val="nil"/>
              <w:left w:val="nil"/>
              <w:bottom w:val="single" w:sz="4" w:space="0" w:color="auto"/>
              <w:right w:val="single" w:sz="4" w:space="0" w:color="auto"/>
            </w:tcBorders>
            <w:shd w:val="clear" w:color="000000" w:fill="DAF2D0"/>
            <w:noWrap/>
            <w:vAlign w:val="center"/>
            <w:hideMark/>
          </w:tcPr>
          <w:p w14:paraId="00EEBBCD"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$ 321,190</w:t>
            </w:r>
          </w:p>
        </w:tc>
        <w:tc>
          <w:tcPr>
            <w:tcW w:w="685" w:type="pct"/>
            <w:tcBorders>
              <w:top w:val="nil"/>
              <w:left w:val="nil"/>
              <w:bottom w:val="single" w:sz="4" w:space="0" w:color="auto"/>
              <w:right w:val="single" w:sz="4" w:space="0" w:color="auto"/>
            </w:tcBorders>
            <w:shd w:val="clear" w:color="000000" w:fill="DAF2D0"/>
            <w:noWrap/>
            <w:vAlign w:val="center"/>
            <w:hideMark/>
          </w:tcPr>
          <w:p w14:paraId="61A761C4"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$ 61,026</w:t>
            </w:r>
          </w:p>
        </w:tc>
        <w:tc>
          <w:tcPr>
            <w:tcW w:w="829" w:type="pct"/>
            <w:tcBorders>
              <w:top w:val="nil"/>
              <w:left w:val="nil"/>
              <w:bottom w:val="single" w:sz="4" w:space="0" w:color="auto"/>
              <w:right w:val="single" w:sz="8" w:space="0" w:color="auto"/>
            </w:tcBorders>
            <w:shd w:val="clear" w:color="000000" w:fill="DAF2D0"/>
            <w:noWrap/>
            <w:vAlign w:val="center"/>
            <w:hideMark/>
          </w:tcPr>
          <w:p w14:paraId="6D5E8DAD"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382,216 </w:t>
            </w:r>
          </w:p>
        </w:tc>
      </w:tr>
      <w:tr w:rsidR="00B64F1E" w:rsidRPr="00B64F1E" w14:paraId="39F10C99" w14:textId="77777777" w:rsidTr="009D3A97">
        <w:trPr>
          <w:trHeight w:val="20"/>
        </w:trPr>
        <w:tc>
          <w:tcPr>
            <w:tcW w:w="2657" w:type="pct"/>
            <w:gridSpan w:val="4"/>
            <w:tcBorders>
              <w:top w:val="single" w:sz="4" w:space="0" w:color="auto"/>
              <w:left w:val="single" w:sz="8" w:space="0" w:color="auto"/>
              <w:bottom w:val="single" w:sz="4" w:space="0" w:color="auto"/>
              <w:right w:val="single" w:sz="4" w:space="0" w:color="000000"/>
            </w:tcBorders>
            <w:shd w:val="clear" w:color="000000" w:fill="C1F0C8"/>
            <w:noWrap/>
            <w:vAlign w:val="center"/>
            <w:hideMark/>
          </w:tcPr>
          <w:p w14:paraId="1FB0D2BB" w14:textId="47C46148"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 xml:space="preserve"> TOTAL, GRUPO No. 3 </w:t>
            </w:r>
          </w:p>
        </w:tc>
        <w:tc>
          <w:tcPr>
            <w:tcW w:w="829" w:type="pct"/>
            <w:tcBorders>
              <w:top w:val="nil"/>
              <w:left w:val="nil"/>
              <w:bottom w:val="single" w:sz="4" w:space="0" w:color="auto"/>
              <w:right w:val="single" w:sz="4" w:space="0" w:color="auto"/>
            </w:tcBorders>
            <w:shd w:val="clear" w:color="000000" w:fill="C1F0C8"/>
            <w:noWrap/>
            <w:vAlign w:val="center"/>
            <w:hideMark/>
          </w:tcPr>
          <w:p w14:paraId="5D91122B" w14:textId="77777777" w:rsidR="00B64F1E" w:rsidRPr="00B64F1E" w:rsidRDefault="00B64F1E">
            <w:pPr>
              <w:rPr>
                <w:rFonts w:ascii="Arial" w:hAnsi="Arial" w:cs="Arial"/>
                <w:b/>
                <w:bCs/>
                <w:color w:val="00B0F0"/>
                <w:sz w:val="16"/>
                <w:szCs w:val="16"/>
              </w:rPr>
            </w:pPr>
            <w:r w:rsidRPr="00B64F1E">
              <w:rPr>
                <w:rFonts w:ascii="Arial" w:hAnsi="Arial" w:cs="Arial"/>
                <w:b/>
                <w:bCs/>
                <w:color w:val="00B0F0"/>
                <w:sz w:val="16"/>
                <w:szCs w:val="16"/>
              </w:rPr>
              <w:t xml:space="preserve"> $                      480,517,563 </w:t>
            </w:r>
          </w:p>
        </w:tc>
        <w:tc>
          <w:tcPr>
            <w:tcW w:w="685" w:type="pct"/>
            <w:tcBorders>
              <w:top w:val="nil"/>
              <w:left w:val="nil"/>
              <w:bottom w:val="single" w:sz="4" w:space="0" w:color="auto"/>
              <w:right w:val="single" w:sz="4" w:space="0" w:color="auto"/>
            </w:tcBorders>
            <w:shd w:val="clear" w:color="000000" w:fill="C1F0C8"/>
            <w:noWrap/>
            <w:vAlign w:val="center"/>
            <w:hideMark/>
          </w:tcPr>
          <w:p w14:paraId="2172EB57" w14:textId="77777777" w:rsidR="00B64F1E" w:rsidRPr="00B64F1E" w:rsidRDefault="00B64F1E">
            <w:pPr>
              <w:rPr>
                <w:rFonts w:ascii="Arial" w:hAnsi="Arial" w:cs="Arial"/>
                <w:b/>
                <w:bCs/>
                <w:color w:val="00B0F0"/>
                <w:sz w:val="16"/>
                <w:szCs w:val="16"/>
              </w:rPr>
            </w:pPr>
            <w:r w:rsidRPr="00B64F1E">
              <w:rPr>
                <w:rFonts w:ascii="Arial" w:hAnsi="Arial" w:cs="Arial"/>
                <w:b/>
                <w:bCs/>
                <w:color w:val="00B0F0"/>
                <w:sz w:val="16"/>
                <w:szCs w:val="16"/>
              </w:rPr>
              <w:t xml:space="preserve"> $               91,298,337 </w:t>
            </w:r>
          </w:p>
        </w:tc>
        <w:tc>
          <w:tcPr>
            <w:tcW w:w="829" w:type="pct"/>
            <w:tcBorders>
              <w:top w:val="nil"/>
              <w:left w:val="nil"/>
              <w:bottom w:val="single" w:sz="4" w:space="0" w:color="auto"/>
              <w:right w:val="single" w:sz="8" w:space="0" w:color="auto"/>
            </w:tcBorders>
            <w:shd w:val="clear" w:color="000000" w:fill="C1F0C8"/>
            <w:noWrap/>
            <w:vAlign w:val="center"/>
            <w:hideMark/>
          </w:tcPr>
          <w:p w14:paraId="50BB3BC6" w14:textId="77777777" w:rsidR="00B64F1E" w:rsidRPr="00B64F1E" w:rsidRDefault="00B64F1E">
            <w:pPr>
              <w:rPr>
                <w:rFonts w:ascii="Arial" w:hAnsi="Arial" w:cs="Arial"/>
                <w:b/>
                <w:bCs/>
                <w:color w:val="00B0F0"/>
                <w:sz w:val="16"/>
                <w:szCs w:val="16"/>
              </w:rPr>
            </w:pPr>
            <w:r w:rsidRPr="00B64F1E">
              <w:rPr>
                <w:rFonts w:ascii="Arial" w:hAnsi="Arial" w:cs="Arial"/>
                <w:b/>
                <w:bCs/>
                <w:color w:val="00B0F0"/>
                <w:sz w:val="16"/>
                <w:szCs w:val="16"/>
              </w:rPr>
              <w:t xml:space="preserve"> $                     571,815,900 </w:t>
            </w:r>
          </w:p>
        </w:tc>
      </w:tr>
    </w:tbl>
    <w:p w14:paraId="40374397" w14:textId="0DD80254" w:rsidR="004E5C6D" w:rsidRPr="00FB351A" w:rsidRDefault="00827A14" w:rsidP="00803115">
      <w:pPr>
        <w:pStyle w:val="Descripcin"/>
        <w:jc w:val="both"/>
        <w:rPr>
          <w:rFonts w:ascii="Arial" w:hAnsi="Arial" w:cs="Arial"/>
          <w:b w:val="0"/>
          <w:bCs w:val="0"/>
        </w:rPr>
      </w:pPr>
      <w:r w:rsidRPr="00FB351A">
        <w:rPr>
          <w:rFonts w:ascii="Arial" w:hAnsi="Arial" w:cs="Arial"/>
          <w:b w:val="0"/>
          <w:bCs w:val="0"/>
        </w:rPr>
        <w:t xml:space="preserve"> </w:t>
      </w:r>
      <w:r w:rsidR="004E5C6D" w:rsidRPr="00FB351A">
        <w:rPr>
          <w:rFonts w:ascii="Arial" w:hAnsi="Arial" w:cs="Arial"/>
          <w:b w:val="0"/>
          <w:bCs w:val="0"/>
        </w:rPr>
        <w:t xml:space="preserve">Cuadro Estudio de mercado elaborado por </w:t>
      </w:r>
      <w:r w:rsidR="00BD0673" w:rsidRPr="00FB351A">
        <w:rPr>
          <w:rFonts w:ascii="Arial" w:hAnsi="Arial" w:cs="Arial"/>
          <w:b w:val="0"/>
          <w:bCs w:val="0"/>
        </w:rPr>
        <w:t xml:space="preserve">el </w:t>
      </w:r>
      <w:r w:rsidR="00BD0673" w:rsidRPr="00FB351A">
        <w:rPr>
          <w:rFonts w:ascii="Arial" w:hAnsi="Arial" w:cs="Arial"/>
          <w:b w:val="0"/>
          <w:bCs w:val="0"/>
          <w:lang w:val="es-CO"/>
        </w:rPr>
        <w:t>intermediario de seguros de la entidad</w:t>
      </w:r>
    </w:p>
    <w:p w14:paraId="1259C2FB" w14:textId="77777777" w:rsidR="003949DC" w:rsidRPr="00FB351A" w:rsidRDefault="003949DC" w:rsidP="00803115">
      <w:pPr>
        <w:jc w:val="both"/>
        <w:rPr>
          <w:rFonts w:ascii="Arial" w:hAnsi="Arial" w:cs="Arial"/>
          <w:sz w:val="20"/>
          <w:szCs w:val="20"/>
          <w:lang w:val="es-ES"/>
        </w:rPr>
      </w:pPr>
    </w:p>
    <w:p w14:paraId="633CCE36" w14:textId="7B517885" w:rsidR="00D62AF7" w:rsidRPr="00FB351A" w:rsidRDefault="00D62AF7" w:rsidP="00D62AF7">
      <w:p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t>Lote Cuatro</w:t>
      </w:r>
      <w:r w:rsidRPr="00FB351A">
        <w:rPr>
          <w:rFonts w:ascii="Arial" w:hAnsi="Arial" w:cs="Arial"/>
          <w:iCs/>
          <w:color w:val="000000"/>
          <w:sz w:val="20"/>
          <w:szCs w:val="20"/>
          <w:lang w:eastAsia="en-US"/>
        </w:rPr>
        <w:t xml:space="preserve">: hasta </w:t>
      </w:r>
      <w:r w:rsidRPr="00FB351A">
        <w:rPr>
          <w:rFonts w:ascii="Arial" w:hAnsi="Arial" w:cs="Arial"/>
          <w:b/>
          <w:bCs/>
          <w:iCs/>
          <w:color w:val="000000"/>
          <w:sz w:val="20"/>
          <w:szCs w:val="20"/>
          <w:lang w:eastAsia="en-US"/>
        </w:rPr>
        <w:t xml:space="preserve">DIEZ MILLONES CIENTO OCHO MIL TRESCIENTOS PESOS MC/TE ($ 10.108.300) </w:t>
      </w:r>
      <w:r w:rsidRPr="00FB351A">
        <w:rPr>
          <w:rFonts w:ascii="Arial" w:hAnsi="Arial" w:cs="Arial"/>
          <w:iCs/>
          <w:color w:val="000000"/>
          <w:sz w:val="20"/>
          <w:szCs w:val="20"/>
          <w:lang w:eastAsia="en-US"/>
        </w:rPr>
        <w:t xml:space="preserve">incluido impuestos, tasas y contribuciones que apliquen, así como los costos directos e indirectos en que incurra el contratista, para una vigencia mínima de </w:t>
      </w:r>
      <w:r w:rsidR="004C40B0" w:rsidRPr="00FB351A">
        <w:rPr>
          <w:rFonts w:ascii="Arial" w:hAnsi="Arial" w:cs="Arial"/>
          <w:iCs/>
          <w:color w:val="000000"/>
          <w:sz w:val="20"/>
          <w:szCs w:val="20"/>
          <w:lang w:eastAsia="en-US"/>
        </w:rPr>
        <w:t xml:space="preserve">una anualidad por vehículo </w:t>
      </w:r>
      <w:r w:rsidR="00A07189" w:rsidRPr="00FB351A">
        <w:rPr>
          <w:rFonts w:ascii="Arial" w:hAnsi="Arial" w:cs="Arial"/>
          <w:iCs/>
          <w:color w:val="000000"/>
          <w:sz w:val="20"/>
          <w:szCs w:val="20"/>
          <w:lang w:eastAsia="en-US"/>
        </w:rPr>
        <w:t>asegurado</w:t>
      </w:r>
      <w:r w:rsidRPr="00FB351A">
        <w:rPr>
          <w:rFonts w:ascii="Arial" w:hAnsi="Arial" w:cs="Arial"/>
          <w:iCs/>
          <w:color w:val="000000"/>
          <w:sz w:val="20"/>
          <w:szCs w:val="20"/>
          <w:lang w:eastAsia="en-US"/>
        </w:rPr>
        <w:t>.</w:t>
      </w:r>
    </w:p>
    <w:p w14:paraId="57DA0D4B" w14:textId="77777777" w:rsidR="00D62AF7" w:rsidRDefault="00D62AF7" w:rsidP="00803115">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3887"/>
        <w:gridCol w:w="918"/>
        <w:gridCol w:w="771"/>
        <w:gridCol w:w="466"/>
        <w:gridCol w:w="1636"/>
        <w:gridCol w:w="339"/>
        <w:gridCol w:w="1602"/>
      </w:tblGrid>
      <w:tr w:rsidR="00B64F1E" w:rsidRPr="00B64F1E" w14:paraId="2E697F33" w14:textId="77777777" w:rsidTr="00B64F1E">
        <w:trPr>
          <w:trHeight w:val="20"/>
        </w:trPr>
        <w:tc>
          <w:tcPr>
            <w:tcW w:w="1677" w:type="pct"/>
            <w:tcBorders>
              <w:top w:val="single" w:sz="4" w:space="0" w:color="auto"/>
              <w:left w:val="single" w:sz="8" w:space="0" w:color="auto"/>
              <w:bottom w:val="single" w:sz="4" w:space="0" w:color="auto"/>
              <w:right w:val="single" w:sz="4" w:space="0" w:color="auto"/>
            </w:tcBorders>
            <w:shd w:val="clear" w:color="000000" w:fill="DAF2D0"/>
            <w:vAlign w:val="center"/>
            <w:hideMark/>
          </w:tcPr>
          <w:p w14:paraId="7938F505"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lastRenderedPageBreak/>
              <w:t>RAMO</w:t>
            </w:r>
          </w:p>
        </w:tc>
        <w:tc>
          <w:tcPr>
            <w:tcW w:w="793" w:type="pct"/>
            <w:tcBorders>
              <w:top w:val="single" w:sz="4" w:space="0" w:color="auto"/>
              <w:left w:val="nil"/>
              <w:bottom w:val="single" w:sz="4" w:space="0" w:color="auto"/>
              <w:right w:val="single" w:sz="4" w:space="0" w:color="auto"/>
            </w:tcBorders>
            <w:shd w:val="clear" w:color="000000" w:fill="DAF2D0"/>
            <w:vAlign w:val="center"/>
            <w:hideMark/>
          </w:tcPr>
          <w:p w14:paraId="191CA719"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VALOR ASEGURADO</w:t>
            </w:r>
          </w:p>
        </w:tc>
        <w:tc>
          <w:tcPr>
            <w:tcW w:w="331" w:type="pct"/>
            <w:tcBorders>
              <w:top w:val="single" w:sz="4" w:space="0" w:color="auto"/>
              <w:left w:val="nil"/>
              <w:bottom w:val="single" w:sz="4" w:space="0" w:color="auto"/>
              <w:right w:val="single" w:sz="4" w:space="0" w:color="auto"/>
            </w:tcBorders>
            <w:shd w:val="clear" w:color="000000" w:fill="DAF2D0"/>
            <w:vAlign w:val="center"/>
            <w:hideMark/>
          </w:tcPr>
          <w:p w14:paraId="7B431B4E"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TASA ANUAL</w:t>
            </w:r>
          </w:p>
        </w:tc>
        <w:tc>
          <w:tcPr>
            <w:tcW w:w="294" w:type="pct"/>
            <w:tcBorders>
              <w:top w:val="single" w:sz="4" w:space="0" w:color="auto"/>
              <w:left w:val="nil"/>
              <w:bottom w:val="single" w:sz="4" w:space="0" w:color="auto"/>
              <w:right w:val="single" w:sz="4" w:space="0" w:color="auto"/>
            </w:tcBorders>
            <w:shd w:val="clear" w:color="000000" w:fill="DAF2D0"/>
            <w:vAlign w:val="center"/>
            <w:hideMark/>
          </w:tcPr>
          <w:p w14:paraId="587B8C80"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TIPO TASA</w:t>
            </w:r>
          </w:p>
        </w:tc>
        <w:tc>
          <w:tcPr>
            <w:tcW w:w="680" w:type="pct"/>
            <w:tcBorders>
              <w:top w:val="single" w:sz="4" w:space="0" w:color="auto"/>
              <w:left w:val="nil"/>
              <w:bottom w:val="single" w:sz="4" w:space="0" w:color="auto"/>
              <w:right w:val="single" w:sz="4" w:space="0" w:color="auto"/>
            </w:tcBorders>
            <w:shd w:val="clear" w:color="000000" w:fill="DAF2D0"/>
            <w:vAlign w:val="center"/>
            <w:hideMark/>
          </w:tcPr>
          <w:p w14:paraId="16C9EC6F" w14:textId="24C48023"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PRIMA NETA </w:t>
            </w:r>
          </w:p>
        </w:tc>
        <w:tc>
          <w:tcPr>
            <w:tcW w:w="556" w:type="pct"/>
            <w:tcBorders>
              <w:top w:val="single" w:sz="4" w:space="0" w:color="auto"/>
              <w:left w:val="nil"/>
              <w:bottom w:val="single" w:sz="4" w:space="0" w:color="auto"/>
              <w:right w:val="single" w:sz="4" w:space="0" w:color="auto"/>
            </w:tcBorders>
            <w:shd w:val="clear" w:color="000000" w:fill="DAF2D0"/>
            <w:vAlign w:val="center"/>
            <w:hideMark/>
          </w:tcPr>
          <w:p w14:paraId="5B80214F"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IVA </w:t>
            </w:r>
          </w:p>
        </w:tc>
        <w:tc>
          <w:tcPr>
            <w:tcW w:w="669" w:type="pct"/>
            <w:tcBorders>
              <w:top w:val="single" w:sz="4" w:space="0" w:color="auto"/>
              <w:left w:val="nil"/>
              <w:bottom w:val="single" w:sz="4" w:space="0" w:color="auto"/>
              <w:right w:val="single" w:sz="8" w:space="0" w:color="auto"/>
            </w:tcBorders>
            <w:shd w:val="clear" w:color="000000" w:fill="DAF2D0"/>
            <w:vAlign w:val="center"/>
            <w:hideMark/>
          </w:tcPr>
          <w:p w14:paraId="5D8ABC5F" w14:textId="77777777" w:rsidR="00B64F1E" w:rsidRPr="00B64F1E" w:rsidRDefault="00B64F1E">
            <w:pPr>
              <w:jc w:val="center"/>
              <w:rPr>
                <w:rFonts w:ascii="Arial" w:hAnsi="Arial" w:cs="Arial"/>
                <w:b/>
                <w:bCs/>
                <w:color w:val="FF0000"/>
                <w:sz w:val="16"/>
                <w:szCs w:val="16"/>
              </w:rPr>
            </w:pPr>
            <w:r w:rsidRPr="00B64F1E">
              <w:rPr>
                <w:rFonts w:ascii="Arial" w:hAnsi="Arial" w:cs="Arial"/>
                <w:b/>
                <w:bCs/>
                <w:color w:val="FF0000"/>
                <w:sz w:val="16"/>
                <w:szCs w:val="16"/>
              </w:rPr>
              <w:t xml:space="preserve"> PRIMA TOTAL </w:t>
            </w:r>
          </w:p>
        </w:tc>
      </w:tr>
      <w:tr w:rsidR="00B64F1E" w:rsidRPr="00B64F1E" w14:paraId="444D2731" w14:textId="77777777" w:rsidTr="00B64F1E">
        <w:trPr>
          <w:trHeight w:val="20"/>
        </w:trPr>
        <w:tc>
          <w:tcPr>
            <w:tcW w:w="1677" w:type="pct"/>
            <w:tcBorders>
              <w:top w:val="nil"/>
              <w:left w:val="single" w:sz="8" w:space="0" w:color="auto"/>
              <w:bottom w:val="single" w:sz="4" w:space="0" w:color="auto"/>
              <w:right w:val="single" w:sz="4" w:space="0" w:color="auto"/>
            </w:tcBorders>
            <w:shd w:val="clear" w:color="000000" w:fill="DAF2D0"/>
            <w:noWrap/>
            <w:vAlign w:val="center"/>
            <w:hideMark/>
          </w:tcPr>
          <w:p w14:paraId="20419694" w14:textId="77777777" w:rsidR="00B64F1E" w:rsidRPr="00B64F1E" w:rsidRDefault="00B64F1E">
            <w:pPr>
              <w:rPr>
                <w:rFonts w:ascii="Arial" w:hAnsi="Arial" w:cs="Arial"/>
                <w:b/>
                <w:bCs/>
                <w:color w:val="000000"/>
                <w:sz w:val="16"/>
                <w:szCs w:val="16"/>
              </w:rPr>
            </w:pPr>
            <w:r w:rsidRPr="00B64F1E">
              <w:rPr>
                <w:rFonts w:ascii="Arial" w:hAnsi="Arial" w:cs="Arial"/>
                <w:b/>
                <w:bCs/>
                <w:color w:val="000000"/>
                <w:sz w:val="16"/>
                <w:szCs w:val="16"/>
              </w:rPr>
              <w:t>SEGURO OBLIGATORIO POR ACCIDENTES DE TRANSITO -SOAT</w:t>
            </w:r>
          </w:p>
        </w:tc>
        <w:tc>
          <w:tcPr>
            <w:tcW w:w="793" w:type="pct"/>
            <w:tcBorders>
              <w:top w:val="nil"/>
              <w:left w:val="nil"/>
              <w:bottom w:val="single" w:sz="4" w:space="0" w:color="auto"/>
              <w:right w:val="single" w:sz="4" w:space="0" w:color="auto"/>
            </w:tcBorders>
            <w:shd w:val="clear" w:color="000000" w:fill="DAF2D0"/>
            <w:noWrap/>
            <w:vAlign w:val="center"/>
            <w:hideMark/>
          </w:tcPr>
          <w:p w14:paraId="0F3A7772"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LO DE LEY</w:t>
            </w:r>
          </w:p>
        </w:tc>
        <w:tc>
          <w:tcPr>
            <w:tcW w:w="331" w:type="pct"/>
            <w:tcBorders>
              <w:top w:val="nil"/>
              <w:left w:val="nil"/>
              <w:bottom w:val="single" w:sz="4" w:space="0" w:color="auto"/>
              <w:right w:val="single" w:sz="4" w:space="0" w:color="auto"/>
            </w:tcBorders>
            <w:shd w:val="clear" w:color="000000" w:fill="DAF2D0"/>
            <w:noWrap/>
            <w:vAlign w:val="center"/>
            <w:hideMark/>
          </w:tcPr>
          <w:p w14:paraId="5105156C" w14:textId="77777777"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LO DE LEY</w:t>
            </w:r>
          </w:p>
        </w:tc>
        <w:tc>
          <w:tcPr>
            <w:tcW w:w="294" w:type="pct"/>
            <w:tcBorders>
              <w:top w:val="nil"/>
              <w:left w:val="nil"/>
              <w:bottom w:val="single" w:sz="4" w:space="0" w:color="auto"/>
              <w:right w:val="single" w:sz="4" w:space="0" w:color="auto"/>
            </w:tcBorders>
            <w:shd w:val="clear" w:color="000000" w:fill="DAF2D0"/>
            <w:noWrap/>
            <w:vAlign w:val="center"/>
            <w:hideMark/>
          </w:tcPr>
          <w:p w14:paraId="4B13B53D" w14:textId="77777777" w:rsidR="00B64F1E" w:rsidRPr="00B64F1E" w:rsidRDefault="00B64F1E">
            <w:pPr>
              <w:jc w:val="center"/>
              <w:rPr>
                <w:rFonts w:ascii="Arial" w:hAnsi="Arial" w:cs="Arial"/>
                <w:color w:val="000000"/>
                <w:sz w:val="16"/>
                <w:szCs w:val="16"/>
              </w:rPr>
            </w:pPr>
            <w:r w:rsidRPr="00B64F1E">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4E1CB94E" w14:textId="77777777" w:rsidR="00B64F1E" w:rsidRPr="00B64F1E" w:rsidRDefault="00B64F1E">
            <w:pPr>
              <w:jc w:val="center"/>
              <w:rPr>
                <w:rFonts w:ascii="Arial" w:hAnsi="Arial" w:cs="Arial"/>
                <w:b/>
                <w:bCs/>
                <w:color w:val="000000"/>
                <w:sz w:val="16"/>
                <w:szCs w:val="16"/>
              </w:rPr>
            </w:pPr>
            <w:r w:rsidRPr="00B64F1E">
              <w:rPr>
                <w:rFonts w:ascii="Arial" w:hAnsi="Arial" w:cs="Arial"/>
                <w:b/>
                <w:bCs/>
                <w:color w:val="000000"/>
                <w:sz w:val="16"/>
                <w:szCs w:val="16"/>
              </w:rPr>
              <w:t xml:space="preserve"> $                        10,108,300 </w:t>
            </w:r>
          </w:p>
        </w:tc>
        <w:tc>
          <w:tcPr>
            <w:tcW w:w="556" w:type="pct"/>
            <w:tcBorders>
              <w:top w:val="nil"/>
              <w:left w:val="nil"/>
              <w:bottom w:val="single" w:sz="4" w:space="0" w:color="auto"/>
              <w:right w:val="single" w:sz="4" w:space="0" w:color="auto"/>
            </w:tcBorders>
            <w:shd w:val="clear" w:color="000000" w:fill="DAF2D0"/>
            <w:noWrap/>
            <w:vAlign w:val="center"/>
            <w:hideMark/>
          </w:tcPr>
          <w:p w14:paraId="3EFDBE80"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$ 0</w:t>
            </w:r>
          </w:p>
        </w:tc>
        <w:tc>
          <w:tcPr>
            <w:tcW w:w="669" w:type="pct"/>
            <w:tcBorders>
              <w:top w:val="nil"/>
              <w:left w:val="nil"/>
              <w:bottom w:val="single" w:sz="4" w:space="0" w:color="auto"/>
              <w:right w:val="single" w:sz="8" w:space="0" w:color="auto"/>
            </w:tcBorders>
            <w:shd w:val="clear" w:color="000000" w:fill="DAF2D0"/>
            <w:noWrap/>
            <w:vAlign w:val="center"/>
            <w:hideMark/>
          </w:tcPr>
          <w:p w14:paraId="2782142F"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xml:space="preserve"> $                       10,108,300 </w:t>
            </w:r>
          </w:p>
        </w:tc>
      </w:tr>
      <w:tr w:rsidR="00B64F1E" w:rsidRPr="00B64F1E" w14:paraId="7AB2AAC9" w14:textId="77777777" w:rsidTr="00B64F1E">
        <w:trPr>
          <w:trHeight w:val="20"/>
        </w:trPr>
        <w:tc>
          <w:tcPr>
            <w:tcW w:w="3095" w:type="pct"/>
            <w:gridSpan w:val="4"/>
            <w:tcBorders>
              <w:top w:val="single" w:sz="4" w:space="0" w:color="auto"/>
              <w:left w:val="single" w:sz="8" w:space="0" w:color="auto"/>
              <w:bottom w:val="single" w:sz="4" w:space="0" w:color="auto"/>
              <w:right w:val="single" w:sz="4" w:space="0" w:color="000000"/>
            </w:tcBorders>
            <w:shd w:val="clear" w:color="000000" w:fill="C1F0C8"/>
            <w:noWrap/>
            <w:vAlign w:val="center"/>
            <w:hideMark/>
          </w:tcPr>
          <w:p w14:paraId="5EE54DA7" w14:textId="0E99B2CD" w:rsidR="00B64F1E" w:rsidRPr="00B64F1E" w:rsidRDefault="00B64F1E">
            <w:pPr>
              <w:jc w:val="center"/>
              <w:rPr>
                <w:rFonts w:ascii="Arial" w:hAnsi="Arial" w:cs="Arial"/>
                <w:b/>
                <w:bCs/>
                <w:color w:val="00B0F0"/>
                <w:sz w:val="16"/>
                <w:szCs w:val="16"/>
              </w:rPr>
            </w:pPr>
            <w:r w:rsidRPr="00B64F1E">
              <w:rPr>
                <w:rFonts w:ascii="Arial" w:hAnsi="Arial" w:cs="Arial"/>
                <w:b/>
                <w:bCs/>
                <w:color w:val="00B0F0"/>
                <w:sz w:val="16"/>
                <w:szCs w:val="16"/>
              </w:rPr>
              <w:t xml:space="preserve"> </w:t>
            </w:r>
            <w:r w:rsidR="001A1B49" w:rsidRPr="00B64F1E">
              <w:rPr>
                <w:rFonts w:ascii="Arial" w:hAnsi="Arial" w:cs="Arial"/>
                <w:b/>
                <w:bCs/>
                <w:color w:val="00B0F0"/>
                <w:sz w:val="16"/>
                <w:szCs w:val="16"/>
              </w:rPr>
              <w:t>TOTAL,</w:t>
            </w:r>
            <w:r w:rsidRPr="00B64F1E">
              <w:rPr>
                <w:rFonts w:ascii="Arial" w:hAnsi="Arial" w:cs="Arial"/>
                <w:b/>
                <w:bCs/>
                <w:color w:val="00B0F0"/>
                <w:sz w:val="16"/>
                <w:szCs w:val="16"/>
              </w:rPr>
              <w:t xml:space="preserve"> GRUPO No. 4 </w:t>
            </w:r>
          </w:p>
        </w:tc>
        <w:tc>
          <w:tcPr>
            <w:tcW w:w="680" w:type="pct"/>
            <w:tcBorders>
              <w:top w:val="nil"/>
              <w:left w:val="nil"/>
              <w:bottom w:val="single" w:sz="4" w:space="0" w:color="auto"/>
              <w:right w:val="single" w:sz="4" w:space="0" w:color="auto"/>
            </w:tcBorders>
            <w:shd w:val="clear" w:color="000000" w:fill="C1F0C8"/>
            <w:noWrap/>
            <w:vAlign w:val="center"/>
            <w:hideMark/>
          </w:tcPr>
          <w:p w14:paraId="1DE0EB1E" w14:textId="77777777" w:rsidR="00B64F1E" w:rsidRPr="00B64F1E" w:rsidRDefault="00B64F1E">
            <w:pPr>
              <w:rPr>
                <w:rFonts w:ascii="Arial" w:hAnsi="Arial" w:cs="Arial"/>
                <w:b/>
                <w:bCs/>
                <w:color w:val="00B0F0"/>
                <w:sz w:val="16"/>
                <w:szCs w:val="16"/>
              </w:rPr>
            </w:pPr>
            <w:r w:rsidRPr="00B64F1E">
              <w:rPr>
                <w:rFonts w:ascii="Arial" w:hAnsi="Arial" w:cs="Arial"/>
                <w:b/>
                <w:bCs/>
                <w:color w:val="00B0F0"/>
                <w:sz w:val="16"/>
                <w:szCs w:val="16"/>
              </w:rPr>
              <w:t xml:space="preserve"> $                        10,108,300 </w:t>
            </w:r>
          </w:p>
        </w:tc>
        <w:tc>
          <w:tcPr>
            <w:tcW w:w="556" w:type="pct"/>
            <w:tcBorders>
              <w:top w:val="nil"/>
              <w:left w:val="nil"/>
              <w:bottom w:val="single" w:sz="4" w:space="0" w:color="auto"/>
              <w:right w:val="single" w:sz="4" w:space="0" w:color="auto"/>
            </w:tcBorders>
            <w:shd w:val="clear" w:color="000000" w:fill="DAF2D0"/>
            <w:noWrap/>
            <w:vAlign w:val="center"/>
            <w:hideMark/>
          </w:tcPr>
          <w:p w14:paraId="58A8A381" w14:textId="77777777" w:rsidR="00B64F1E" w:rsidRPr="00B64F1E" w:rsidRDefault="00B64F1E">
            <w:pPr>
              <w:jc w:val="right"/>
              <w:rPr>
                <w:rFonts w:ascii="Arial" w:hAnsi="Arial" w:cs="Arial"/>
                <w:b/>
                <w:bCs/>
                <w:color w:val="000000"/>
                <w:sz w:val="16"/>
                <w:szCs w:val="16"/>
              </w:rPr>
            </w:pPr>
            <w:r w:rsidRPr="00B64F1E">
              <w:rPr>
                <w:rFonts w:ascii="Arial" w:hAnsi="Arial" w:cs="Arial"/>
                <w:b/>
                <w:bCs/>
                <w:color w:val="000000"/>
                <w:sz w:val="16"/>
                <w:szCs w:val="16"/>
              </w:rPr>
              <w:t>$ 0</w:t>
            </w:r>
          </w:p>
        </w:tc>
        <w:tc>
          <w:tcPr>
            <w:tcW w:w="669" w:type="pct"/>
            <w:tcBorders>
              <w:top w:val="nil"/>
              <w:left w:val="nil"/>
              <w:bottom w:val="single" w:sz="4" w:space="0" w:color="auto"/>
              <w:right w:val="single" w:sz="4" w:space="0" w:color="auto"/>
            </w:tcBorders>
            <w:shd w:val="clear" w:color="000000" w:fill="C1F0C8"/>
            <w:noWrap/>
            <w:vAlign w:val="center"/>
            <w:hideMark/>
          </w:tcPr>
          <w:p w14:paraId="58958240" w14:textId="77777777" w:rsidR="00B64F1E" w:rsidRPr="00B64F1E" w:rsidRDefault="00B64F1E">
            <w:pPr>
              <w:rPr>
                <w:rFonts w:ascii="Arial" w:hAnsi="Arial" w:cs="Arial"/>
                <w:b/>
                <w:bCs/>
                <w:color w:val="00B0F0"/>
                <w:sz w:val="16"/>
                <w:szCs w:val="16"/>
              </w:rPr>
            </w:pPr>
            <w:r w:rsidRPr="00B64F1E">
              <w:rPr>
                <w:rFonts w:ascii="Arial" w:hAnsi="Arial" w:cs="Arial"/>
                <w:b/>
                <w:bCs/>
                <w:color w:val="00B0F0"/>
                <w:sz w:val="16"/>
                <w:szCs w:val="16"/>
              </w:rPr>
              <w:t xml:space="preserve"> $                       10,108,300 </w:t>
            </w:r>
          </w:p>
        </w:tc>
      </w:tr>
    </w:tbl>
    <w:p w14:paraId="49CFBEBC" w14:textId="77777777" w:rsidR="00A07189" w:rsidRPr="00FB351A" w:rsidRDefault="00A07189" w:rsidP="00803115">
      <w:pPr>
        <w:jc w:val="both"/>
        <w:rPr>
          <w:rFonts w:ascii="Arial" w:hAnsi="Arial" w:cs="Arial"/>
          <w:sz w:val="20"/>
          <w:szCs w:val="20"/>
        </w:rPr>
      </w:pPr>
    </w:p>
    <w:p w14:paraId="3C138C9E" w14:textId="196CDE90" w:rsidR="004402A0" w:rsidRPr="00FB351A" w:rsidRDefault="004402A0" w:rsidP="00803115">
      <w:p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t>NOTA 1:</w:t>
      </w:r>
      <w:r w:rsidRPr="00FB351A">
        <w:rPr>
          <w:rFonts w:ascii="Arial" w:hAnsi="Arial" w:cs="Arial"/>
          <w:iCs/>
          <w:color w:val="000000"/>
          <w:sz w:val="20"/>
          <w:szCs w:val="20"/>
          <w:lang w:eastAsia="en-US"/>
        </w:rPr>
        <w:t xml:space="preserve"> Los proponentes no podrán exceder en su propuesta el valor del presupuesto oficial del grupo ofertado, establecido para la contratación, so pena de ser RECHAZADA; </w:t>
      </w:r>
    </w:p>
    <w:p w14:paraId="5506626A"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t>NOTA 2</w:t>
      </w:r>
      <w:r w:rsidRPr="00FB351A">
        <w:rPr>
          <w:rFonts w:ascii="Arial" w:hAnsi="Arial" w:cs="Arial"/>
          <w:iCs/>
          <w:color w:val="000000"/>
          <w:sz w:val="20"/>
          <w:szCs w:val="20"/>
          <w:lang w:eastAsia="en-US"/>
        </w:rPr>
        <w:t>: NO SE ACEPTAN propuestas bajo la modalidad de coaseguro</w:t>
      </w:r>
      <w:r w:rsidRPr="00FB351A">
        <w:rPr>
          <w:rStyle w:val="Refdenotaalpie"/>
          <w:rFonts w:ascii="Arial" w:hAnsi="Arial" w:cs="Arial"/>
          <w:iCs/>
          <w:color w:val="000000"/>
          <w:sz w:val="20"/>
          <w:szCs w:val="20"/>
          <w:lang w:eastAsia="en-US"/>
        </w:rPr>
        <w:footnoteReference w:id="24"/>
      </w:r>
      <w:r w:rsidRPr="00FB351A">
        <w:rPr>
          <w:rFonts w:ascii="Arial" w:hAnsi="Arial" w:cs="Arial"/>
          <w:iCs/>
          <w:color w:val="000000"/>
          <w:sz w:val="20"/>
          <w:szCs w:val="20"/>
          <w:lang w:eastAsia="en-US"/>
        </w:rPr>
        <w:t>. En caso de figuras asociativas se considera lo contemplado en el parágrafo 2 del artículo 7 de la Ley 80 de 1993, el cual indica “</w:t>
      </w:r>
      <w:r w:rsidRPr="00FB351A">
        <w:rPr>
          <w:rFonts w:ascii="Arial" w:hAnsi="Arial" w:cs="Arial"/>
          <w:i/>
          <w:iCs/>
          <w:color w:val="000000"/>
          <w:sz w:val="20"/>
          <w:szCs w:val="20"/>
          <w:lang w:eastAsia="en-US"/>
        </w:rPr>
        <w:t>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r w:rsidRPr="00FB351A">
        <w:rPr>
          <w:rFonts w:ascii="Arial" w:hAnsi="Arial" w:cs="Arial"/>
          <w:iCs/>
          <w:color w:val="000000"/>
          <w:sz w:val="20"/>
          <w:szCs w:val="20"/>
          <w:lang w:eastAsia="en-US"/>
        </w:rPr>
        <w:t>, por tanto, frente a la contratación estatal queda entendido que existirá la solidaridad en el cumplimiento del contrato de seguros y las obligaciones derivadas del mismo.</w:t>
      </w:r>
    </w:p>
    <w:p w14:paraId="70FA4E40" w14:textId="77777777" w:rsidR="004402A0" w:rsidRPr="00FB351A" w:rsidRDefault="004402A0" w:rsidP="00803115">
      <w:pPr>
        <w:jc w:val="both"/>
        <w:rPr>
          <w:rFonts w:ascii="Arial" w:hAnsi="Arial" w:cs="Arial"/>
          <w:iCs/>
          <w:color w:val="000000"/>
          <w:sz w:val="20"/>
          <w:szCs w:val="20"/>
          <w:lang w:eastAsia="en-US"/>
        </w:rPr>
      </w:pPr>
      <w:r w:rsidRPr="00FB351A">
        <w:rPr>
          <w:rFonts w:ascii="Arial" w:hAnsi="Arial" w:cs="Arial"/>
          <w:b/>
          <w:bCs/>
          <w:iCs/>
          <w:color w:val="000000"/>
          <w:sz w:val="20"/>
          <w:szCs w:val="20"/>
          <w:lang w:eastAsia="en-US"/>
        </w:rPr>
        <w:t>NOTA 3</w:t>
      </w:r>
      <w:r w:rsidRPr="00FB351A">
        <w:rPr>
          <w:rFonts w:ascii="Arial" w:hAnsi="Arial" w:cs="Arial"/>
          <w:iCs/>
          <w:color w:val="000000"/>
          <w:sz w:val="20"/>
          <w:szCs w:val="20"/>
          <w:lang w:eastAsia="en-US"/>
        </w:rPr>
        <w:t>: El presupuesto oficial estimado incluye el valor de las primas y los impuestos a que haya lugar.</w:t>
      </w:r>
      <w:bookmarkEnd w:id="36"/>
    </w:p>
    <w:p w14:paraId="4D98F3F8" w14:textId="77777777" w:rsidR="004402A0" w:rsidRPr="00FB351A" w:rsidRDefault="004402A0" w:rsidP="00803115">
      <w:pPr>
        <w:jc w:val="both"/>
        <w:rPr>
          <w:rFonts w:ascii="Arial" w:hAnsi="Arial" w:cs="Arial"/>
          <w:bCs/>
          <w:iCs/>
          <w:color w:val="000000"/>
          <w:sz w:val="20"/>
          <w:szCs w:val="20"/>
          <w:lang w:eastAsia="en-US"/>
        </w:rPr>
      </w:pPr>
      <w:r w:rsidRPr="00FB351A">
        <w:rPr>
          <w:rFonts w:ascii="Arial" w:hAnsi="Arial" w:cs="Arial"/>
          <w:b/>
          <w:bCs/>
          <w:iCs/>
          <w:color w:val="000000"/>
          <w:sz w:val="20"/>
          <w:szCs w:val="20"/>
          <w:lang w:eastAsia="en-US"/>
        </w:rPr>
        <w:t>NOTA 4:</w:t>
      </w:r>
      <w:r w:rsidRPr="00FB351A">
        <w:rPr>
          <w:rFonts w:ascii="Arial" w:hAnsi="Arial" w:cs="Arial"/>
          <w:iCs/>
          <w:color w:val="000000"/>
          <w:sz w:val="20"/>
          <w:szCs w:val="20"/>
          <w:lang w:eastAsia="en-US"/>
        </w:rPr>
        <w:t xml:space="preserve"> </w:t>
      </w:r>
      <w:r w:rsidRPr="00FB351A">
        <w:rPr>
          <w:rFonts w:ascii="Arial" w:hAnsi="Arial" w:cs="Arial"/>
          <w:bCs/>
          <w:iCs/>
          <w:color w:val="000000"/>
          <w:sz w:val="20"/>
          <w:szCs w:val="20"/>
          <w:lang w:eastAsia="en-US"/>
        </w:rPr>
        <w:t xml:space="preserve">En caso de presentarse oferta en consorcio o unión temporal en los términos de la Ley 80 de 1993, no significa que el objeto social de una compañía de seguros se extienda a un ramo que no haya sido aprobado por el respectivo ente de control. Así las cosas, para que una entidad aseguradora pueda participar en una licitación bajo alguna de estas modalidades, deberá tener aprobado los ramos de seguros bajo los cuales comercializa las pólizas que requiere la entidad estatal. En este sentido, en el </w:t>
      </w:r>
      <w:proofErr w:type="spellStart"/>
      <w:r w:rsidRPr="00FB351A">
        <w:rPr>
          <w:rFonts w:ascii="Arial" w:hAnsi="Arial" w:cs="Arial"/>
          <w:bCs/>
          <w:iCs/>
          <w:color w:val="000000"/>
          <w:sz w:val="20"/>
          <w:szCs w:val="20"/>
          <w:lang w:eastAsia="en-US"/>
        </w:rPr>
        <w:t>subnumeral</w:t>
      </w:r>
      <w:proofErr w:type="spellEnd"/>
      <w:r w:rsidRPr="00FB351A">
        <w:rPr>
          <w:rFonts w:ascii="Arial" w:hAnsi="Arial" w:cs="Arial"/>
          <w:bCs/>
          <w:iCs/>
          <w:color w:val="000000"/>
          <w:sz w:val="20"/>
          <w:szCs w:val="20"/>
          <w:lang w:eastAsia="en-US"/>
        </w:rPr>
        <w:t xml:space="preserve"> 1.7.6 del Capítulo II, Título IV, Parte II de la Circular Externa 020 de 2014, Circular Básica Jurídica, emanada de la Superintendencia Financiera de Colombia, se considera como práctica insegura y no autorizada “La participación en consorcios o uniones temporales cuando quiera que la entidad no cuenta con autorización para la operación de alguno de los ramos involucrados”.</w:t>
      </w:r>
    </w:p>
    <w:p w14:paraId="7FD461B5" w14:textId="77777777" w:rsidR="004402A0" w:rsidRPr="00FB351A" w:rsidRDefault="004402A0" w:rsidP="00803115">
      <w:pPr>
        <w:jc w:val="both"/>
        <w:rPr>
          <w:rFonts w:ascii="Arial" w:hAnsi="Arial" w:cs="Arial"/>
          <w:sz w:val="20"/>
          <w:szCs w:val="20"/>
        </w:rPr>
      </w:pPr>
    </w:p>
    <w:p w14:paraId="3C14AD17" w14:textId="77777777" w:rsidR="001E4DB7" w:rsidRPr="00FB351A" w:rsidRDefault="001E4DB7" w:rsidP="00803115">
      <w:pPr>
        <w:widowControl w:val="0"/>
        <w:autoSpaceDE w:val="0"/>
        <w:autoSpaceDN w:val="0"/>
        <w:jc w:val="both"/>
        <w:rPr>
          <w:rFonts w:ascii="Arial" w:hAnsi="Arial" w:cs="Arial"/>
          <w:b/>
          <w:bCs/>
          <w:sz w:val="20"/>
          <w:szCs w:val="20"/>
        </w:rPr>
      </w:pPr>
      <w:r w:rsidRPr="00FB351A">
        <w:rPr>
          <w:rFonts w:ascii="Arial" w:hAnsi="Arial" w:cs="Arial"/>
          <w:b/>
          <w:bCs/>
          <w:sz w:val="20"/>
          <w:szCs w:val="20"/>
        </w:rPr>
        <w:br w:type="page"/>
      </w:r>
    </w:p>
    <w:p w14:paraId="11B55D2F" w14:textId="4A5F10CF" w:rsidR="004402A0" w:rsidRPr="00FB351A" w:rsidRDefault="004402A0">
      <w:pPr>
        <w:numPr>
          <w:ilvl w:val="0"/>
          <w:numId w:val="35"/>
        </w:numPr>
        <w:jc w:val="both"/>
        <w:rPr>
          <w:rFonts w:ascii="Arial" w:hAnsi="Arial" w:cs="Arial"/>
          <w:b/>
          <w:bCs/>
          <w:sz w:val="20"/>
          <w:szCs w:val="20"/>
        </w:rPr>
      </w:pPr>
      <w:r w:rsidRPr="00FB351A">
        <w:rPr>
          <w:rFonts w:ascii="Arial" w:hAnsi="Arial" w:cs="Arial"/>
          <w:b/>
          <w:bCs/>
          <w:sz w:val="20"/>
          <w:szCs w:val="20"/>
        </w:rPr>
        <w:lastRenderedPageBreak/>
        <w:t>CONCLUSIONES DEL ESTUDIO DEL SECTOR</w:t>
      </w:r>
    </w:p>
    <w:p w14:paraId="75C4946F" w14:textId="77777777" w:rsidR="004402A0" w:rsidRPr="00FB351A" w:rsidRDefault="004402A0" w:rsidP="00803115">
      <w:pPr>
        <w:jc w:val="both"/>
        <w:rPr>
          <w:rFonts w:ascii="Arial" w:hAnsi="Arial" w:cs="Arial"/>
          <w:sz w:val="20"/>
          <w:szCs w:val="20"/>
        </w:rPr>
      </w:pPr>
    </w:p>
    <w:p w14:paraId="117F67A7" w14:textId="64781D78" w:rsidR="004402A0" w:rsidRPr="00FB351A" w:rsidRDefault="004402A0" w:rsidP="00803115">
      <w:pPr>
        <w:jc w:val="both"/>
        <w:rPr>
          <w:rFonts w:ascii="Arial" w:hAnsi="Arial" w:cs="Arial"/>
          <w:sz w:val="20"/>
          <w:szCs w:val="20"/>
        </w:rPr>
      </w:pPr>
      <w:r w:rsidRPr="00FB351A">
        <w:rPr>
          <w:rFonts w:ascii="Arial" w:hAnsi="Arial" w:cs="Arial"/>
          <w:sz w:val="20"/>
          <w:szCs w:val="20"/>
        </w:rPr>
        <w:t xml:space="preserve">La </w:t>
      </w:r>
      <w:r w:rsidR="001E4DB7" w:rsidRPr="00FB351A">
        <w:rPr>
          <w:rFonts w:ascii="Arial" w:hAnsi="Arial" w:cs="Arial"/>
          <w:sz w:val="20"/>
          <w:szCs w:val="20"/>
        </w:rPr>
        <w:t>Agencia de Desarrollo Rural - ADR</w:t>
      </w:r>
      <w:r w:rsidRPr="00FB351A">
        <w:rPr>
          <w:rFonts w:ascii="Arial" w:hAnsi="Arial" w:cs="Arial"/>
          <w:sz w:val="20"/>
          <w:szCs w:val="20"/>
        </w:rPr>
        <w:t xml:space="preserve"> identificó que en el presente estudio se analizó el SECTOR SEGUROS, en razón a que el propósito del proceso contractual que nos atañe.</w:t>
      </w:r>
    </w:p>
    <w:p w14:paraId="5FB838EC" w14:textId="77777777" w:rsidR="004402A0" w:rsidRPr="00FB351A" w:rsidRDefault="004402A0" w:rsidP="00803115">
      <w:pPr>
        <w:jc w:val="both"/>
        <w:rPr>
          <w:rFonts w:ascii="Arial" w:hAnsi="Arial" w:cs="Arial"/>
          <w:sz w:val="20"/>
          <w:szCs w:val="20"/>
        </w:rPr>
      </w:pPr>
    </w:p>
    <w:p w14:paraId="396CABF9" w14:textId="77777777" w:rsidR="004402A0" w:rsidRPr="00FB351A" w:rsidRDefault="004402A0" w:rsidP="00803115">
      <w:pPr>
        <w:jc w:val="both"/>
        <w:rPr>
          <w:rFonts w:ascii="Arial" w:eastAsia="Arial MT" w:hAnsi="Arial" w:cs="Arial"/>
          <w:sz w:val="20"/>
          <w:szCs w:val="20"/>
        </w:rPr>
      </w:pPr>
      <w:r w:rsidRPr="00FB351A">
        <w:rPr>
          <w:rFonts w:ascii="Arial" w:eastAsia="Arial MT" w:hAnsi="Arial" w:cs="Arial"/>
          <w:sz w:val="20"/>
          <w:szCs w:val="20"/>
        </w:rPr>
        <w:t xml:space="preserve">En el Sistema de Codificación de </w:t>
      </w:r>
      <w:proofErr w:type="spellStart"/>
      <w:r w:rsidRPr="00FB351A">
        <w:rPr>
          <w:rFonts w:ascii="Arial" w:eastAsia="Arial MT" w:hAnsi="Arial" w:cs="Arial"/>
          <w:sz w:val="20"/>
          <w:szCs w:val="20"/>
        </w:rPr>
        <w:t>UNSPSC</w:t>
      </w:r>
      <w:proofErr w:type="spellEnd"/>
      <w:r w:rsidRPr="00FB351A">
        <w:rPr>
          <w:rFonts w:ascii="Arial" w:eastAsia="Arial MT" w:hAnsi="Arial" w:cs="Arial"/>
          <w:sz w:val="20"/>
          <w:szCs w:val="20"/>
        </w:rPr>
        <w:t xml:space="preserve"> los seguros por contratar se clasifican en el código: 841315 y/o 841316</w:t>
      </w:r>
    </w:p>
    <w:p w14:paraId="190E3B10" w14:textId="77777777" w:rsidR="004402A0" w:rsidRPr="00FB351A" w:rsidRDefault="004402A0" w:rsidP="00803115">
      <w:pPr>
        <w:jc w:val="both"/>
        <w:rPr>
          <w:rFonts w:ascii="Arial" w:eastAsia="Arial MT" w:hAnsi="Arial" w:cs="Arial"/>
          <w:sz w:val="20"/>
          <w:szCs w:val="20"/>
        </w:rPr>
      </w:pPr>
    </w:p>
    <w:p w14:paraId="51FC92DA" w14:textId="77777777" w:rsidR="004402A0" w:rsidRPr="00FB351A" w:rsidRDefault="004402A0" w:rsidP="00803115">
      <w:pPr>
        <w:jc w:val="both"/>
        <w:rPr>
          <w:rFonts w:ascii="Arial" w:eastAsia="Arial MT" w:hAnsi="Arial" w:cs="Arial"/>
          <w:sz w:val="20"/>
          <w:szCs w:val="20"/>
        </w:rPr>
      </w:pPr>
      <w:r w:rsidRPr="00FB351A">
        <w:rPr>
          <w:rFonts w:ascii="Arial" w:eastAsia="Arial MT" w:hAnsi="Arial" w:cs="Arial"/>
          <w:sz w:val="20"/>
          <w:szCs w:val="20"/>
        </w:rPr>
        <w:t xml:space="preserve">El régimen aplicable al presente proceso de selección, el cual comprende las etapas precontractuales, contractual y </w:t>
      </w:r>
      <w:proofErr w:type="spellStart"/>
      <w:r w:rsidRPr="00FB351A">
        <w:rPr>
          <w:rFonts w:ascii="Arial" w:eastAsia="Arial MT" w:hAnsi="Arial" w:cs="Arial"/>
          <w:sz w:val="20"/>
          <w:szCs w:val="20"/>
        </w:rPr>
        <w:t>postcontractual</w:t>
      </w:r>
      <w:proofErr w:type="spellEnd"/>
      <w:r w:rsidRPr="00FB351A">
        <w:rPr>
          <w:rFonts w:ascii="Arial" w:eastAsia="Arial MT" w:hAnsi="Arial" w:cs="Arial"/>
          <w:sz w:val="20"/>
          <w:szCs w:val="20"/>
        </w:rPr>
        <w:t>, es el previsto en el Estatuto General de Contratación de la Administración Pública (Ley 80 de 1993, Ley 1150 de 2007, Ley 1882 de 2018), el Decreto Reglamentario 1082 de 2015, las leyes civiles, comerciales y demás normas que adicionen, complementen o regulen la materia, así como la Ley 1474 de 2011 y la Ley 1564 de 2012 respectivamente; y en lo no previsto por lo regulado en el Decreto 410 de 1972 o Código de Comercio (Título V del Libro IV y en el Título XIII del Libro V)</w:t>
      </w:r>
    </w:p>
    <w:p w14:paraId="619A9E51" w14:textId="77777777" w:rsidR="004402A0" w:rsidRPr="00FB351A" w:rsidRDefault="004402A0" w:rsidP="00803115">
      <w:pPr>
        <w:jc w:val="both"/>
        <w:rPr>
          <w:rFonts w:ascii="Arial" w:eastAsia="Arial MT" w:hAnsi="Arial" w:cs="Arial"/>
          <w:sz w:val="20"/>
          <w:szCs w:val="20"/>
        </w:rPr>
      </w:pPr>
    </w:p>
    <w:p w14:paraId="03B88390" w14:textId="77777777" w:rsidR="004402A0" w:rsidRPr="00FB351A" w:rsidRDefault="004402A0" w:rsidP="00803115">
      <w:pPr>
        <w:jc w:val="both"/>
        <w:rPr>
          <w:rFonts w:ascii="Arial" w:eastAsia="Arial MT" w:hAnsi="Arial" w:cs="Arial"/>
          <w:sz w:val="20"/>
          <w:szCs w:val="20"/>
        </w:rPr>
      </w:pPr>
      <w:r w:rsidRPr="00FB351A">
        <w:rPr>
          <w:rFonts w:ascii="Arial" w:eastAsia="Arial MT" w:hAnsi="Arial" w:cs="Arial"/>
          <w:sz w:val="20"/>
          <w:szCs w:val="20"/>
        </w:rPr>
        <w:t>No pueden participar como proveedores de seguros, las personas naturales por disposición expresan del código de comercio y el Estatuto Orgánico del Sistema Financiero.</w:t>
      </w:r>
    </w:p>
    <w:p w14:paraId="589BE1A2" w14:textId="77777777" w:rsidR="004402A0" w:rsidRPr="00FB351A" w:rsidRDefault="004402A0" w:rsidP="00803115">
      <w:pPr>
        <w:jc w:val="both"/>
        <w:rPr>
          <w:rFonts w:ascii="Arial" w:eastAsia="Arial MT" w:hAnsi="Arial" w:cs="Arial"/>
          <w:sz w:val="20"/>
          <w:szCs w:val="20"/>
        </w:rPr>
      </w:pPr>
    </w:p>
    <w:p w14:paraId="6F2BF823" w14:textId="77777777" w:rsidR="004402A0" w:rsidRPr="00FB351A" w:rsidRDefault="004402A0" w:rsidP="00803115">
      <w:pPr>
        <w:tabs>
          <w:tab w:val="left" w:pos="318"/>
        </w:tabs>
        <w:overflowPunct w:val="0"/>
        <w:autoSpaceDE w:val="0"/>
        <w:autoSpaceDN w:val="0"/>
        <w:adjustRightInd w:val="0"/>
        <w:jc w:val="both"/>
        <w:textAlignment w:val="baseline"/>
        <w:rPr>
          <w:rFonts w:ascii="Arial" w:hAnsi="Arial" w:cs="Arial"/>
          <w:color w:val="000000"/>
          <w:sz w:val="20"/>
          <w:szCs w:val="20"/>
        </w:rPr>
      </w:pPr>
      <w:r w:rsidRPr="00FB351A">
        <w:rPr>
          <w:rFonts w:ascii="Arial" w:hAnsi="Arial" w:cs="Arial"/>
          <w:color w:val="000000"/>
          <w:sz w:val="20"/>
          <w:szCs w:val="20"/>
        </w:rPr>
        <w:t>Los seguros objeto de esta contratación, no se encuentran incluidos en algún catálogo de Acuerdo Marco de Precios (AMP) vigente, publicado en el portal web de Colombia Compra Eficiente</w:t>
      </w:r>
    </w:p>
    <w:p w14:paraId="04DB5353" w14:textId="77777777" w:rsidR="004402A0" w:rsidRPr="00FB351A" w:rsidRDefault="004402A0" w:rsidP="00803115">
      <w:pPr>
        <w:jc w:val="both"/>
        <w:rPr>
          <w:rFonts w:ascii="Arial" w:eastAsia="Arial MT" w:hAnsi="Arial" w:cs="Arial"/>
          <w:sz w:val="20"/>
          <w:szCs w:val="20"/>
        </w:rPr>
      </w:pPr>
    </w:p>
    <w:p w14:paraId="6D184D53" w14:textId="77777777" w:rsidR="004402A0" w:rsidRPr="00FB351A" w:rsidRDefault="004402A0" w:rsidP="00803115">
      <w:pPr>
        <w:jc w:val="both"/>
        <w:rPr>
          <w:rFonts w:ascii="Arial" w:eastAsia="Arial MT" w:hAnsi="Arial" w:cs="Arial"/>
          <w:sz w:val="20"/>
          <w:szCs w:val="20"/>
        </w:rPr>
      </w:pPr>
      <w:r w:rsidRPr="00FB351A">
        <w:rPr>
          <w:rFonts w:ascii="Arial" w:hAnsi="Arial" w:cs="Arial"/>
          <w:color w:val="000000"/>
          <w:sz w:val="20"/>
          <w:szCs w:val="20"/>
        </w:rPr>
        <w:t>Por las características y particularidades del contrato de seguros, no se incorporan criterios ambientales de que trata el parágrafo del artículo 2.2.1.1.2.2.2 del Decreto 1082 de 2015 modificado por el Decreto 142 de 2023.</w:t>
      </w:r>
    </w:p>
    <w:p w14:paraId="585B4F81" w14:textId="77777777" w:rsidR="004402A0" w:rsidRPr="00FB351A" w:rsidRDefault="004402A0" w:rsidP="00803115">
      <w:pPr>
        <w:jc w:val="both"/>
        <w:rPr>
          <w:rFonts w:ascii="Arial" w:hAnsi="Arial" w:cs="Arial"/>
          <w:sz w:val="20"/>
          <w:szCs w:val="20"/>
        </w:rPr>
      </w:pPr>
    </w:p>
    <w:p w14:paraId="4205E67F" w14:textId="77777777" w:rsidR="004402A0" w:rsidRPr="00FB351A" w:rsidRDefault="004402A0" w:rsidP="00803115">
      <w:pPr>
        <w:jc w:val="both"/>
        <w:rPr>
          <w:rFonts w:ascii="Arial" w:eastAsia="Batang" w:hAnsi="Arial" w:cs="Arial"/>
          <w:sz w:val="20"/>
          <w:szCs w:val="20"/>
        </w:rPr>
      </w:pPr>
      <w:r w:rsidRPr="00FB351A">
        <w:rPr>
          <w:rFonts w:ascii="Arial" w:eastAsia="Batang" w:hAnsi="Arial" w:cs="Arial"/>
          <w:sz w:val="20"/>
          <w:szCs w:val="20"/>
        </w:rPr>
        <w:t>Teniendo en cuenta las características del contrato de seguro, el objeto contractual y el alcance de las obligaciones del contratista adjudicatario, no será necesario exigir, para la ejecución del contrato que se suscriba, la participación de mano de obra local, por tanto, no será aplicable el mandato legal del artículo 80 de la ley 2294 de 2023</w:t>
      </w:r>
    </w:p>
    <w:p w14:paraId="77687FC8" w14:textId="77777777" w:rsidR="004402A0" w:rsidRPr="00FB351A" w:rsidRDefault="004402A0" w:rsidP="00803115">
      <w:pPr>
        <w:jc w:val="both"/>
        <w:rPr>
          <w:rFonts w:ascii="Arial" w:eastAsia="Batang" w:hAnsi="Arial" w:cs="Arial"/>
          <w:sz w:val="20"/>
          <w:szCs w:val="20"/>
        </w:rPr>
      </w:pPr>
    </w:p>
    <w:p w14:paraId="7EFB2033" w14:textId="77777777" w:rsidR="004402A0" w:rsidRPr="00FB351A" w:rsidRDefault="004402A0" w:rsidP="00803115">
      <w:pPr>
        <w:jc w:val="both"/>
        <w:rPr>
          <w:rFonts w:ascii="Arial" w:hAnsi="Arial" w:cs="Arial"/>
          <w:bCs/>
          <w:color w:val="000000"/>
          <w:sz w:val="20"/>
          <w:szCs w:val="20"/>
        </w:rPr>
      </w:pPr>
      <w:r w:rsidRPr="00FB351A">
        <w:rPr>
          <w:rFonts w:ascii="Arial" w:hAnsi="Arial" w:cs="Arial"/>
          <w:bCs/>
          <w:color w:val="000000"/>
          <w:sz w:val="20"/>
          <w:szCs w:val="20"/>
        </w:rPr>
        <w:t xml:space="preserve">No se establecen condiciones habilitantes diferenciales para las MiPymes, por cuanto las empresas del sector no están clasificadas como medianas o pequeñas empresas. </w:t>
      </w:r>
    </w:p>
    <w:p w14:paraId="72C01C6B" w14:textId="77777777" w:rsidR="004402A0" w:rsidRPr="00FB351A" w:rsidRDefault="004402A0" w:rsidP="00803115">
      <w:pPr>
        <w:jc w:val="both"/>
        <w:rPr>
          <w:rFonts w:ascii="Arial" w:hAnsi="Arial" w:cs="Arial"/>
          <w:sz w:val="20"/>
          <w:szCs w:val="20"/>
        </w:rPr>
      </w:pPr>
    </w:p>
    <w:p w14:paraId="4F0F2DE1" w14:textId="7593D73C" w:rsidR="004402A0" w:rsidRPr="00FB351A" w:rsidRDefault="004402A0" w:rsidP="00803115">
      <w:pPr>
        <w:jc w:val="both"/>
        <w:rPr>
          <w:rFonts w:ascii="Arial" w:eastAsia="Batang" w:hAnsi="Arial" w:cs="Arial"/>
          <w:sz w:val="20"/>
          <w:szCs w:val="20"/>
        </w:rPr>
      </w:pPr>
      <w:r w:rsidRPr="00FB351A">
        <w:rPr>
          <w:rFonts w:ascii="Arial" w:eastAsia="Batang" w:hAnsi="Arial" w:cs="Arial"/>
          <w:sz w:val="20"/>
          <w:szCs w:val="20"/>
        </w:rPr>
        <w:t xml:space="preserve">Considerando la particularidad técnica del mercado asegurador, se ha establecido estructurar el proceso de selección en </w:t>
      </w:r>
      <w:r w:rsidR="004C40B0" w:rsidRPr="00FB351A">
        <w:rPr>
          <w:rFonts w:ascii="Arial" w:eastAsia="Batang" w:hAnsi="Arial" w:cs="Arial"/>
          <w:sz w:val="20"/>
          <w:szCs w:val="20"/>
        </w:rPr>
        <w:t>cuatro</w:t>
      </w:r>
      <w:r w:rsidRPr="00FB351A">
        <w:rPr>
          <w:rFonts w:ascii="Arial" w:eastAsia="Batang" w:hAnsi="Arial" w:cs="Arial"/>
          <w:sz w:val="20"/>
          <w:szCs w:val="20"/>
        </w:rPr>
        <w:t xml:space="preserve"> (</w:t>
      </w:r>
      <w:r w:rsidR="004C40B0" w:rsidRPr="00FB351A">
        <w:rPr>
          <w:rFonts w:ascii="Arial" w:eastAsia="Batang" w:hAnsi="Arial" w:cs="Arial"/>
          <w:sz w:val="20"/>
          <w:szCs w:val="20"/>
        </w:rPr>
        <w:t>4</w:t>
      </w:r>
      <w:r w:rsidRPr="00FB351A">
        <w:rPr>
          <w:rFonts w:ascii="Arial" w:eastAsia="Batang" w:hAnsi="Arial" w:cs="Arial"/>
          <w:sz w:val="20"/>
          <w:szCs w:val="20"/>
        </w:rPr>
        <w:t>) lotes o grupos de pólizas de seguros, que permiten la participación plural de oferentes, la recepción de ofertas competitivas y la reducción del riesgo de desierta de un seguro</w:t>
      </w:r>
    </w:p>
    <w:p w14:paraId="145FF811" w14:textId="77777777" w:rsidR="004402A0" w:rsidRPr="00FB351A" w:rsidRDefault="004402A0" w:rsidP="00803115">
      <w:pPr>
        <w:jc w:val="both"/>
        <w:rPr>
          <w:rFonts w:ascii="Arial" w:hAnsi="Arial" w:cs="Arial"/>
          <w:sz w:val="20"/>
          <w:szCs w:val="20"/>
        </w:rPr>
      </w:pPr>
    </w:p>
    <w:p w14:paraId="40BC6A29" w14:textId="35617460" w:rsidR="004402A0" w:rsidRPr="00FB351A" w:rsidRDefault="004402A0" w:rsidP="00803115">
      <w:pPr>
        <w:jc w:val="both"/>
        <w:rPr>
          <w:rFonts w:ascii="Arial" w:hAnsi="Arial" w:cs="Arial"/>
          <w:iCs/>
          <w:color w:val="000000"/>
          <w:sz w:val="20"/>
          <w:szCs w:val="20"/>
          <w:lang w:eastAsia="en-US"/>
        </w:rPr>
      </w:pPr>
      <w:r w:rsidRPr="00FB351A">
        <w:rPr>
          <w:rFonts w:ascii="Arial" w:hAnsi="Arial" w:cs="Arial"/>
          <w:iCs/>
          <w:color w:val="000000"/>
          <w:sz w:val="20"/>
          <w:szCs w:val="20"/>
          <w:lang w:eastAsia="en-US"/>
        </w:rPr>
        <w:t xml:space="preserve">De conformidad con el análisis de precios y la determinación de la necesidad contenida, el valor del presupuesto para el presente proceso es de hasta </w:t>
      </w:r>
      <w:r w:rsidR="001A1B49" w:rsidRPr="00F33B06">
        <w:rPr>
          <w:rFonts w:ascii="Arial" w:hAnsi="Arial" w:cs="Arial"/>
          <w:b/>
          <w:bCs/>
          <w:iCs/>
          <w:color w:val="000000"/>
          <w:sz w:val="20"/>
          <w:szCs w:val="20"/>
          <w:lang w:eastAsia="en-US"/>
        </w:rPr>
        <w:t>SETECIENTOS OCHENTA Y SIETE MILLONES TRESCIENTOS NOVENTA Y NUEVE MIL VEINTE PESOS MC/TE ($ 787.399.020</w:t>
      </w:r>
      <w:r w:rsidR="001A1B49" w:rsidRPr="00FB351A">
        <w:rPr>
          <w:rFonts w:ascii="Arial" w:hAnsi="Arial" w:cs="Arial"/>
          <w:b/>
          <w:bCs/>
          <w:iCs/>
          <w:color w:val="000000"/>
          <w:sz w:val="20"/>
          <w:szCs w:val="20"/>
          <w:lang w:eastAsia="en-US"/>
        </w:rPr>
        <w:t>)</w:t>
      </w:r>
      <w:r w:rsidR="001A1B49" w:rsidRPr="00FB351A">
        <w:rPr>
          <w:rFonts w:ascii="Arial" w:hAnsi="Arial" w:cs="Arial"/>
          <w:iCs/>
          <w:color w:val="000000"/>
          <w:sz w:val="20"/>
          <w:szCs w:val="20"/>
          <w:lang w:eastAsia="en-US"/>
        </w:rPr>
        <w:t xml:space="preserve"> </w:t>
      </w:r>
      <w:r w:rsidR="00FC30F9" w:rsidRPr="00FB351A">
        <w:rPr>
          <w:rFonts w:ascii="Arial" w:hAnsi="Arial" w:cs="Arial"/>
          <w:iCs/>
          <w:color w:val="000000"/>
          <w:sz w:val="20"/>
          <w:szCs w:val="20"/>
          <w:lang w:eastAsia="en-US"/>
        </w:rPr>
        <w:t>incluido</w:t>
      </w:r>
      <w:r w:rsidRPr="00FB351A">
        <w:rPr>
          <w:rFonts w:ascii="Arial" w:hAnsi="Arial" w:cs="Arial"/>
          <w:iCs/>
          <w:color w:val="000000"/>
          <w:sz w:val="20"/>
          <w:szCs w:val="20"/>
          <w:lang w:eastAsia="en-US"/>
        </w:rPr>
        <w:t xml:space="preserve"> IVA y demás impuestos, tasas y contribuciones que apliquen, así como los costos directos e indirectos en que incurra el contratista</w:t>
      </w:r>
      <w:r w:rsidR="00EB1AF1">
        <w:rPr>
          <w:rFonts w:ascii="Arial" w:hAnsi="Arial" w:cs="Arial"/>
          <w:iCs/>
          <w:color w:val="000000"/>
          <w:sz w:val="20"/>
          <w:szCs w:val="20"/>
          <w:lang w:eastAsia="en-US"/>
        </w:rPr>
        <w:t>, para una vigencia mínima de ochenta y dos (82) días.</w:t>
      </w:r>
    </w:p>
    <w:p w14:paraId="17417366" w14:textId="77777777" w:rsidR="004402A0" w:rsidRPr="00FB351A" w:rsidRDefault="004402A0" w:rsidP="00803115">
      <w:pPr>
        <w:jc w:val="both"/>
        <w:rPr>
          <w:rFonts w:ascii="Arial" w:hAnsi="Arial" w:cs="Arial"/>
          <w:sz w:val="20"/>
          <w:szCs w:val="20"/>
        </w:rPr>
      </w:pPr>
    </w:p>
    <w:p w14:paraId="516E152A" w14:textId="044C056F" w:rsidR="004402A0" w:rsidRPr="00FB351A" w:rsidRDefault="004402A0" w:rsidP="00803115">
      <w:pPr>
        <w:tabs>
          <w:tab w:val="left" w:pos="318"/>
        </w:tabs>
        <w:jc w:val="both"/>
        <w:rPr>
          <w:rFonts w:ascii="Arial" w:eastAsia="Batang" w:hAnsi="Arial" w:cs="Arial"/>
          <w:bCs/>
          <w:sz w:val="20"/>
          <w:szCs w:val="20"/>
        </w:rPr>
      </w:pPr>
      <w:r w:rsidRPr="00FB351A">
        <w:rPr>
          <w:rFonts w:ascii="Arial" w:hAnsi="Arial" w:cs="Arial"/>
          <w:bCs/>
          <w:color w:val="000000"/>
          <w:sz w:val="20"/>
          <w:szCs w:val="20"/>
        </w:rPr>
        <w:t xml:space="preserve">Teniendo en cuenta la naturaleza y cuantía a contratar, la modalidad de selección que adelantará la </w:t>
      </w:r>
      <w:r w:rsidR="00C37451" w:rsidRPr="00FB351A">
        <w:rPr>
          <w:rFonts w:ascii="Arial" w:hAnsi="Arial" w:cs="Arial"/>
          <w:sz w:val="20"/>
          <w:szCs w:val="20"/>
        </w:rPr>
        <w:t>Agencia de Desarrollo Rural - ADR</w:t>
      </w:r>
      <w:r w:rsidRPr="00FB351A">
        <w:rPr>
          <w:rFonts w:ascii="Arial" w:hAnsi="Arial" w:cs="Arial"/>
          <w:sz w:val="20"/>
          <w:szCs w:val="20"/>
        </w:rPr>
        <w:t xml:space="preserve"> </w:t>
      </w:r>
      <w:r w:rsidRPr="00FB351A">
        <w:rPr>
          <w:rFonts w:ascii="Arial" w:hAnsi="Arial" w:cs="Arial"/>
          <w:bCs/>
          <w:color w:val="000000"/>
          <w:sz w:val="20"/>
          <w:szCs w:val="20"/>
        </w:rPr>
        <w:t xml:space="preserve">corresponde a una </w:t>
      </w:r>
      <w:r w:rsidR="007C5EEA" w:rsidRPr="00FB351A">
        <w:rPr>
          <w:rFonts w:ascii="Arial" w:eastAsia="Batang" w:hAnsi="Arial" w:cs="Arial"/>
          <w:b/>
          <w:sz w:val="20"/>
          <w:szCs w:val="20"/>
        </w:rPr>
        <w:t xml:space="preserve">SELECCIÓN ABREVIADA DE MENOR CUANTÍA, </w:t>
      </w:r>
      <w:r w:rsidR="007C5EEA" w:rsidRPr="00FB351A">
        <w:rPr>
          <w:rFonts w:ascii="Arial" w:eastAsia="Batang" w:hAnsi="Arial" w:cs="Arial"/>
          <w:bCs/>
          <w:sz w:val="20"/>
          <w:szCs w:val="20"/>
        </w:rPr>
        <w:t>de acuerdo con el procedimiento establecido en el numeral 2 del artículo 2 de la Ley 1150 de 2007 y la subsección dos de la sección 1 del capítulo 2 del Decreto 1082 de 2015.</w:t>
      </w:r>
    </w:p>
    <w:p w14:paraId="0BFA3F51" w14:textId="77777777" w:rsidR="007C5EEA" w:rsidRPr="00FB351A" w:rsidRDefault="007C5EEA" w:rsidP="00803115">
      <w:pPr>
        <w:tabs>
          <w:tab w:val="left" w:pos="318"/>
        </w:tabs>
        <w:jc w:val="both"/>
        <w:rPr>
          <w:rFonts w:ascii="Arial" w:hAnsi="Arial" w:cs="Arial"/>
          <w:bCs/>
          <w:sz w:val="20"/>
          <w:szCs w:val="20"/>
        </w:rPr>
      </w:pPr>
    </w:p>
    <w:p w14:paraId="072ECA12" w14:textId="77777777" w:rsidR="004402A0" w:rsidRPr="00FB351A" w:rsidRDefault="004402A0" w:rsidP="00803115">
      <w:pPr>
        <w:jc w:val="both"/>
        <w:rPr>
          <w:rFonts w:ascii="Arial" w:hAnsi="Arial" w:cs="Arial"/>
          <w:sz w:val="20"/>
          <w:szCs w:val="20"/>
        </w:rPr>
      </w:pPr>
      <w:r w:rsidRPr="00FB351A">
        <w:rPr>
          <w:rFonts w:ascii="Arial" w:hAnsi="Arial" w:cs="Arial"/>
          <w:sz w:val="20"/>
          <w:szCs w:val="20"/>
        </w:rPr>
        <w:lastRenderedPageBreak/>
        <w:t xml:space="preserve">La oferta más favorable se escogerá con la ponderación de los elementos de calidad y precio que representen la mejor relación de costo-beneficio, identificando </w:t>
      </w:r>
      <w:bookmarkStart w:id="37" w:name="2.2.1.1.2.2.2.1"/>
      <w:bookmarkEnd w:id="37"/>
      <w:r w:rsidRPr="00FB351A">
        <w:rPr>
          <w:rFonts w:ascii="Arial" w:hAnsi="Arial" w:cs="Arial"/>
          <w:sz w:val="20"/>
          <w:szCs w:val="20"/>
        </w:rPr>
        <w:t>las condiciones técnicas y económicas mínimas de la oferta,</w:t>
      </w:r>
      <w:bookmarkStart w:id="38" w:name="2.2.1.1.2.2.2.2"/>
      <w:bookmarkEnd w:id="38"/>
      <w:r w:rsidRPr="00FB351A">
        <w:rPr>
          <w:rFonts w:ascii="Arial" w:hAnsi="Arial" w:cs="Arial"/>
          <w:sz w:val="20"/>
          <w:szCs w:val="20"/>
        </w:rPr>
        <w:t xml:space="preserve"> las condiciones técnicas adicionales que representan ventajas de calidad y</w:t>
      </w:r>
      <w:bookmarkStart w:id="39" w:name="2.2.1.1.2.2.2.4"/>
      <w:bookmarkEnd w:id="39"/>
      <w:r w:rsidRPr="00FB351A">
        <w:rPr>
          <w:rFonts w:ascii="Arial" w:hAnsi="Arial" w:cs="Arial"/>
          <w:sz w:val="20"/>
          <w:szCs w:val="20"/>
        </w:rPr>
        <w:t xml:space="preserve"> el valor en dinero que se asigna a cada ofrecimiento técnico o económico adicional, para permitir la ponderación de las ofertas presentadas. La Entidad Estatal debe adjudicar al oferente que presentó la oferta con la mejor relación costo-beneficio y suscribir el contrato por el precio total ofrecido.</w:t>
      </w:r>
    </w:p>
    <w:p w14:paraId="290AD7E7" w14:textId="77777777" w:rsidR="004402A0" w:rsidRPr="00FB351A" w:rsidRDefault="004402A0" w:rsidP="00803115">
      <w:pPr>
        <w:jc w:val="both"/>
        <w:rPr>
          <w:rFonts w:ascii="Arial" w:hAnsi="Arial" w:cs="Arial"/>
          <w:sz w:val="20"/>
          <w:szCs w:val="20"/>
        </w:rPr>
      </w:pPr>
    </w:p>
    <w:p w14:paraId="200977B6" w14:textId="77777777" w:rsidR="004402A0" w:rsidRPr="00FB351A" w:rsidRDefault="004402A0" w:rsidP="00803115">
      <w:pPr>
        <w:jc w:val="both"/>
        <w:rPr>
          <w:rFonts w:ascii="Arial" w:hAnsi="Arial" w:cs="Arial"/>
          <w:sz w:val="20"/>
          <w:szCs w:val="20"/>
        </w:rPr>
      </w:pPr>
      <w:r w:rsidRPr="00FB351A">
        <w:rPr>
          <w:rFonts w:ascii="Arial" w:hAnsi="Arial" w:cs="Arial"/>
          <w:sz w:val="20"/>
          <w:szCs w:val="20"/>
        </w:rPr>
        <w:t>Así mismo, se deberá dar cumplimiento a lo establecido en el artículo 88 de la Ley 1474 de 2011, estableciendo como criterios de selección la ponderación de los elementos de calidad y precio soportados en puntajes o fórmulas señaladas en el pliego de condiciones</w:t>
      </w:r>
    </w:p>
    <w:p w14:paraId="26423CD6" w14:textId="77777777" w:rsidR="004402A0" w:rsidRPr="00FB351A" w:rsidRDefault="004402A0" w:rsidP="00803115">
      <w:pPr>
        <w:jc w:val="both"/>
        <w:rPr>
          <w:rFonts w:ascii="Arial" w:hAnsi="Arial" w:cs="Arial"/>
          <w:sz w:val="20"/>
          <w:szCs w:val="20"/>
        </w:rPr>
      </w:pPr>
    </w:p>
    <w:p w14:paraId="5624AEAA" w14:textId="77777777" w:rsidR="004402A0" w:rsidRPr="00FB351A" w:rsidRDefault="004402A0" w:rsidP="00803115">
      <w:pPr>
        <w:jc w:val="both"/>
        <w:rPr>
          <w:rFonts w:ascii="Arial" w:hAnsi="Arial" w:cs="Arial"/>
          <w:sz w:val="20"/>
          <w:szCs w:val="20"/>
        </w:rPr>
      </w:pPr>
      <w:r w:rsidRPr="00FB351A">
        <w:rPr>
          <w:rFonts w:ascii="Arial" w:hAnsi="Arial" w:cs="Arial"/>
          <w:sz w:val="20"/>
          <w:szCs w:val="20"/>
        </w:rPr>
        <w:t>Conforme lo dispone el artículo 32 de la Ley 2069 de 2020, reglamentado por el artículo 2.2.1.2.4.2.15 Decreto 1860 de 2021, la Entidad incluye requisitos diferenciales y puntajes adicionales en el proceso de selección para emprendimientos y empresas de mujeres.</w:t>
      </w:r>
    </w:p>
    <w:p w14:paraId="5055B36A" w14:textId="77777777" w:rsidR="004402A0" w:rsidRPr="00FB351A" w:rsidRDefault="004402A0" w:rsidP="00803115">
      <w:pPr>
        <w:jc w:val="both"/>
        <w:rPr>
          <w:rFonts w:ascii="Arial" w:hAnsi="Arial" w:cs="Arial"/>
          <w:sz w:val="20"/>
          <w:szCs w:val="20"/>
        </w:rPr>
      </w:pPr>
    </w:p>
    <w:p w14:paraId="02D0D5C9" w14:textId="77777777" w:rsidR="004402A0" w:rsidRPr="00FB351A" w:rsidRDefault="004402A0" w:rsidP="00803115">
      <w:pPr>
        <w:jc w:val="both"/>
        <w:rPr>
          <w:rFonts w:ascii="Arial" w:hAnsi="Arial" w:cs="Arial"/>
          <w:sz w:val="20"/>
          <w:szCs w:val="20"/>
        </w:rPr>
      </w:pPr>
    </w:p>
    <w:p w14:paraId="20A61F31" w14:textId="77777777" w:rsidR="004402A0" w:rsidRPr="00FB351A" w:rsidRDefault="004402A0" w:rsidP="00803115">
      <w:pPr>
        <w:jc w:val="both"/>
        <w:rPr>
          <w:rFonts w:ascii="Arial" w:hAnsi="Arial" w:cs="Arial"/>
          <w:b/>
          <w:bCs/>
          <w:sz w:val="20"/>
          <w:szCs w:val="20"/>
        </w:rPr>
      </w:pPr>
      <w:r w:rsidRPr="00FB351A">
        <w:rPr>
          <w:rFonts w:ascii="Arial" w:hAnsi="Arial" w:cs="Arial"/>
          <w:b/>
          <w:bCs/>
          <w:sz w:val="20"/>
          <w:szCs w:val="20"/>
        </w:rPr>
        <w:t>FUENTES Y HERRAMIENTAS DE ANÁLISIS</w:t>
      </w:r>
    </w:p>
    <w:p w14:paraId="200763DC" w14:textId="77777777" w:rsidR="004402A0" w:rsidRPr="00FB351A" w:rsidRDefault="004402A0" w:rsidP="00803115">
      <w:pPr>
        <w:jc w:val="both"/>
        <w:rPr>
          <w:rFonts w:ascii="Arial" w:hAnsi="Arial" w:cs="Arial"/>
          <w:sz w:val="20"/>
          <w:szCs w:val="20"/>
        </w:rPr>
      </w:pPr>
    </w:p>
    <w:p w14:paraId="568EBD39" w14:textId="77777777" w:rsidR="004402A0" w:rsidRPr="00FB351A" w:rsidRDefault="004402A0" w:rsidP="00803115">
      <w:pPr>
        <w:jc w:val="both"/>
        <w:rPr>
          <w:rFonts w:ascii="Arial" w:hAnsi="Arial" w:cs="Arial"/>
          <w:sz w:val="20"/>
          <w:szCs w:val="20"/>
        </w:rPr>
      </w:pPr>
      <w:r w:rsidRPr="00FB351A">
        <w:rPr>
          <w:rFonts w:ascii="Arial" w:hAnsi="Arial" w:cs="Arial"/>
          <w:sz w:val="20"/>
          <w:szCs w:val="20"/>
        </w:rPr>
        <w:t xml:space="preserve">DANE </w:t>
      </w:r>
      <w:hyperlink r:id="rId106" w:history="1">
        <w:r w:rsidRPr="00FB351A">
          <w:rPr>
            <w:rStyle w:val="Hipervnculo"/>
            <w:rFonts w:ascii="Arial" w:hAnsi="Arial" w:cs="Arial"/>
            <w:sz w:val="20"/>
            <w:szCs w:val="20"/>
          </w:rPr>
          <w:t>www.dane.gov.co</w:t>
        </w:r>
      </w:hyperlink>
    </w:p>
    <w:p w14:paraId="3CFE066E" w14:textId="77777777" w:rsidR="004402A0" w:rsidRPr="00FB351A" w:rsidRDefault="004402A0" w:rsidP="00803115">
      <w:pPr>
        <w:jc w:val="both"/>
        <w:rPr>
          <w:rFonts w:ascii="Arial" w:hAnsi="Arial" w:cs="Arial"/>
          <w:sz w:val="20"/>
          <w:szCs w:val="20"/>
        </w:rPr>
      </w:pPr>
      <w:r w:rsidRPr="00FB351A">
        <w:rPr>
          <w:rFonts w:ascii="Arial" w:hAnsi="Arial" w:cs="Arial"/>
          <w:sz w:val="20"/>
          <w:szCs w:val="20"/>
        </w:rPr>
        <w:t xml:space="preserve">BANCO DE LA REPUBLICA </w:t>
      </w:r>
      <w:hyperlink r:id="rId107" w:history="1">
        <w:r w:rsidRPr="00FB351A">
          <w:rPr>
            <w:rStyle w:val="Hipervnculo"/>
            <w:rFonts w:ascii="Arial" w:hAnsi="Arial" w:cs="Arial"/>
            <w:sz w:val="20"/>
            <w:szCs w:val="20"/>
          </w:rPr>
          <w:t>www.barep.gov.co</w:t>
        </w:r>
      </w:hyperlink>
    </w:p>
    <w:p w14:paraId="784971D0" w14:textId="77777777" w:rsidR="004402A0" w:rsidRPr="00FB351A" w:rsidRDefault="004402A0" w:rsidP="00803115">
      <w:pPr>
        <w:jc w:val="both"/>
        <w:rPr>
          <w:rFonts w:ascii="Arial" w:hAnsi="Arial" w:cs="Arial"/>
          <w:sz w:val="20"/>
          <w:szCs w:val="20"/>
        </w:rPr>
      </w:pPr>
      <w:r w:rsidRPr="00FB351A">
        <w:rPr>
          <w:rFonts w:ascii="Arial" w:hAnsi="Arial" w:cs="Arial"/>
          <w:sz w:val="20"/>
          <w:szCs w:val="20"/>
        </w:rPr>
        <w:t xml:space="preserve">SUPERINTENDENCIA FINANCIERA DE COLOMBIA </w:t>
      </w:r>
      <w:hyperlink r:id="rId108" w:history="1">
        <w:r w:rsidRPr="00FB351A">
          <w:rPr>
            <w:rStyle w:val="Hipervnculo"/>
            <w:rFonts w:ascii="Arial" w:hAnsi="Arial" w:cs="Arial"/>
            <w:sz w:val="20"/>
            <w:szCs w:val="20"/>
          </w:rPr>
          <w:t>www.sfc.gov.co</w:t>
        </w:r>
      </w:hyperlink>
    </w:p>
    <w:p w14:paraId="34A0402F" w14:textId="77777777" w:rsidR="004402A0" w:rsidRPr="00FB351A" w:rsidRDefault="004402A0" w:rsidP="00803115">
      <w:pPr>
        <w:jc w:val="both"/>
        <w:rPr>
          <w:rFonts w:ascii="Arial" w:hAnsi="Arial" w:cs="Arial"/>
          <w:sz w:val="20"/>
          <w:szCs w:val="20"/>
        </w:rPr>
      </w:pPr>
      <w:r w:rsidRPr="00FB351A">
        <w:rPr>
          <w:rFonts w:ascii="Arial" w:hAnsi="Arial" w:cs="Arial"/>
          <w:sz w:val="20"/>
          <w:szCs w:val="20"/>
        </w:rPr>
        <w:t xml:space="preserve">COLOMBIA COMPRA EFICIENTE </w:t>
      </w:r>
      <w:hyperlink r:id="rId109" w:history="1">
        <w:r w:rsidRPr="00FB351A">
          <w:rPr>
            <w:rStyle w:val="Hipervnculo"/>
            <w:rFonts w:ascii="Arial" w:hAnsi="Arial" w:cs="Arial"/>
            <w:sz w:val="20"/>
            <w:szCs w:val="20"/>
          </w:rPr>
          <w:t>www.cce.gov.co</w:t>
        </w:r>
      </w:hyperlink>
    </w:p>
    <w:p w14:paraId="02CB1C3A" w14:textId="77777777" w:rsidR="004402A0" w:rsidRPr="00FB351A" w:rsidRDefault="004402A0" w:rsidP="00803115">
      <w:pPr>
        <w:jc w:val="both"/>
        <w:rPr>
          <w:rFonts w:ascii="Arial" w:hAnsi="Arial" w:cs="Arial"/>
          <w:sz w:val="20"/>
          <w:szCs w:val="20"/>
          <w:lang w:val="en-US"/>
        </w:rPr>
      </w:pPr>
      <w:proofErr w:type="spellStart"/>
      <w:r w:rsidRPr="00FB351A">
        <w:rPr>
          <w:rFonts w:ascii="Arial" w:hAnsi="Arial" w:cs="Arial"/>
          <w:sz w:val="20"/>
          <w:szCs w:val="20"/>
          <w:lang w:val="en-US"/>
        </w:rPr>
        <w:t>SECOP</w:t>
      </w:r>
      <w:proofErr w:type="spellEnd"/>
      <w:r w:rsidRPr="00FB351A">
        <w:rPr>
          <w:rFonts w:ascii="Arial" w:hAnsi="Arial" w:cs="Arial"/>
          <w:sz w:val="20"/>
          <w:szCs w:val="20"/>
          <w:lang w:val="en-US"/>
        </w:rPr>
        <w:t xml:space="preserve"> </w:t>
      </w:r>
      <w:hyperlink r:id="rId110" w:history="1">
        <w:r w:rsidRPr="00FB351A">
          <w:rPr>
            <w:rStyle w:val="Hipervnculo"/>
            <w:rFonts w:ascii="Arial" w:hAnsi="Arial" w:cs="Arial"/>
            <w:sz w:val="20"/>
            <w:szCs w:val="20"/>
            <w:lang w:val="en-US"/>
          </w:rPr>
          <w:t>www.secop.gov.co</w:t>
        </w:r>
      </w:hyperlink>
    </w:p>
    <w:p w14:paraId="450685AE" w14:textId="77777777" w:rsidR="004402A0" w:rsidRPr="00FB351A" w:rsidRDefault="004402A0" w:rsidP="00803115">
      <w:pPr>
        <w:jc w:val="both"/>
        <w:rPr>
          <w:rFonts w:ascii="Arial" w:hAnsi="Arial" w:cs="Arial"/>
          <w:sz w:val="20"/>
          <w:szCs w:val="20"/>
          <w:lang w:val="en-US"/>
        </w:rPr>
      </w:pPr>
      <w:proofErr w:type="spellStart"/>
      <w:r w:rsidRPr="00FB351A">
        <w:rPr>
          <w:rFonts w:ascii="Arial" w:hAnsi="Arial" w:cs="Arial"/>
          <w:sz w:val="20"/>
          <w:szCs w:val="20"/>
          <w:lang w:val="en-US"/>
        </w:rPr>
        <w:t>FASECOLDA</w:t>
      </w:r>
      <w:proofErr w:type="spellEnd"/>
      <w:r w:rsidRPr="00FB351A">
        <w:rPr>
          <w:rFonts w:ascii="Arial" w:hAnsi="Arial" w:cs="Arial"/>
          <w:sz w:val="20"/>
          <w:szCs w:val="20"/>
          <w:lang w:val="en-US"/>
        </w:rPr>
        <w:t xml:space="preserve"> </w:t>
      </w:r>
      <w:hyperlink r:id="rId111" w:history="1">
        <w:r w:rsidRPr="00FB351A">
          <w:rPr>
            <w:rStyle w:val="Hipervnculo"/>
            <w:rFonts w:ascii="Arial" w:hAnsi="Arial" w:cs="Arial"/>
            <w:sz w:val="20"/>
            <w:szCs w:val="20"/>
            <w:lang w:val="en-US"/>
          </w:rPr>
          <w:t>www.fasecolda.com</w:t>
        </w:r>
      </w:hyperlink>
    </w:p>
    <w:p w14:paraId="26434F4A" w14:textId="77777777" w:rsidR="004402A0" w:rsidRPr="00FB351A" w:rsidRDefault="004402A0" w:rsidP="00803115">
      <w:pPr>
        <w:jc w:val="both"/>
        <w:rPr>
          <w:rFonts w:ascii="Arial" w:hAnsi="Arial" w:cs="Arial"/>
          <w:sz w:val="20"/>
          <w:szCs w:val="20"/>
          <w:lang w:val="en-US"/>
        </w:rPr>
      </w:pPr>
    </w:p>
    <w:p w14:paraId="7F4583A6" w14:textId="77777777" w:rsidR="004402A0" w:rsidRPr="00FB351A" w:rsidRDefault="004402A0" w:rsidP="00803115">
      <w:pPr>
        <w:jc w:val="both"/>
        <w:rPr>
          <w:rFonts w:ascii="Arial" w:hAnsi="Arial" w:cs="Arial"/>
          <w:sz w:val="20"/>
          <w:szCs w:val="20"/>
          <w:lang w:val="en-US"/>
        </w:rPr>
      </w:pPr>
    </w:p>
    <w:p w14:paraId="28D8793B" w14:textId="77777777" w:rsidR="004402A0" w:rsidRPr="00FB351A" w:rsidRDefault="004402A0" w:rsidP="00803115">
      <w:pPr>
        <w:jc w:val="both"/>
        <w:rPr>
          <w:rFonts w:ascii="Arial" w:hAnsi="Arial" w:cs="Arial"/>
          <w:sz w:val="20"/>
          <w:szCs w:val="20"/>
          <w:lang w:val="en-US"/>
        </w:rPr>
      </w:pPr>
    </w:p>
    <w:p w14:paraId="13AFA514" w14:textId="77777777" w:rsidR="004402A0" w:rsidRPr="00FB351A" w:rsidRDefault="004402A0" w:rsidP="00803115">
      <w:pPr>
        <w:jc w:val="both"/>
        <w:rPr>
          <w:rFonts w:ascii="Arial" w:hAnsi="Arial" w:cs="Arial"/>
          <w:b/>
          <w:i/>
          <w:sz w:val="20"/>
          <w:szCs w:val="20"/>
          <w:u w:val="single"/>
          <w:lang w:val="en-US"/>
        </w:rPr>
      </w:pPr>
    </w:p>
    <w:p w14:paraId="545C9F2B" w14:textId="1F4BDE0A" w:rsidR="004402A0" w:rsidRPr="00F624B7" w:rsidRDefault="002700E0" w:rsidP="002700E0">
      <w:pPr>
        <w:jc w:val="center"/>
        <w:rPr>
          <w:rFonts w:ascii="Arial" w:hAnsi="Arial" w:cs="Arial"/>
          <w:sz w:val="20"/>
          <w:szCs w:val="20"/>
        </w:rPr>
      </w:pPr>
      <w:r w:rsidRPr="00F624B7">
        <w:rPr>
          <w:rFonts w:ascii="Arial" w:hAnsi="Arial" w:cs="Arial"/>
          <w:sz w:val="20"/>
          <w:szCs w:val="20"/>
        </w:rPr>
        <w:t>XXX</w:t>
      </w:r>
    </w:p>
    <w:p w14:paraId="00532997" w14:textId="77777777" w:rsidR="004402A0" w:rsidRPr="00FB351A" w:rsidRDefault="004402A0" w:rsidP="002700E0">
      <w:pPr>
        <w:jc w:val="center"/>
        <w:rPr>
          <w:rFonts w:ascii="Arial" w:hAnsi="Arial" w:cs="Arial"/>
          <w:b/>
          <w:bCs/>
          <w:sz w:val="20"/>
          <w:szCs w:val="20"/>
        </w:rPr>
      </w:pPr>
      <w:r w:rsidRPr="00FB351A">
        <w:rPr>
          <w:rFonts w:ascii="Arial" w:hAnsi="Arial" w:cs="Arial"/>
          <w:b/>
          <w:bCs/>
          <w:sz w:val="20"/>
          <w:szCs w:val="20"/>
        </w:rPr>
        <w:t>NOMBRE Y FIRMA</w:t>
      </w:r>
    </w:p>
    <w:p w14:paraId="116F27BA" w14:textId="77777777" w:rsidR="004402A0" w:rsidRPr="00FB351A" w:rsidRDefault="004402A0" w:rsidP="00803115">
      <w:pPr>
        <w:jc w:val="both"/>
        <w:rPr>
          <w:rFonts w:ascii="Arial" w:hAnsi="Arial" w:cs="Arial"/>
          <w:sz w:val="20"/>
          <w:szCs w:val="20"/>
        </w:rPr>
      </w:pPr>
    </w:p>
    <w:p w14:paraId="0A12FD45" w14:textId="77777777" w:rsidR="003455C6" w:rsidRPr="00FB351A" w:rsidRDefault="003455C6" w:rsidP="00803115">
      <w:pPr>
        <w:jc w:val="both"/>
        <w:rPr>
          <w:rFonts w:ascii="Arial" w:hAnsi="Arial" w:cs="Arial"/>
          <w:sz w:val="20"/>
          <w:szCs w:val="20"/>
        </w:rPr>
      </w:pPr>
    </w:p>
    <w:p w14:paraId="0E0CF46A" w14:textId="77777777" w:rsidR="003455C6" w:rsidRPr="00FB351A" w:rsidRDefault="003455C6" w:rsidP="00803115">
      <w:pPr>
        <w:jc w:val="both"/>
        <w:rPr>
          <w:rFonts w:ascii="Arial" w:hAnsi="Arial" w:cs="Arial"/>
          <w:sz w:val="20"/>
          <w:szCs w:val="20"/>
        </w:rPr>
      </w:pPr>
    </w:p>
    <w:p w14:paraId="570809F5" w14:textId="77777777" w:rsidR="003455C6" w:rsidRPr="00FB351A" w:rsidRDefault="003455C6" w:rsidP="00803115">
      <w:pPr>
        <w:jc w:val="both"/>
        <w:rPr>
          <w:rFonts w:ascii="Arial" w:hAnsi="Arial" w:cs="Arial"/>
          <w:sz w:val="20"/>
          <w:szCs w:val="20"/>
        </w:rPr>
      </w:pPr>
    </w:p>
    <w:p w14:paraId="56F4DDED" w14:textId="77777777" w:rsidR="003455C6" w:rsidRPr="00FB351A" w:rsidRDefault="003455C6" w:rsidP="00803115">
      <w:pPr>
        <w:jc w:val="both"/>
        <w:rPr>
          <w:rFonts w:ascii="Arial" w:hAnsi="Arial" w:cs="Arial"/>
          <w:sz w:val="20"/>
          <w:szCs w:val="20"/>
        </w:rPr>
      </w:pPr>
    </w:p>
    <w:p w14:paraId="1C90391E" w14:textId="77777777" w:rsidR="003455C6" w:rsidRPr="00FB351A" w:rsidRDefault="003455C6" w:rsidP="00803115">
      <w:pPr>
        <w:jc w:val="both"/>
        <w:rPr>
          <w:rFonts w:ascii="Arial" w:hAnsi="Arial" w:cs="Arial"/>
          <w:sz w:val="20"/>
          <w:szCs w:val="20"/>
        </w:rPr>
      </w:pPr>
    </w:p>
    <w:p w14:paraId="7053C1F1" w14:textId="5153250F" w:rsidR="004402A0" w:rsidRPr="00FB351A" w:rsidRDefault="004402A0" w:rsidP="00803115">
      <w:pPr>
        <w:jc w:val="both"/>
        <w:rPr>
          <w:rFonts w:ascii="Arial" w:hAnsi="Arial" w:cs="Arial"/>
          <w:sz w:val="20"/>
          <w:szCs w:val="20"/>
        </w:rPr>
      </w:pPr>
      <w:r w:rsidRPr="00FB351A">
        <w:rPr>
          <w:rFonts w:ascii="Arial" w:hAnsi="Arial" w:cs="Arial"/>
          <w:noProof/>
          <w:sz w:val="20"/>
          <w:szCs w:val="20"/>
        </w:rPr>
        <w:drawing>
          <wp:anchor distT="0" distB="0" distL="114300" distR="114300" simplePos="0" relativeHeight="251708416" behindDoc="1" locked="0" layoutInCell="1" allowOverlap="1" wp14:anchorId="0F5BBFAB" wp14:editId="5798495C">
            <wp:simplePos x="0" y="0"/>
            <wp:positionH relativeFrom="column">
              <wp:posOffset>619612</wp:posOffset>
            </wp:positionH>
            <wp:positionV relativeFrom="paragraph">
              <wp:posOffset>91227</wp:posOffset>
            </wp:positionV>
            <wp:extent cx="954724" cy="700644"/>
            <wp:effectExtent l="0" t="0" r="0" b="4445"/>
            <wp:wrapNone/>
            <wp:docPr id="298526802" name="Imagen 61"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a&#10;&#10;Descripción generada automáticamente con confianza baja"/>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957351" cy="702572"/>
                    </a:xfrm>
                    <a:prstGeom prst="rect">
                      <a:avLst/>
                    </a:prstGeom>
                    <a:noFill/>
                  </pic:spPr>
                </pic:pic>
              </a:graphicData>
            </a:graphic>
            <wp14:sizeRelH relativeFrom="page">
              <wp14:pctWidth>0</wp14:pctWidth>
            </wp14:sizeRelH>
            <wp14:sizeRelV relativeFrom="page">
              <wp14:pctHeight>0</wp14:pctHeight>
            </wp14:sizeRelV>
          </wp:anchor>
        </w:drawing>
      </w:r>
    </w:p>
    <w:p w14:paraId="58442BAC" w14:textId="77777777" w:rsidR="004402A0" w:rsidRPr="00FB351A" w:rsidRDefault="004402A0" w:rsidP="00803115">
      <w:pPr>
        <w:jc w:val="both"/>
        <w:rPr>
          <w:rFonts w:ascii="Arial" w:hAnsi="Arial" w:cs="Arial"/>
          <w:sz w:val="20"/>
          <w:szCs w:val="20"/>
        </w:rPr>
      </w:pPr>
    </w:p>
    <w:p w14:paraId="4A4C51E8" w14:textId="77777777" w:rsidR="004402A0" w:rsidRPr="00FB351A" w:rsidRDefault="004402A0" w:rsidP="00803115">
      <w:pPr>
        <w:jc w:val="both"/>
        <w:rPr>
          <w:rFonts w:ascii="Arial" w:hAnsi="Arial" w:cs="Arial"/>
          <w:sz w:val="16"/>
          <w:szCs w:val="16"/>
        </w:rPr>
      </w:pPr>
    </w:p>
    <w:p w14:paraId="6CEF04C0" w14:textId="77777777" w:rsidR="004402A0" w:rsidRPr="00FB351A" w:rsidRDefault="004402A0" w:rsidP="00803115">
      <w:pPr>
        <w:jc w:val="both"/>
        <w:rPr>
          <w:rFonts w:ascii="Arial" w:hAnsi="Arial" w:cs="Arial"/>
          <w:sz w:val="16"/>
          <w:szCs w:val="16"/>
          <w:lang w:val="pt-PT"/>
        </w:rPr>
      </w:pPr>
      <w:r w:rsidRPr="00FB351A">
        <w:rPr>
          <w:rFonts w:ascii="Arial" w:hAnsi="Arial" w:cs="Arial"/>
          <w:sz w:val="16"/>
          <w:szCs w:val="16"/>
          <w:lang w:val="pt-PT"/>
        </w:rPr>
        <w:t xml:space="preserve">Elaboró: </w:t>
      </w:r>
    </w:p>
    <w:p w14:paraId="289620EE" w14:textId="42665B27" w:rsidR="004402A0" w:rsidRPr="00FB351A" w:rsidRDefault="004402A0" w:rsidP="00803115">
      <w:pPr>
        <w:jc w:val="both"/>
        <w:rPr>
          <w:rFonts w:ascii="Arial" w:hAnsi="Arial" w:cs="Arial"/>
          <w:iCs/>
          <w:color w:val="000000"/>
          <w:sz w:val="16"/>
          <w:szCs w:val="16"/>
          <w:lang w:val="pt-PT" w:eastAsia="en-US"/>
        </w:rPr>
      </w:pPr>
      <w:r w:rsidRPr="00FB351A">
        <w:rPr>
          <w:rFonts w:ascii="Arial" w:hAnsi="Arial" w:cs="Arial"/>
          <w:iCs/>
          <w:color w:val="000000"/>
          <w:sz w:val="16"/>
          <w:szCs w:val="16"/>
          <w:lang w:val="pt-PT" w:eastAsia="en-US"/>
        </w:rPr>
        <w:t xml:space="preserve">JARGU S.A. Corredores de seguros </w:t>
      </w:r>
    </w:p>
    <w:p w14:paraId="257AB7B2" w14:textId="6553295A" w:rsidR="00ED7AAE" w:rsidRPr="00FB351A" w:rsidRDefault="00ED7AAE" w:rsidP="00803115">
      <w:pPr>
        <w:jc w:val="both"/>
        <w:rPr>
          <w:rFonts w:ascii="Arial" w:hAnsi="Arial" w:cs="Arial"/>
          <w:sz w:val="16"/>
          <w:szCs w:val="16"/>
          <w:lang w:val="pt-PT"/>
        </w:rPr>
      </w:pPr>
    </w:p>
    <w:p w14:paraId="2A3E1DDC" w14:textId="637734FF" w:rsidR="004402A0" w:rsidRPr="00FB351A" w:rsidRDefault="004402A0" w:rsidP="00803115">
      <w:pPr>
        <w:jc w:val="both"/>
        <w:rPr>
          <w:rFonts w:ascii="Arial" w:hAnsi="Arial" w:cs="Arial"/>
          <w:sz w:val="20"/>
          <w:szCs w:val="20"/>
          <w:lang w:val="pt-PT"/>
        </w:rPr>
      </w:pPr>
    </w:p>
    <w:p w14:paraId="23A08106" w14:textId="49D06E0A" w:rsidR="00D7451B" w:rsidRPr="00FB351A" w:rsidRDefault="00D7451B" w:rsidP="00803115">
      <w:pPr>
        <w:autoSpaceDE w:val="0"/>
        <w:autoSpaceDN w:val="0"/>
        <w:adjustRightInd w:val="0"/>
        <w:contextualSpacing/>
        <w:jc w:val="both"/>
        <w:rPr>
          <w:rFonts w:ascii="Arial" w:hAnsi="Arial" w:cs="Arial"/>
          <w:bCs/>
          <w:sz w:val="20"/>
          <w:szCs w:val="20"/>
          <w:lang w:val="pt-PT"/>
        </w:rPr>
      </w:pPr>
    </w:p>
    <w:p w14:paraId="78E01704" w14:textId="77777777" w:rsidR="008048DF" w:rsidRPr="00FB351A" w:rsidRDefault="008048DF" w:rsidP="00803115">
      <w:pPr>
        <w:autoSpaceDE w:val="0"/>
        <w:autoSpaceDN w:val="0"/>
        <w:adjustRightInd w:val="0"/>
        <w:contextualSpacing/>
        <w:jc w:val="both"/>
        <w:rPr>
          <w:rFonts w:ascii="Arial" w:hAnsi="Arial" w:cs="Arial"/>
          <w:bCs/>
          <w:sz w:val="20"/>
          <w:szCs w:val="20"/>
          <w:lang w:val="pt-PT"/>
        </w:rPr>
      </w:pPr>
    </w:p>
    <w:p w14:paraId="7D48F3F2" w14:textId="77777777" w:rsidR="004402A0" w:rsidRPr="00FB351A" w:rsidRDefault="004402A0" w:rsidP="00803115">
      <w:pPr>
        <w:jc w:val="both"/>
        <w:rPr>
          <w:rFonts w:ascii="Arial" w:hAnsi="Arial" w:cs="Arial"/>
          <w:b/>
          <w:bCs/>
          <w:sz w:val="20"/>
          <w:szCs w:val="20"/>
          <w:lang w:val="pt-PT"/>
        </w:rPr>
      </w:pPr>
    </w:p>
    <w:p w14:paraId="75A37D53" w14:textId="77777777" w:rsidR="004402A0" w:rsidRPr="00FB351A" w:rsidRDefault="004402A0" w:rsidP="00803115">
      <w:pPr>
        <w:jc w:val="both"/>
        <w:rPr>
          <w:rFonts w:ascii="Arial" w:hAnsi="Arial" w:cs="Arial"/>
          <w:sz w:val="20"/>
          <w:szCs w:val="20"/>
          <w:lang w:val="pt-PT"/>
        </w:rPr>
      </w:pPr>
    </w:p>
    <w:bookmarkEnd w:id="31"/>
    <w:p w14:paraId="2DE8712E" w14:textId="5AB34411" w:rsidR="008048DF" w:rsidRPr="00FB351A" w:rsidRDefault="008048DF" w:rsidP="00803115">
      <w:pPr>
        <w:autoSpaceDE w:val="0"/>
        <w:autoSpaceDN w:val="0"/>
        <w:adjustRightInd w:val="0"/>
        <w:contextualSpacing/>
        <w:jc w:val="both"/>
        <w:rPr>
          <w:rFonts w:ascii="Arial" w:hAnsi="Arial" w:cs="Arial"/>
          <w:bCs/>
          <w:sz w:val="20"/>
          <w:szCs w:val="20"/>
          <w:lang w:val="pt-PT"/>
        </w:rPr>
      </w:pPr>
    </w:p>
    <w:sectPr w:rsidR="008048DF" w:rsidRPr="00FB351A" w:rsidSect="00A35DAD">
      <w:headerReference w:type="even" r:id="rId113"/>
      <w:headerReference w:type="default" r:id="rId114"/>
      <w:footerReference w:type="even" r:id="rId115"/>
      <w:footerReference w:type="default" r:id="rId116"/>
      <w:headerReference w:type="first" r:id="rId117"/>
      <w:footerReference w:type="first" r:id="rId118"/>
      <w:type w:val="continuous"/>
      <w:pgSz w:w="12240" w:h="15840"/>
      <w:pgMar w:top="1701" w:right="1183" w:bottom="1418" w:left="1418" w:header="426" w:footer="34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C0A92" w14:textId="77777777" w:rsidR="00DC26B8" w:rsidRDefault="00DC26B8">
      <w:r>
        <w:separator/>
      </w:r>
    </w:p>
  </w:endnote>
  <w:endnote w:type="continuationSeparator" w:id="0">
    <w:p w14:paraId="677D8995" w14:textId="77777777" w:rsidR="00DC26B8" w:rsidRDefault="00DC2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EhrhardtMT-Regular">
    <w:altName w:val="Cambria"/>
    <w:panose1 w:val="00000000000000000000"/>
    <w:charset w:val="4D"/>
    <w:family w:val="auto"/>
    <w:notTrueType/>
    <w:pitch w:val="default"/>
    <w:sig w:usb0="03000000" w:usb1="00000000" w:usb2="00000000" w:usb3="00000000" w:csb0="00000001" w:csb1="00000000"/>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DD0AB" w14:textId="77777777" w:rsidR="008322ED" w:rsidRDefault="008322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MT" w:eastAsia="Arial MT" w:hAnsi="Arial MT" w:cs="Arial MT"/>
        <w:sz w:val="22"/>
        <w:szCs w:val="22"/>
        <w:lang w:val="es-ES" w:eastAsia="en-US"/>
      </w:rPr>
      <w:id w:val="1832798471"/>
      <w:docPartObj>
        <w:docPartGallery w:val="Page Numbers (Bottom of Page)"/>
        <w:docPartUnique/>
      </w:docPartObj>
    </w:sdtPr>
    <w:sdtEndPr>
      <w:rPr>
        <w:rFonts w:ascii="Arial" w:eastAsia="Times New Roman" w:hAnsi="Arial" w:cs="Arial"/>
        <w:sz w:val="18"/>
        <w:szCs w:val="24"/>
        <w:lang w:val="es-CO" w:eastAsia="es-CO"/>
      </w:rPr>
    </w:sdtEndPr>
    <w:sdtContent>
      <w:sdt>
        <w:sdtPr>
          <w:id w:val="-206334770"/>
          <w:docPartObj>
            <w:docPartGallery w:val="Page Numbers (Bottom of Page)"/>
            <w:docPartUnique/>
          </w:docPartObj>
        </w:sdtPr>
        <w:sdtContent>
          <w:p w14:paraId="2713964B" w14:textId="77777777" w:rsidR="00393D60" w:rsidRDefault="00393D60" w:rsidP="00532D16">
            <w:pPr>
              <w:pStyle w:val="NormalWeb"/>
              <w:spacing w:line="240" w:lineRule="auto"/>
              <w:contextualSpacing/>
            </w:pPr>
          </w:p>
          <w:p w14:paraId="35797371" w14:textId="77777777" w:rsidR="00393D60" w:rsidRPr="00737D4F" w:rsidRDefault="00393D60" w:rsidP="00532D16">
            <w:pPr>
              <w:pStyle w:val="NormalWeb"/>
              <w:spacing w:line="240" w:lineRule="auto"/>
              <w:contextualSpacing/>
              <w:rPr>
                <w:sz w:val="18"/>
              </w:rPr>
            </w:pPr>
            <w:r w:rsidRPr="00737D4F">
              <w:rPr>
                <w:rFonts w:ascii="Helvetica" w:hAnsi="Helvetica"/>
                <w:color w:val="000000" w:themeColor="text1"/>
                <w:kern w:val="2"/>
                <w:sz w:val="16"/>
                <w:szCs w:val="22"/>
              </w:rPr>
              <w:t xml:space="preserve">Dirección: Calle 43 # 57 – 41 CAN Bogotá, Colombia                                </w:t>
            </w:r>
          </w:p>
          <w:p w14:paraId="0F4E98BC" w14:textId="77777777" w:rsidR="00393D60" w:rsidRPr="00737D4F" w:rsidRDefault="00393D60" w:rsidP="00532D16">
            <w:pPr>
              <w:pStyle w:val="NormalWeb"/>
              <w:spacing w:after="0" w:line="240" w:lineRule="auto"/>
              <w:contextualSpacing/>
              <w:rPr>
                <w:sz w:val="18"/>
              </w:rPr>
            </w:pPr>
            <w:r w:rsidRPr="00737D4F">
              <w:rPr>
                <w:rFonts w:ascii="Helvetica" w:hAnsi="Helvetica"/>
                <w:color w:val="000000" w:themeColor="text1"/>
                <w:kern w:val="2"/>
                <w:sz w:val="16"/>
                <w:szCs w:val="22"/>
              </w:rPr>
              <w:t>Línea de atención</w:t>
            </w:r>
          </w:p>
          <w:p w14:paraId="5546203D" w14:textId="77777777" w:rsidR="00393D60" w:rsidRPr="004F01DA" w:rsidRDefault="00393D60" w:rsidP="00532D16">
            <w:pPr>
              <w:pStyle w:val="NormalWeb"/>
              <w:spacing w:after="0" w:line="240" w:lineRule="auto"/>
              <w:contextualSpacing/>
              <w:rPr>
                <w:sz w:val="18"/>
                <w:lang w:val="en-US"/>
              </w:rPr>
            </w:pPr>
            <w:r w:rsidRPr="004F01DA">
              <w:rPr>
                <w:rFonts w:ascii="Helvetica" w:hAnsi="Helvetica"/>
                <w:color w:val="000000" w:themeColor="text1"/>
                <w:kern w:val="2"/>
                <w:sz w:val="16"/>
                <w:szCs w:val="22"/>
                <w:lang w:val="en-US"/>
              </w:rPr>
              <w:t xml:space="preserve">PBX +57 (601) 748 22 27 Ext. 5400 – 5402                                 </w:t>
            </w:r>
          </w:p>
          <w:p w14:paraId="7E4FA9FC" w14:textId="4282ABB2" w:rsidR="00393D60" w:rsidRPr="00737D4F" w:rsidRDefault="00393D60" w:rsidP="00AA3B4D">
            <w:pPr>
              <w:pStyle w:val="NormalWeb"/>
              <w:tabs>
                <w:tab w:val="left" w:pos="3075"/>
              </w:tabs>
              <w:spacing w:after="0" w:line="240" w:lineRule="auto"/>
              <w:contextualSpacing/>
              <w:rPr>
                <w:sz w:val="18"/>
                <w:lang w:val="en-US"/>
              </w:rPr>
            </w:pPr>
            <w:hyperlink r:id="rId1" w:history="1">
              <w:r w:rsidRPr="00737D4F">
                <w:rPr>
                  <w:rStyle w:val="Hipervnculo"/>
                  <w:rFonts w:ascii="Helvetica" w:hAnsi="Helvetica"/>
                  <w:color w:val="000000" w:themeColor="text1"/>
                  <w:kern w:val="2"/>
                  <w:sz w:val="16"/>
                  <w:szCs w:val="22"/>
                  <w:lang w:val="en-US"/>
                </w:rPr>
                <w:t>www.adr.gov.co</w:t>
              </w:r>
            </w:hyperlink>
            <w:r w:rsidRPr="00737D4F">
              <w:rPr>
                <w:rFonts w:ascii="Helvetica" w:hAnsi="Helvetica"/>
                <w:color w:val="000000" w:themeColor="text1"/>
                <w:kern w:val="2"/>
                <w:sz w:val="16"/>
                <w:szCs w:val="22"/>
                <w:lang w:val="en-US"/>
              </w:rPr>
              <w:t xml:space="preserve">           </w:t>
            </w:r>
            <w:r>
              <w:rPr>
                <w:rFonts w:ascii="Helvetica" w:hAnsi="Helvetica"/>
                <w:color w:val="000000" w:themeColor="text1"/>
                <w:kern w:val="2"/>
                <w:sz w:val="16"/>
                <w:szCs w:val="22"/>
                <w:lang w:val="en-US"/>
              </w:rPr>
              <w:tab/>
            </w:r>
          </w:p>
          <w:p w14:paraId="513922FB" w14:textId="42D1034B" w:rsidR="00393D60" w:rsidRPr="00737D4F" w:rsidRDefault="00393D60" w:rsidP="00532D16">
            <w:pPr>
              <w:pStyle w:val="NormalWeb"/>
              <w:spacing w:after="0" w:line="240" w:lineRule="auto"/>
              <w:contextualSpacing/>
              <w:rPr>
                <w:sz w:val="18"/>
                <w:lang w:val="en-US"/>
              </w:rPr>
            </w:pPr>
            <w:r w:rsidRPr="00737D4F">
              <w:rPr>
                <w:rFonts w:ascii="Helvetica" w:hAnsi="Helvetica"/>
                <w:color w:val="000000" w:themeColor="text1"/>
                <w:kern w:val="2"/>
                <w:sz w:val="16"/>
                <w:szCs w:val="22"/>
                <w:lang w:val="en-US"/>
              </w:rPr>
              <w:t>Twitter:  @ADR_Colombia</w:t>
            </w:r>
          </w:p>
        </w:sdtContent>
      </w:sdt>
      <w:p w14:paraId="17FFC988" w14:textId="77777777" w:rsidR="00393D60" w:rsidRDefault="00393D60" w:rsidP="00532D16">
        <w:pPr>
          <w:pStyle w:val="NormalWeb"/>
          <w:spacing w:after="0" w:line="240" w:lineRule="auto"/>
          <w:contextualSpacing/>
          <w:rPr>
            <w:sz w:val="18"/>
            <w:lang w:val="en-US"/>
          </w:rPr>
        </w:pPr>
        <w:r>
          <w:rPr>
            <w:rFonts w:ascii="Helvetica" w:hAnsi="Helvetica"/>
            <w:color w:val="000000" w:themeColor="text1"/>
            <w:kern w:val="2"/>
            <w:sz w:val="16"/>
            <w:szCs w:val="22"/>
            <w:lang w:val="en-US"/>
          </w:rPr>
          <w:t>correspondencia@adr.gov.co</w:t>
        </w:r>
      </w:p>
      <w:p w14:paraId="4AE331C9" w14:textId="5AD64960" w:rsidR="00393D60" w:rsidRPr="00B61F06" w:rsidRDefault="00393D60" w:rsidP="00532D16">
        <w:pPr>
          <w:pStyle w:val="Piedepgina"/>
          <w:jc w:val="center"/>
          <w:rPr>
            <w:rFonts w:ascii="Arial" w:hAnsi="Arial" w:cs="Arial"/>
            <w:sz w:val="18"/>
            <w:lang w:val="en-US"/>
          </w:rPr>
        </w:pPr>
        <w:r w:rsidRPr="00B61F06">
          <w:rPr>
            <w:rFonts w:ascii="Arial" w:hAnsi="Arial" w:cs="Arial"/>
            <w:sz w:val="18"/>
            <w:lang w:val="en-US"/>
          </w:rPr>
          <w:t xml:space="preserve">Página | </w:t>
        </w:r>
        <w:r w:rsidRPr="00532D16">
          <w:rPr>
            <w:rFonts w:ascii="Arial" w:hAnsi="Arial" w:cs="Arial"/>
            <w:sz w:val="18"/>
          </w:rPr>
          <w:fldChar w:fldCharType="begin"/>
        </w:r>
        <w:r w:rsidRPr="00B61F06">
          <w:rPr>
            <w:rFonts w:ascii="Arial" w:hAnsi="Arial" w:cs="Arial"/>
            <w:sz w:val="18"/>
            <w:lang w:val="en-US"/>
          </w:rPr>
          <w:instrText>PAGE   \* MERGEFORMAT</w:instrText>
        </w:r>
        <w:r w:rsidRPr="00532D16">
          <w:rPr>
            <w:rFonts w:ascii="Arial" w:hAnsi="Arial" w:cs="Arial"/>
            <w:sz w:val="18"/>
          </w:rPr>
          <w:fldChar w:fldCharType="separate"/>
        </w:r>
        <w:r w:rsidR="00B363E8" w:rsidRPr="00B61F06">
          <w:rPr>
            <w:rFonts w:ascii="Arial" w:hAnsi="Arial" w:cs="Arial"/>
            <w:noProof/>
            <w:sz w:val="18"/>
            <w:lang w:val="en-US"/>
          </w:rPr>
          <w:t>68</w:t>
        </w:r>
        <w:r w:rsidRPr="00532D16">
          <w:rPr>
            <w:rFonts w:ascii="Arial" w:hAnsi="Arial" w:cs="Arial"/>
            <w:sz w:val="18"/>
          </w:rPr>
          <w:fldChar w:fldCharType="end"/>
        </w:r>
        <w:r w:rsidRPr="00B61F06">
          <w:rPr>
            <w:rFonts w:ascii="Arial" w:hAnsi="Arial" w:cs="Arial"/>
            <w:sz w:val="18"/>
            <w:lang w:val="en-US"/>
          </w:rPr>
          <w:t xml:space="preserve"> </w:t>
        </w:r>
      </w:p>
    </w:sdtContent>
  </w:sdt>
  <w:p w14:paraId="0D35A280" w14:textId="77777777" w:rsidR="00393D60" w:rsidRPr="00B61F06" w:rsidRDefault="00393D60" w:rsidP="007E53C9">
    <w:pPr>
      <w:pStyle w:val="Piedepgina"/>
      <w:rPr>
        <w:sz w:val="10"/>
        <w:szCs w:val="1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F146C" w14:textId="77777777" w:rsidR="008322ED" w:rsidRDefault="008322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3A402" w14:textId="77777777" w:rsidR="00DC26B8" w:rsidRDefault="00DC26B8">
      <w:r>
        <w:separator/>
      </w:r>
    </w:p>
  </w:footnote>
  <w:footnote w:type="continuationSeparator" w:id="0">
    <w:p w14:paraId="5D03D8BF" w14:textId="77777777" w:rsidR="00DC26B8" w:rsidRDefault="00DC26B8">
      <w:r>
        <w:continuationSeparator/>
      </w:r>
    </w:p>
  </w:footnote>
  <w:footnote w:id="1">
    <w:p w14:paraId="1628B494" w14:textId="77777777" w:rsidR="007457C0" w:rsidRPr="00040658" w:rsidRDefault="007457C0"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Tal y como se indica en el documento, este documento constituye un instrumento de orientación en los términos dispuestos para ello por el Decreto 1600 de 2024 y su aplicación no exime a las Entidades Estatales de acatar las normas vigentes en esta materia, de manera que, la guía ayuda a cumplir el mandato legal establecido en el Decreto 1082 de 2015. Este documento contiene recomendaciones generales y por tanto no debe aplicarse de manera mecánica.</w:t>
      </w:r>
    </w:p>
  </w:footnote>
  <w:footnote w:id="2">
    <w:p w14:paraId="6DC6AE9B" w14:textId="77777777" w:rsidR="008322ED" w:rsidRPr="00040658" w:rsidRDefault="008322ED"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hyperlink r:id="rId1" w:anchor=":~:text=Industrial%20extractivo%3A%20extracci%C3%B3n%20minera%20y,cementos%2C%20aparatos%20electrodom%C3%A9sticos%2C%20etc" w:history="1">
        <w:r w:rsidRPr="00040658">
          <w:rPr>
            <w:rStyle w:val="Hipervnculo"/>
            <w:rFonts w:ascii="Arial" w:hAnsi="Arial" w:cs="Arial"/>
            <w:sz w:val="16"/>
            <w:szCs w:val="16"/>
          </w:rPr>
          <w:t>https://enciclopedia.banrepcultural.org/index.php/Sectores_econ%C3%B3micos#:~:text=Industrial%20extractivo%3A%20extracci%C3%B3n%20minera%20y,cementos%2C%20aparatos%20electrodom%C3%A9sticos%2C%20etc</w:t>
        </w:r>
      </w:hyperlink>
    </w:p>
  </w:footnote>
  <w:footnote w:id="3">
    <w:p w14:paraId="7A255CA7" w14:textId="77777777" w:rsidR="008322ED" w:rsidRPr="00040658" w:rsidRDefault="008322ED"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w:t>
      </w:r>
      <w:hyperlink r:id="rId2" w:history="1">
        <w:r w:rsidRPr="00040658">
          <w:rPr>
            <w:rStyle w:val="Hipervnculo"/>
            <w:rFonts w:ascii="Arial" w:hAnsi="Arial" w:cs="Arial"/>
            <w:sz w:val="16"/>
            <w:szCs w:val="16"/>
          </w:rPr>
          <w:t>https://www.colombiacompra.gov.co/clasificador-de-bienes-y-servicios</w:t>
        </w:r>
      </w:hyperlink>
    </w:p>
    <w:p w14:paraId="066065B0" w14:textId="77777777" w:rsidR="008322ED" w:rsidRPr="00040658" w:rsidRDefault="008322ED" w:rsidP="00040658">
      <w:pPr>
        <w:pStyle w:val="Textonotapie"/>
        <w:jc w:val="both"/>
        <w:rPr>
          <w:rFonts w:ascii="Arial" w:hAnsi="Arial" w:cs="Arial"/>
          <w:sz w:val="16"/>
          <w:szCs w:val="16"/>
        </w:rPr>
      </w:pPr>
    </w:p>
  </w:footnote>
  <w:footnote w:id="4">
    <w:p w14:paraId="3B29BD85" w14:textId="77777777" w:rsidR="008322ED" w:rsidRPr="00040658" w:rsidRDefault="008322ED"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w:t>
      </w:r>
      <w:hyperlink r:id="rId3" w:history="1">
        <w:r w:rsidRPr="00040658">
          <w:rPr>
            <w:rStyle w:val="Hipervnculo"/>
            <w:rFonts w:ascii="Arial" w:hAnsi="Arial" w:cs="Arial"/>
            <w:sz w:val="16"/>
            <w:szCs w:val="16"/>
          </w:rPr>
          <w:t>https://publicaciones.fasecolda.com/regimen-de-seguros/chapter/p3-c5/</w:t>
        </w:r>
      </w:hyperlink>
    </w:p>
    <w:p w14:paraId="4B587414" w14:textId="77777777" w:rsidR="008322ED" w:rsidRPr="00040658" w:rsidRDefault="008322ED" w:rsidP="00040658">
      <w:pPr>
        <w:pStyle w:val="Textonotapie"/>
        <w:jc w:val="both"/>
        <w:rPr>
          <w:rFonts w:ascii="Arial" w:hAnsi="Arial" w:cs="Arial"/>
          <w:sz w:val="16"/>
          <w:szCs w:val="16"/>
        </w:rPr>
      </w:pPr>
    </w:p>
  </w:footnote>
  <w:footnote w:id="5">
    <w:p w14:paraId="1B69F829" w14:textId="77777777" w:rsidR="008322ED" w:rsidRPr="00040658" w:rsidRDefault="008322ED"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Definición de los indicadores del sector. </w:t>
      </w:r>
      <w:proofErr w:type="spellStart"/>
      <w:r w:rsidRPr="00040658">
        <w:rPr>
          <w:rFonts w:ascii="Arial" w:hAnsi="Arial" w:cs="Arial"/>
          <w:sz w:val="16"/>
          <w:szCs w:val="16"/>
        </w:rPr>
        <w:t>Fasecolda</w:t>
      </w:r>
      <w:proofErr w:type="spellEnd"/>
      <w:r w:rsidRPr="00040658">
        <w:rPr>
          <w:rFonts w:ascii="Arial" w:hAnsi="Arial" w:cs="Arial"/>
          <w:sz w:val="16"/>
          <w:szCs w:val="16"/>
        </w:rPr>
        <w:t xml:space="preserve">. Disponible en: </w:t>
      </w:r>
      <w:hyperlink r:id="rId4" w:history="1">
        <w:r w:rsidRPr="00040658">
          <w:rPr>
            <w:rStyle w:val="Hipervnculo"/>
            <w:rFonts w:ascii="Arial" w:hAnsi="Arial" w:cs="Arial"/>
            <w:sz w:val="16"/>
            <w:szCs w:val="16"/>
          </w:rPr>
          <w:t>https://fasecolda.com/fasecolda/estadisticas-del-sector/definicion-de-los-indicadores-del-sector/</w:t>
        </w:r>
      </w:hyperlink>
    </w:p>
    <w:p w14:paraId="4B620F04" w14:textId="77777777" w:rsidR="008322ED" w:rsidRPr="00040658" w:rsidRDefault="008322ED" w:rsidP="00040658">
      <w:pPr>
        <w:pStyle w:val="Textonotapie"/>
        <w:jc w:val="both"/>
        <w:rPr>
          <w:rFonts w:ascii="Arial" w:hAnsi="Arial" w:cs="Arial"/>
          <w:sz w:val="16"/>
          <w:szCs w:val="16"/>
          <w:lang w:val="es-MX"/>
        </w:rPr>
      </w:pPr>
    </w:p>
  </w:footnote>
  <w:footnote w:id="6">
    <w:p w14:paraId="34D79C59" w14:textId="77777777" w:rsidR="00832E65" w:rsidRPr="00040658" w:rsidRDefault="00832E65"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w:t>
      </w:r>
      <w:hyperlink r:id="rId5" w:history="1">
        <w:r w:rsidRPr="00040658">
          <w:rPr>
            <w:rStyle w:val="Hipervnculo"/>
            <w:rFonts w:ascii="Arial" w:hAnsi="Arial" w:cs="Arial"/>
            <w:sz w:val="16"/>
            <w:szCs w:val="16"/>
          </w:rPr>
          <w:t>https://www.fasecolda.com/visualizador-inteligente-de-cifras/</w:t>
        </w:r>
      </w:hyperlink>
    </w:p>
    <w:p w14:paraId="4E95CACA" w14:textId="77777777" w:rsidR="00832E65" w:rsidRPr="00040658" w:rsidRDefault="00832E65" w:rsidP="00040658">
      <w:pPr>
        <w:pStyle w:val="Textonotapie"/>
        <w:jc w:val="both"/>
        <w:rPr>
          <w:rFonts w:ascii="Arial" w:hAnsi="Arial" w:cs="Arial"/>
          <w:sz w:val="16"/>
          <w:szCs w:val="16"/>
        </w:rPr>
      </w:pPr>
    </w:p>
    <w:p w14:paraId="639173A8" w14:textId="77777777" w:rsidR="00832E65" w:rsidRPr="00040658" w:rsidRDefault="00832E65" w:rsidP="00040658">
      <w:pPr>
        <w:pStyle w:val="Textonotapie"/>
        <w:jc w:val="both"/>
        <w:rPr>
          <w:rFonts w:ascii="Arial" w:hAnsi="Arial" w:cs="Arial"/>
          <w:sz w:val="16"/>
          <w:szCs w:val="16"/>
          <w:lang w:val="es-MX"/>
        </w:rPr>
      </w:pPr>
    </w:p>
  </w:footnote>
  <w:footnote w:id="7">
    <w:p w14:paraId="3E8025B0" w14:textId="77777777" w:rsidR="008322ED" w:rsidRPr="00040658" w:rsidRDefault="008322ED"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w:t>
      </w:r>
      <w:hyperlink r:id="rId6" w:history="1">
        <w:r w:rsidRPr="00040658">
          <w:rPr>
            <w:rStyle w:val="Hipervnculo"/>
            <w:rFonts w:ascii="Arial" w:hAnsi="Arial" w:cs="Arial"/>
            <w:sz w:val="16"/>
            <w:szCs w:val="16"/>
          </w:rPr>
          <w:t>https://www.dane.gov.co/index.php/estadisticas-por-tema/cuentas-nacionales/cuentas-nacionales-trimestrales/pib-informacion-tecnica</w:t>
        </w:r>
      </w:hyperlink>
    </w:p>
    <w:p w14:paraId="5532B0B2" w14:textId="77777777" w:rsidR="008322ED" w:rsidRPr="00040658" w:rsidRDefault="008322ED" w:rsidP="00040658">
      <w:pPr>
        <w:pStyle w:val="Textonotapie"/>
        <w:jc w:val="both"/>
        <w:rPr>
          <w:rFonts w:ascii="Arial" w:hAnsi="Arial" w:cs="Arial"/>
          <w:sz w:val="16"/>
          <w:szCs w:val="16"/>
        </w:rPr>
      </w:pPr>
    </w:p>
  </w:footnote>
  <w:footnote w:id="8">
    <w:p w14:paraId="016A4264" w14:textId="77777777" w:rsidR="008322ED" w:rsidRPr="00040658" w:rsidRDefault="008322ED"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hyperlink r:id="rId7" w:history="1">
        <w:r w:rsidRPr="00040658">
          <w:rPr>
            <w:rStyle w:val="Hipervnculo"/>
            <w:rFonts w:ascii="Arial" w:hAnsi="Arial" w:cs="Arial"/>
            <w:sz w:val="16"/>
            <w:szCs w:val="16"/>
          </w:rPr>
          <w:t>https://www.dane.gov.co/index.php/estadisticas-por-tema/mercado-laboral/empleo-y-desempleo</w:t>
        </w:r>
      </w:hyperlink>
    </w:p>
  </w:footnote>
  <w:footnote w:id="9">
    <w:p w14:paraId="6F0D7DCC" w14:textId="77777777" w:rsidR="00FB351A" w:rsidRPr="00040658" w:rsidRDefault="00FB351A"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r w:rsidRPr="00040658">
        <w:rPr>
          <w:rFonts w:ascii="Arial" w:hAnsi="Arial" w:cs="Arial"/>
          <w:sz w:val="16"/>
          <w:szCs w:val="16"/>
          <w:lang w:val="es-MX"/>
        </w:rPr>
        <w:t>Numeral 12.2 y 12.3 de la Circular Externa Única de fecha 27 de diciembre de 2023 expedida por Colombia Compra Eficiente (Versión 03)</w:t>
      </w:r>
    </w:p>
  </w:footnote>
  <w:footnote w:id="10">
    <w:p w14:paraId="739FF9E3" w14:textId="77777777" w:rsidR="00FB351A" w:rsidRPr="00040658" w:rsidRDefault="00FB351A"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Definición contenida en el Capítulo IV del “Manual para determinar y verificar los requisitos habilitantes en los procesos de contratación” en www.colombiacompra</w:t>
      </w:r>
    </w:p>
  </w:footnote>
  <w:footnote w:id="11">
    <w:p w14:paraId="5B426031" w14:textId="77777777" w:rsidR="00FB351A" w:rsidRPr="00040658" w:rsidRDefault="00FB351A" w:rsidP="00040658">
      <w:pPr>
        <w:pStyle w:val="Textonotapie"/>
        <w:jc w:val="both"/>
        <w:rPr>
          <w:rFonts w:ascii="Arial" w:hAnsi="Arial" w:cs="Arial"/>
          <w:sz w:val="16"/>
          <w:szCs w:val="16"/>
        </w:rPr>
      </w:pPr>
      <w:r w:rsidRPr="00040658">
        <w:rPr>
          <w:rStyle w:val="Refdenotaalpie"/>
          <w:rFonts w:ascii="Arial" w:hAnsi="Arial" w:cs="Arial"/>
          <w:sz w:val="16"/>
          <w:szCs w:val="16"/>
        </w:rPr>
        <w:t>[1]</w:t>
      </w:r>
      <w:r w:rsidRPr="00040658">
        <w:rPr>
          <w:rFonts w:ascii="Arial" w:hAnsi="Arial" w:cs="Arial"/>
          <w:sz w:val="16"/>
          <w:szCs w:val="16"/>
        </w:rPr>
        <w:t xml:space="preserve"> Manual para Determinar y Verificar los Requisitos Habilitantes en los Procesos de Contratación; Colombia Compra Eficiente; Paginas 5 y 6.</w:t>
      </w:r>
    </w:p>
  </w:footnote>
  <w:footnote w:id="12">
    <w:p w14:paraId="1C7112D7" w14:textId="77777777" w:rsidR="00FB351A" w:rsidRPr="00040658" w:rsidRDefault="00FB351A"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Las reservas técnicas son los recursos que destina una compañía de seguros para respaldar las obligaciones que ha contraído con sus asegurados y este régimen de reservas técnicas es un conjunto de normas prudenciales establecidas como regulación con el propósito de fijar directrices a seguir por las aseguradoras para estimar dichas obligaciones; tal como lo refiere </w:t>
      </w:r>
      <w:proofErr w:type="spellStart"/>
      <w:r w:rsidRPr="00040658">
        <w:rPr>
          <w:rFonts w:ascii="Arial" w:hAnsi="Arial" w:cs="Arial"/>
          <w:sz w:val="16"/>
          <w:szCs w:val="16"/>
        </w:rPr>
        <w:t>FASECOLDA</w:t>
      </w:r>
      <w:proofErr w:type="spellEnd"/>
      <w:r w:rsidRPr="00040658">
        <w:rPr>
          <w:rFonts w:ascii="Arial" w:hAnsi="Arial" w:cs="Arial"/>
          <w:sz w:val="16"/>
          <w:szCs w:val="16"/>
        </w:rPr>
        <w:t xml:space="preserve"> en su artículo de “El régimen de reservas técnicas en Colombia”. </w:t>
      </w:r>
    </w:p>
  </w:footnote>
  <w:footnote w:id="13">
    <w:p w14:paraId="64DFED13" w14:textId="77777777" w:rsidR="006474C1" w:rsidRPr="00040658" w:rsidRDefault="008322ED" w:rsidP="00040658">
      <w:pPr>
        <w:pBdr>
          <w:top w:val="nil"/>
          <w:left w:val="nil"/>
          <w:bottom w:val="nil"/>
          <w:right w:val="nil"/>
          <w:between w:val="nil"/>
        </w:pBdr>
        <w:jc w:val="both"/>
        <w:rPr>
          <w:rFonts w:ascii="Arial" w:eastAsia="Arial Narrow" w:hAnsi="Arial" w:cs="Arial"/>
          <w:sz w:val="16"/>
          <w:szCs w:val="16"/>
        </w:rPr>
      </w:pPr>
      <w:r w:rsidRPr="00040658">
        <w:rPr>
          <w:rFonts w:ascii="Arial" w:hAnsi="Arial" w:cs="Arial"/>
          <w:sz w:val="16"/>
          <w:szCs w:val="16"/>
          <w:vertAlign w:val="superscript"/>
        </w:rPr>
        <w:footnoteRef/>
      </w:r>
      <w:r w:rsidRPr="00040658">
        <w:rPr>
          <w:rFonts w:ascii="Arial" w:eastAsia="Arial Narrow" w:hAnsi="Arial" w:cs="Arial"/>
          <w:sz w:val="16"/>
          <w:szCs w:val="16"/>
        </w:rPr>
        <w:t xml:space="preserve"> https://publicaciones.fasecolda.com/regimen-de-seguros/chapter/p3-c1/</w:t>
      </w:r>
    </w:p>
    <w:p w14:paraId="595E8594" w14:textId="1ACA7B11" w:rsidR="008322ED" w:rsidRPr="00040658" w:rsidRDefault="008322ED" w:rsidP="00040658">
      <w:pPr>
        <w:pBdr>
          <w:top w:val="nil"/>
          <w:left w:val="nil"/>
          <w:bottom w:val="nil"/>
          <w:right w:val="nil"/>
          <w:between w:val="nil"/>
        </w:pBdr>
        <w:jc w:val="both"/>
        <w:rPr>
          <w:rFonts w:ascii="Arial" w:eastAsia="Arial Narrow" w:hAnsi="Arial" w:cs="Arial"/>
          <w:sz w:val="16"/>
          <w:szCs w:val="16"/>
        </w:rPr>
      </w:pPr>
    </w:p>
  </w:footnote>
  <w:footnote w:id="14">
    <w:p w14:paraId="27A858C5" w14:textId="77777777" w:rsidR="00292E9C" w:rsidRPr="00040658" w:rsidRDefault="00292E9C" w:rsidP="00040658">
      <w:pPr>
        <w:jc w:val="both"/>
        <w:rPr>
          <w:rFonts w:ascii="Arial" w:hAnsi="Arial" w:cs="Arial"/>
          <w:sz w:val="16"/>
          <w:szCs w:val="16"/>
        </w:rPr>
      </w:pPr>
      <w:r w:rsidRPr="00040658">
        <w:rPr>
          <w:rFonts w:ascii="Arial" w:hAnsi="Arial" w:cs="Arial"/>
          <w:sz w:val="16"/>
          <w:szCs w:val="16"/>
        </w:rPr>
        <w:footnoteRef/>
      </w:r>
      <w:r w:rsidRPr="00040658">
        <w:rPr>
          <w:rFonts w:ascii="Arial" w:hAnsi="Arial" w:cs="Arial"/>
          <w:sz w:val="16"/>
          <w:szCs w:val="16"/>
        </w:rPr>
        <w:t xml:space="preserve"> De acuerdo con lo establecido en el inciso segundo, numeral 1º, artículo 184 </w:t>
      </w:r>
      <w:proofErr w:type="spellStart"/>
      <w:r w:rsidRPr="00040658">
        <w:rPr>
          <w:rFonts w:ascii="Arial" w:hAnsi="Arial" w:cs="Arial"/>
          <w:sz w:val="16"/>
          <w:szCs w:val="16"/>
        </w:rPr>
        <w:t>EOSF</w:t>
      </w:r>
      <w:proofErr w:type="spellEnd"/>
      <w:r w:rsidRPr="00040658">
        <w:rPr>
          <w:rFonts w:ascii="Arial" w:hAnsi="Arial" w:cs="Arial"/>
          <w:sz w:val="16"/>
          <w:szCs w:val="16"/>
        </w:rPr>
        <w:t xml:space="preserve"> (*), la aprobación previa de pólizas y tarifas por parte de la </w:t>
      </w:r>
      <w:proofErr w:type="spellStart"/>
      <w:r w:rsidRPr="00040658">
        <w:rPr>
          <w:rFonts w:ascii="Arial" w:hAnsi="Arial" w:cs="Arial"/>
          <w:sz w:val="16"/>
          <w:szCs w:val="16"/>
        </w:rPr>
        <w:t>SFC</w:t>
      </w:r>
      <w:proofErr w:type="spellEnd"/>
      <w:r w:rsidRPr="00040658">
        <w:rPr>
          <w:rFonts w:ascii="Arial" w:hAnsi="Arial" w:cs="Arial"/>
          <w:sz w:val="16"/>
          <w:szCs w:val="16"/>
        </w:rPr>
        <w:t xml:space="preserve"> sólo es necesaria cuando se trata de la autorización inicial a una entidad aseguradora o de la correspondiente para la explotación de un nuevo ramo</w:t>
      </w:r>
    </w:p>
  </w:footnote>
  <w:footnote w:id="15">
    <w:p w14:paraId="006252D7" w14:textId="77777777" w:rsidR="00292E9C" w:rsidRPr="00040658" w:rsidRDefault="00292E9C" w:rsidP="00040658">
      <w:pPr>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r w:rsidRPr="00040658">
        <w:rPr>
          <w:rFonts w:ascii="Arial" w:hAnsi="Arial" w:cs="Arial"/>
          <w:sz w:val="16"/>
          <w:szCs w:val="16"/>
          <w:lang w:val="es-MX"/>
        </w:rPr>
        <w:t xml:space="preserve">Disponible en </w:t>
      </w:r>
      <w:hyperlink r:id="rId8" w:history="1">
        <w:r w:rsidRPr="00040658">
          <w:rPr>
            <w:rStyle w:val="Hipervnculo"/>
            <w:rFonts w:ascii="Arial" w:hAnsi="Arial" w:cs="Arial"/>
            <w:sz w:val="16"/>
            <w:szCs w:val="16"/>
            <w:lang w:val="es-MX"/>
          </w:rPr>
          <w:t>https://www.superfinanciera.gov.co/publicaciones/10114907/lista-de-entidades/</w:t>
        </w:r>
      </w:hyperlink>
    </w:p>
    <w:p w14:paraId="5710AA57" w14:textId="77777777" w:rsidR="00292E9C" w:rsidRPr="00040658" w:rsidRDefault="00292E9C" w:rsidP="00040658">
      <w:pPr>
        <w:pStyle w:val="Textonotapie"/>
        <w:jc w:val="both"/>
        <w:rPr>
          <w:rFonts w:ascii="Arial" w:hAnsi="Arial" w:cs="Arial"/>
          <w:sz w:val="16"/>
          <w:szCs w:val="16"/>
          <w:lang w:val="es-MX"/>
        </w:rPr>
      </w:pPr>
    </w:p>
  </w:footnote>
  <w:footnote w:id="16">
    <w:p w14:paraId="2C0C5884" w14:textId="77777777" w:rsidR="004402A0" w:rsidRPr="00040658" w:rsidRDefault="004402A0"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r w:rsidRPr="00040658">
        <w:rPr>
          <w:rFonts w:ascii="Arial" w:hAnsi="Arial" w:cs="Arial"/>
          <w:sz w:val="16"/>
          <w:szCs w:val="16"/>
          <w:lang w:val="es-MX"/>
        </w:rPr>
        <w:t xml:space="preserve">Superintendencia Financiera de Colombia. </w:t>
      </w:r>
      <w:r w:rsidRPr="00040658">
        <w:rPr>
          <w:rFonts w:ascii="Arial" w:hAnsi="Arial" w:cs="Arial"/>
          <w:sz w:val="16"/>
          <w:szCs w:val="16"/>
        </w:rPr>
        <w:t>Concepto 2011075536-001 del 12 de octubre de 2011</w:t>
      </w:r>
    </w:p>
  </w:footnote>
  <w:footnote w:id="17">
    <w:p w14:paraId="70AC8064" w14:textId="77777777" w:rsidR="004402A0" w:rsidRPr="00040658" w:rsidRDefault="004402A0"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r w:rsidRPr="00040658">
        <w:rPr>
          <w:rFonts w:ascii="Arial" w:hAnsi="Arial" w:cs="Arial"/>
          <w:sz w:val="16"/>
          <w:szCs w:val="16"/>
          <w:lang w:val="es-MX"/>
        </w:rPr>
        <w:t xml:space="preserve">Los amparos más comunes en este tipo de seguros son i) incendio, </w:t>
      </w:r>
      <w:proofErr w:type="spellStart"/>
      <w:r w:rsidRPr="00040658">
        <w:rPr>
          <w:rFonts w:ascii="Arial" w:hAnsi="Arial" w:cs="Arial"/>
          <w:sz w:val="16"/>
          <w:szCs w:val="16"/>
          <w:lang w:val="es-MX"/>
        </w:rPr>
        <w:t>ii</w:t>
      </w:r>
      <w:proofErr w:type="spellEnd"/>
      <w:r w:rsidRPr="00040658">
        <w:rPr>
          <w:rFonts w:ascii="Arial" w:hAnsi="Arial" w:cs="Arial"/>
          <w:sz w:val="16"/>
          <w:szCs w:val="16"/>
          <w:lang w:val="es-MX"/>
        </w:rPr>
        <w:t xml:space="preserve">) hurto, </w:t>
      </w:r>
      <w:proofErr w:type="spellStart"/>
      <w:r w:rsidRPr="00040658">
        <w:rPr>
          <w:rFonts w:ascii="Arial" w:hAnsi="Arial" w:cs="Arial"/>
          <w:sz w:val="16"/>
          <w:szCs w:val="16"/>
          <w:lang w:val="es-MX"/>
        </w:rPr>
        <w:t>iii</w:t>
      </w:r>
      <w:proofErr w:type="spellEnd"/>
      <w:r w:rsidRPr="00040658">
        <w:rPr>
          <w:rFonts w:ascii="Arial" w:hAnsi="Arial" w:cs="Arial"/>
          <w:sz w:val="16"/>
          <w:szCs w:val="16"/>
          <w:lang w:val="es-MX"/>
        </w:rPr>
        <w:t xml:space="preserve">) Terremoto, </w:t>
      </w:r>
      <w:proofErr w:type="spellStart"/>
      <w:r w:rsidRPr="00040658">
        <w:rPr>
          <w:rFonts w:ascii="Arial" w:hAnsi="Arial" w:cs="Arial"/>
          <w:sz w:val="16"/>
          <w:szCs w:val="16"/>
          <w:lang w:val="es-MX"/>
        </w:rPr>
        <w:t>iv</w:t>
      </w:r>
      <w:proofErr w:type="spellEnd"/>
      <w:r w:rsidRPr="00040658">
        <w:rPr>
          <w:rFonts w:ascii="Arial" w:hAnsi="Arial" w:cs="Arial"/>
          <w:sz w:val="16"/>
          <w:szCs w:val="16"/>
          <w:lang w:val="es-MX"/>
        </w:rPr>
        <w:t>) Rotura de maquinaria.</w:t>
      </w:r>
    </w:p>
  </w:footnote>
  <w:footnote w:id="18">
    <w:p w14:paraId="24C65E43" w14:textId="77777777" w:rsidR="004402A0" w:rsidRPr="00040658" w:rsidRDefault="004402A0"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r w:rsidRPr="00040658">
        <w:rPr>
          <w:rFonts w:ascii="Arial" w:hAnsi="Arial" w:cs="Arial"/>
          <w:sz w:val="16"/>
          <w:szCs w:val="16"/>
          <w:lang w:val="es-MX"/>
        </w:rPr>
        <w:t xml:space="preserve">De manera consuetudinaria, se conoce que los seguros de daños patrimoniales “insignia”, son i) el Seguro de Responsabilidad civil Contractual, </w:t>
      </w:r>
      <w:proofErr w:type="spellStart"/>
      <w:r w:rsidRPr="00040658">
        <w:rPr>
          <w:rFonts w:ascii="Arial" w:hAnsi="Arial" w:cs="Arial"/>
          <w:sz w:val="16"/>
          <w:szCs w:val="16"/>
          <w:lang w:val="es-MX"/>
        </w:rPr>
        <w:t>ii</w:t>
      </w:r>
      <w:proofErr w:type="spellEnd"/>
      <w:r w:rsidRPr="00040658">
        <w:rPr>
          <w:rFonts w:ascii="Arial" w:hAnsi="Arial" w:cs="Arial"/>
          <w:sz w:val="16"/>
          <w:szCs w:val="16"/>
          <w:lang w:val="es-MX"/>
        </w:rPr>
        <w:t xml:space="preserve">) Responsabilidad Civil Extracontractual, </w:t>
      </w:r>
      <w:proofErr w:type="spellStart"/>
      <w:r w:rsidRPr="00040658">
        <w:rPr>
          <w:rFonts w:ascii="Arial" w:hAnsi="Arial" w:cs="Arial"/>
          <w:sz w:val="16"/>
          <w:szCs w:val="16"/>
          <w:lang w:val="es-MX"/>
        </w:rPr>
        <w:t>iii</w:t>
      </w:r>
      <w:proofErr w:type="spellEnd"/>
      <w:r w:rsidRPr="00040658">
        <w:rPr>
          <w:rFonts w:ascii="Arial" w:hAnsi="Arial" w:cs="Arial"/>
          <w:sz w:val="16"/>
          <w:szCs w:val="16"/>
          <w:lang w:val="es-MX"/>
        </w:rPr>
        <w:t xml:space="preserve">) El seguro de Responsabilidad civil profesional qué para el caso del sector público se denomina “Responsabilidad Civil Servidores Públicos” y, </w:t>
      </w:r>
      <w:proofErr w:type="spellStart"/>
      <w:r w:rsidRPr="00040658">
        <w:rPr>
          <w:rFonts w:ascii="Arial" w:hAnsi="Arial" w:cs="Arial"/>
          <w:sz w:val="16"/>
          <w:szCs w:val="16"/>
          <w:lang w:val="es-MX"/>
        </w:rPr>
        <w:t>iv</w:t>
      </w:r>
      <w:proofErr w:type="spellEnd"/>
      <w:r w:rsidRPr="00040658">
        <w:rPr>
          <w:rFonts w:ascii="Arial" w:hAnsi="Arial" w:cs="Arial"/>
          <w:sz w:val="16"/>
          <w:szCs w:val="16"/>
          <w:lang w:val="es-MX"/>
        </w:rPr>
        <w:t>) Seguro de Manejo.</w:t>
      </w:r>
    </w:p>
  </w:footnote>
  <w:footnote w:id="19">
    <w:p w14:paraId="691AF366" w14:textId="77777777" w:rsidR="004402A0" w:rsidRPr="00040658" w:rsidRDefault="004402A0"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J. Efrén Ossa G., Teoría General del Seguro: El contrato, Editorial Temis, 1991</w:t>
      </w:r>
    </w:p>
  </w:footnote>
  <w:footnote w:id="20">
    <w:p w14:paraId="49F87FB3" w14:textId="77777777" w:rsidR="004402A0" w:rsidRPr="00040658" w:rsidRDefault="004402A0"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Isaza Posse, María Cristina. El deducible en el seguro de responsabilidad civil en Colombia, 54 </w:t>
      </w:r>
      <w:proofErr w:type="spellStart"/>
      <w:r w:rsidRPr="00040658">
        <w:rPr>
          <w:rFonts w:ascii="Arial" w:hAnsi="Arial" w:cs="Arial"/>
          <w:sz w:val="16"/>
          <w:szCs w:val="16"/>
        </w:rPr>
        <w:t>Rev.Ibero-Latinoam.Seguros</w:t>
      </w:r>
      <w:proofErr w:type="spellEnd"/>
      <w:r w:rsidRPr="00040658">
        <w:rPr>
          <w:rFonts w:ascii="Arial" w:hAnsi="Arial" w:cs="Arial"/>
          <w:sz w:val="16"/>
          <w:szCs w:val="16"/>
        </w:rPr>
        <w:t xml:space="preserve">, 147-162 (2021). </w:t>
      </w:r>
      <w:hyperlink r:id="rId9" w:history="1">
        <w:r w:rsidRPr="00040658">
          <w:rPr>
            <w:rStyle w:val="Hipervnculo"/>
            <w:rFonts w:ascii="Arial" w:hAnsi="Arial" w:cs="Arial"/>
            <w:sz w:val="16"/>
            <w:szCs w:val="16"/>
          </w:rPr>
          <w:t>https://doi.org/10.11144/Javeriana.ris54.dsrc</w:t>
        </w:r>
      </w:hyperlink>
      <w:r w:rsidRPr="00040658">
        <w:rPr>
          <w:rFonts w:ascii="Arial" w:hAnsi="Arial" w:cs="Arial"/>
          <w:sz w:val="16"/>
          <w:szCs w:val="16"/>
        </w:rPr>
        <w:t xml:space="preserve">  </w:t>
      </w:r>
    </w:p>
  </w:footnote>
  <w:footnote w:id="21">
    <w:p w14:paraId="5D47C23A" w14:textId="77777777" w:rsidR="004402A0" w:rsidRPr="00040658" w:rsidRDefault="004402A0" w:rsidP="00040658">
      <w:pPr>
        <w:pStyle w:val="Textonotapie"/>
        <w:jc w:val="both"/>
        <w:rPr>
          <w:rFonts w:ascii="Arial" w:hAnsi="Arial" w:cs="Arial"/>
          <w:sz w:val="16"/>
          <w:szCs w:val="16"/>
          <w:lang w:val="es-MX"/>
        </w:rPr>
      </w:pPr>
      <w:r w:rsidRPr="00040658">
        <w:rPr>
          <w:rStyle w:val="Refdenotaalpie"/>
          <w:rFonts w:ascii="Arial" w:hAnsi="Arial" w:cs="Arial"/>
          <w:sz w:val="16"/>
          <w:szCs w:val="16"/>
        </w:rPr>
        <w:footnoteRef/>
      </w:r>
      <w:r w:rsidRPr="00040658">
        <w:rPr>
          <w:rFonts w:ascii="Arial" w:hAnsi="Arial" w:cs="Arial"/>
          <w:sz w:val="16"/>
          <w:szCs w:val="16"/>
        </w:rPr>
        <w:t xml:space="preserve"> </w:t>
      </w:r>
      <w:proofErr w:type="spellStart"/>
      <w:r w:rsidRPr="00040658">
        <w:rPr>
          <w:rFonts w:ascii="Arial" w:hAnsi="Arial" w:cs="Arial"/>
          <w:sz w:val="16"/>
          <w:szCs w:val="16"/>
        </w:rPr>
        <w:t>Zornosa</w:t>
      </w:r>
      <w:proofErr w:type="spellEnd"/>
      <w:r w:rsidRPr="00040658">
        <w:rPr>
          <w:rFonts w:ascii="Arial" w:hAnsi="Arial" w:cs="Arial"/>
          <w:sz w:val="16"/>
          <w:szCs w:val="16"/>
        </w:rPr>
        <w:t xml:space="preserve"> Prieto, Hilda Cristina. El Seguro de Responsabilidad Civil Su evolución Normativa y Jurisprudencial en Colombia. 85 RIS, Bogotá (Colombia), 35(20): 85-143.</w:t>
      </w:r>
    </w:p>
  </w:footnote>
  <w:footnote w:id="22">
    <w:p w14:paraId="6E7F454F" w14:textId="77777777" w:rsidR="00040658" w:rsidRPr="00040658" w:rsidRDefault="006E59B4" w:rsidP="00040658">
      <w:pPr>
        <w:pStyle w:val="Prrafodelista"/>
        <w:ind w:left="1560" w:firstLine="0"/>
        <w:jc w:val="both"/>
        <w:rPr>
          <w:rFonts w:ascii="Arial" w:hAnsi="Arial" w:cs="Arial"/>
          <w:iCs/>
          <w:color w:val="000000"/>
          <w:sz w:val="16"/>
          <w:szCs w:val="16"/>
          <w:lang w:eastAsia="en-US"/>
        </w:rPr>
      </w:pPr>
      <w:r w:rsidRPr="00040658">
        <w:rPr>
          <w:rStyle w:val="Refdenotaalpie"/>
          <w:rFonts w:ascii="Arial" w:hAnsi="Arial" w:cs="Arial"/>
          <w:sz w:val="16"/>
          <w:szCs w:val="16"/>
        </w:rPr>
        <w:footnoteRef/>
      </w:r>
      <w:r w:rsidRPr="00040658">
        <w:rPr>
          <w:rFonts w:ascii="Arial" w:hAnsi="Arial" w:cs="Arial"/>
          <w:sz w:val="16"/>
          <w:szCs w:val="16"/>
        </w:rPr>
        <w:t xml:space="preserve"> </w:t>
      </w:r>
      <w:r w:rsidR="00040658" w:rsidRPr="00040658">
        <w:rPr>
          <w:rFonts w:ascii="Arial" w:hAnsi="Arial" w:cs="Arial"/>
          <w:sz w:val="16"/>
          <w:szCs w:val="16"/>
        </w:rPr>
        <w:t>El 20% se justifica por:</w:t>
      </w:r>
    </w:p>
    <w:p w14:paraId="19704172" w14:textId="1471D82F" w:rsidR="006E59B4" w:rsidRPr="00040658" w:rsidRDefault="006E59B4" w:rsidP="00040658">
      <w:pPr>
        <w:pStyle w:val="Prrafodelista"/>
        <w:numPr>
          <w:ilvl w:val="3"/>
          <w:numId w:val="11"/>
        </w:numPr>
        <w:ind w:left="1560"/>
        <w:jc w:val="both"/>
        <w:rPr>
          <w:rFonts w:ascii="Arial" w:hAnsi="Arial" w:cs="Arial"/>
          <w:iCs/>
          <w:color w:val="000000"/>
          <w:sz w:val="16"/>
          <w:szCs w:val="16"/>
          <w:lang w:eastAsia="en-US"/>
        </w:rPr>
      </w:pPr>
      <w:r w:rsidRPr="00040658">
        <w:rPr>
          <w:rFonts w:ascii="Arial" w:hAnsi="Arial" w:cs="Arial"/>
          <w:b/>
          <w:bCs/>
          <w:iCs/>
          <w:color w:val="000000"/>
          <w:sz w:val="16"/>
          <w:szCs w:val="16"/>
          <w:lang w:eastAsia="en-US"/>
        </w:rPr>
        <w:t>Endurecimiento del Mercado de Reaseguros (Hard Market)</w:t>
      </w:r>
      <w:r w:rsidRPr="00040658">
        <w:rPr>
          <w:rFonts w:ascii="Arial" w:hAnsi="Arial" w:cs="Arial"/>
          <w:iCs/>
          <w:color w:val="000000"/>
          <w:sz w:val="16"/>
          <w:szCs w:val="16"/>
          <w:lang w:eastAsia="en-US"/>
        </w:rPr>
        <w:t xml:space="preserve"> Tras la materialización de un evento catastrófico (CAT) como el sismo del 10 de agosto de 2026, el mercado asegurador entra automáticamente en un ciclo "duro". Esto implica una reducción drástica en la oferta de capacidad de reaseguro para la región afectada. El ajuste del 20 % corresponde al margen prudencial mínimo que las reaseguradoras internacionales están aplicando en las renovaciones de contratos proporcionales y no proporcionales, con el fin de reconstruir sus reservas de capital tras la liberación de pagos por los siniestros recientes.</w:t>
      </w:r>
    </w:p>
    <w:p w14:paraId="028B6D63" w14:textId="77777777" w:rsidR="006E59B4" w:rsidRPr="00040658" w:rsidRDefault="006E59B4" w:rsidP="00040658">
      <w:pPr>
        <w:pStyle w:val="Prrafodelista"/>
        <w:numPr>
          <w:ilvl w:val="3"/>
          <w:numId w:val="11"/>
        </w:numPr>
        <w:ind w:left="1560"/>
        <w:jc w:val="both"/>
        <w:rPr>
          <w:rFonts w:ascii="Arial" w:hAnsi="Arial" w:cs="Arial"/>
          <w:iCs/>
          <w:color w:val="000000"/>
          <w:sz w:val="16"/>
          <w:szCs w:val="16"/>
          <w:lang w:eastAsia="en-US"/>
        </w:rPr>
      </w:pPr>
      <w:r w:rsidRPr="00040658">
        <w:rPr>
          <w:rFonts w:ascii="Arial" w:hAnsi="Arial" w:cs="Arial"/>
          <w:b/>
          <w:bCs/>
          <w:iCs/>
          <w:color w:val="000000"/>
          <w:sz w:val="16"/>
          <w:szCs w:val="16"/>
          <w:lang w:eastAsia="en-US"/>
        </w:rPr>
        <w:t>Efecto de "Inflación de Demanda" (Demand Surge)</w:t>
      </w:r>
      <w:r w:rsidRPr="00040658">
        <w:rPr>
          <w:rFonts w:ascii="Arial" w:hAnsi="Arial" w:cs="Arial"/>
          <w:iCs/>
          <w:color w:val="000000"/>
          <w:sz w:val="16"/>
          <w:szCs w:val="16"/>
          <w:lang w:eastAsia="en-US"/>
        </w:rPr>
        <w:t xml:space="preserve"> Un evento sísmico genera un pico inflacionario inmediato y localizado en los sectores de construcción, logística e infraestructura. La sobredemanda de materiales (acero, cemento, vidrio), maquinaria y mano de obra para labores de reconstrucción incrementa de manera significativa los costos de reposición y reparación de los bienes asegurados. El 20 % de incremento tarifario absorbe este diferencial de costos proyectado, garantizando que la suma asegurada alcance para cubrir reparaciones bajo los nuevos precios del mercado.</w:t>
      </w:r>
    </w:p>
    <w:p w14:paraId="39F02091" w14:textId="06BC1949" w:rsidR="006E59B4" w:rsidRPr="00040658" w:rsidRDefault="006E59B4" w:rsidP="00040658">
      <w:pPr>
        <w:pStyle w:val="Prrafodelista"/>
        <w:numPr>
          <w:ilvl w:val="3"/>
          <w:numId w:val="11"/>
        </w:numPr>
        <w:ind w:left="1560"/>
        <w:jc w:val="both"/>
        <w:rPr>
          <w:rFonts w:ascii="Arial" w:hAnsi="Arial" w:cs="Arial"/>
          <w:iCs/>
          <w:color w:val="000000"/>
          <w:sz w:val="16"/>
          <w:szCs w:val="16"/>
          <w:lang w:eastAsia="en-US"/>
        </w:rPr>
      </w:pPr>
      <w:r w:rsidRPr="00040658">
        <w:rPr>
          <w:rFonts w:ascii="Arial" w:hAnsi="Arial" w:cs="Arial"/>
          <w:b/>
          <w:bCs/>
          <w:iCs/>
          <w:color w:val="000000"/>
          <w:sz w:val="16"/>
          <w:szCs w:val="16"/>
          <w:lang w:eastAsia="en-US"/>
        </w:rPr>
        <w:t>Recalibración del Perfil de Riesgo Actuarial (</w:t>
      </w:r>
      <w:proofErr w:type="spellStart"/>
      <w:r w:rsidRPr="00040658">
        <w:rPr>
          <w:rFonts w:ascii="Arial" w:hAnsi="Arial" w:cs="Arial"/>
          <w:b/>
          <w:bCs/>
          <w:iCs/>
          <w:color w:val="000000"/>
          <w:sz w:val="16"/>
          <w:szCs w:val="16"/>
          <w:lang w:eastAsia="en-US"/>
        </w:rPr>
        <w:t>PML</w:t>
      </w:r>
      <w:proofErr w:type="spellEnd"/>
      <w:r w:rsidRPr="00040658">
        <w:rPr>
          <w:rFonts w:ascii="Arial" w:hAnsi="Arial" w:cs="Arial"/>
          <w:b/>
          <w:bCs/>
          <w:iCs/>
          <w:color w:val="000000"/>
          <w:sz w:val="16"/>
          <w:szCs w:val="16"/>
          <w:lang w:eastAsia="en-US"/>
        </w:rPr>
        <w:t>)</w:t>
      </w:r>
      <w:r w:rsidRPr="00040658">
        <w:rPr>
          <w:rFonts w:ascii="Arial" w:hAnsi="Arial" w:cs="Arial"/>
          <w:iCs/>
          <w:color w:val="000000"/>
          <w:sz w:val="16"/>
          <w:szCs w:val="16"/>
          <w:lang w:eastAsia="en-US"/>
        </w:rPr>
        <w:t xml:space="preserve"> El sismo reciente obliga a los actuarios de las compañías de seguros a recalibrar sus modelos de Pérdida Máxima Probable (</w:t>
      </w:r>
      <w:proofErr w:type="spellStart"/>
      <w:r w:rsidRPr="00040658">
        <w:rPr>
          <w:rFonts w:ascii="Arial" w:hAnsi="Arial" w:cs="Arial"/>
          <w:iCs/>
          <w:color w:val="000000"/>
          <w:sz w:val="16"/>
          <w:szCs w:val="16"/>
          <w:lang w:eastAsia="en-US"/>
        </w:rPr>
        <w:t>PML</w:t>
      </w:r>
      <w:proofErr w:type="spellEnd"/>
      <w:r w:rsidRPr="00040658">
        <w:rPr>
          <w:rFonts w:ascii="Arial" w:hAnsi="Arial" w:cs="Arial"/>
          <w:iCs/>
          <w:color w:val="000000"/>
          <w:sz w:val="16"/>
          <w:szCs w:val="16"/>
          <w:lang w:eastAsia="en-US"/>
        </w:rPr>
        <w:t xml:space="preserve"> - Probable Maximum Loss). Al actualizarse la base estadística con el nuevo evento, el costo esperado de siniestros sube matemáticamente. Mantener la tasa promedio implicaría tarifar con un modelo de riesgo obsoleto que no contempla la vulnerabilidad sísmica recién demostrada.</w:t>
      </w:r>
    </w:p>
    <w:p w14:paraId="4C1E3DF5" w14:textId="77777777" w:rsidR="006E59B4" w:rsidRPr="00040658" w:rsidRDefault="006E59B4" w:rsidP="00040658">
      <w:pPr>
        <w:pStyle w:val="Prrafodelista"/>
        <w:numPr>
          <w:ilvl w:val="3"/>
          <w:numId w:val="11"/>
        </w:numPr>
        <w:ind w:left="1560"/>
        <w:jc w:val="both"/>
        <w:rPr>
          <w:rFonts w:ascii="Arial" w:hAnsi="Arial" w:cs="Arial"/>
          <w:iCs/>
          <w:color w:val="000000"/>
          <w:sz w:val="16"/>
          <w:szCs w:val="16"/>
          <w:lang w:eastAsia="en-US"/>
        </w:rPr>
      </w:pPr>
      <w:r w:rsidRPr="00040658">
        <w:rPr>
          <w:rFonts w:ascii="Arial" w:hAnsi="Arial" w:cs="Arial"/>
          <w:b/>
          <w:bCs/>
          <w:iCs/>
          <w:color w:val="000000"/>
          <w:sz w:val="16"/>
          <w:szCs w:val="16"/>
          <w:lang w:eastAsia="en-US"/>
        </w:rPr>
        <w:t>Mitigación del Riesgo de Declaratoria de Desierta</w:t>
      </w:r>
      <w:r w:rsidRPr="00040658">
        <w:rPr>
          <w:rFonts w:ascii="Arial" w:hAnsi="Arial" w:cs="Arial"/>
          <w:iCs/>
          <w:color w:val="000000"/>
          <w:sz w:val="16"/>
          <w:szCs w:val="16"/>
          <w:lang w:eastAsia="en-US"/>
        </w:rPr>
        <w:t xml:space="preserve"> En el marco de un proceso de selección contractual, el presupuesto oficial debe reflejar las condiciones comerciales vigentes y no las del pasado. Si no se aplica este margen de ajuste del 20 %, existirá un desfase directo entre el presupuesto asignado y las tarifas mínimas exigidas por las áreas de suscripción técnica de las aseguradoras. Esto resultaría, con altísima probabilidad, en la ausencia de oferentes y en la posterior declaratoria de desierta del proceso de selección por inviabilidad financiera.</w:t>
      </w:r>
    </w:p>
    <w:p w14:paraId="3F3BC455" w14:textId="77777777" w:rsidR="006E59B4" w:rsidRPr="00040658" w:rsidRDefault="006E59B4" w:rsidP="00040658">
      <w:pPr>
        <w:pStyle w:val="Prrafodelista"/>
        <w:numPr>
          <w:ilvl w:val="3"/>
          <w:numId w:val="11"/>
        </w:numPr>
        <w:ind w:left="1560"/>
        <w:jc w:val="both"/>
        <w:rPr>
          <w:rFonts w:ascii="Arial" w:hAnsi="Arial" w:cs="Arial"/>
          <w:iCs/>
          <w:color w:val="000000"/>
          <w:sz w:val="16"/>
          <w:szCs w:val="16"/>
          <w:lang w:eastAsia="en-US"/>
        </w:rPr>
      </w:pPr>
      <w:r w:rsidRPr="00040658">
        <w:rPr>
          <w:rFonts w:ascii="Arial" w:hAnsi="Arial" w:cs="Arial"/>
          <w:b/>
          <w:bCs/>
          <w:iCs/>
          <w:color w:val="000000"/>
          <w:sz w:val="16"/>
          <w:szCs w:val="16"/>
          <w:lang w:eastAsia="en-US"/>
        </w:rPr>
        <w:t>Margen de Holgura para Deducibles y Condiciones Particulares</w:t>
      </w:r>
      <w:r w:rsidRPr="00040658">
        <w:rPr>
          <w:rFonts w:ascii="Arial" w:hAnsi="Arial" w:cs="Arial"/>
          <w:iCs/>
          <w:color w:val="000000"/>
          <w:sz w:val="16"/>
          <w:szCs w:val="16"/>
          <w:lang w:eastAsia="en-US"/>
        </w:rPr>
        <w:t xml:space="preserve"> El mercado </w:t>
      </w:r>
      <w:proofErr w:type="spellStart"/>
      <w:r w:rsidRPr="00040658">
        <w:rPr>
          <w:rFonts w:ascii="Arial" w:hAnsi="Arial" w:cs="Arial"/>
          <w:iCs/>
          <w:color w:val="000000"/>
          <w:sz w:val="16"/>
          <w:szCs w:val="16"/>
          <w:lang w:eastAsia="en-US"/>
        </w:rPr>
        <w:t>post-sismo</w:t>
      </w:r>
      <w:proofErr w:type="spellEnd"/>
      <w:r w:rsidRPr="00040658">
        <w:rPr>
          <w:rFonts w:ascii="Arial" w:hAnsi="Arial" w:cs="Arial"/>
          <w:iCs/>
          <w:color w:val="000000"/>
          <w:sz w:val="16"/>
          <w:szCs w:val="16"/>
          <w:lang w:eastAsia="en-US"/>
        </w:rPr>
        <w:t xml:space="preserve"> no solo incrementa tasas, sino que endurece textos de pólizas e incrementa deducibles. El aumento del 20 % en la tasa permite a la entidad contratante tener capacidad de negociación para exigir que se mantengan deducibles razonables (por ejemplo, evitar que el deducible de terremoto pase del 2% al 5%), pagando un poco más de prima a cambio de no asumir un riesgo mayor en el momento de un siniestro.</w:t>
      </w:r>
    </w:p>
    <w:p w14:paraId="18A047DF" w14:textId="72E7D308" w:rsidR="006E59B4" w:rsidRPr="00040658" w:rsidRDefault="006E59B4" w:rsidP="00040658">
      <w:pPr>
        <w:pStyle w:val="Textonotapie"/>
        <w:jc w:val="both"/>
        <w:rPr>
          <w:rFonts w:ascii="Arial" w:hAnsi="Arial" w:cs="Arial"/>
          <w:sz w:val="16"/>
          <w:szCs w:val="16"/>
        </w:rPr>
      </w:pPr>
    </w:p>
  </w:footnote>
  <w:footnote w:id="23">
    <w:p w14:paraId="2C08B837" w14:textId="3EFB79A8" w:rsidR="000D2B8A" w:rsidRPr="00040658" w:rsidRDefault="000D2B8A" w:rsidP="00040658">
      <w:pPr>
        <w:pStyle w:val="Textonotapie"/>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w:t>
      </w:r>
      <w:r w:rsidR="00040658" w:rsidRPr="00040658">
        <w:rPr>
          <w:rFonts w:ascii="Arial" w:hAnsi="Arial" w:cs="Arial"/>
          <w:sz w:val="16"/>
          <w:szCs w:val="16"/>
        </w:rPr>
        <w:t>EL 10% se justifica por:</w:t>
      </w:r>
    </w:p>
    <w:p w14:paraId="08F15ED5" w14:textId="009DDD11" w:rsidR="00040658" w:rsidRDefault="00040658" w:rsidP="00040658">
      <w:pPr>
        <w:pStyle w:val="Textonotapie"/>
        <w:numPr>
          <w:ilvl w:val="6"/>
          <w:numId w:val="11"/>
        </w:numPr>
        <w:ind w:left="426"/>
        <w:jc w:val="both"/>
        <w:rPr>
          <w:rFonts w:ascii="Arial" w:hAnsi="Arial" w:cs="Arial"/>
          <w:sz w:val="16"/>
          <w:szCs w:val="16"/>
        </w:rPr>
      </w:pPr>
      <w:r w:rsidRPr="00040658">
        <w:rPr>
          <w:rFonts w:ascii="Arial" w:hAnsi="Arial" w:cs="Arial"/>
          <w:b/>
          <w:bCs/>
          <w:sz w:val="16"/>
          <w:szCs w:val="16"/>
        </w:rPr>
        <w:t>Resiliencia y Diseño Estructural de la Infraestructura:</w:t>
      </w:r>
      <w:r w:rsidRPr="00040658">
        <w:rPr>
          <w:rFonts w:ascii="Arial" w:hAnsi="Arial" w:cs="Arial"/>
          <w:sz w:val="16"/>
          <w:szCs w:val="16"/>
        </w:rPr>
        <w:t xml:space="preserve"> Las obras civiles</w:t>
      </w:r>
      <w:r w:rsidR="00F871EF">
        <w:rPr>
          <w:rFonts w:ascii="Arial" w:hAnsi="Arial" w:cs="Arial"/>
          <w:sz w:val="16"/>
          <w:szCs w:val="16"/>
        </w:rPr>
        <w:t xml:space="preserve"> </w:t>
      </w:r>
      <w:r w:rsidRPr="00040658">
        <w:rPr>
          <w:rFonts w:ascii="Arial" w:hAnsi="Arial" w:cs="Arial"/>
          <w:sz w:val="16"/>
          <w:szCs w:val="16"/>
        </w:rPr>
        <w:t>son los primeros en colapsar y generar pérdidas cuantiosas en un sismo, el ajuste tarifario exigido por el mercado es más moderado (10 %) frente a otras líneas de Todo Riesgo.</w:t>
      </w:r>
    </w:p>
    <w:p w14:paraId="64949559" w14:textId="7034C5D7" w:rsidR="00040658" w:rsidRDefault="00040658" w:rsidP="00040658">
      <w:pPr>
        <w:pStyle w:val="Textonotapie"/>
        <w:numPr>
          <w:ilvl w:val="6"/>
          <w:numId w:val="11"/>
        </w:numPr>
        <w:ind w:left="426"/>
        <w:jc w:val="both"/>
        <w:rPr>
          <w:rFonts w:ascii="Arial" w:hAnsi="Arial" w:cs="Arial"/>
          <w:sz w:val="16"/>
          <w:szCs w:val="16"/>
        </w:rPr>
      </w:pPr>
      <w:r w:rsidRPr="00040658">
        <w:rPr>
          <w:rFonts w:ascii="Arial" w:hAnsi="Arial" w:cs="Arial"/>
          <w:b/>
          <w:bCs/>
          <w:sz w:val="16"/>
          <w:szCs w:val="16"/>
        </w:rPr>
        <w:t>Comportamiento de los Tratados de Reaseguro de Ingeniería:</w:t>
      </w:r>
      <w:r w:rsidRPr="00040658">
        <w:rPr>
          <w:rFonts w:ascii="Arial" w:hAnsi="Arial" w:cs="Arial"/>
          <w:sz w:val="16"/>
          <w:szCs w:val="16"/>
        </w:rPr>
        <w:t xml:space="preserve"> La póliza de OCT se ampara bajo tratados de reaseguro de </w:t>
      </w:r>
      <w:r w:rsidRPr="00040658">
        <w:rPr>
          <w:rFonts w:ascii="Arial" w:hAnsi="Arial" w:cs="Arial"/>
          <w:i/>
          <w:iCs/>
          <w:sz w:val="16"/>
          <w:szCs w:val="16"/>
        </w:rPr>
        <w:t>Ingeniería</w:t>
      </w:r>
      <w:r w:rsidRPr="00040658">
        <w:rPr>
          <w:rFonts w:ascii="Arial" w:hAnsi="Arial" w:cs="Arial"/>
          <w:sz w:val="16"/>
          <w:szCs w:val="16"/>
        </w:rPr>
        <w:t xml:space="preserve">, los cuales tienen un comportamiento distinto a los de </w:t>
      </w:r>
      <w:r w:rsidRPr="00040658">
        <w:rPr>
          <w:rFonts w:ascii="Arial" w:hAnsi="Arial" w:cs="Arial"/>
          <w:i/>
          <w:iCs/>
          <w:sz w:val="16"/>
          <w:szCs w:val="16"/>
        </w:rPr>
        <w:t>Incendio/Líneas Aliadas</w:t>
      </w:r>
      <w:r w:rsidRPr="00040658">
        <w:rPr>
          <w:rFonts w:ascii="Arial" w:hAnsi="Arial" w:cs="Arial"/>
          <w:sz w:val="16"/>
          <w:szCs w:val="16"/>
        </w:rPr>
        <w:t>. Aunque el sismo del 10 de agosto de 2026 endureció todo el mercado, los índices de siniestralidad en los ramos de ingeniería pura sufrieron un impacto menor. El 10 % corresponde a la indexación técnica que las reaseguradoras están aplicando específicamente a este nicho para recuperar capacidad sin castigar excesivamente un riesgo que demostró buen comportamiento estructural.</w:t>
      </w:r>
    </w:p>
    <w:p w14:paraId="5B1F569C" w14:textId="0413DFA4" w:rsidR="00040658" w:rsidRDefault="00040658" w:rsidP="00040658">
      <w:pPr>
        <w:pStyle w:val="Textonotapie"/>
        <w:numPr>
          <w:ilvl w:val="6"/>
          <w:numId w:val="11"/>
        </w:numPr>
        <w:ind w:left="426"/>
        <w:jc w:val="both"/>
        <w:rPr>
          <w:rFonts w:ascii="Arial" w:hAnsi="Arial" w:cs="Arial"/>
          <w:sz w:val="16"/>
          <w:szCs w:val="16"/>
        </w:rPr>
      </w:pPr>
      <w:r w:rsidRPr="00040658">
        <w:rPr>
          <w:rFonts w:ascii="Arial" w:hAnsi="Arial" w:cs="Arial"/>
          <w:b/>
          <w:bCs/>
          <w:sz w:val="16"/>
          <w:szCs w:val="16"/>
        </w:rPr>
        <w:t>Dispersión Geográfica del Riesgo:</w:t>
      </w:r>
      <w:r w:rsidRPr="00040658">
        <w:rPr>
          <w:rFonts w:ascii="Arial" w:hAnsi="Arial" w:cs="Arial"/>
          <w:sz w:val="16"/>
          <w:szCs w:val="16"/>
        </w:rPr>
        <w:t xml:space="preserve"> A diferencia de un edificio, donde el 100 % del valor asegurado está concentrado en un solo punto geográfico, muchas obras civiles tienen un carácter longitudinal o disperso. Un evento sísmico rara vez destruye la totalidad de la obra. El incremento del 10 % reconoce el encarecimiento global del riesgo catastrófico (CAT), pero reconoce mediante esta tasa más contenida que la Pérdida Máxima Probable (</w:t>
      </w:r>
      <w:proofErr w:type="spellStart"/>
      <w:r w:rsidRPr="00040658">
        <w:rPr>
          <w:rFonts w:ascii="Arial" w:hAnsi="Arial" w:cs="Arial"/>
          <w:sz w:val="16"/>
          <w:szCs w:val="16"/>
        </w:rPr>
        <w:t>PML</w:t>
      </w:r>
      <w:proofErr w:type="spellEnd"/>
      <w:r w:rsidRPr="00040658">
        <w:rPr>
          <w:rFonts w:ascii="Arial" w:hAnsi="Arial" w:cs="Arial"/>
          <w:sz w:val="16"/>
          <w:szCs w:val="16"/>
        </w:rPr>
        <w:t>) sobre el total del valor asegurado es inferior.</w:t>
      </w:r>
    </w:p>
    <w:p w14:paraId="21F42A9B" w14:textId="3602425B" w:rsidR="00040658" w:rsidRPr="00040658" w:rsidRDefault="00040658" w:rsidP="00040658">
      <w:pPr>
        <w:pStyle w:val="Textonotapie"/>
        <w:numPr>
          <w:ilvl w:val="6"/>
          <w:numId w:val="11"/>
        </w:numPr>
        <w:ind w:left="426"/>
        <w:jc w:val="both"/>
        <w:rPr>
          <w:rFonts w:ascii="Arial" w:hAnsi="Arial" w:cs="Arial"/>
          <w:sz w:val="16"/>
          <w:szCs w:val="16"/>
        </w:rPr>
      </w:pPr>
      <w:r w:rsidRPr="00040658">
        <w:rPr>
          <w:rFonts w:ascii="Arial" w:hAnsi="Arial" w:cs="Arial"/>
          <w:b/>
          <w:bCs/>
          <w:sz w:val="16"/>
          <w:szCs w:val="16"/>
        </w:rPr>
        <w:t>Ajuste Diferencial por Inflación de Costos (Demand Surge):</w:t>
      </w:r>
      <w:r w:rsidRPr="00040658">
        <w:rPr>
          <w:rFonts w:ascii="Arial" w:hAnsi="Arial" w:cs="Arial"/>
          <w:sz w:val="16"/>
          <w:szCs w:val="16"/>
        </w:rPr>
        <w:t xml:space="preserve"> Tras el sismo, la reconstrucción genera inflación. Sin embargo, la inflación de materiales para obras civiles tiene una curva distinta a la inflación de materiales de construcción de vivienda. El 10 % absorbe el impacto proyectado en los costos de remoción de escombros y reposición de infraestructura pesada, garantizando que el presupuesto oficial sea atractivo para las aseguradoras sin caer en sobrecostos injustificados para la entidad contratante</w:t>
      </w:r>
    </w:p>
    <w:p w14:paraId="7C848FE4" w14:textId="77777777" w:rsidR="00040658" w:rsidRPr="00040658" w:rsidRDefault="00040658" w:rsidP="00040658">
      <w:pPr>
        <w:pStyle w:val="Textonotapie"/>
        <w:jc w:val="both"/>
        <w:rPr>
          <w:rFonts w:ascii="Arial" w:hAnsi="Arial" w:cs="Arial"/>
          <w:sz w:val="16"/>
          <w:szCs w:val="16"/>
        </w:rPr>
      </w:pPr>
    </w:p>
    <w:p w14:paraId="4E9BA641" w14:textId="77777777" w:rsidR="00040658" w:rsidRPr="00040658" w:rsidRDefault="00040658" w:rsidP="00040658">
      <w:pPr>
        <w:pStyle w:val="Textonotapie"/>
        <w:jc w:val="both"/>
        <w:rPr>
          <w:rFonts w:ascii="Arial" w:hAnsi="Arial" w:cs="Arial"/>
          <w:sz w:val="16"/>
          <w:szCs w:val="16"/>
        </w:rPr>
      </w:pPr>
    </w:p>
  </w:footnote>
  <w:footnote w:id="24">
    <w:p w14:paraId="24F320DC" w14:textId="77777777" w:rsidR="004402A0" w:rsidRPr="00040658" w:rsidRDefault="004402A0" w:rsidP="00040658">
      <w:pPr>
        <w:jc w:val="both"/>
        <w:rPr>
          <w:rFonts w:ascii="Arial" w:hAnsi="Arial" w:cs="Arial"/>
          <w:sz w:val="16"/>
          <w:szCs w:val="16"/>
        </w:rPr>
      </w:pPr>
      <w:r w:rsidRPr="00040658">
        <w:rPr>
          <w:rStyle w:val="Refdenotaalpie"/>
          <w:rFonts w:ascii="Arial" w:hAnsi="Arial" w:cs="Arial"/>
          <w:sz w:val="16"/>
          <w:szCs w:val="16"/>
        </w:rPr>
        <w:footnoteRef/>
      </w:r>
      <w:r w:rsidRPr="00040658">
        <w:rPr>
          <w:rFonts w:ascii="Arial" w:hAnsi="Arial" w:cs="Arial"/>
          <w:sz w:val="16"/>
          <w:szCs w:val="16"/>
        </w:rPr>
        <w:t xml:space="preserve"> El Art 13 de la Ley 80 de 1.993 estipula que los contratos que celebren las entidades estatales se rigen por las disposiciones comerciales y civiles pertinentes, </w:t>
      </w:r>
      <w:r w:rsidRPr="00040658">
        <w:rPr>
          <w:rFonts w:ascii="Arial" w:hAnsi="Arial" w:cs="Arial"/>
          <w:b/>
          <w:i/>
          <w:sz w:val="16"/>
          <w:szCs w:val="16"/>
          <w:u w:val="single"/>
        </w:rPr>
        <w:t xml:space="preserve">“…salvo en las materias particularmente reguladas en esta Ley.” </w:t>
      </w:r>
      <w:r w:rsidRPr="00040658">
        <w:rPr>
          <w:rFonts w:ascii="Arial" w:hAnsi="Arial" w:cs="Arial"/>
          <w:sz w:val="16"/>
          <w:szCs w:val="16"/>
        </w:rPr>
        <w:t>(Negrilla y subraya fuera de texto).</w:t>
      </w:r>
    </w:p>
    <w:p w14:paraId="1E406015" w14:textId="77777777" w:rsidR="004402A0" w:rsidRPr="00040658" w:rsidRDefault="004402A0" w:rsidP="00040658">
      <w:pPr>
        <w:jc w:val="both"/>
        <w:rPr>
          <w:rFonts w:ascii="Arial" w:hAnsi="Arial" w:cs="Arial"/>
          <w:sz w:val="16"/>
          <w:szCs w:val="16"/>
        </w:rPr>
      </w:pPr>
    </w:p>
    <w:p w14:paraId="26B2B609" w14:textId="77777777" w:rsidR="004402A0" w:rsidRPr="00040658" w:rsidRDefault="004402A0" w:rsidP="00040658">
      <w:pPr>
        <w:jc w:val="both"/>
        <w:rPr>
          <w:rFonts w:ascii="Arial" w:hAnsi="Arial" w:cs="Arial"/>
          <w:sz w:val="16"/>
          <w:szCs w:val="16"/>
        </w:rPr>
      </w:pPr>
      <w:r w:rsidRPr="00040658">
        <w:rPr>
          <w:rFonts w:ascii="Arial" w:hAnsi="Arial" w:cs="Arial"/>
          <w:sz w:val="16"/>
          <w:szCs w:val="16"/>
        </w:rPr>
        <w:t xml:space="preserve">Se destaca la advertencia de la ley, respecto a que si bien los contratos se rigen por las disposiciones comerciales y civiles, establece la excepción de, </w:t>
      </w:r>
      <w:r w:rsidRPr="00040658">
        <w:rPr>
          <w:rFonts w:ascii="Arial" w:hAnsi="Arial" w:cs="Arial"/>
          <w:b/>
          <w:i/>
          <w:sz w:val="16"/>
          <w:szCs w:val="16"/>
          <w:u w:val="single"/>
        </w:rPr>
        <w:t>“salvo en las materias particularmente reguladas en esta Ley”</w:t>
      </w:r>
      <w:r w:rsidRPr="00040658">
        <w:rPr>
          <w:rFonts w:ascii="Arial" w:hAnsi="Arial" w:cs="Arial"/>
          <w:sz w:val="16"/>
          <w:szCs w:val="16"/>
        </w:rPr>
        <w:t xml:space="preserve">; para el caso que nos ocupa claramente aplica la del estatuto de contratación en su Art 7 de Consorcios y Uniones Temporales, el cual reglamenta las condiciones de las figuras asociación, definidas como </w:t>
      </w:r>
      <w:r w:rsidRPr="00040658">
        <w:rPr>
          <w:rFonts w:ascii="Arial" w:hAnsi="Arial" w:cs="Arial"/>
          <w:b/>
          <w:i/>
          <w:sz w:val="16"/>
          <w:szCs w:val="16"/>
          <w:u w:val="single"/>
        </w:rPr>
        <w:t>“…cuando dos o más personas en forma conjunta presentan una misma propuesta para la adjudicación, celebración y ejecución de un contrato, …”,</w:t>
      </w:r>
      <w:r w:rsidRPr="00040658">
        <w:rPr>
          <w:rFonts w:ascii="Arial" w:hAnsi="Arial" w:cs="Arial"/>
          <w:sz w:val="16"/>
          <w:szCs w:val="16"/>
        </w:rPr>
        <w:t xml:space="preserve">  </w:t>
      </w:r>
    </w:p>
    <w:p w14:paraId="30FE37C9" w14:textId="77777777" w:rsidR="004402A0" w:rsidRPr="00040658" w:rsidRDefault="004402A0" w:rsidP="00040658">
      <w:pPr>
        <w:jc w:val="both"/>
        <w:rPr>
          <w:rFonts w:ascii="Arial" w:hAnsi="Arial" w:cs="Arial"/>
          <w:sz w:val="16"/>
          <w:szCs w:val="16"/>
        </w:rPr>
      </w:pPr>
      <w:r w:rsidRPr="00040658">
        <w:rPr>
          <w:rFonts w:ascii="Arial" w:hAnsi="Arial" w:cs="Arial"/>
          <w:sz w:val="16"/>
          <w:szCs w:val="16"/>
        </w:rPr>
        <w:t xml:space="preserve">Es de resaltar que para las figuras referidas el estatuto establece como requisito esencial, la </w:t>
      </w:r>
      <w:r w:rsidRPr="00040658">
        <w:rPr>
          <w:rFonts w:ascii="Arial" w:hAnsi="Arial" w:cs="Arial"/>
          <w:b/>
          <w:i/>
          <w:sz w:val="16"/>
          <w:szCs w:val="16"/>
        </w:rPr>
        <w:t>responsabilidad solidaria</w:t>
      </w:r>
      <w:r w:rsidRPr="00040658">
        <w:rPr>
          <w:rFonts w:ascii="Arial" w:hAnsi="Arial" w:cs="Arial"/>
          <w:sz w:val="16"/>
          <w:szCs w:val="16"/>
        </w:rPr>
        <w:t xml:space="preserve">, diferenciando entre una y otra, la aplicación de las sanciones a los miembros que las conforman.  </w:t>
      </w:r>
    </w:p>
    <w:p w14:paraId="23AEDC8F" w14:textId="77777777" w:rsidR="004402A0" w:rsidRPr="00040658" w:rsidRDefault="004402A0" w:rsidP="00040658">
      <w:pPr>
        <w:jc w:val="both"/>
        <w:rPr>
          <w:rFonts w:ascii="Arial" w:hAnsi="Arial" w:cs="Arial"/>
          <w:sz w:val="16"/>
          <w:szCs w:val="16"/>
        </w:rPr>
      </w:pPr>
    </w:p>
    <w:p w14:paraId="065018D1" w14:textId="77777777" w:rsidR="004402A0" w:rsidRPr="00040658" w:rsidRDefault="004402A0" w:rsidP="00040658">
      <w:pPr>
        <w:jc w:val="both"/>
        <w:rPr>
          <w:rFonts w:ascii="Arial" w:hAnsi="Arial" w:cs="Arial"/>
          <w:b/>
          <w:i/>
          <w:sz w:val="16"/>
          <w:szCs w:val="16"/>
        </w:rPr>
      </w:pPr>
      <w:r w:rsidRPr="00040658">
        <w:rPr>
          <w:rFonts w:ascii="Arial" w:hAnsi="Arial" w:cs="Arial"/>
          <w:sz w:val="16"/>
          <w:szCs w:val="16"/>
        </w:rPr>
        <w:t xml:space="preserve">Ahora bien, efectivamente el Código de Comercio regula la figura de asociación denominada coaseguro, advirtiendo que además de que la misma no cumple el requisito de la solidaridad, es claro que para su aplicación establece que es el asegurado el que la solicita, al indicar </w:t>
      </w:r>
      <w:r w:rsidRPr="00040658">
        <w:rPr>
          <w:rFonts w:ascii="Arial" w:hAnsi="Arial" w:cs="Arial"/>
          <w:b/>
          <w:i/>
          <w:sz w:val="16"/>
          <w:szCs w:val="16"/>
        </w:rPr>
        <w:t>“… en virtud del cual dos o más aseguradores, a petición del asegurado o con su aquiescencia previa acuerdan distribuirse entre ellos determinado seguro”.</w:t>
      </w:r>
    </w:p>
    <w:p w14:paraId="49D4CC9D" w14:textId="77777777" w:rsidR="004402A0" w:rsidRPr="00040658" w:rsidRDefault="004402A0" w:rsidP="00040658">
      <w:pPr>
        <w:jc w:val="both"/>
        <w:rPr>
          <w:rFonts w:ascii="Arial" w:hAnsi="Arial" w:cs="Arial"/>
          <w:sz w:val="16"/>
          <w:szCs w:val="16"/>
        </w:rPr>
      </w:pPr>
    </w:p>
    <w:p w14:paraId="03BA6FD7" w14:textId="77777777" w:rsidR="004402A0" w:rsidRPr="00040658" w:rsidRDefault="004402A0" w:rsidP="00040658">
      <w:pPr>
        <w:pStyle w:val="Textonotapie"/>
        <w:jc w:val="both"/>
        <w:rPr>
          <w:rFonts w:ascii="Arial" w:hAnsi="Arial" w:cs="Arial"/>
          <w:sz w:val="16"/>
          <w:szCs w:val="16"/>
          <w:lang w:val="es-MX"/>
        </w:rPr>
      </w:pPr>
      <w:r w:rsidRPr="00040658">
        <w:rPr>
          <w:rFonts w:ascii="Arial" w:hAnsi="Arial" w:cs="Arial"/>
          <w:sz w:val="16"/>
          <w:szCs w:val="16"/>
        </w:rPr>
        <w:t>De conformidad con lo anterior y dado que se estima fundamental que las ofertas a recibir en el proceso contemplen la solidaridad estipulada en el estatuto de contratación, no se considera procedente considerar para la presentación de éstas la modalidad de coaseguro</w:t>
      </w:r>
    </w:p>
    <w:p w14:paraId="2261458D" w14:textId="77777777" w:rsidR="004402A0" w:rsidRPr="00040658" w:rsidRDefault="004402A0" w:rsidP="00040658">
      <w:pPr>
        <w:pStyle w:val="Textonotapie"/>
        <w:jc w:val="both"/>
        <w:rPr>
          <w:rFonts w:ascii="Arial" w:hAnsi="Arial" w:cs="Arial"/>
          <w:sz w:val="16"/>
          <w:szCs w:val="16"/>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D6EFD" w14:textId="77777777" w:rsidR="008322ED" w:rsidRDefault="008322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B6518" w14:textId="3C3BC186" w:rsidR="00393D60" w:rsidRDefault="00731BF1" w:rsidP="003359CA">
    <w:pPr>
      <w:pStyle w:val="Encabezado"/>
      <w:tabs>
        <w:tab w:val="left" w:pos="7675"/>
      </w:tabs>
      <w:contextualSpacing/>
      <w:jc w:val="center"/>
      <w:rPr>
        <w:rFonts w:ascii="Arial" w:hAnsi="Arial" w:cs="Arial"/>
        <w:b/>
        <w:sz w:val="22"/>
        <w:szCs w:val="22"/>
      </w:rPr>
    </w:pPr>
    <w:r>
      <w:rPr>
        <w:noProof/>
      </w:rPr>
      <w:drawing>
        <wp:inline distT="0" distB="0" distL="0" distR="0" wp14:anchorId="5B7C067F" wp14:editId="401227A7">
          <wp:extent cx="826135" cy="826135"/>
          <wp:effectExtent l="0" t="0" r="0" b="0"/>
          <wp:docPr id="506485565"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85565" name="Imagen 1" descr="Logotipo&#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135" cy="826135"/>
                  </a:xfrm>
                  <a:prstGeom prst="rect">
                    <a:avLst/>
                  </a:prstGeom>
                </pic:spPr>
              </pic:pic>
            </a:graphicData>
          </a:graphic>
        </wp:inline>
      </w:drawing>
    </w:r>
  </w:p>
  <w:p w14:paraId="29F5B27E" w14:textId="77777777" w:rsidR="00581EF6" w:rsidRDefault="00581EF6" w:rsidP="003359CA">
    <w:pPr>
      <w:pStyle w:val="Encabezado"/>
      <w:tabs>
        <w:tab w:val="left" w:pos="7675"/>
      </w:tabs>
      <w:contextualSpacing/>
      <w:jc w:val="center"/>
      <w:rPr>
        <w:rFonts w:ascii="Arial" w:hAnsi="Arial" w:cs="Arial"/>
        <w:b/>
        <w:sz w:val="22"/>
        <w:szCs w:val="22"/>
      </w:rPr>
    </w:pPr>
  </w:p>
  <w:p w14:paraId="5841040B" w14:textId="166F9400" w:rsidR="00393D60" w:rsidRDefault="00581EF6" w:rsidP="003359CA">
    <w:pPr>
      <w:pStyle w:val="Encabezado"/>
      <w:tabs>
        <w:tab w:val="left" w:pos="7675"/>
      </w:tabs>
      <w:contextualSpacing/>
      <w:jc w:val="center"/>
      <w:rPr>
        <w:rFonts w:ascii="Arial" w:hAnsi="Arial" w:cs="Arial"/>
        <w:b/>
        <w:sz w:val="22"/>
        <w:szCs w:val="22"/>
      </w:rPr>
    </w:pPr>
    <w:r w:rsidRPr="00581EF6">
      <w:rPr>
        <w:rFonts w:ascii="Arial" w:hAnsi="Arial" w:cs="Arial"/>
        <w:b/>
        <w:sz w:val="22"/>
        <w:szCs w:val="22"/>
      </w:rPr>
      <w:t>Anexo No. 4 Análisis del Sector</w:t>
    </w:r>
  </w:p>
  <w:p w14:paraId="6A007AF2" w14:textId="77777777" w:rsidR="00581EF6" w:rsidRPr="000B327D" w:rsidRDefault="00581EF6" w:rsidP="003359CA">
    <w:pPr>
      <w:pStyle w:val="Encabezado"/>
      <w:tabs>
        <w:tab w:val="left" w:pos="7675"/>
      </w:tabs>
      <w:contextualSpacing/>
      <w:jc w:val="cent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A9A1B" w14:textId="77777777" w:rsidR="008322ED" w:rsidRDefault="008322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AAC"/>
    <w:multiLevelType w:val="hybridMultilevel"/>
    <w:tmpl w:val="7A769D9E"/>
    <w:lvl w:ilvl="0" w:tplc="080A0019">
      <w:start w:val="9"/>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2A0B2E"/>
    <w:multiLevelType w:val="hybridMultilevel"/>
    <w:tmpl w:val="C8F62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EA26D4"/>
    <w:multiLevelType w:val="multilevel"/>
    <w:tmpl w:val="7786C626"/>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Invias-Titulo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2E54A5"/>
    <w:multiLevelType w:val="hybridMultilevel"/>
    <w:tmpl w:val="C2420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9B281B"/>
    <w:multiLevelType w:val="hybridMultilevel"/>
    <w:tmpl w:val="5212D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CA3B4F"/>
    <w:multiLevelType w:val="hybridMultilevel"/>
    <w:tmpl w:val="EB5246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B61ACB"/>
    <w:multiLevelType w:val="hybridMultilevel"/>
    <w:tmpl w:val="F46A2D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3355AB"/>
    <w:multiLevelType w:val="multilevel"/>
    <w:tmpl w:val="5ACCB4D4"/>
    <w:lvl w:ilvl="0">
      <w:start w:val="1"/>
      <w:numFmt w:val="lowerRoman"/>
      <w:lvlText w:val="%1."/>
      <w:lvlJc w:val="right"/>
      <w:pPr>
        <w:tabs>
          <w:tab w:val="num" w:pos="720"/>
        </w:tabs>
        <w:ind w:left="720" w:hanging="360"/>
      </w:pPr>
    </w:lvl>
    <w:lvl w:ilvl="1">
      <w:start w:val="4"/>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start w:val="3"/>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BAA2BEC"/>
    <w:multiLevelType w:val="multilevel"/>
    <w:tmpl w:val="9260EBA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D0215B"/>
    <w:multiLevelType w:val="hybridMultilevel"/>
    <w:tmpl w:val="A7641932"/>
    <w:lvl w:ilvl="0" w:tplc="240A0001">
      <w:start w:val="1"/>
      <w:numFmt w:val="bullet"/>
      <w:lvlText w:val=""/>
      <w:lvlJc w:val="left"/>
      <w:pPr>
        <w:ind w:left="711" w:hanging="360"/>
      </w:pPr>
      <w:rPr>
        <w:rFonts w:ascii="Symbol" w:hAnsi="Symbol" w:hint="default"/>
      </w:rPr>
    </w:lvl>
    <w:lvl w:ilvl="1" w:tplc="240A0003" w:tentative="1">
      <w:start w:val="1"/>
      <w:numFmt w:val="bullet"/>
      <w:lvlText w:val="o"/>
      <w:lvlJc w:val="left"/>
      <w:pPr>
        <w:ind w:left="1431" w:hanging="360"/>
      </w:pPr>
      <w:rPr>
        <w:rFonts w:ascii="Courier New" w:hAnsi="Courier New" w:cs="Courier New" w:hint="default"/>
      </w:rPr>
    </w:lvl>
    <w:lvl w:ilvl="2" w:tplc="240A0005" w:tentative="1">
      <w:start w:val="1"/>
      <w:numFmt w:val="bullet"/>
      <w:lvlText w:val=""/>
      <w:lvlJc w:val="left"/>
      <w:pPr>
        <w:ind w:left="2151" w:hanging="360"/>
      </w:pPr>
      <w:rPr>
        <w:rFonts w:ascii="Wingdings" w:hAnsi="Wingdings" w:hint="default"/>
      </w:rPr>
    </w:lvl>
    <w:lvl w:ilvl="3" w:tplc="240A0001" w:tentative="1">
      <w:start w:val="1"/>
      <w:numFmt w:val="bullet"/>
      <w:lvlText w:val=""/>
      <w:lvlJc w:val="left"/>
      <w:pPr>
        <w:ind w:left="2871" w:hanging="360"/>
      </w:pPr>
      <w:rPr>
        <w:rFonts w:ascii="Symbol" w:hAnsi="Symbol" w:hint="default"/>
      </w:rPr>
    </w:lvl>
    <w:lvl w:ilvl="4" w:tplc="240A0003" w:tentative="1">
      <w:start w:val="1"/>
      <w:numFmt w:val="bullet"/>
      <w:lvlText w:val="o"/>
      <w:lvlJc w:val="left"/>
      <w:pPr>
        <w:ind w:left="3591" w:hanging="360"/>
      </w:pPr>
      <w:rPr>
        <w:rFonts w:ascii="Courier New" w:hAnsi="Courier New" w:cs="Courier New" w:hint="default"/>
      </w:rPr>
    </w:lvl>
    <w:lvl w:ilvl="5" w:tplc="240A0005" w:tentative="1">
      <w:start w:val="1"/>
      <w:numFmt w:val="bullet"/>
      <w:lvlText w:val=""/>
      <w:lvlJc w:val="left"/>
      <w:pPr>
        <w:ind w:left="4311" w:hanging="360"/>
      </w:pPr>
      <w:rPr>
        <w:rFonts w:ascii="Wingdings" w:hAnsi="Wingdings" w:hint="default"/>
      </w:rPr>
    </w:lvl>
    <w:lvl w:ilvl="6" w:tplc="240A0001" w:tentative="1">
      <w:start w:val="1"/>
      <w:numFmt w:val="bullet"/>
      <w:lvlText w:val=""/>
      <w:lvlJc w:val="left"/>
      <w:pPr>
        <w:ind w:left="5031" w:hanging="360"/>
      </w:pPr>
      <w:rPr>
        <w:rFonts w:ascii="Symbol" w:hAnsi="Symbol" w:hint="default"/>
      </w:rPr>
    </w:lvl>
    <w:lvl w:ilvl="7" w:tplc="240A0003" w:tentative="1">
      <w:start w:val="1"/>
      <w:numFmt w:val="bullet"/>
      <w:lvlText w:val="o"/>
      <w:lvlJc w:val="left"/>
      <w:pPr>
        <w:ind w:left="5751" w:hanging="360"/>
      </w:pPr>
      <w:rPr>
        <w:rFonts w:ascii="Courier New" w:hAnsi="Courier New" w:cs="Courier New" w:hint="default"/>
      </w:rPr>
    </w:lvl>
    <w:lvl w:ilvl="8" w:tplc="240A0005" w:tentative="1">
      <w:start w:val="1"/>
      <w:numFmt w:val="bullet"/>
      <w:lvlText w:val=""/>
      <w:lvlJc w:val="left"/>
      <w:pPr>
        <w:ind w:left="6471" w:hanging="360"/>
      </w:pPr>
      <w:rPr>
        <w:rFonts w:ascii="Wingdings" w:hAnsi="Wingdings" w:hint="default"/>
      </w:rPr>
    </w:lvl>
  </w:abstractNum>
  <w:abstractNum w:abstractNumId="10" w15:restartNumberingAfterBreak="0">
    <w:nsid w:val="0E4C2D0F"/>
    <w:multiLevelType w:val="multilevel"/>
    <w:tmpl w:val="B620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805F1C"/>
    <w:multiLevelType w:val="multilevel"/>
    <w:tmpl w:val="F6A247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0FE0BE7"/>
    <w:multiLevelType w:val="multilevel"/>
    <w:tmpl w:val="9F10A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B34764"/>
    <w:multiLevelType w:val="hybridMultilevel"/>
    <w:tmpl w:val="344216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422894"/>
    <w:multiLevelType w:val="hybridMultilevel"/>
    <w:tmpl w:val="C4BE6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7E30E56"/>
    <w:multiLevelType w:val="hybridMultilevel"/>
    <w:tmpl w:val="BC7A0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400AD6"/>
    <w:multiLevelType w:val="multilevel"/>
    <w:tmpl w:val="9260EBA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492970"/>
    <w:multiLevelType w:val="multilevel"/>
    <w:tmpl w:val="D92C2C4A"/>
    <w:lvl w:ilvl="0">
      <w:start w:val="1"/>
      <w:numFmt w:val="bullet"/>
      <w:lvlText w:val=""/>
      <w:lvlJc w:val="left"/>
      <w:pPr>
        <w:tabs>
          <w:tab w:val="num" w:pos="720"/>
        </w:tabs>
        <w:ind w:left="720" w:hanging="360"/>
      </w:pPr>
      <w:rPr>
        <w:rFonts w:ascii="Symbol" w:hAnsi="Symbol"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D412B9"/>
    <w:multiLevelType w:val="hybridMultilevel"/>
    <w:tmpl w:val="E892BB1A"/>
    <w:lvl w:ilvl="0" w:tplc="9CF4B2C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977020F"/>
    <w:multiLevelType w:val="hybridMultilevel"/>
    <w:tmpl w:val="C7382736"/>
    <w:lvl w:ilvl="0" w:tplc="7F6CBD3E">
      <w:numFmt w:val="bullet"/>
      <w:lvlText w:val="-"/>
      <w:lvlJc w:val="left"/>
      <w:pPr>
        <w:ind w:left="360" w:hanging="360"/>
      </w:pPr>
      <w:rPr>
        <w:rFonts w:ascii="Arial Narrow" w:eastAsia="Times New Roman" w:hAnsi="Arial Narrow"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29780FF3"/>
    <w:multiLevelType w:val="multilevel"/>
    <w:tmpl w:val="55FCF6CE"/>
    <w:lvl w:ilvl="0">
      <w:start w:val="1"/>
      <w:numFmt w:val="decimal"/>
      <w:lvlText w:val="%1."/>
      <w:lvlJc w:val="left"/>
      <w:pPr>
        <w:ind w:left="720" w:hanging="360"/>
      </w:pPr>
      <w:rPr>
        <w:rFonts w:cs="Times New Roman"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C17359C"/>
    <w:multiLevelType w:val="hybridMultilevel"/>
    <w:tmpl w:val="73B8DED0"/>
    <w:lvl w:ilvl="0" w:tplc="94FC1652">
      <w:start w:val="1"/>
      <w:numFmt w:val="bullet"/>
      <w:lvlText w:val="-"/>
      <w:lvlJc w:val="left"/>
      <w:pPr>
        <w:ind w:left="720" w:hanging="360"/>
      </w:pPr>
      <w:rPr>
        <w:rFonts w:ascii="Arial" w:eastAsia="Arial Narrow"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2F592F14"/>
    <w:multiLevelType w:val="hybridMultilevel"/>
    <w:tmpl w:val="BFB2C8FC"/>
    <w:lvl w:ilvl="0" w:tplc="9CF4B2C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19270C6"/>
    <w:multiLevelType w:val="multilevel"/>
    <w:tmpl w:val="7DC8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074160"/>
    <w:multiLevelType w:val="hybridMultilevel"/>
    <w:tmpl w:val="638E95E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5A1C13"/>
    <w:multiLevelType w:val="hybridMultilevel"/>
    <w:tmpl w:val="55224B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2C153C"/>
    <w:multiLevelType w:val="hybridMultilevel"/>
    <w:tmpl w:val="78C22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CEB4393"/>
    <w:multiLevelType w:val="hybridMultilevel"/>
    <w:tmpl w:val="B2304E7E"/>
    <w:lvl w:ilvl="0" w:tplc="31D053E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8D275F9"/>
    <w:multiLevelType w:val="hybridMultilevel"/>
    <w:tmpl w:val="4B5EE94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90F75B4"/>
    <w:multiLevelType w:val="hybridMultilevel"/>
    <w:tmpl w:val="1A160A92"/>
    <w:lvl w:ilvl="0" w:tplc="E6B43C04">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7C5126"/>
    <w:multiLevelType w:val="hybridMultilevel"/>
    <w:tmpl w:val="40B861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49D41016"/>
    <w:multiLevelType w:val="hybridMultilevel"/>
    <w:tmpl w:val="A4FCEC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AF264DF"/>
    <w:multiLevelType w:val="hybridMultilevel"/>
    <w:tmpl w:val="F42620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B292D80"/>
    <w:multiLevelType w:val="hybridMultilevel"/>
    <w:tmpl w:val="722EDFD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4B985DB4"/>
    <w:multiLevelType w:val="multilevel"/>
    <w:tmpl w:val="55FCF6CE"/>
    <w:lvl w:ilvl="0">
      <w:start w:val="1"/>
      <w:numFmt w:val="decimal"/>
      <w:lvlText w:val="%1."/>
      <w:lvlJc w:val="left"/>
      <w:pPr>
        <w:ind w:left="720" w:hanging="360"/>
      </w:pPr>
      <w:rPr>
        <w:rFonts w:cs="Times New Roman"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4D254AFC"/>
    <w:multiLevelType w:val="multilevel"/>
    <w:tmpl w:val="C39A6EB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0115970"/>
    <w:multiLevelType w:val="hybridMultilevel"/>
    <w:tmpl w:val="CD00F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9DD442F"/>
    <w:multiLevelType w:val="hybridMultilevel"/>
    <w:tmpl w:val="1584ADB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97149E"/>
    <w:multiLevelType w:val="hybridMultilevel"/>
    <w:tmpl w:val="C0B6796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EED6AF8"/>
    <w:multiLevelType w:val="hybridMultilevel"/>
    <w:tmpl w:val="7B7CE6F2"/>
    <w:lvl w:ilvl="0" w:tplc="9CF4B2C2">
      <w:numFmt w:val="bullet"/>
      <w:lvlText w:val="-"/>
      <w:lvlJc w:val="left"/>
      <w:pPr>
        <w:ind w:left="1440" w:hanging="360"/>
      </w:pPr>
      <w:rPr>
        <w:rFonts w:ascii="Arial Narrow" w:eastAsia="Times New Roman" w:hAnsi="Arial Narrow" w:cs="Times New Roman"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64A14620"/>
    <w:multiLevelType w:val="multilevel"/>
    <w:tmpl w:val="5ACCB4D4"/>
    <w:lvl w:ilvl="0">
      <w:start w:val="1"/>
      <w:numFmt w:val="lowerRoman"/>
      <w:lvlText w:val="%1."/>
      <w:lvlJc w:val="right"/>
      <w:pPr>
        <w:tabs>
          <w:tab w:val="num" w:pos="720"/>
        </w:tabs>
        <w:ind w:left="720" w:hanging="360"/>
      </w:pPr>
    </w:lvl>
    <w:lvl w:ilvl="1">
      <w:start w:val="4"/>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start w:val="3"/>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FCE6F96"/>
    <w:multiLevelType w:val="hybridMultilevel"/>
    <w:tmpl w:val="4C0238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302463"/>
    <w:multiLevelType w:val="hybridMultilevel"/>
    <w:tmpl w:val="3B2441F4"/>
    <w:lvl w:ilvl="0" w:tplc="DDCECBDC">
      <w:start w:val="2"/>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2DD5CAE"/>
    <w:multiLevelType w:val="hybridMultilevel"/>
    <w:tmpl w:val="760ABC3E"/>
    <w:lvl w:ilvl="0" w:tplc="9CF4B2C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71067B1"/>
    <w:multiLevelType w:val="hybridMultilevel"/>
    <w:tmpl w:val="89A28B80"/>
    <w:lvl w:ilvl="0" w:tplc="9CF4B2C2">
      <w:numFmt w:val="bullet"/>
      <w:lvlText w:val="-"/>
      <w:lvlJc w:val="left"/>
      <w:pPr>
        <w:ind w:left="1776" w:hanging="360"/>
      </w:pPr>
      <w:rPr>
        <w:rFonts w:ascii="Arial Narrow" w:eastAsia="Times New Roman" w:hAnsi="Arial Narrow" w:cs="Times New Roman"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45" w15:restartNumberingAfterBreak="0">
    <w:nsid w:val="772A699A"/>
    <w:multiLevelType w:val="hybridMultilevel"/>
    <w:tmpl w:val="28C2F4B8"/>
    <w:lvl w:ilvl="0" w:tplc="9CF4B2C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80A7108"/>
    <w:multiLevelType w:val="hybridMultilevel"/>
    <w:tmpl w:val="0652BCB4"/>
    <w:lvl w:ilvl="0" w:tplc="853CEFE4">
      <w:start w:val="3"/>
      <w:numFmt w:val="bullet"/>
      <w:lvlText w:val="-"/>
      <w:lvlJc w:val="left"/>
      <w:pPr>
        <w:ind w:left="720" w:hanging="360"/>
      </w:pPr>
      <w:rPr>
        <w:rFonts w:ascii="Arial Narrow" w:eastAsia="Times New Roman" w:hAnsi="Arial Narrow"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16344780">
    <w:abstractNumId w:val="34"/>
  </w:num>
  <w:num w:numId="2" w16cid:durableId="2014257130">
    <w:abstractNumId w:val="24"/>
  </w:num>
  <w:num w:numId="3" w16cid:durableId="10110267">
    <w:abstractNumId w:val="22"/>
  </w:num>
  <w:num w:numId="4" w16cid:durableId="1876500985">
    <w:abstractNumId w:val="21"/>
  </w:num>
  <w:num w:numId="5" w16cid:durableId="1870027994">
    <w:abstractNumId w:val="27"/>
  </w:num>
  <w:num w:numId="6" w16cid:durableId="1229657943">
    <w:abstractNumId w:val="28"/>
  </w:num>
  <w:num w:numId="7" w16cid:durableId="2055348247">
    <w:abstractNumId w:val="33"/>
  </w:num>
  <w:num w:numId="8" w16cid:durableId="662394631">
    <w:abstractNumId w:val="30"/>
  </w:num>
  <w:num w:numId="9" w16cid:durableId="636958944">
    <w:abstractNumId w:val="13"/>
  </w:num>
  <w:num w:numId="10" w16cid:durableId="1458331738">
    <w:abstractNumId w:val="2"/>
  </w:num>
  <w:num w:numId="11" w16cid:durableId="1101878536">
    <w:abstractNumId w:val="11"/>
  </w:num>
  <w:num w:numId="12" w16cid:durableId="225998822">
    <w:abstractNumId w:val="38"/>
  </w:num>
  <w:num w:numId="13" w16cid:durableId="2023050272">
    <w:abstractNumId w:val="29"/>
  </w:num>
  <w:num w:numId="14" w16cid:durableId="840313463">
    <w:abstractNumId w:val="5"/>
  </w:num>
  <w:num w:numId="15" w16cid:durableId="1206482575">
    <w:abstractNumId w:val="44"/>
  </w:num>
  <w:num w:numId="16" w16cid:durableId="432097171">
    <w:abstractNumId w:val="41"/>
  </w:num>
  <w:num w:numId="17" w16cid:durableId="205531836">
    <w:abstractNumId w:val="36"/>
  </w:num>
  <w:num w:numId="18" w16cid:durableId="614680330">
    <w:abstractNumId w:val="39"/>
  </w:num>
  <w:num w:numId="19" w16cid:durableId="47654445">
    <w:abstractNumId w:val="26"/>
  </w:num>
  <w:num w:numId="20" w16cid:durableId="965425536">
    <w:abstractNumId w:val="14"/>
  </w:num>
  <w:num w:numId="21" w16cid:durableId="1302735636">
    <w:abstractNumId w:val="25"/>
  </w:num>
  <w:num w:numId="22" w16cid:durableId="1672833056">
    <w:abstractNumId w:val="43"/>
  </w:num>
  <w:num w:numId="23" w16cid:durableId="1789465208">
    <w:abstractNumId w:val="18"/>
  </w:num>
  <w:num w:numId="24" w16cid:durableId="1666085512">
    <w:abstractNumId w:val="17"/>
  </w:num>
  <w:num w:numId="25" w16cid:durableId="545875506">
    <w:abstractNumId w:val="0"/>
  </w:num>
  <w:num w:numId="26" w16cid:durableId="1545869060">
    <w:abstractNumId w:val="42"/>
  </w:num>
  <w:num w:numId="27" w16cid:durableId="451750385">
    <w:abstractNumId w:val="6"/>
  </w:num>
  <w:num w:numId="28" w16cid:durableId="858350524">
    <w:abstractNumId w:val="15"/>
  </w:num>
  <w:num w:numId="29" w16cid:durableId="1801730441">
    <w:abstractNumId w:val="4"/>
  </w:num>
  <w:num w:numId="30" w16cid:durableId="1804418644">
    <w:abstractNumId w:val="19"/>
  </w:num>
  <w:num w:numId="31" w16cid:durableId="1542746204">
    <w:abstractNumId w:val="8"/>
  </w:num>
  <w:num w:numId="32" w16cid:durableId="958142763">
    <w:abstractNumId w:val="40"/>
  </w:num>
  <w:num w:numId="33" w16cid:durableId="307514754">
    <w:abstractNumId w:val="7"/>
  </w:num>
  <w:num w:numId="34" w16cid:durableId="2066490122">
    <w:abstractNumId w:val="46"/>
  </w:num>
  <w:num w:numId="35" w16cid:durableId="1918634492">
    <w:abstractNumId w:val="35"/>
  </w:num>
  <w:num w:numId="36" w16cid:durableId="903570063">
    <w:abstractNumId w:val="9"/>
  </w:num>
  <w:num w:numId="37" w16cid:durableId="395857888">
    <w:abstractNumId w:val="37"/>
  </w:num>
  <w:num w:numId="38" w16cid:durableId="423035529">
    <w:abstractNumId w:val="20"/>
  </w:num>
  <w:num w:numId="39" w16cid:durableId="1332296233">
    <w:abstractNumId w:val="32"/>
  </w:num>
  <w:num w:numId="40" w16cid:durableId="648289112">
    <w:abstractNumId w:val="31"/>
  </w:num>
  <w:num w:numId="41" w16cid:durableId="1638534418">
    <w:abstractNumId w:val="23"/>
  </w:num>
  <w:num w:numId="42" w16cid:durableId="926840683">
    <w:abstractNumId w:val="1"/>
  </w:num>
  <w:num w:numId="43" w16cid:durableId="1816750429">
    <w:abstractNumId w:val="10"/>
  </w:num>
  <w:num w:numId="44" w16cid:durableId="1994262014">
    <w:abstractNumId w:val="3"/>
  </w:num>
  <w:num w:numId="45" w16cid:durableId="1031150506">
    <w:abstractNumId w:val="45"/>
  </w:num>
  <w:num w:numId="46" w16cid:durableId="1597131525">
    <w:abstractNumId w:val="16"/>
  </w:num>
  <w:num w:numId="47" w16cid:durableId="1051728165">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DBB"/>
    <w:rsid w:val="00000B90"/>
    <w:rsid w:val="00001F6A"/>
    <w:rsid w:val="00002011"/>
    <w:rsid w:val="00003228"/>
    <w:rsid w:val="00003405"/>
    <w:rsid w:val="00004A5E"/>
    <w:rsid w:val="000052DE"/>
    <w:rsid w:val="00005688"/>
    <w:rsid w:val="000056CF"/>
    <w:rsid w:val="0001063A"/>
    <w:rsid w:val="00011499"/>
    <w:rsid w:val="00012E26"/>
    <w:rsid w:val="000130B1"/>
    <w:rsid w:val="00013674"/>
    <w:rsid w:val="00014205"/>
    <w:rsid w:val="0001426E"/>
    <w:rsid w:val="000144C9"/>
    <w:rsid w:val="000149E7"/>
    <w:rsid w:val="00014F08"/>
    <w:rsid w:val="00016986"/>
    <w:rsid w:val="00021754"/>
    <w:rsid w:val="0002175A"/>
    <w:rsid w:val="00022528"/>
    <w:rsid w:val="000234DC"/>
    <w:rsid w:val="000238C4"/>
    <w:rsid w:val="0002446A"/>
    <w:rsid w:val="00025977"/>
    <w:rsid w:val="00026EFF"/>
    <w:rsid w:val="00033488"/>
    <w:rsid w:val="00035965"/>
    <w:rsid w:val="00035D19"/>
    <w:rsid w:val="000361A9"/>
    <w:rsid w:val="00037946"/>
    <w:rsid w:val="00040658"/>
    <w:rsid w:val="00040744"/>
    <w:rsid w:val="00040F6D"/>
    <w:rsid w:val="00041229"/>
    <w:rsid w:val="0004169B"/>
    <w:rsid w:val="00042ED0"/>
    <w:rsid w:val="00043079"/>
    <w:rsid w:val="000434B2"/>
    <w:rsid w:val="0004404D"/>
    <w:rsid w:val="00044876"/>
    <w:rsid w:val="00044F92"/>
    <w:rsid w:val="00045BE1"/>
    <w:rsid w:val="00047508"/>
    <w:rsid w:val="00047674"/>
    <w:rsid w:val="00047D49"/>
    <w:rsid w:val="00050041"/>
    <w:rsid w:val="000504CD"/>
    <w:rsid w:val="00051EB3"/>
    <w:rsid w:val="00052132"/>
    <w:rsid w:val="00052EBB"/>
    <w:rsid w:val="00053323"/>
    <w:rsid w:val="00053792"/>
    <w:rsid w:val="0005458B"/>
    <w:rsid w:val="00054ECD"/>
    <w:rsid w:val="00062470"/>
    <w:rsid w:val="000629F5"/>
    <w:rsid w:val="000652A5"/>
    <w:rsid w:val="00065423"/>
    <w:rsid w:val="0006554D"/>
    <w:rsid w:val="0006560D"/>
    <w:rsid w:val="00066614"/>
    <w:rsid w:val="0007024E"/>
    <w:rsid w:val="00070A48"/>
    <w:rsid w:val="00071F4F"/>
    <w:rsid w:val="00073902"/>
    <w:rsid w:val="000740F4"/>
    <w:rsid w:val="00074B1C"/>
    <w:rsid w:val="0007563C"/>
    <w:rsid w:val="000777CC"/>
    <w:rsid w:val="00080296"/>
    <w:rsid w:val="000820E7"/>
    <w:rsid w:val="00082392"/>
    <w:rsid w:val="00084F0E"/>
    <w:rsid w:val="000850C8"/>
    <w:rsid w:val="00085512"/>
    <w:rsid w:val="00087BD8"/>
    <w:rsid w:val="000911FD"/>
    <w:rsid w:val="0009124A"/>
    <w:rsid w:val="00092F66"/>
    <w:rsid w:val="000933B4"/>
    <w:rsid w:val="00093DE2"/>
    <w:rsid w:val="00094103"/>
    <w:rsid w:val="000953C0"/>
    <w:rsid w:val="00095E88"/>
    <w:rsid w:val="0009737E"/>
    <w:rsid w:val="00097582"/>
    <w:rsid w:val="000A3135"/>
    <w:rsid w:val="000A65C0"/>
    <w:rsid w:val="000A685B"/>
    <w:rsid w:val="000A6ACB"/>
    <w:rsid w:val="000B3125"/>
    <w:rsid w:val="000B327D"/>
    <w:rsid w:val="000B3AD1"/>
    <w:rsid w:val="000B4847"/>
    <w:rsid w:val="000B5261"/>
    <w:rsid w:val="000B52F7"/>
    <w:rsid w:val="000B5DDA"/>
    <w:rsid w:val="000C2102"/>
    <w:rsid w:val="000C2875"/>
    <w:rsid w:val="000C352F"/>
    <w:rsid w:val="000C494F"/>
    <w:rsid w:val="000C52A6"/>
    <w:rsid w:val="000C5348"/>
    <w:rsid w:val="000C5522"/>
    <w:rsid w:val="000C6D58"/>
    <w:rsid w:val="000D0393"/>
    <w:rsid w:val="000D043D"/>
    <w:rsid w:val="000D09E1"/>
    <w:rsid w:val="000D14A6"/>
    <w:rsid w:val="000D1509"/>
    <w:rsid w:val="000D1519"/>
    <w:rsid w:val="000D166F"/>
    <w:rsid w:val="000D210E"/>
    <w:rsid w:val="000D2A71"/>
    <w:rsid w:val="000D2B8A"/>
    <w:rsid w:val="000D3202"/>
    <w:rsid w:val="000D32F5"/>
    <w:rsid w:val="000D5C51"/>
    <w:rsid w:val="000D5E53"/>
    <w:rsid w:val="000D60D0"/>
    <w:rsid w:val="000D7361"/>
    <w:rsid w:val="000E162D"/>
    <w:rsid w:val="000E3574"/>
    <w:rsid w:val="000E4CC9"/>
    <w:rsid w:val="000E54DC"/>
    <w:rsid w:val="000E74BE"/>
    <w:rsid w:val="000F207C"/>
    <w:rsid w:val="000F2EFB"/>
    <w:rsid w:val="000F3983"/>
    <w:rsid w:val="000F3988"/>
    <w:rsid w:val="000F3D6D"/>
    <w:rsid w:val="000F4B10"/>
    <w:rsid w:val="000F4FDA"/>
    <w:rsid w:val="000F580C"/>
    <w:rsid w:val="000F5C3D"/>
    <w:rsid w:val="000F6729"/>
    <w:rsid w:val="000F6EA9"/>
    <w:rsid w:val="00100FC0"/>
    <w:rsid w:val="00102115"/>
    <w:rsid w:val="00102AEF"/>
    <w:rsid w:val="00102F1E"/>
    <w:rsid w:val="00103076"/>
    <w:rsid w:val="001050DA"/>
    <w:rsid w:val="001062D7"/>
    <w:rsid w:val="0010641D"/>
    <w:rsid w:val="00110508"/>
    <w:rsid w:val="001109AD"/>
    <w:rsid w:val="001130CA"/>
    <w:rsid w:val="00115D6E"/>
    <w:rsid w:val="001200D2"/>
    <w:rsid w:val="00120649"/>
    <w:rsid w:val="00121FDB"/>
    <w:rsid w:val="00123528"/>
    <w:rsid w:val="00125E53"/>
    <w:rsid w:val="001262C3"/>
    <w:rsid w:val="0012635E"/>
    <w:rsid w:val="00126CEE"/>
    <w:rsid w:val="00127808"/>
    <w:rsid w:val="00127C0C"/>
    <w:rsid w:val="00127F20"/>
    <w:rsid w:val="0013041B"/>
    <w:rsid w:val="00130908"/>
    <w:rsid w:val="00134799"/>
    <w:rsid w:val="0013567B"/>
    <w:rsid w:val="00141AC8"/>
    <w:rsid w:val="00141C43"/>
    <w:rsid w:val="00144BC8"/>
    <w:rsid w:val="00146C21"/>
    <w:rsid w:val="001476E5"/>
    <w:rsid w:val="00151B4D"/>
    <w:rsid w:val="001524E6"/>
    <w:rsid w:val="00156F65"/>
    <w:rsid w:val="00156FE4"/>
    <w:rsid w:val="00156FE6"/>
    <w:rsid w:val="001571D6"/>
    <w:rsid w:val="001574C5"/>
    <w:rsid w:val="00157E0C"/>
    <w:rsid w:val="00160735"/>
    <w:rsid w:val="00160BC8"/>
    <w:rsid w:val="001612B8"/>
    <w:rsid w:val="001620C1"/>
    <w:rsid w:val="001642A0"/>
    <w:rsid w:val="00165EF5"/>
    <w:rsid w:val="001702FE"/>
    <w:rsid w:val="00173225"/>
    <w:rsid w:val="00173DD3"/>
    <w:rsid w:val="00173ED3"/>
    <w:rsid w:val="00176B23"/>
    <w:rsid w:val="00176E48"/>
    <w:rsid w:val="001771EA"/>
    <w:rsid w:val="00181B79"/>
    <w:rsid w:val="001833D5"/>
    <w:rsid w:val="00183FE5"/>
    <w:rsid w:val="001840BE"/>
    <w:rsid w:val="00184664"/>
    <w:rsid w:val="00186566"/>
    <w:rsid w:val="001865C6"/>
    <w:rsid w:val="0018681F"/>
    <w:rsid w:val="001869ED"/>
    <w:rsid w:val="00186C3F"/>
    <w:rsid w:val="00186F0B"/>
    <w:rsid w:val="001875D5"/>
    <w:rsid w:val="00187966"/>
    <w:rsid w:val="001929E3"/>
    <w:rsid w:val="00192F7E"/>
    <w:rsid w:val="00193040"/>
    <w:rsid w:val="00194D98"/>
    <w:rsid w:val="00194E3A"/>
    <w:rsid w:val="00195906"/>
    <w:rsid w:val="00195C0C"/>
    <w:rsid w:val="00196768"/>
    <w:rsid w:val="00197401"/>
    <w:rsid w:val="00197462"/>
    <w:rsid w:val="00197C42"/>
    <w:rsid w:val="001A0649"/>
    <w:rsid w:val="001A12CD"/>
    <w:rsid w:val="001A1B49"/>
    <w:rsid w:val="001A1CFF"/>
    <w:rsid w:val="001A1F1A"/>
    <w:rsid w:val="001A20E5"/>
    <w:rsid w:val="001A432B"/>
    <w:rsid w:val="001A57D7"/>
    <w:rsid w:val="001A7526"/>
    <w:rsid w:val="001A7815"/>
    <w:rsid w:val="001B01EE"/>
    <w:rsid w:val="001B02E0"/>
    <w:rsid w:val="001B19EB"/>
    <w:rsid w:val="001B742F"/>
    <w:rsid w:val="001B7680"/>
    <w:rsid w:val="001B7D15"/>
    <w:rsid w:val="001C132B"/>
    <w:rsid w:val="001C21E2"/>
    <w:rsid w:val="001C31E0"/>
    <w:rsid w:val="001C4AF6"/>
    <w:rsid w:val="001C51B2"/>
    <w:rsid w:val="001C5A83"/>
    <w:rsid w:val="001C7129"/>
    <w:rsid w:val="001D0389"/>
    <w:rsid w:val="001D5C9C"/>
    <w:rsid w:val="001D6AE5"/>
    <w:rsid w:val="001D7166"/>
    <w:rsid w:val="001D7BA4"/>
    <w:rsid w:val="001E2A49"/>
    <w:rsid w:val="001E30D2"/>
    <w:rsid w:val="001E4022"/>
    <w:rsid w:val="001E4DB7"/>
    <w:rsid w:val="001E5D6C"/>
    <w:rsid w:val="001E61E5"/>
    <w:rsid w:val="001E6601"/>
    <w:rsid w:val="001E6894"/>
    <w:rsid w:val="001E76DF"/>
    <w:rsid w:val="001F0354"/>
    <w:rsid w:val="001F29C6"/>
    <w:rsid w:val="001F2BF3"/>
    <w:rsid w:val="001F3123"/>
    <w:rsid w:val="001F32F4"/>
    <w:rsid w:val="001F3DE0"/>
    <w:rsid w:val="001F659F"/>
    <w:rsid w:val="0020010E"/>
    <w:rsid w:val="00200A93"/>
    <w:rsid w:val="002014A0"/>
    <w:rsid w:val="00202612"/>
    <w:rsid w:val="00203103"/>
    <w:rsid w:val="00203779"/>
    <w:rsid w:val="00203997"/>
    <w:rsid w:val="00204C09"/>
    <w:rsid w:val="00207C69"/>
    <w:rsid w:val="00210411"/>
    <w:rsid w:val="00211698"/>
    <w:rsid w:val="0021390C"/>
    <w:rsid w:val="00217467"/>
    <w:rsid w:val="00217C49"/>
    <w:rsid w:val="002200B3"/>
    <w:rsid w:val="00220D93"/>
    <w:rsid w:val="00221246"/>
    <w:rsid w:val="00221DE7"/>
    <w:rsid w:val="00222190"/>
    <w:rsid w:val="00222ABB"/>
    <w:rsid w:val="002233B7"/>
    <w:rsid w:val="0022371A"/>
    <w:rsid w:val="002249BD"/>
    <w:rsid w:val="00226930"/>
    <w:rsid w:val="0022715A"/>
    <w:rsid w:val="00230DA5"/>
    <w:rsid w:val="00231273"/>
    <w:rsid w:val="00235401"/>
    <w:rsid w:val="0023557F"/>
    <w:rsid w:val="00235BCE"/>
    <w:rsid w:val="00236277"/>
    <w:rsid w:val="00236A0A"/>
    <w:rsid w:val="00241007"/>
    <w:rsid w:val="00241B6B"/>
    <w:rsid w:val="00241C0A"/>
    <w:rsid w:val="002420DD"/>
    <w:rsid w:val="00242B23"/>
    <w:rsid w:val="00242DDD"/>
    <w:rsid w:val="002445AE"/>
    <w:rsid w:val="002458ED"/>
    <w:rsid w:val="0024647A"/>
    <w:rsid w:val="00247352"/>
    <w:rsid w:val="00247464"/>
    <w:rsid w:val="00250AF3"/>
    <w:rsid w:val="002522CF"/>
    <w:rsid w:val="00253872"/>
    <w:rsid w:val="002546C1"/>
    <w:rsid w:val="0025528A"/>
    <w:rsid w:val="00255680"/>
    <w:rsid w:val="002614C4"/>
    <w:rsid w:val="00262E06"/>
    <w:rsid w:val="0026308C"/>
    <w:rsid w:val="002638B1"/>
    <w:rsid w:val="00263AE4"/>
    <w:rsid w:val="0026465E"/>
    <w:rsid w:val="002654F0"/>
    <w:rsid w:val="00265BF0"/>
    <w:rsid w:val="00265CD7"/>
    <w:rsid w:val="00265E59"/>
    <w:rsid w:val="002700E0"/>
    <w:rsid w:val="002720CE"/>
    <w:rsid w:val="0027245C"/>
    <w:rsid w:val="0027448C"/>
    <w:rsid w:val="002807AD"/>
    <w:rsid w:val="00280A08"/>
    <w:rsid w:val="002818F4"/>
    <w:rsid w:val="002824AD"/>
    <w:rsid w:val="00282503"/>
    <w:rsid w:val="00282AA5"/>
    <w:rsid w:val="00283AB9"/>
    <w:rsid w:val="00283D82"/>
    <w:rsid w:val="00284AD1"/>
    <w:rsid w:val="00287E93"/>
    <w:rsid w:val="00290018"/>
    <w:rsid w:val="002900F6"/>
    <w:rsid w:val="002915A4"/>
    <w:rsid w:val="002917F0"/>
    <w:rsid w:val="0029182F"/>
    <w:rsid w:val="00291E73"/>
    <w:rsid w:val="00292AD2"/>
    <w:rsid w:val="00292C98"/>
    <w:rsid w:val="00292E71"/>
    <w:rsid w:val="00292E9C"/>
    <w:rsid w:val="00296052"/>
    <w:rsid w:val="0029615C"/>
    <w:rsid w:val="00296B1F"/>
    <w:rsid w:val="00296BC3"/>
    <w:rsid w:val="002972A3"/>
    <w:rsid w:val="0029786A"/>
    <w:rsid w:val="002978F5"/>
    <w:rsid w:val="002A0C43"/>
    <w:rsid w:val="002A1240"/>
    <w:rsid w:val="002A2FE9"/>
    <w:rsid w:val="002A37EE"/>
    <w:rsid w:val="002A50EC"/>
    <w:rsid w:val="002A5197"/>
    <w:rsid w:val="002A55FF"/>
    <w:rsid w:val="002A5A59"/>
    <w:rsid w:val="002A7978"/>
    <w:rsid w:val="002A7B4D"/>
    <w:rsid w:val="002B029D"/>
    <w:rsid w:val="002B146F"/>
    <w:rsid w:val="002B158E"/>
    <w:rsid w:val="002B358D"/>
    <w:rsid w:val="002B3789"/>
    <w:rsid w:val="002B3A4E"/>
    <w:rsid w:val="002B5082"/>
    <w:rsid w:val="002B5950"/>
    <w:rsid w:val="002B6A33"/>
    <w:rsid w:val="002B7536"/>
    <w:rsid w:val="002B7727"/>
    <w:rsid w:val="002B7E7A"/>
    <w:rsid w:val="002C0895"/>
    <w:rsid w:val="002C1667"/>
    <w:rsid w:val="002C22CC"/>
    <w:rsid w:val="002C254F"/>
    <w:rsid w:val="002C2586"/>
    <w:rsid w:val="002C3368"/>
    <w:rsid w:val="002C38B9"/>
    <w:rsid w:val="002C3FEF"/>
    <w:rsid w:val="002C45C4"/>
    <w:rsid w:val="002C4B6B"/>
    <w:rsid w:val="002C560D"/>
    <w:rsid w:val="002C7269"/>
    <w:rsid w:val="002C7A83"/>
    <w:rsid w:val="002C7FDC"/>
    <w:rsid w:val="002D310C"/>
    <w:rsid w:val="002D46E8"/>
    <w:rsid w:val="002D7A4A"/>
    <w:rsid w:val="002D7A8E"/>
    <w:rsid w:val="002D7D83"/>
    <w:rsid w:val="002D7FF9"/>
    <w:rsid w:val="002E0DC4"/>
    <w:rsid w:val="002E1FFA"/>
    <w:rsid w:val="002E25E4"/>
    <w:rsid w:val="002E3299"/>
    <w:rsid w:val="002E3E05"/>
    <w:rsid w:val="002E4983"/>
    <w:rsid w:val="002E49EB"/>
    <w:rsid w:val="002E63B0"/>
    <w:rsid w:val="002E6E27"/>
    <w:rsid w:val="002F00AA"/>
    <w:rsid w:val="002F1D36"/>
    <w:rsid w:val="002F28AA"/>
    <w:rsid w:val="002F3F83"/>
    <w:rsid w:val="002F41B3"/>
    <w:rsid w:val="002F6BB3"/>
    <w:rsid w:val="002F771C"/>
    <w:rsid w:val="00300405"/>
    <w:rsid w:val="00301322"/>
    <w:rsid w:val="00303037"/>
    <w:rsid w:val="003053C3"/>
    <w:rsid w:val="00305AC8"/>
    <w:rsid w:val="003061F1"/>
    <w:rsid w:val="00306267"/>
    <w:rsid w:val="00312EE3"/>
    <w:rsid w:val="0031337B"/>
    <w:rsid w:val="00315296"/>
    <w:rsid w:val="00315313"/>
    <w:rsid w:val="00315B20"/>
    <w:rsid w:val="00316116"/>
    <w:rsid w:val="00316907"/>
    <w:rsid w:val="00317B36"/>
    <w:rsid w:val="00320234"/>
    <w:rsid w:val="00320F74"/>
    <w:rsid w:val="00321270"/>
    <w:rsid w:val="0032284D"/>
    <w:rsid w:val="00323470"/>
    <w:rsid w:val="00324576"/>
    <w:rsid w:val="00324821"/>
    <w:rsid w:val="003258A1"/>
    <w:rsid w:val="003259E1"/>
    <w:rsid w:val="00325B2C"/>
    <w:rsid w:val="00326C67"/>
    <w:rsid w:val="00326E49"/>
    <w:rsid w:val="003306D3"/>
    <w:rsid w:val="00331CF4"/>
    <w:rsid w:val="003326AB"/>
    <w:rsid w:val="00332AE9"/>
    <w:rsid w:val="0033355F"/>
    <w:rsid w:val="003336B6"/>
    <w:rsid w:val="003338EB"/>
    <w:rsid w:val="003359CA"/>
    <w:rsid w:val="00336361"/>
    <w:rsid w:val="00336E05"/>
    <w:rsid w:val="0034027A"/>
    <w:rsid w:val="00340423"/>
    <w:rsid w:val="00340E5C"/>
    <w:rsid w:val="00340F39"/>
    <w:rsid w:val="003413B7"/>
    <w:rsid w:val="00341594"/>
    <w:rsid w:val="00341FB2"/>
    <w:rsid w:val="0034207A"/>
    <w:rsid w:val="00343246"/>
    <w:rsid w:val="0034452E"/>
    <w:rsid w:val="00344B6F"/>
    <w:rsid w:val="00345066"/>
    <w:rsid w:val="003455C6"/>
    <w:rsid w:val="003469AA"/>
    <w:rsid w:val="003475C6"/>
    <w:rsid w:val="003479D8"/>
    <w:rsid w:val="00351107"/>
    <w:rsid w:val="00352C6E"/>
    <w:rsid w:val="003563F4"/>
    <w:rsid w:val="00357144"/>
    <w:rsid w:val="00360068"/>
    <w:rsid w:val="0036185E"/>
    <w:rsid w:val="003628B7"/>
    <w:rsid w:val="003639F4"/>
    <w:rsid w:val="00363EE6"/>
    <w:rsid w:val="0036552D"/>
    <w:rsid w:val="0036634D"/>
    <w:rsid w:val="003671A6"/>
    <w:rsid w:val="00367394"/>
    <w:rsid w:val="00367830"/>
    <w:rsid w:val="00370B87"/>
    <w:rsid w:val="00371CC8"/>
    <w:rsid w:val="00372FFC"/>
    <w:rsid w:val="003730B4"/>
    <w:rsid w:val="00373BEA"/>
    <w:rsid w:val="0037500F"/>
    <w:rsid w:val="0038108A"/>
    <w:rsid w:val="0038254D"/>
    <w:rsid w:val="003826F3"/>
    <w:rsid w:val="003833E2"/>
    <w:rsid w:val="0038342C"/>
    <w:rsid w:val="003834C9"/>
    <w:rsid w:val="00384160"/>
    <w:rsid w:val="00384AF2"/>
    <w:rsid w:val="003851F1"/>
    <w:rsid w:val="00385755"/>
    <w:rsid w:val="00387370"/>
    <w:rsid w:val="003876A5"/>
    <w:rsid w:val="00387FD4"/>
    <w:rsid w:val="0039265A"/>
    <w:rsid w:val="00392A9D"/>
    <w:rsid w:val="003932B8"/>
    <w:rsid w:val="00393BE5"/>
    <w:rsid w:val="00393D60"/>
    <w:rsid w:val="003949DC"/>
    <w:rsid w:val="0039764C"/>
    <w:rsid w:val="003A078E"/>
    <w:rsid w:val="003A359D"/>
    <w:rsid w:val="003A391E"/>
    <w:rsid w:val="003A474F"/>
    <w:rsid w:val="003A50DA"/>
    <w:rsid w:val="003A5A17"/>
    <w:rsid w:val="003A682E"/>
    <w:rsid w:val="003B1D4E"/>
    <w:rsid w:val="003B3996"/>
    <w:rsid w:val="003B530D"/>
    <w:rsid w:val="003B5684"/>
    <w:rsid w:val="003B67AC"/>
    <w:rsid w:val="003C0468"/>
    <w:rsid w:val="003C0670"/>
    <w:rsid w:val="003C39DC"/>
    <w:rsid w:val="003C482B"/>
    <w:rsid w:val="003C499E"/>
    <w:rsid w:val="003C5E2A"/>
    <w:rsid w:val="003C77E1"/>
    <w:rsid w:val="003C7DBE"/>
    <w:rsid w:val="003C7E88"/>
    <w:rsid w:val="003D0103"/>
    <w:rsid w:val="003D0514"/>
    <w:rsid w:val="003D092D"/>
    <w:rsid w:val="003D1C6C"/>
    <w:rsid w:val="003D4878"/>
    <w:rsid w:val="003D6015"/>
    <w:rsid w:val="003D7F56"/>
    <w:rsid w:val="003E0F0B"/>
    <w:rsid w:val="003E1A30"/>
    <w:rsid w:val="003E29F4"/>
    <w:rsid w:val="003E37A6"/>
    <w:rsid w:val="003E507A"/>
    <w:rsid w:val="003E5818"/>
    <w:rsid w:val="003E6A76"/>
    <w:rsid w:val="003E7526"/>
    <w:rsid w:val="003E7F03"/>
    <w:rsid w:val="003F0E7C"/>
    <w:rsid w:val="003F3A20"/>
    <w:rsid w:val="003F3A6D"/>
    <w:rsid w:val="003F42EF"/>
    <w:rsid w:val="003F50D5"/>
    <w:rsid w:val="003F58BE"/>
    <w:rsid w:val="003F76EC"/>
    <w:rsid w:val="003F7AA7"/>
    <w:rsid w:val="004000CC"/>
    <w:rsid w:val="00400E67"/>
    <w:rsid w:val="004012FA"/>
    <w:rsid w:val="00401C51"/>
    <w:rsid w:val="004026DD"/>
    <w:rsid w:val="004031D7"/>
    <w:rsid w:val="00404141"/>
    <w:rsid w:val="0040495A"/>
    <w:rsid w:val="00406636"/>
    <w:rsid w:val="00406D0C"/>
    <w:rsid w:val="00406F9F"/>
    <w:rsid w:val="00407247"/>
    <w:rsid w:val="00410765"/>
    <w:rsid w:val="00410A0C"/>
    <w:rsid w:val="00410B16"/>
    <w:rsid w:val="00410F70"/>
    <w:rsid w:val="00411722"/>
    <w:rsid w:val="00411C8A"/>
    <w:rsid w:val="0041353B"/>
    <w:rsid w:val="00415331"/>
    <w:rsid w:val="00415871"/>
    <w:rsid w:val="00417BBC"/>
    <w:rsid w:val="00417E2A"/>
    <w:rsid w:val="00420DF4"/>
    <w:rsid w:val="00421171"/>
    <w:rsid w:val="00421544"/>
    <w:rsid w:val="00422698"/>
    <w:rsid w:val="004237A2"/>
    <w:rsid w:val="00426415"/>
    <w:rsid w:val="00426E41"/>
    <w:rsid w:val="00426FD2"/>
    <w:rsid w:val="00427359"/>
    <w:rsid w:val="004303E7"/>
    <w:rsid w:val="00430992"/>
    <w:rsid w:val="00430EE8"/>
    <w:rsid w:val="00432AC9"/>
    <w:rsid w:val="00435080"/>
    <w:rsid w:val="0043529D"/>
    <w:rsid w:val="00435903"/>
    <w:rsid w:val="0043601D"/>
    <w:rsid w:val="0043609B"/>
    <w:rsid w:val="004368B5"/>
    <w:rsid w:val="00437882"/>
    <w:rsid w:val="004402A0"/>
    <w:rsid w:val="00441660"/>
    <w:rsid w:val="004421AD"/>
    <w:rsid w:val="00442621"/>
    <w:rsid w:val="00443368"/>
    <w:rsid w:val="00444319"/>
    <w:rsid w:val="004446E8"/>
    <w:rsid w:val="00445BF2"/>
    <w:rsid w:val="00446527"/>
    <w:rsid w:val="00446EC7"/>
    <w:rsid w:val="00451A35"/>
    <w:rsid w:val="00452444"/>
    <w:rsid w:val="00452BDB"/>
    <w:rsid w:val="00452F1E"/>
    <w:rsid w:val="00454935"/>
    <w:rsid w:val="00454E94"/>
    <w:rsid w:val="00454F8E"/>
    <w:rsid w:val="004610B6"/>
    <w:rsid w:val="00461177"/>
    <w:rsid w:val="004618E8"/>
    <w:rsid w:val="00462244"/>
    <w:rsid w:val="0046323B"/>
    <w:rsid w:val="00463336"/>
    <w:rsid w:val="004641BE"/>
    <w:rsid w:val="0046463E"/>
    <w:rsid w:val="00465543"/>
    <w:rsid w:val="00466316"/>
    <w:rsid w:val="00467192"/>
    <w:rsid w:val="0046784B"/>
    <w:rsid w:val="00470153"/>
    <w:rsid w:val="00470423"/>
    <w:rsid w:val="00470D65"/>
    <w:rsid w:val="0047145B"/>
    <w:rsid w:val="00472240"/>
    <w:rsid w:val="00473536"/>
    <w:rsid w:val="0047369B"/>
    <w:rsid w:val="00473A02"/>
    <w:rsid w:val="00475B16"/>
    <w:rsid w:val="00480043"/>
    <w:rsid w:val="004807C8"/>
    <w:rsid w:val="00480E9B"/>
    <w:rsid w:val="00481C3F"/>
    <w:rsid w:val="00482F81"/>
    <w:rsid w:val="0048386D"/>
    <w:rsid w:val="0048574D"/>
    <w:rsid w:val="004857B0"/>
    <w:rsid w:val="00487958"/>
    <w:rsid w:val="00490744"/>
    <w:rsid w:val="00491437"/>
    <w:rsid w:val="00491913"/>
    <w:rsid w:val="00491F20"/>
    <w:rsid w:val="00491FE0"/>
    <w:rsid w:val="00492080"/>
    <w:rsid w:val="0049222A"/>
    <w:rsid w:val="00492700"/>
    <w:rsid w:val="004935D2"/>
    <w:rsid w:val="00493A7B"/>
    <w:rsid w:val="0049463D"/>
    <w:rsid w:val="00494C39"/>
    <w:rsid w:val="00495E02"/>
    <w:rsid w:val="004976CF"/>
    <w:rsid w:val="0049770F"/>
    <w:rsid w:val="004A0995"/>
    <w:rsid w:val="004A1219"/>
    <w:rsid w:val="004A194A"/>
    <w:rsid w:val="004A4630"/>
    <w:rsid w:val="004A49CD"/>
    <w:rsid w:val="004A49D5"/>
    <w:rsid w:val="004A4EC5"/>
    <w:rsid w:val="004A4FD9"/>
    <w:rsid w:val="004A5A05"/>
    <w:rsid w:val="004A5AB4"/>
    <w:rsid w:val="004A708C"/>
    <w:rsid w:val="004A76EE"/>
    <w:rsid w:val="004A7B65"/>
    <w:rsid w:val="004B1003"/>
    <w:rsid w:val="004B195E"/>
    <w:rsid w:val="004B2197"/>
    <w:rsid w:val="004B482C"/>
    <w:rsid w:val="004B4E98"/>
    <w:rsid w:val="004B50F6"/>
    <w:rsid w:val="004B58B6"/>
    <w:rsid w:val="004B724A"/>
    <w:rsid w:val="004B73B9"/>
    <w:rsid w:val="004B7560"/>
    <w:rsid w:val="004C0372"/>
    <w:rsid w:val="004C0905"/>
    <w:rsid w:val="004C1592"/>
    <w:rsid w:val="004C3A13"/>
    <w:rsid w:val="004C40B0"/>
    <w:rsid w:val="004C447F"/>
    <w:rsid w:val="004C4630"/>
    <w:rsid w:val="004C5D53"/>
    <w:rsid w:val="004C5DEA"/>
    <w:rsid w:val="004C668B"/>
    <w:rsid w:val="004C66C3"/>
    <w:rsid w:val="004C6F4A"/>
    <w:rsid w:val="004C7720"/>
    <w:rsid w:val="004C7F9B"/>
    <w:rsid w:val="004D2525"/>
    <w:rsid w:val="004D4E1E"/>
    <w:rsid w:val="004D56AE"/>
    <w:rsid w:val="004D64CC"/>
    <w:rsid w:val="004D69C8"/>
    <w:rsid w:val="004D7B04"/>
    <w:rsid w:val="004E0760"/>
    <w:rsid w:val="004E0AC5"/>
    <w:rsid w:val="004E12EF"/>
    <w:rsid w:val="004E14C5"/>
    <w:rsid w:val="004E2051"/>
    <w:rsid w:val="004E22AF"/>
    <w:rsid w:val="004E4752"/>
    <w:rsid w:val="004E4CFB"/>
    <w:rsid w:val="004E5166"/>
    <w:rsid w:val="004E5613"/>
    <w:rsid w:val="004E5C6D"/>
    <w:rsid w:val="004E6096"/>
    <w:rsid w:val="004E706F"/>
    <w:rsid w:val="004E7495"/>
    <w:rsid w:val="004E74C3"/>
    <w:rsid w:val="004F01DA"/>
    <w:rsid w:val="004F2981"/>
    <w:rsid w:val="004F3FDB"/>
    <w:rsid w:val="004F41C4"/>
    <w:rsid w:val="004F6AE5"/>
    <w:rsid w:val="005006D9"/>
    <w:rsid w:val="0050253C"/>
    <w:rsid w:val="005058CF"/>
    <w:rsid w:val="00505D44"/>
    <w:rsid w:val="00507641"/>
    <w:rsid w:val="00510727"/>
    <w:rsid w:val="005107F1"/>
    <w:rsid w:val="0051091C"/>
    <w:rsid w:val="0051104B"/>
    <w:rsid w:val="00512ADD"/>
    <w:rsid w:val="00514147"/>
    <w:rsid w:val="005146EE"/>
    <w:rsid w:val="00515836"/>
    <w:rsid w:val="005160F8"/>
    <w:rsid w:val="0051611B"/>
    <w:rsid w:val="00517F9D"/>
    <w:rsid w:val="00523A04"/>
    <w:rsid w:val="00526AE2"/>
    <w:rsid w:val="00527053"/>
    <w:rsid w:val="00527318"/>
    <w:rsid w:val="00527A27"/>
    <w:rsid w:val="00527D3D"/>
    <w:rsid w:val="0053049A"/>
    <w:rsid w:val="00531753"/>
    <w:rsid w:val="00531DC9"/>
    <w:rsid w:val="0053257C"/>
    <w:rsid w:val="005328DD"/>
    <w:rsid w:val="00532D16"/>
    <w:rsid w:val="0053448D"/>
    <w:rsid w:val="005369C3"/>
    <w:rsid w:val="00537B65"/>
    <w:rsid w:val="00540C49"/>
    <w:rsid w:val="00541BC9"/>
    <w:rsid w:val="0054227E"/>
    <w:rsid w:val="00543BAF"/>
    <w:rsid w:val="00543DA6"/>
    <w:rsid w:val="00543F5E"/>
    <w:rsid w:val="00544623"/>
    <w:rsid w:val="0054541D"/>
    <w:rsid w:val="00545CED"/>
    <w:rsid w:val="00546141"/>
    <w:rsid w:val="005471C0"/>
    <w:rsid w:val="005519A0"/>
    <w:rsid w:val="00554D5C"/>
    <w:rsid w:val="00555A42"/>
    <w:rsid w:val="00555A66"/>
    <w:rsid w:val="00556E45"/>
    <w:rsid w:val="00557602"/>
    <w:rsid w:val="00560F3D"/>
    <w:rsid w:val="0056207D"/>
    <w:rsid w:val="005637B9"/>
    <w:rsid w:val="0056463D"/>
    <w:rsid w:val="00564F9B"/>
    <w:rsid w:val="0056545D"/>
    <w:rsid w:val="00566308"/>
    <w:rsid w:val="00566B18"/>
    <w:rsid w:val="005670DB"/>
    <w:rsid w:val="00567A47"/>
    <w:rsid w:val="00567F78"/>
    <w:rsid w:val="00570FB7"/>
    <w:rsid w:val="0057182C"/>
    <w:rsid w:val="00571BEE"/>
    <w:rsid w:val="00573638"/>
    <w:rsid w:val="0057487E"/>
    <w:rsid w:val="0057568E"/>
    <w:rsid w:val="00575B35"/>
    <w:rsid w:val="00577A8E"/>
    <w:rsid w:val="00577CAA"/>
    <w:rsid w:val="00581EF6"/>
    <w:rsid w:val="00582CD6"/>
    <w:rsid w:val="005853D3"/>
    <w:rsid w:val="0058653D"/>
    <w:rsid w:val="00587449"/>
    <w:rsid w:val="00587ECD"/>
    <w:rsid w:val="005906EA"/>
    <w:rsid w:val="00593C13"/>
    <w:rsid w:val="00593E5A"/>
    <w:rsid w:val="00594D8A"/>
    <w:rsid w:val="00597654"/>
    <w:rsid w:val="005978CB"/>
    <w:rsid w:val="005978F9"/>
    <w:rsid w:val="00597AC0"/>
    <w:rsid w:val="005A197B"/>
    <w:rsid w:val="005A29C8"/>
    <w:rsid w:val="005A44F8"/>
    <w:rsid w:val="005A4D12"/>
    <w:rsid w:val="005A4E01"/>
    <w:rsid w:val="005A503E"/>
    <w:rsid w:val="005A55AE"/>
    <w:rsid w:val="005A6C54"/>
    <w:rsid w:val="005B09B6"/>
    <w:rsid w:val="005B10F3"/>
    <w:rsid w:val="005B1C4B"/>
    <w:rsid w:val="005B2BAE"/>
    <w:rsid w:val="005B51B3"/>
    <w:rsid w:val="005B581C"/>
    <w:rsid w:val="005B6BFC"/>
    <w:rsid w:val="005B6C86"/>
    <w:rsid w:val="005B6D13"/>
    <w:rsid w:val="005B6F67"/>
    <w:rsid w:val="005B7878"/>
    <w:rsid w:val="005B7BD8"/>
    <w:rsid w:val="005C041D"/>
    <w:rsid w:val="005C13FB"/>
    <w:rsid w:val="005C15EC"/>
    <w:rsid w:val="005C1A46"/>
    <w:rsid w:val="005C225C"/>
    <w:rsid w:val="005C2F65"/>
    <w:rsid w:val="005C4F67"/>
    <w:rsid w:val="005C5708"/>
    <w:rsid w:val="005C6C50"/>
    <w:rsid w:val="005C711E"/>
    <w:rsid w:val="005C7146"/>
    <w:rsid w:val="005C78F1"/>
    <w:rsid w:val="005D38C5"/>
    <w:rsid w:val="005D4469"/>
    <w:rsid w:val="005D5ED3"/>
    <w:rsid w:val="005D79B2"/>
    <w:rsid w:val="005E00C0"/>
    <w:rsid w:val="005E195E"/>
    <w:rsid w:val="005E1DFC"/>
    <w:rsid w:val="005E1F58"/>
    <w:rsid w:val="005E2262"/>
    <w:rsid w:val="005E2AD5"/>
    <w:rsid w:val="005E34FD"/>
    <w:rsid w:val="005E387B"/>
    <w:rsid w:val="005E3C88"/>
    <w:rsid w:val="005E4A8A"/>
    <w:rsid w:val="005E664C"/>
    <w:rsid w:val="005F0573"/>
    <w:rsid w:val="005F05DB"/>
    <w:rsid w:val="005F120C"/>
    <w:rsid w:val="005F1ACA"/>
    <w:rsid w:val="005F1DDD"/>
    <w:rsid w:val="005F200C"/>
    <w:rsid w:val="005F3406"/>
    <w:rsid w:val="005F41BB"/>
    <w:rsid w:val="005F4FF9"/>
    <w:rsid w:val="005F5AC8"/>
    <w:rsid w:val="005F6A64"/>
    <w:rsid w:val="005F778E"/>
    <w:rsid w:val="005F7BE6"/>
    <w:rsid w:val="005F7D57"/>
    <w:rsid w:val="00600332"/>
    <w:rsid w:val="0060109C"/>
    <w:rsid w:val="0060178F"/>
    <w:rsid w:val="0060285B"/>
    <w:rsid w:val="00603F82"/>
    <w:rsid w:val="0060401D"/>
    <w:rsid w:val="006044D1"/>
    <w:rsid w:val="00605722"/>
    <w:rsid w:val="00605CF7"/>
    <w:rsid w:val="006060B1"/>
    <w:rsid w:val="00606C94"/>
    <w:rsid w:val="00606E0C"/>
    <w:rsid w:val="0060732F"/>
    <w:rsid w:val="00607EDD"/>
    <w:rsid w:val="00610761"/>
    <w:rsid w:val="00610905"/>
    <w:rsid w:val="00615CC5"/>
    <w:rsid w:val="0061610B"/>
    <w:rsid w:val="006162B5"/>
    <w:rsid w:val="006176A3"/>
    <w:rsid w:val="00620DD8"/>
    <w:rsid w:val="00621D61"/>
    <w:rsid w:val="00621F29"/>
    <w:rsid w:val="00623157"/>
    <w:rsid w:val="006231B1"/>
    <w:rsid w:val="00624770"/>
    <w:rsid w:val="00624C5B"/>
    <w:rsid w:val="00624DB0"/>
    <w:rsid w:val="0062581A"/>
    <w:rsid w:val="006262AD"/>
    <w:rsid w:val="00626DB1"/>
    <w:rsid w:val="00626DFE"/>
    <w:rsid w:val="006277AC"/>
    <w:rsid w:val="00630019"/>
    <w:rsid w:val="00630C60"/>
    <w:rsid w:val="00630D71"/>
    <w:rsid w:val="00631412"/>
    <w:rsid w:val="00631AFE"/>
    <w:rsid w:val="00633280"/>
    <w:rsid w:val="00633748"/>
    <w:rsid w:val="00633D53"/>
    <w:rsid w:val="00634FB3"/>
    <w:rsid w:val="00634FBD"/>
    <w:rsid w:val="00635FA5"/>
    <w:rsid w:val="0063641E"/>
    <w:rsid w:val="0063718A"/>
    <w:rsid w:val="006416DC"/>
    <w:rsid w:val="006417B6"/>
    <w:rsid w:val="00642156"/>
    <w:rsid w:val="00642DDA"/>
    <w:rsid w:val="00642FC8"/>
    <w:rsid w:val="00644555"/>
    <w:rsid w:val="0064597D"/>
    <w:rsid w:val="0064661D"/>
    <w:rsid w:val="006474C1"/>
    <w:rsid w:val="00650632"/>
    <w:rsid w:val="00652464"/>
    <w:rsid w:val="00652C7A"/>
    <w:rsid w:val="00656388"/>
    <w:rsid w:val="00656FE4"/>
    <w:rsid w:val="0065797A"/>
    <w:rsid w:val="006615FA"/>
    <w:rsid w:val="00662115"/>
    <w:rsid w:val="006629B9"/>
    <w:rsid w:val="006630C2"/>
    <w:rsid w:val="00663C6C"/>
    <w:rsid w:val="00664273"/>
    <w:rsid w:val="00664485"/>
    <w:rsid w:val="0066569F"/>
    <w:rsid w:val="006669A8"/>
    <w:rsid w:val="00670EDD"/>
    <w:rsid w:val="0067287E"/>
    <w:rsid w:val="00673256"/>
    <w:rsid w:val="00674C64"/>
    <w:rsid w:val="00674D47"/>
    <w:rsid w:val="00674E69"/>
    <w:rsid w:val="0067505D"/>
    <w:rsid w:val="006768D3"/>
    <w:rsid w:val="00676F37"/>
    <w:rsid w:val="0067749C"/>
    <w:rsid w:val="006804E0"/>
    <w:rsid w:val="00681080"/>
    <w:rsid w:val="006813D4"/>
    <w:rsid w:val="00681497"/>
    <w:rsid w:val="006817CA"/>
    <w:rsid w:val="00681FAC"/>
    <w:rsid w:val="00682E99"/>
    <w:rsid w:val="006834B9"/>
    <w:rsid w:val="00683C63"/>
    <w:rsid w:val="00684152"/>
    <w:rsid w:val="006848FB"/>
    <w:rsid w:val="00685673"/>
    <w:rsid w:val="00685E06"/>
    <w:rsid w:val="00686611"/>
    <w:rsid w:val="00686BF2"/>
    <w:rsid w:val="00686E8E"/>
    <w:rsid w:val="006878C0"/>
    <w:rsid w:val="00691742"/>
    <w:rsid w:val="0069409E"/>
    <w:rsid w:val="0069577F"/>
    <w:rsid w:val="00697297"/>
    <w:rsid w:val="00697457"/>
    <w:rsid w:val="00697E17"/>
    <w:rsid w:val="006A04ED"/>
    <w:rsid w:val="006A0F7A"/>
    <w:rsid w:val="006A17F4"/>
    <w:rsid w:val="006A1C43"/>
    <w:rsid w:val="006A2093"/>
    <w:rsid w:val="006A2198"/>
    <w:rsid w:val="006A3399"/>
    <w:rsid w:val="006A4AEC"/>
    <w:rsid w:val="006B0E5D"/>
    <w:rsid w:val="006B19F5"/>
    <w:rsid w:val="006B23DF"/>
    <w:rsid w:val="006B3D07"/>
    <w:rsid w:val="006B42EA"/>
    <w:rsid w:val="006B5969"/>
    <w:rsid w:val="006B64C1"/>
    <w:rsid w:val="006B6818"/>
    <w:rsid w:val="006B6F5F"/>
    <w:rsid w:val="006B7BF5"/>
    <w:rsid w:val="006C0305"/>
    <w:rsid w:val="006C09AD"/>
    <w:rsid w:val="006C2DAD"/>
    <w:rsid w:val="006C4819"/>
    <w:rsid w:val="006C5B2D"/>
    <w:rsid w:val="006D2467"/>
    <w:rsid w:val="006D5C83"/>
    <w:rsid w:val="006D6480"/>
    <w:rsid w:val="006D7A9C"/>
    <w:rsid w:val="006E0D0B"/>
    <w:rsid w:val="006E2955"/>
    <w:rsid w:val="006E3048"/>
    <w:rsid w:val="006E342E"/>
    <w:rsid w:val="006E35E4"/>
    <w:rsid w:val="006E5466"/>
    <w:rsid w:val="006E59B4"/>
    <w:rsid w:val="006E5A93"/>
    <w:rsid w:val="006E5D6D"/>
    <w:rsid w:val="006E5F24"/>
    <w:rsid w:val="006F0628"/>
    <w:rsid w:val="006F15B6"/>
    <w:rsid w:val="006F15D6"/>
    <w:rsid w:val="006F1EE0"/>
    <w:rsid w:val="006F3773"/>
    <w:rsid w:val="006F7051"/>
    <w:rsid w:val="006F7232"/>
    <w:rsid w:val="006F7D57"/>
    <w:rsid w:val="00700740"/>
    <w:rsid w:val="0070172F"/>
    <w:rsid w:val="0070197F"/>
    <w:rsid w:val="00701E95"/>
    <w:rsid w:val="00702570"/>
    <w:rsid w:val="00702603"/>
    <w:rsid w:val="00702B40"/>
    <w:rsid w:val="0070320F"/>
    <w:rsid w:val="0070408F"/>
    <w:rsid w:val="0070607A"/>
    <w:rsid w:val="007065FB"/>
    <w:rsid w:val="007106FD"/>
    <w:rsid w:val="0071228C"/>
    <w:rsid w:val="007135E7"/>
    <w:rsid w:val="007136F1"/>
    <w:rsid w:val="007158DC"/>
    <w:rsid w:val="0072023A"/>
    <w:rsid w:val="0072083A"/>
    <w:rsid w:val="00721309"/>
    <w:rsid w:val="00722A76"/>
    <w:rsid w:val="007239AF"/>
    <w:rsid w:val="00724BD1"/>
    <w:rsid w:val="00725455"/>
    <w:rsid w:val="00725A5B"/>
    <w:rsid w:val="00725C27"/>
    <w:rsid w:val="007305E5"/>
    <w:rsid w:val="007315E3"/>
    <w:rsid w:val="00731BA4"/>
    <w:rsid w:val="00731BF1"/>
    <w:rsid w:val="00731C8E"/>
    <w:rsid w:val="007341E7"/>
    <w:rsid w:val="00736B17"/>
    <w:rsid w:val="00737031"/>
    <w:rsid w:val="0073761D"/>
    <w:rsid w:val="00740A71"/>
    <w:rsid w:val="00741B41"/>
    <w:rsid w:val="00741F4A"/>
    <w:rsid w:val="007423BD"/>
    <w:rsid w:val="00743669"/>
    <w:rsid w:val="00744E55"/>
    <w:rsid w:val="007457C0"/>
    <w:rsid w:val="007460C4"/>
    <w:rsid w:val="00747464"/>
    <w:rsid w:val="00750D91"/>
    <w:rsid w:val="007519F6"/>
    <w:rsid w:val="00751AF3"/>
    <w:rsid w:val="00751C84"/>
    <w:rsid w:val="00752201"/>
    <w:rsid w:val="007535D9"/>
    <w:rsid w:val="00754351"/>
    <w:rsid w:val="007545D9"/>
    <w:rsid w:val="007549F0"/>
    <w:rsid w:val="00756547"/>
    <w:rsid w:val="00760547"/>
    <w:rsid w:val="00762A6F"/>
    <w:rsid w:val="00762EE4"/>
    <w:rsid w:val="007639E7"/>
    <w:rsid w:val="007653A6"/>
    <w:rsid w:val="007661D1"/>
    <w:rsid w:val="00767185"/>
    <w:rsid w:val="00767A8A"/>
    <w:rsid w:val="00770898"/>
    <w:rsid w:val="007708CE"/>
    <w:rsid w:val="00771C15"/>
    <w:rsid w:val="00771F23"/>
    <w:rsid w:val="0077212C"/>
    <w:rsid w:val="0077276C"/>
    <w:rsid w:val="00772CE9"/>
    <w:rsid w:val="00772E8D"/>
    <w:rsid w:val="007755CF"/>
    <w:rsid w:val="00775989"/>
    <w:rsid w:val="00775AC8"/>
    <w:rsid w:val="00776F45"/>
    <w:rsid w:val="00777C35"/>
    <w:rsid w:val="00777D1D"/>
    <w:rsid w:val="0078010F"/>
    <w:rsid w:val="007828FB"/>
    <w:rsid w:val="00782C36"/>
    <w:rsid w:val="0078334B"/>
    <w:rsid w:val="0078597B"/>
    <w:rsid w:val="00785A0A"/>
    <w:rsid w:val="00790617"/>
    <w:rsid w:val="0079067B"/>
    <w:rsid w:val="00790C84"/>
    <w:rsid w:val="00790E20"/>
    <w:rsid w:val="00791FA5"/>
    <w:rsid w:val="007929D1"/>
    <w:rsid w:val="00794059"/>
    <w:rsid w:val="00795712"/>
    <w:rsid w:val="00795743"/>
    <w:rsid w:val="007958BE"/>
    <w:rsid w:val="00795CA6"/>
    <w:rsid w:val="00796271"/>
    <w:rsid w:val="00796A2E"/>
    <w:rsid w:val="0079715B"/>
    <w:rsid w:val="0079738B"/>
    <w:rsid w:val="007975B5"/>
    <w:rsid w:val="00797BE8"/>
    <w:rsid w:val="007A00F9"/>
    <w:rsid w:val="007A062F"/>
    <w:rsid w:val="007A2F9C"/>
    <w:rsid w:val="007A32B1"/>
    <w:rsid w:val="007A4043"/>
    <w:rsid w:val="007A4283"/>
    <w:rsid w:val="007A4501"/>
    <w:rsid w:val="007A6470"/>
    <w:rsid w:val="007A66B2"/>
    <w:rsid w:val="007A6A8B"/>
    <w:rsid w:val="007B00AB"/>
    <w:rsid w:val="007B00D3"/>
    <w:rsid w:val="007B0796"/>
    <w:rsid w:val="007B07B9"/>
    <w:rsid w:val="007B0ACE"/>
    <w:rsid w:val="007B0D68"/>
    <w:rsid w:val="007B0E68"/>
    <w:rsid w:val="007B22EA"/>
    <w:rsid w:val="007B2569"/>
    <w:rsid w:val="007B2BC6"/>
    <w:rsid w:val="007B2FF6"/>
    <w:rsid w:val="007B4E4B"/>
    <w:rsid w:val="007B5D6D"/>
    <w:rsid w:val="007B6B20"/>
    <w:rsid w:val="007B72BE"/>
    <w:rsid w:val="007C00EA"/>
    <w:rsid w:val="007C0D43"/>
    <w:rsid w:val="007C1F58"/>
    <w:rsid w:val="007C20DE"/>
    <w:rsid w:val="007C2EF0"/>
    <w:rsid w:val="007C314F"/>
    <w:rsid w:val="007C4217"/>
    <w:rsid w:val="007C51D9"/>
    <w:rsid w:val="007C523D"/>
    <w:rsid w:val="007C5254"/>
    <w:rsid w:val="007C5EEA"/>
    <w:rsid w:val="007C64B2"/>
    <w:rsid w:val="007D0A7B"/>
    <w:rsid w:val="007D2544"/>
    <w:rsid w:val="007D29D7"/>
    <w:rsid w:val="007D29FC"/>
    <w:rsid w:val="007D3594"/>
    <w:rsid w:val="007D3B83"/>
    <w:rsid w:val="007D400F"/>
    <w:rsid w:val="007D5F99"/>
    <w:rsid w:val="007D7F59"/>
    <w:rsid w:val="007E02EE"/>
    <w:rsid w:val="007E0533"/>
    <w:rsid w:val="007E0EA4"/>
    <w:rsid w:val="007E1488"/>
    <w:rsid w:val="007E299C"/>
    <w:rsid w:val="007E352D"/>
    <w:rsid w:val="007E3C4A"/>
    <w:rsid w:val="007E53C9"/>
    <w:rsid w:val="007E55D7"/>
    <w:rsid w:val="007E58B0"/>
    <w:rsid w:val="007E7C60"/>
    <w:rsid w:val="007F0CB4"/>
    <w:rsid w:val="007F218F"/>
    <w:rsid w:val="007F248A"/>
    <w:rsid w:val="007F28CA"/>
    <w:rsid w:val="007F3160"/>
    <w:rsid w:val="007F3B3A"/>
    <w:rsid w:val="007F4900"/>
    <w:rsid w:val="007F54AF"/>
    <w:rsid w:val="00801074"/>
    <w:rsid w:val="00801A6D"/>
    <w:rsid w:val="00801A8B"/>
    <w:rsid w:val="00803115"/>
    <w:rsid w:val="0080324F"/>
    <w:rsid w:val="008048DF"/>
    <w:rsid w:val="00804A30"/>
    <w:rsid w:val="00805E1F"/>
    <w:rsid w:val="00806227"/>
    <w:rsid w:val="008101DD"/>
    <w:rsid w:val="00811383"/>
    <w:rsid w:val="0081349E"/>
    <w:rsid w:val="00813B16"/>
    <w:rsid w:val="00813E6F"/>
    <w:rsid w:val="00820898"/>
    <w:rsid w:val="00820BBE"/>
    <w:rsid w:val="008217A4"/>
    <w:rsid w:val="00821B13"/>
    <w:rsid w:val="008240B9"/>
    <w:rsid w:val="00824E3D"/>
    <w:rsid w:val="00825326"/>
    <w:rsid w:val="0082663E"/>
    <w:rsid w:val="00826A70"/>
    <w:rsid w:val="00826C87"/>
    <w:rsid w:val="00827084"/>
    <w:rsid w:val="00827A14"/>
    <w:rsid w:val="00827D8A"/>
    <w:rsid w:val="0083122F"/>
    <w:rsid w:val="00831D27"/>
    <w:rsid w:val="008322ED"/>
    <w:rsid w:val="0083290E"/>
    <w:rsid w:val="00832E65"/>
    <w:rsid w:val="008350FF"/>
    <w:rsid w:val="00835A86"/>
    <w:rsid w:val="00836B92"/>
    <w:rsid w:val="008377DE"/>
    <w:rsid w:val="00840FB1"/>
    <w:rsid w:val="008413BF"/>
    <w:rsid w:val="0084601F"/>
    <w:rsid w:val="0084627A"/>
    <w:rsid w:val="008466A2"/>
    <w:rsid w:val="00852F79"/>
    <w:rsid w:val="00853158"/>
    <w:rsid w:val="0085343C"/>
    <w:rsid w:val="0085370C"/>
    <w:rsid w:val="00853B35"/>
    <w:rsid w:val="0085467A"/>
    <w:rsid w:val="00855B8C"/>
    <w:rsid w:val="00861466"/>
    <w:rsid w:val="00861EE2"/>
    <w:rsid w:val="00863617"/>
    <w:rsid w:val="00864800"/>
    <w:rsid w:val="00864BDF"/>
    <w:rsid w:val="00865767"/>
    <w:rsid w:val="008657B8"/>
    <w:rsid w:val="00865BCF"/>
    <w:rsid w:val="00866148"/>
    <w:rsid w:val="00867844"/>
    <w:rsid w:val="00872301"/>
    <w:rsid w:val="00872A19"/>
    <w:rsid w:val="00873B0E"/>
    <w:rsid w:val="00873EE7"/>
    <w:rsid w:val="008750FC"/>
    <w:rsid w:val="00875853"/>
    <w:rsid w:val="008766FB"/>
    <w:rsid w:val="00876EF1"/>
    <w:rsid w:val="008774EF"/>
    <w:rsid w:val="0087756F"/>
    <w:rsid w:val="00877DFE"/>
    <w:rsid w:val="0088083B"/>
    <w:rsid w:val="00881A13"/>
    <w:rsid w:val="00881D92"/>
    <w:rsid w:val="0088207E"/>
    <w:rsid w:val="00882A3A"/>
    <w:rsid w:val="008849E2"/>
    <w:rsid w:val="00885AA2"/>
    <w:rsid w:val="008861F0"/>
    <w:rsid w:val="00887AAB"/>
    <w:rsid w:val="00890C6C"/>
    <w:rsid w:val="00891DB3"/>
    <w:rsid w:val="008943FF"/>
    <w:rsid w:val="00894402"/>
    <w:rsid w:val="0089493C"/>
    <w:rsid w:val="00894B81"/>
    <w:rsid w:val="0089551E"/>
    <w:rsid w:val="008967AB"/>
    <w:rsid w:val="00896913"/>
    <w:rsid w:val="008969AA"/>
    <w:rsid w:val="008A00D0"/>
    <w:rsid w:val="008A2BB7"/>
    <w:rsid w:val="008A2F3D"/>
    <w:rsid w:val="008A300B"/>
    <w:rsid w:val="008B1E23"/>
    <w:rsid w:val="008B359E"/>
    <w:rsid w:val="008B4ECA"/>
    <w:rsid w:val="008B60AA"/>
    <w:rsid w:val="008B611E"/>
    <w:rsid w:val="008B6339"/>
    <w:rsid w:val="008B6733"/>
    <w:rsid w:val="008B69EB"/>
    <w:rsid w:val="008C17BE"/>
    <w:rsid w:val="008C180C"/>
    <w:rsid w:val="008C183D"/>
    <w:rsid w:val="008C2E6E"/>
    <w:rsid w:val="008C2F99"/>
    <w:rsid w:val="008C3816"/>
    <w:rsid w:val="008C538D"/>
    <w:rsid w:val="008C5892"/>
    <w:rsid w:val="008C5B78"/>
    <w:rsid w:val="008C664E"/>
    <w:rsid w:val="008C695A"/>
    <w:rsid w:val="008C71E3"/>
    <w:rsid w:val="008D033D"/>
    <w:rsid w:val="008D151A"/>
    <w:rsid w:val="008D16FD"/>
    <w:rsid w:val="008D19E5"/>
    <w:rsid w:val="008D1CDA"/>
    <w:rsid w:val="008D28BC"/>
    <w:rsid w:val="008D2EEE"/>
    <w:rsid w:val="008D5BAB"/>
    <w:rsid w:val="008D5D89"/>
    <w:rsid w:val="008D73D7"/>
    <w:rsid w:val="008E1185"/>
    <w:rsid w:val="008E1907"/>
    <w:rsid w:val="008E26A2"/>
    <w:rsid w:val="008E30C5"/>
    <w:rsid w:val="008E339D"/>
    <w:rsid w:val="008E478F"/>
    <w:rsid w:val="008E4A2C"/>
    <w:rsid w:val="008E58E9"/>
    <w:rsid w:val="008E7B2B"/>
    <w:rsid w:val="008F0219"/>
    <w:rsid w:val="008F2A89"/>
    <w:rsid w:val="008F2ED7"/>
    <w:rsid w:val="008F3C2F"/>
    <w:rsid w:val="008F3C48"/>
    <w:rsid w:val="008F4F91"/>
    <w:rsid w:val="008F550C"/>
    <w:rsid w:val="008F5CD9"/>
    <w:rsid w:val="008F6F37"/>
    <w:rsid w:val="008F744B"/>
    <w:rsid w:val="009035DF"/>
    <w:rsid w:val="009061B0"/>
    <w:rsid w:val="00906BBC"/>
    <w:rsid w:val="00906FBA"/>
    <w:rsid w:val="0091070A"/>
    <w:rsid w:val="00910D0D"/>
    <w:rsid w:val="00911D41"/>
    <w:rsid w:val="00913D11"/>
    <w:rsid w:val="009141D2"/>
    <w:rsid w:val="0091693F"/>
    <w:rsid w:val="00917756"/>
    <w:rsid w:val="0092195F"/>
    <w:rsid w:val="00921F31"/>
    <w:rsid w:val="009220D6"/>
    <w:rsid w:val="009221FA"/>
    <w:rsid w:val="00923EA7"/>
    <w:rsid w:val="009245D8"/>
    <w:rsid w:val="00925529"/>
    <w:rsid w:val="00926112"/>
    <w:rsid w:val="0092685A"/>
    <w:rsid w:val="00926BF8"/>
    <w:rsid w:val="009271DA"/>
    <w:rsid w:val="00927688"/>
    <w:rsid w:val="009310FC"/>
    <w:rsid w:val="00931478"/>
    <w:rsid w:val="0093150C"/>
    <w:rsid w:val="00932912"/>
    <w:rsid w:val="0093304A"/>
    <w:rsid w:val="00933FEC"/>
    <w:rsid w:val="00936F8F"/>
    <w:rsid w:val="009400FA"/>
    <w:rsid w:val="00940E95"/>
    <w:rsid w:val="00942A29"/>
    <w:rsid w:val="00942F1B"/>
    <w:rsid w:val="00943280"/>
    <w:rsid w:val="009434E2"/>
    <w:rsid w:val="00943B15"/>
    <w:rsid w:val="00944227"/>
    <w:rsid w:val="00944623"/>
    <w:rsid w:val="00947094"/>
    <w:rsid w:val="00947587"/>
    <w:rsid w:val="00947D8E"/>
    <w:rsid w:val="0095051F"/>
    <w:rsid w:val="009509D1"/>
    <w:rsid w:val="009510B6"/>
    <w:rsid w:val="00952034"/>
    <w:rsid w:val="00954F97"/>
    <w:rsid w:val="009553D4"/>
    <w:rsid w:val="00955737"/>
    <w:rsid w:val="009566C1"/>
    <w:rsid w:val="00961FC5"/>
    <w:rsid w:val="00962035"/>
    <w:rsid w:val="009628FB"/>
    <w:rsid w:val="00963818"/>
    <w:rsid w:val="00965108"/>
    <w:rsid w:val="0096590F"/>
    <w:rsid w:val="00966594"/>
    <w:rsid w:val="0097082E"/>
    <w:rsid w:val="009710E3"/>
    <w:rsid w:val="009716DF"/>
    <w:rsid w:val="00972211"/>
    <w:rsid w:val="00972F3A"/>
    <w:rsid w:val="00974011"/>
    <w:rsid w:val="009753CF"/>
    <w:rsid w:val="009762C7"/>
    <w:rsid w:val="009765B0"/>
    <w:rsid w:val="00976F9F"/>
    <w:rsid w:val="009771F8"/>
    <w:rsid w:val="00980F7A"/>
    <w:rsid w:val="00981364"/>
    <w:rsid w:val="00982AB1"/>
    <w:rsid w:val="009846F6"/>
    <w:rsid w:val="009864A0"/>
    <w:rsid w:val="00987A1A"/>
    <w:rsid w:val="009908B4"/>
    <w:rsid w:val="009915C9"/>
    <w:rsid w:val="00992239"/>
    <w:rsid w:val="00994A27"/>
    <w:rsid w:val="00994E93"/>
    <w:rsid w:val="00995B4D"/>
    <w:rsid w:val="00995C9A"/>
    <w:rsid w:val="0099754C"/>
    <w:rsid w:val="009977D4"/>
    <w:rsid w:val="009A05F2"/>
    <w:rsid w:val="009A1A21"/>
    <w:rsid w:val="009A2CCB"/>
    <w:rsid w:val="009A2DE8"/>
    <w:rsid w:val="009A32E9"/>
    <w:rsid w:val="009A752E"/>
    <w:rsid w:val="009A7998"/>
    <w:rsid w:val="009A7E28"/>
    <w:rsid w:val="009B1488"/>
    <w:rsid w:val="009B1838"/>
    <w:rsid w:val="009B1DC9"/>
    <w:rsid w:val="009B237E"/>
    <w:rsid w:val="009B4EE6"/>
    <w:rsid w:val="009B5FCD"/>
    <w:rsid w:val="009B6620"/>
    <w:rsid w:val="009B7032"/>
    <w:rsid w:val="009B77F9"/>
    <w:rsid w:val="009C366D"/>
    <w:rsid w:val="009C4226"/>
    <w:rsid w:val="009C45C2"/>
    <w:rsid w:val="009C653E"/>
    <w:rsid w:val="009C6EE8"/>
    <w:rsid w:val="009D20E9"/>
    <w:rsid w:val="009D2931"/>
    <w:rsid w:val="009D2CEB"/>
    <w:rsid w:val="009D2D8E"/>
    <w:rsid w:val="009D3725"/>
    <w:rsid w:val="009D3A25"/>
    <w:rsid w:val="009D3A97"/>
    <w:rsid w:val="009D52BD"/>
    <w:rsid w:val="009D581E"/>
    <w:rsid w:val="009D59F4"/>
    <w:rsid w:val="009D65FF"/>
    <w:rsid w:val="009D6ECF"/>
    <w:rsid w:val="009D784B"/>
    <w:rsid w:val="009E0244"/>
    <w:rsid w:val="009E0560"/>
    <w:rsid w:val="009E0FD0"/>
    <w:rsid w:val="009E1B71"/>
    <w:rsid w:val="009E2310"/>
    <w:rsid w:val="009E3EC4"/>
    <w:rsid w:val="009E45BF"/>
    <w:rsid w:val="009E49D2"/>
    <w:rsid w:val="009E4ED8"/>
    <w:rsid w:val="009E4FA2"/>
    <w:rsid w:val="009E5264"/>
    <w:rsid w:val="009E53AD"/>
    <w:rsid w:val="009E61F8"/>
    <w:rsid w:val="009E6B85"/>
    <w:rsid w:val="009F098D"/>
    <w:rsid w:val="009F317B"/>
    <w:rsid w:val="009F33B2"/>
    <w:rsid w:val="009F3BF3"/>
    <w:rsid w:val="009F53ED"/>
    <w:rsid w:val="009F6427"/>
    <w:rsid w:val="009F6501"/>
    <w:rsid w:val="009F6BFA"/>
    <w:rsid w:val="009F7B66"/>
    <w:rsid w:val="00A005F8"/>
    <w:rsid w:val="00A02BEA"/>
    <w:rsid w:val="00A03E82"/>
    <w:rsid w:val="00A05B04"/>
    <w:rsid w:val="00A0625D"/>
    <w:rsid w:val="00A0696C"/>
    <w:rsid w:val="00A06BBE"/>
    <w:rsid w:val="00A07189"/>
    <w:rsid w:val="00A0718D"/>
    <w:rsid w:val="00A10796"/>
    <w:rsid w:val="00A10931"/>
    <w:rsid w:val="00A11061"/>
    <w:rsid w:val="00A11E90"/>
    <w:rsid w:val="00A1229B"/>
    <w:rsid w:val="00A1483D"/>
    <w:rsid w:val="00A149A0"/>
    <w:rsid w:val="00A1537C"/>
    <w:rsid w:val="00A15D71"/>
    <w:rsid w:val="00A15ED6"/>
    <w:rsid w:val="00A16360"/>
    <w:rsid w:val="00A1737C"/>
    <w:rsid w:val="00A17BCC"/>
    <w:rsid w:val="00A17D3D"/>
    <w:rsid w:val="00A20BE5"/>
    <w:rsid w:val="00A20EC0"/>
    <w:rsid w:val="00A2213F"/>
    <w:rsid w:val="00A23C02"/>
    <w:rsid w:val="00A25538"/>
    <w:rsid w:val="00A330F3"/>
    <w:rsid w:val="00A34FDD"/>
    <w:rsid w:val="00A3514B"/>
    <w:rsid w:val="00A352D7"/>
    <w:rsid w:val="00A35DAD"/>
    <w:rsid w:val="00A3632F"/>
    <w:rsid w:val="00A36BF0"/>
    <w:rsid w:val="00A36D1D"/>
    <w:rsid w:val="00A378AE"/>
    <w:rsid w:val="00A40AFC"/>
    <w:rsid w:val="00A41B50"/>
    <w:rsid w:val="00A41F65"/>
    <w:rsid w:val="00A427EE"/>
    <w:rsid w:val="00A441F7"/>
    <w:rsid w:val="00A4452C"/>
    <w:rsid w:val="00A448DE"/>
    <w:rsid w:val="00A45528"/>
    <w:rsid w:val="00A5408E"/>
    <w:rsid w:val="00A5427C"/>
    <w:rsid w:val="00A54318"/>
    <w:rsid w:val="00A54F0F"/>
    <w:rsid w:val="00A552C4"/>
    <w:rsid w:val="00A556B7"/>
    <w:rsid w:val="00A5644C"/>
    <w:rsid w:val="00A5676B"/>
    <w:rsid w:val="00A57107"/>
    <w:rsid w:val="00A574FA"/>
    <w:rsid w:val="00A57546"/>
    <w:rsid w:val="00A61E7C"/>
    <w:rsid w:val="00A62D4B"/>
    <w:rsid w:val="00A62F14"/>
    <w:rsid w:val="00A6481F"/>
    <w:rsid w:val="00A67FC6"/>
    <w:rsid w:val="00A71B0B"/>
    <w:rsid w:val="00A71B80"/>
    <w:rsid w:val="00A749FB"/>
    <w:rsid w:val="00A77512"/>
    <w:rsid w:val="00A77E0B"/>
    <w:rsid w:val="00A808D0"/>
    <w:rsid w:val="00A80A6D"/>
    <w:rsid w:val="00A81079"/>
    <w:rsid w:val="00A81E19"/>
    <w:rsid w:val="00A82998"/>
    <w:rsid w:val="00A83544"/>
    <w:rsid w:val="00A83C0D"/>
    <w:rsid w:val="00A83D76"/>
    <w:rsid w:val="00A8460F"/>
    <w:rsid w:val="00A84712"/>
    <w:rsid w:val="00A84A1C"/>
    <w:rsid w:val="00A84E30"/>
    <w:rsid w:val="00A85EAD"/>
    <w:rsid w:val="00A8681E"/>
    <w:rsid w:val="00A86F6E"/>
    <w:rsid w:val="00A87E9E"/>
    <w:rsid w:val="00A91E85"/>
    <w:rsid w:val="00A93BDE"/>
    <w:rsid w:val="00A9504D"/>
    <w:rsid w:val="00A9698D"/>
    <w:rsid w:val="00A96BBB"/>
    <w:rsid w:val="00AA28BD"/>
    <w:rsid w:val="00AA2917"/>
    <w:rsid w:val="00AA3B4D"/>
    <w:rsid w:val="00AA52E2"/>
    <w:rsid w:val="00AA735E"/>
    <w:rsid w:val="00AA74F4"/>
    <w:rsid w:val="00AB0FEF"/>
    <w:rsid w:val="00AB115D"/>
    <w:rsid w:val="00AB1C03"/>
    <w:rsid w:val="00AB31F9"/>
    <w:rsid w:val="00AB3D9F"/>
    <w:rsid w:val="00AB5972"/>
    <w:rsid w:val="00AB5A53"/>
    <w:rsid w:val="00AB5B6B"/>
    <w:rsid w:val="00AB75EF"/>
    <w:rsid w:val="00AC0B9B"/>
    <w:rsid w:val="00AC0DD1"/>
    <w:rsid w:val="00AC14E4"/>
    <w:rsid w:val="00AC2224"/>
    <w:rsid w:val="00AC25D3"/>
    <w:rsid w:val="00AC4885"/>
    <w:rsid w:val="00AC5525"/>
    <w:rsid w:val="00AC5992"/>
    <w:rsid w:val="00AC71D6"/>
    <w:rsid w:val="00AC7447"/>
    <w:rsid w:val="00AD0223"/>
    <w:rsid w:val="00AD0544"/>
    <w:rsid w:val="00AD0ADB"/>
    <w:rsid w:val="00AD1773"/>
    <w:rsid w:val="00AD2C21"/>
    <w:rsid w:val="00AD34DF"/>
    <w:rsid w:val="00AD3894"/>
    <w:rsid w:val="00AD4D45"/>
    <w:rsid w:val="00AD58FF"/>
    <w:rsid w:val="00AE23FC"/>
    <w:rsid w:val="00AE26D8"/>
    <w:rsid w:val="00AE4C95"/>
    <w:rsid w:val="00AE4E01"/>
    <w:rsid w:val="00AE5957"/>
    <w:rsid w:val="00AE73DB"/>
    <w:rsid w:val="00AF035C"/>
    <w:rsid w:val="00AF0B96"/>
    <w:rsid w:val="00AF1C04"/>
    <w:rsid w:val="00AF2576"/>
    <w:rsid w:val="00AF28F0"/>
    <w:rsid w:val="00AF2FEA"/>
    <w:rsid w:val="00AF34DF"/>
    <w:rsid w:val="00AF6AA6"/>
    <w:rsid w:val="00B003DE"/>
    <w:rsid w:val="00B021AC"/>
    <w:rsid w:val="00B03690"/>
    <w:rsid w:val="00B0478A"/>
    <w:rsid w:val="00B05E06"/>
    <w:rsid w:val="00B1491E"/>
    <w:rsid w:val="00B151FD"/>
    <w:rsid w:val="00B15853"/>
    <w:rsid w:val="00B1625E"/>
    <w:rsid w:val="00B16BBC"/>
    <w:rsid w:val="00B172AA"/>
    <w:rsid w:val="00B17EF4"/>
    <w:rsid w:val="00B203EE"/>
    <w:rsid w:val="00B214A7"/>
    <w:rsid w:val="00B21705"/>
    <w:rsid w:val="00B230A3"/>
    <w:rsid w:val="00B3088E"/>
    <w:rsid w:val="00B3115E"/>
    <w:rsid w:val="00B31D1B"/>
    <w:rsid w:val="00B333BA"/>
    <w:rsid w:val="00B33765"/>
    <w:rsid w:val="00B33E80"/>
    <w:rsid w:val="00B34D3D"/>
    <w:rsid w:val="00B35871"/>
    <w:rsid w:val="00B358D8"/>
    <w:rsid w:val="00B36189"/>
    <w:rsid w:val="00B363D5"/>
    <w:rsid w:val="00B363E8"/>
    <w:rsid w:val="00B4127E"/>
    <w:rsid w:val="00B41C90"/>
    <w:rsid w:val="00B41D7F"/>
    <w:rsid w:val="00B41F27"/>
    <w:rsid w:val="00B43629"/>
    <w:rsid w:val="00B43D8D"/>
    <w:rsid w:val="00B44A6B"/>
    <w:rsid w:val="00B44F6C"/>
    <w:rsid w:val="00B44F86"/>
    <w:rsid w:val="00B45367"/>
    <w:rsid w:val="00B50177"/>
    <w:rsid w:val="00B51DC6"/>
    <w:rsid w:val="00B522BC"/>
    <w:rsid w:val="00B52D48"/>
    <w:rsid w:val="00B532B6"/>
    <w:rsid w:val="00B54AB1"/>
    <w:rsid w:val="00B54BA1"/>
    <w:rsid w:val="00B54FA4"/>
    <w:rsid w:val="00B55126"/>
    <w:rsid w:val="00B57644"/>
    <w:rsid w:val="00B57BB2"/>
    <w:rsid w:val="00B61F06"/>
    <w:rsid w:val="00B64444"/>
    <w:rsid w:val="00B64F1E"/>
    <w:rsid w:val="00B667AA"/>
    <w:rsid w:val="00B678C5"/>
    <w:rsid w:val="00B7202D"/>
    <w:rsid w:val="00B72A84"/>
    <w:rsid w:val="00B7421F"/>
    <w:rsid w:val="00B7453D"/>
    <w:rsid w:val="00B7776D"/>
    <w:rsid w:val="00B816AF"/>
    <w:rsid w:val="00B82774"/>
    <w:rsid w:val="00B83139"/>
    <w:rsid w:val="00B83654"/>
    <w:rsid w:val="00B857C5"/>
    <w:rsid w:val="00B85DDE"/>
    <w:rsid w:val="00B9018A"/>
    <w:rsid w:val="00B9083A"/>
    <w:rsid w:val="00B90D2E"/>
    <w:rsid w:val="00B91151"/>
    <w:rsid w:val="00B9291C"/>
    <w:rsid w:val="00B92FB4"/>
    <w:rsid w:val="00B930E4"/>
    <w:rsid w:val="00B93110"/>
    <w:rsid w:val="00B9336B"/>
    <w:rsid w:val="00B934B2"/>
    <w:rsid w:val="00B93993"/>
    <w:rsid w:val="00B94415"/>
    <w:rsid w:val="00B948B2"/>
    <w:rsid w:val="00B95C78"/>
    <w:rsid w:val="00B964EA"/>
    <w:rsid w:val="00B97017"/>
    <w:rsid w:val="00BA16C0"/>
    <w:rsid w:val="00BA5002"/>
    <w:rsid w:val="00BA6AAE"/>
    <w:rsid w:val="00BA6FC9"/>
    <w:rsid w:val="00BA79B9"/>
    <w:rsid w:val="00BB01C9"/>
    <w:rsid w:val="00BB0335"/>
    <w:rsid w:val="00BB102F"/>
    <w:rsid w:val="00BB1D36"/>
    <w:rsid w:val="00BB37E8"/>
    <w:rsid w:val="00BB3B27"/>
    <w:rsid w:val="00BB3CE5"/>
    <w:rsid w:val="00BB4753"/>
    <w:rsid w:val="00BB536E"/>
    <w:rsid w:val="00BB593D"/>
    <w:rsid w:val="00BB77D6"/>
    <w:rsid w:val="00BC016F"/>
    <w:rsid w:val="00BC0646"/>
    <w:rsid w:val="00BC1B85"/>
    <w:rsid w:val="00BC2367"/>
    <w:rsid w:val="00BC2404"/>
    <w:rsid w:val="00BC29F8"/>
    <w:rsid w:val="00BC32B3"/>
    <w:rsid w:val="00BC32E7"/>
    <w:rsid w:val="00BC3A2E"/>
    <w:rsid w:val="00BC5D37"/>
    <w:rsid w:val="00BC6EA8"/>
    <w:rsid w:val="00BC7BE9"/>
    <w:rsid w:val="00BD0673"/>
    <w:rsid w:val="00BD1771"/>
    <w:rsid w:val="00BD18C2"/>
    <w:rsid w:val="00BD1FF0"/>
    <w:rsid w:val="00BD23C0"/>
    <w:rsid w:val="00BD2927"/>
    <w:rsid w:val="00BD312F"/>
    <w:rsid w:val="00BD589B"/>
    <w:rsid w:val="00BD5CFC"/>
    <w:rsid w:val="00BD5FC1"/>
    <w:rsid w:val="00BD612A"/>
    <w:rsid w:val="00BD76CD"/>
    <w:rsid w:val="00BE0B82"/>
    <w:rsid w:val="00BE0CEA"/>
    <w:rsid w:val="00BE15D0"/>
    <w:rsid w:val="00BE1943"/>
    <w:rsid w:val="00BE1C95"/>
    <w:rsid w:val="00BE1E18"/>
    <w:rsid w:val="00BE33E6"/>
    <w:rsid w:val="00BE3C55"/>
    <w:rsid w:val="00BE447D"/>
    <w:rsid w:val="00BE626D"/>
    <w:rsid w:val="00BE7432"/>
    <w:rsid w:val="00BE75F4"/>
    <w:rsid w:val="00BE7A19"/>
    <w:rsid w:val="00BE7DC8"/>
    <w:rsid w:val="00BF0A64"/>
    <w:rsid w:val="00BF116B"/>
    <w:rsid w:val="00BF3F1B"/>
    <w:rsid w:val="00BF6DFD"/>
    <w:rsid w:val="00C00397"/>
    <w:rsid w:val="00C01886"/>
    <w:rsid w:val="00C0308F"/>
    <w:rsid w:val="00C058DE"/>
    <w:rsid w:val="00C06C8D"/>
    <w:rsid w:val="00C07DBB"/>
    <w:rsid w:val="00C116D6"/>
    <w:rsid w:val="00C13232"/>
    <w:rsid w:val="00C1405D"/>
    <w:rsid w:val="00C141A0"/>
    <w:rsid w:val="00C17615"/>
    <w:rsid w:val="00C17A42"/>
    <w:rsid w:val="00C20102"/>
    <w:rsid w:val="00C21726"/>
    <w:rsid w:val="00C21CC8"/>
    <w:rsid w:val="00C22D6C"/>
    <w:rsid w:val="00C23084"/>
    <w:rsid w:val="00C23EF9"/>
    <w:rsid w:val="00C24583"/>
    <w:rsid w:val="00C254DF"/>
    <w:rsid w:val="00C25911"/>
    <w:rsid w:val="00C25BFA"/>
    <w:rsid w:val="00C25D68"/>
    <w:rsid w:val="00C30666"/>
    <w:rsid w:val="00C30E2D"/>
    <w:rsid w:val="00C330EA"/>
    <w:rsid w:val="00C34F8D"/>
    <w:rsid w:val="00C350E9"/>
    <w:rsid w:val="00C355AA"/>
    <w:rsid w:val="00C35F0D"/>
    <w:rsid w:val="00C36225"/>
    <w:rsid w:val="00C36A37"/>
    <w:rsid w:val="00C37451"/>
    <w:rsid w:val="00C37DF6"/>
    <w:rsid w:val="00C402EB"/>
    <w:rsid w:val="00C41165"/>
    <w:rsid w:val="00C4153A"/>
    <w:rsid w:val="00C441E9"/>
    <w:rsid w:val="00C454DC"/>
    <w:rsid w:val="00C460D3"/>
    <w:rsid w:val="00C462D6"/>
    <w:rsid w:val="00C46814"/>
    <w:rsid w:val="00C46D02"/>
    <w:rsid w:val="00C47FC2"/>
    <w:rsid w:val="00C50240"/>
    <w:rsid w:val="00C50536"/>
    <w:rsid w:val="00C51D70"/>
    <w:rsid w:val="00C5219A"/>
    <w:rsid w:val="00C5347A"/>
    <w:rsid w:val="00C54306"/>
    <w:rsid w:val="00C5431E"/>
    <w:rsid w:val="00C553CB"/>
    <w:rsid w:val="00C5566F"/>
    <w:rsid w:val="00C556B9"/>
    <w:rsid w:val="00C5581F"/>
    <w:rsid w:val="00C55843"/>
    <w:rsid w:val="00C55BB4"/>
    <w:rsid w:val="00C5719A"/>
    <w:rsid w:val="00C57753"/>
    <w:rsid w:val="00C60645"/>
    <w:rsid w:val="00C60FFC"/>
    <w:rsid w:val="00C61946"/>
    <w:rsid w:val="00C62033"/>
    <w:rsid w:val="00C65326"/>
    <w:rsid w:val="00C656E7"/>
    <w:rsid w:val="00C66202"/>
    <w:rsid w:val="00C6655C"/>
    <w:rsid w:val="00C66705"/>
    <w:rsid w:val="00C66F14"/>
    <w:rsid w:val="00C671F9"/>
    <w:rsid w:val="00C6778C"/>
    <w:rsid w:val="00C704CF"/>
    <w:rsid w:val="00C7257C"/>
    <w:rsid w:val="00C74705"/>
    <w:rsid w:val="00C770AD"/>
    <w:rsid w:val="00C770F9"/>
    <w:rsid w:val="00C818EC"/>
    <w:rsid w:val="00C8219B"/>
    <w:rsid w:val="00C8252D"/>
    <w:rsid w:val="00C85D54"/>
    <w:rsid w:val="00C863C4"/>
    <w:rsid w:val="00C90E0F"/>
    <w:rsid w:val="00C919ED"/>
    <w:rsid w:val="00C935B5"/>
    <w:rsid w:val="00C93E3E"/>
    <w:rsid w:val="00C960B9"/>
    <w:rsid w:val="00C96BA7"/>
    <w:rsid w:val="00C96F14"/>
    <w:rsid w:val="00C970CB"/>
    <w:rsid w:val="00C9713A"/>
    <w:rsid w:val="00CA065A"/>
    <w:rsid w:val="00CA266C"/>
    <w:rsid w:val="00CA3FF9"/>
    <w:rsid w:val="00CA47CC"/>
    <w:rsid w:val="00CA4AAC"/>
    <w:rsid w:val="00CA57D5"/>
    <w:rsid w:val="00CA7E04"/>
    <w:rsid w:val="00CB0046"/>
    <w:rsid w:val="00CB06A8"/>
    <w:rsid w:val="00CB0ECD"/>
    <w:rsid w:val="00CB3163"/>
    <w:rsid w:val="00CB3709"/>
    <w:rsid w:val="00CB48F8"/>
    <w:rsid w:val="00CB499C"/>
    <w:rsid w:val="00CB610B"/>
    <w:rsid w:val="00CB6F96"/>
    <w:rsid w:val="00CC02EF"/>
    <w:rsid w:val="00CC2853"/>
    <w:rsid w:val="00CC2FC1"/>
    <w:rsid w:val="00CC433E"/>
    <w:rsid w:val="00CC49C8"/>
    <w:rsid w:val="00CC5B68"/>
    <w:rsid w:val="00CC7754"/>
    <w:rsid w:val="00CD027E"/>
    <w:rsid w:val="00CD0754"/>
    <w:rsid w:val="00CD0FCD"/>
    <w:rsid w:val="00CD2101"/>
    <w:rsid w:val="00CD2B91"/>
    <w:rsid w:val="00CD4680"/>
    <w:rsid w:val="00CD4CA5"/>
    <w:rsid w:val="00CD6F98"/>
    <w:rsid w:val="00CD770E"/>
    <w:rsid w:val="00CD7B22"/>
    <w:rsid w:val="00CE0E5F"/>
    <w:rsid w:val="00CE1FE2"/>
    <w:rsid w:val="00CE2395"/>
    <w:rsid w:val="00CE3980"/>
    <w:rsid w:val="00CE3D80"/>
    <w:rsid w:val="00CE52C0"/>
    <w:rsid w:val="00CE6DD2"/>
    <w:rsid w:val="00CF3538"/>
    <w:rsid w:val="00CF4589"/>
    <w:rsid w:val="00CF642F"/>
    <w:rsid w:val="00D02E02"/>
    <w:rsid w:val="00D03485"/>
    <w:rsid w:val="00D046A4"/>
    <w:rsid w:val="00D061E0"/>
    <w:rsid w:val="00D0666B"/>
    <w:rsid w:val="00D072AA"/>
    <w:rsid w:val="00D11113"/>
    <w:rsid w:val="00D1142A"/>
    <w:rsid w:val="00D12DBA"/>
    <w:rsid w:val="00D13575"/>
    <w:rsid w:val="00D14DCD"/>
    <w:rsid w:val="00D160DF"/>
    <w:rsid w:val="00D178A7"/>
    <w:rsid w:val="00D2129A"/>
    <w:rsid w:val="00D23538"/>
    <w:rsid w:val="00D243E6"/>
    <w:rsid w:val="00D24EEC"/>
    <w:rsid w:val="00D24F53"/>
    <w:rsid w:val="00D24F7C"/>
    <w:rsid w:val="00D24FD5"/>
    <w:rsid w:val="00D255D3"/>
    <w:rsid w:val="00D26162"/>
    <w:rsid w:val="00D2660D"/>
    <w:rsid w:val="00D2676F"/>
    <w:rsid w:val="00D26F22"/>
    <w:rsid w:val="00D2759B"/>
    <w:rsid w:val="00D2769C"/>
    <w:rsid w:val="00D27711"/>
    <w:rsid w:val="00D30B34"/>
    <w:rsid w:val="00D315C7"/>
    <w:rsid w:val="00D31734"/>
    <w:rsid w:val="00D37673"/>
    <w:rsid w:val="00D37941"/>
    <w:rsid w:val="00D37E87"/>
    <w:rsid w:val="00D4218F"/>
    <w:rsid w:val="00D43599"/>
    <w:rsid w:val="00D43E73"/>
    <w:rsid w:val="00D4541F"/>
    <w:rsid w:val="00D455CF"/>
    <w:rsid w:val="00D46B63"/>
    <w:rsid w:val="00D47264"/>
    <w:rsid w:val="00D52776"/>
    <w:rsid w:val="00D52ED7"/>
    <w:rsid w:val="00D556F2"/>
    <w:rsid w:val="00D55BA3"/>
    <w:rsid w:val="00D56930"/>
    <w:rsid w:val="00D6179F"/>
    <w:rsid w:val="00D622EB"/>
    <w:rsid w:val="00D6253F"/>
    <w:rsid w:val="00D62AF7"/>
    <w:rsid w:val="00D630C1"/>
    <w:rsid w:val="00D63C30"/>
    <w:rsid w:val="00D63D8D"/>
    <w:rsid w:val="00D646BA"/>
    <w:rsid w:val="00D6513C"/>
    <w:rsid w:val="00D66297"/>
    <w:rsid w:val="00D667F8"/>
    <w:rsid w:val="00D669DE"/>
    <w:rsid w:val="00D66E69"/>
    <w:rsid w:val="00D67821"/>
    <w:rsid w:val="00D7041E"/>
    <w:rsid w:val="00D70F71"/>
    <w:rsid w:val="00D71383"/>
    <w:rsid w:val="00D7212A"/>
    <w:rsid w:val="00D72838"/>
    <w:rsid w:val="00D73072"/>
    <w:rsid w:val="00D73ACE"/>
    <w:rsid w:val="00D7451B"/>
    <w:rsid w:val="00D77E95"/>
    <w:rsid w:val="00D77F3F"/>
    <w:rsid w:val="00D804DC"/>
    <w:rsid w:val="00D82CEE"/>
    <w:rsid w:val="00D83D3A"/>
    <w:rsid w:val="00D84312"/>
    <w:rsid w:val="00D844EC"/>
    <w:rsid w:val="00D85652"/>
    <w:rsid w:val="00D85B64"/>
    <w:rsid w:val="00D87B49"/>
    <w:rsid w:val="00D9220F"/>
    <w:rsid w:val="00D93F09"/>
    <w:rsid w:val="00D94D9F"/>
    <w:rsid w:val="00DA0130"/>
    <w:rsid w:val="00DA0E69"/>
    <w:rsid w:val="00DA135C"/>
    <w:rsid w:val="00DA4DFD"/>
    <w:rsid w:val="00DA5447"/>
    <w:rsid w:val="00DA5475"/>
    <w:rsid w:val="00DA666A"/>
    <w:rsid w:val="00DA7CAE"/>
    <w:rsid w:val="00DB06D8"/>
    <w:rsid w:val="00DB0A9B"/>
    <w:rsid w:val="00DB213B"/>
    <w:rsid w:val="00DB22FD"/>
    <w:rsid w:val="00DB2AFE"/>
    <w:rsid w:val="00DB3A35"/>
    <w:rsid w:val="00DB4A1A"/>
    <w:rsid w:val="00DB4BF7"/>
    <w:rsid w:val="00DB581D"/>
    <w:rsid w:val="00DB5CB0"/>
    <w:rsid w:val="00DB63BE"/>
    <w:rsid w:val="00DB7CD2"/>
    <w:rsid w:val="00DC070C"/>
    <w:rsid w:val="00DC0A56"/>
    <w:rsid w:val="00DC1077"/>
    <w:rsid w:val="00DC11BB"/>
    <w:rsid w:val="00DC126D"/>
    <w:rsid w:val="00DC24C0"/>
    <w:rsid w:val="00DC26B8"/>
    <w:rsid w:val="00DC45DB"/>
    <w:rsid w:val="00DC5823"/>
    <w:rsid w:val="00DC7174"/>
    <w:rsid w:val="00DC79D8"/>
    <w:rsid w:val="00DC7AA2"/>
    <w:rsid w:val="00DC7CBB"/>
    <w:rsid w:val="00DD0ACD"/>
    <w:rsid w:val="00DD0DFD"/>
    <w:rsid w:val="00DD1D34"/>
    <w:rsid w:val="00DD24B7"/>
    <w:rsid w:val="00DD25DA"/>
    <w:rsid w:val="00DD335E"/>
    <w:rsid w:val="00DD3B8A"/>
    <w:rsid w:val="00DD4098"/>
    <w:rsid w:val="00DD41DD"/>
    <w:rsid w:val="00DD5932"/>
    <w:rsid w:val="00DD5D5E"/>
    <w:rsid w:val="00DD5F73"/>
    <w:rsid w:val="00DE09A7"/>
    <w:rsid w:val="00DE19C9"/>
    <w:rsid w:val="00DE3C9C"/>
    <w:rsid w:val="00DE4336"/>
    <w:rsid w:val="00DE56DB"/>
    <w:rsid w:val="00DE60AB"/>
    <w:rsid w:val="00DE72A7"/>
    <w:rsid w:val="00DE7548"/>
    <w:rsid w:val="00DF28DC"/>
    <w:rsid w:val="00DF2E7E"/>
    <w:rsid w:val="00DF3175"/>
    <w:rsid w:val="00DF340B"/>
    <w:rsid w:val="00DF3E84"/>
    <w:rsid w:val="00DF3EC5"/>
    <w:rsid w:val="00DF468D"/>
    <w:rsid w:val="00DF7169"/>
    <w:rsid w:val="00DF773B"/>
    <w:rsid w:val="00E00F37"/>
    <w:rsid w:val="00E01644"/>
    <w:rsid w:val="00E016D1"/>
    <w:rsid w:val="00E02562"/>
    <w:rsid w:val="00E03BCC"/>
    <w:rsid w:val="00E0426E"/>
    <w:rsid w:val="00E04550"/>
    <w:rsid w:val="00E04C52"/>
    <w:rsid w:val="00E06C64"/>
    <w:rsid w:val="00E06E6C"/>
    <w:rsid w:val="00E07205"/>
    <w:rsid w:val="00E1045B"/>
    <w:rsid w:val="00E10634"/>
    <w:rsid w:val="00E12AAF"/>
    <w:rsid w:val="00E12C7D"/>
    <w:rsid w:val="00E13888"/>
    <w:rsid w:val="00E14474"/>
    <w:rsid w:val="00E14995"/>
    <w:rsid w:val="00E15F68"/>
    <w:rsid w:val="00E21355"/>
    <w:rsid w:val="00E214FD"/>
    <w:rsid w:val="00E21B3B"/>
    <w:rsid w:val="00E26C67"/>
    <w:rsid w:val="00E26DF2"/>
    <w:rsid w:val="00E27914"/>
    <w:rsid w:val="00E27E81"/>
    <w:rsid w:val="00E27ED7"/>
    <w:rsid w:val="00E31510"/>
    <w:rsid w:val="00E3190D"/>
    <w:rsid w:val="00E322F7"/>
    <w:rsid w:val="00E328FB"/>
    <w:rsid w:val="00E33BBD"/>
    <w:rsid w:val="00E34E56"/>
    <w:rsid w:val="00E34F42"/>
    <w:rsid w:val="00E35865"/>
    <w:rsid w:val="00E367BE"/>
    <w:rsid w:val="00E36F59"/>
    <w:rsid w:val="00E376D3"/>
    <w:rsid w:val="00E377DF"/>
    <w:rsid w:val="00E37C77"/>
    <w:rsid w:val="00E401F8"/>
    <w:rsid w:val="00E4089F"/>
    <w:rsid w:val="00E40B90"/>
    <w:rsid w:val="00E41CC5"/>
    <w:rsid w:val="00E42B66"/>
    <w:rsid w:val="00E443B1"/>
    <w:rsid w:val="00E453AA"/>
    <w:rsid w:val="00E455A7"/>
    <w:rsid w:val="00E458B4"/>
    <w:rsid w:val="00E45BF2"/>
    <w:rsid w:val="00E45DE8"/>
    <w:rsid w:val="00E477F9"/>
    <w:rsid w:val="00E500E4"/>
    <w:rsid w:val="00E50416"/>
    <w:rsid w:val="00E5192E"/>
    <w:rsid w:val="00E51A0B"/>
    <w:rsid w:val="00E51C03"/>
    <w:rsid w:val="00E52799"/>
    <w:rsid w:val="00E529C7"/>
    <w:rsid w:val="00E53F1A"/>
    <w:rsid w:val="00E5499B"/>
    <w:rsid w:val="00E54DE2"/>
    <w:rsid w:val="00E566AC"/>
    <w:rsid w:val="00E5722D"/>
    <w:rsid w:val="00E5726D"/>
    <w:rsid w:val="00E57E89"/>
    <w:rsid w:val="00E620E4"/>
    <w:rsid w:val="00E62FDB"/>
    <w:rsid w:val="00E63639"/>
    <w:rsid w:val="00E63FCB"/>
    <w:rsid w:val="00E70821"/>
    <w:rsid w:val="00E714FE"/>
    <w:rsid w:val="00E715D1"/>
    <w:rsid w:val="00E7230C"/>
    <w:rsid w:val="00E7462D"/>
    <w:rsid w:val="00E74F4E"/>
    <w:rsid w:val="00E7777C"/>
    <w:rsid w:val="00E77FC5"/>
    <w:rsid w:val="00E840AA"/>
    <w:rsid w:val="00E84330"/>
    <w:rsid w:val="00E84526"/>
    <w:rsid w:val="00E8466A"/>
    <w:rsid w:val="00E84ECE"/>
    <w:rsid w:val="00E86B9C"/>
    <w:rsid w:val="00E87567"/>
    <w:rsid w:val="00E91B8C"/>
    <w:rsid w:val="00E92186"/>
    <w:rsid w:val="00E92A84"/>
    <w:rsid w:val="00E93E5A"/>
    <w:rsid w:val="00E94E62"/>
    <w:rsid w:val="00E95055"/>
    <w:rsid w:val="00E96933"/>
    <w:rsid w:val="00E96C79"/>
    <w:rsid w:val="00E97A17"/>
    <w:rsid w:val="00EA1054"/>
    <w:rsid w:val="00EA148E"/>
    <w:rsid w:val="00EA2DA5"/>
    <w:rsid w:val="00EA58AA"/>
    <w:rsid w:val="00EA6CBE"/>
    <w:rsid w:val="00EB05E1"/>
    <w:rsid w:val="00EB096E"/>
    <w:rsid w:val="00EB18D7"/>
    <w:rsid w:val="00EB1AF1"/>
    <w:rsid w:val="00EB2AFC"/>
    <w:rsid w:val="00EB4E71"/>
    <w:rsid w:val="00EB56AC"/>
    <w:rsid w:val="00EB5D19"/>
    <w:rsid w:val="00EB6C70"/>
    <w:rsid w:val="00EB738D"/>
    <w:rsid w:val="00EB7D5A"/>
    <w:rsid w:val="00EC3276"/>
    <w:rsid w:val="00EC4223"/>
    <w:rsid w:val="00EC4E8A"/>
    <w:rsid w:val="00EC4FF8"/>
    <w:rsid w:val="00EC51DD"/>
    <w:rsid w:val="00EC6915"/>
    <w:rsid w:val="00EC6BA7"/>
    <w:rsid w:val="00ED03C8"/>
    <w:rsid w:val="00ED21DA"/>
    <w:rsid w:val="00ED226A"/>
    <w:rsid w:val="00ED45C5"/>
    <w:rsid w:val="00ED4AF3"/>
    <w:rsid w:val="00ED5C23"/>
    <w:rsid w:val="00ED64BE"/>
    <w:rsid w:val="00ED686C"/>
    <w:rsid w:val="00ED68F7"/>
    <w:rsid w:val="00ED6F66"/>
    <w:rsid w:val="00ED7AAE"/>
    <w:rsid w:val="00ED7D63"/>
    <w:rsid w:val="00EE10A0"/>
    <w:rsid w:val="00EE240D"/>
    <w:rsid w:val="00EE2F61"/>
    <w:rsid w:val="00EE3288"/>
    <w:rsid w:val="00EE43D3"/>
    <w:rsid w:val="00EE529F"/>
    <w:rsid w:val="00EE7F88"/>
    <w:rsid w:val="00EF0EDC"/>
    <w:rsid w:val="00EF141A"/>
    <w:rsid w:val="00EF7DB9"/>
    <w:rsid w:val="00F001DC"/>
    <w:rsid w:val="00F01170"/>
    <w:rsid w:val="00F017C9"/>
    <w:rsid w:val="00F026CD"/>
    <w:rsid w:val="00F02C48"/>
    <w:rsid w:val="00F02E0F"/>
    <w:rsid w:val="00F04015"/>
    <w:rsid w:val="00F04320"/>
    <w:rsid w:val="00F04403"/>
    <w:rsid w:val="00F059FF"/>
    <w:rsid w:val="00F101D1"/>
    <w:rsid w:val="00F112C6"/>
    <w:rsid w:val="00F11F6F"/>
    <w:rsid w:val="00F127C1"/>
    <w:rsid w:val="00F14295"/>
    <w:rsid w:val="00F14D29"/>
    <w:rsid w:val="00F17BFD"/>
    <w:rsid w:val="00F20601"/>
    <w:rsid w:val="00F21691"/>
    <w:rsid w:val="00F21776"/>
    <w:rsid w:val="00F2201F"/>
    <w:rsid w:val="00F2276F"/>
    <w:rsid w:val="00F23FCE"/>
    <w:rsid w:val="00F25489"/>
    <w:rsid w:val="00F25C9C"/>
    <w:rsid w:val="00F276E5"/>
    <w:rsid w:val="00F27B12"/>
    <w:rsid w:val="00F30013"/>
    <w:rsid w:val="00F30744"/>
    <w:rsid w:val="00F30AD3"/>
    <w:rsid w:val="00F311D3"/>
    <w:rsid w:val="00F31ADD"/>
    <w:rsid w:val="00F31B07"/>
    <w:rsid w:val="00F3200D"/>
    <w:rsid w:val="00F32070"/>
    <w:rsid w:val="00F33B06"/>
    <w:rsid w:val="00F33D96"/>
    <w:rsid w:val="00F33D9B"/>
    <w:rsid w:val="00F358EA"/>
    <w:rsid w:val="00F379F6"/>
    <w:rsid w:val="00F41A84"/>
    <w:rsid w:val="00F43341"/>
    <w:rsid w:val="00F43C94"/>
    <w:rsid w:val="00F43EC6"/>
    <w:rsid w:val="00F445CF"/>
    <w:rsid w:val="00F47020"/>
    <w:rsid w:val="00F51012"/>
    <w:rsid w:val="00F53A35"/>
    <w:rsid w:val="00F53F4F"/>
    <w:rsid w:val="00F5491E"/>
    <w:rsid w:val="00F55FFF"/>
    <w:rsid w:val="00F56457"/>
    <w:rsid w:val="00F56E8D"/>
    <w:rsid w:val="00F56F4F"/>
    <w:rsid w:val="00F61041"/>
    <w:rsid w:val="00F62009"/>
    <w:rsid w:val="00F624B7"/>
    <w:rsid w:val="00F62AFE"/>
    <w:rsid w:val="00F63BE1"/>
    <w:rsid w:val="00F647B3"/>
    <w:rsid w:val="00F647DA"/>
    <w:rsid w:val="00F65100"/>
    <w:rsid w:val="00F6553D"/>
    <w:rsid w:val="00F657F6"/>
    <w:rsid w:val="00F6584E"/>
    <w:rsid w:val="00F65B6C"/>
    <w:rsid w:val="00F6604B"/>
    <w:rsid w:val="00F661D3"/>
    <w:rsid w:val="00F66506"/>
    <w:rsid w:val="00F678BF"/>
    <w:rsid w:val="00F702C5"/>
    <w:rsid w:val="00F7315B"/>
    <w:rsid w:val="00F74517"/>
    <w:rsid w:val="00F75AD0"/>
    <w:rsid w:val="00F75F9F"/>
    <w:rsid w:val="00F76F41"/>
    <w:rsid w:val="00F7738B"/>
    <w:rsid w:val="00F81CBC"/>
    <w:rsid w:val="00F81DA4"/>
    <w:rsid w:val="00F81E53"/>
    <w:rsid w:val="00F81FDE"/>
    <w:rsid w:val="00F823AC"/>
    <w:rsid w:val="00F824E9"/>
    <w:rsid w:val="00F8388F"/>
    <w:rsid w:val="00F841D0"/>
    <w:rsid w:val="00F8459F"/>
    <w:rsid w:val="00F871EF"/>
    <w:rsid w:val="00F87D48"/>
    <w:rsid w:val="00F9244A"/>
    <w:rsid w:val="00F92CE0"/>
    <w:rsid w:val="00F93CE7"/>
    <w:rsid w:val="00F94F62"/>
    <w:rsid w:val="00F9506D"/>
    <w:rsid w:val="00F954DB"/>
    <w:rsid w:val="00F96787"/>
    <w:rsid w:val="00F97B86"/>
    <w:rsid w:val="00FA0371"/>
    <w:rsid w:val="00FA1242"/>
    <w:rsid w:val="00FA1445"/>
    <w:rsid w:val="00FA1798"/>
    <w:rsid w:val="00FA20F8"/>
    <w:rsid w:val="00FA244E"/>
    <w:rsid w:val="00FA3094"/>
    <w:rsid w:val="00FA351B"/>
    <w:rsid w:val="00FA3851"/>
    <w:rsid w:val="00FA3927"/>
    <w:rsid w:val="00FA3B63"/>
    <w:rsid w:val="00FA4C35"/>
    <w:rsid w:val="00FA5484"/>
    <w:rsid w:val="00FA5957"/>
    <w:rsid w:val="00FA649F"/>
    <w:rsid w:val="00FA6798"/>
    <w:rsid w:val="00FA6EC7"/>
    <w:rsid w:val="00FA7B1E"/>
    <w:rsid w:val="00FA7CE2"/>
    <w:rsid w:val="00FB1D4C"/>
    <w:rsid w:val="00FB2080"/>
    <w:rsid w:val="00FB31F3"/>
    <w:rsid w:val="00FB351A"/>
    <w:rsid w:val="00FB4018"/>
    <w:rsid w:val="00FB71BF"/>
    <w:rsid w:val="00FB725C"/>
    <w:rsid w:val="00FC0C93"/>
    <w:rsid w:val="00FC0DCC"/>
    <w:rsid w:val="00FC28D7"/>
    <w:rsid w:val="00FC2A1C"/>
    <w:rsid w:val="00FC30F9"/>
    <w:rsid w:val="00FC3361"/>
    <w:rsid w:val="00FC4905"/>
    <w:rsid w:val="00FC4DAE"/>
    <w:rsid w:val="00FC53A6"/>
    <w:rsid w:val="00FC64BE"/>
    <w:rsid w:val="00FD0170"/>
    <w:rsid w:val="00FD0856"/>
    <w:rsid w:val="00FD12CA"/>
    <w:rsid w:val="00FD1AC2"/>
    <w:rsid w:val="00FD4B74"/>
    <w:rsid w:val="00FD53BE"/>
    <w:rsid w:val="00FD6C37"/>
    <w:rsid w:val="00FD6EEC"/>
    <w:rsid w:val="00FD70D8"/>
    <w:rsid w:val="00FD7B38"/>
    <w:rsid w:val="00FD7D60"/>
    <w:rsid w:val="00FD7E1C"/>
    <w:rsid w:val="00FE0EEC"/>
    <w:rsid w:val="00FE3E46"/>
    <w:rsid w:val="00FE42DD"/>
    <w:rsid w:val="00FE47C6"/>
    <w:rsid w:val="00FE67D6"/>
    <w:rsid w:val="00FF0319"/>
    <w:rsid w:val="00FF1C44"/>
    <w:rsid w:val="00FF237B"/>
    <w:rsid w:val="00FF3CD2"/>
    <w:rsid w:val="00FF4977"/>
    <w:rsid w:val="00FF5660"/>
    <w:rsid w:val="00FF6187"/>
    <w:rsid w:val="00FF6FA3"/>
    <w:rsid w:val="00FF7A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9F223"/>
  <w15:docId w15:val="{E0B5337E-8650-40D8-A1F9-A32D2C6D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E0F"/>
    <w:pPr>
      <w:widowControl/>
      <w:autoSpaceDE/>
      <w:autoSpaceDN/>
    </w:pPr>
    <w:rPr>
      <w:rFonts w:ascii="Times New Roman" w:eastAsia="Times New Roman" w:hAnsi="Times New Roman" w:cs="Times New Roman"/>
      <w:sz w:val="24"/>
      <w:szCs w:val="24"/>
      <w:lang w:val="es-CO" w:eastAsia="es-CO"/>
    </w:rPr>
  </w:style>
  <w:style w:type="paragraph" w:styleId="Ttulo1">
    <w:name w:val="heading 1"/>
    <w:basedOn w:val="Normal"/>
    <w:link w:val="Ttulo1Car"/>
    <w:uiPriority w:val="99"/>
    <w:qFormat/>
    <w:pPr>
      <w:ind w:left="1302" w:hanging="721"/>
      <w:outlineLvl w:val="0"/>
    </w:pPr>
    <w:rPr>
      <w:b/>
      <w:bCs/>
    </w:rPr>
  </w:style>
  <w:style w:type="paragraph" w:styleId="Ttulo2">
    <w:name w:val="heading 2"/>
    <w:basedOn w:val="Normal"/>
    <w:next w:val="Normal"/>
    <w:link w:val="Ttulo2Car"/>
    <w:uiPriority w:val="99"/>
    <w:unhideWhenUsed/>
    <w:qFormat/>
    <w:rsid w:val="002C726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7929D1"/>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unhideWhenUsed/>
    <w:qFormat/>
    <w:rsid w:val="00D12DBA"/>
    <w:pPr>
      <w:keepNext/>
      <w:keepLines/>
      <w:widowControl w:val="0"/>
      <w:autoSpaceDE w:val="0"/>
      <w:autoSpaceDN w:val="0"/>
      <w:spacing w:before="40"/>
      <w:outlineLvl w:val="3"/>
    </w:pPr>
    <w:rPr>
      <w:rFonts w:asciiTheme="majorHAnsi" w:eastAsiaTheme="majorEastAsia" w:hAnsiTheme="majorHAnsi" w:cstheme="majorBidi"/>
      <w:i/>
      <w:iCs/>
      <w:color w:val="365F91" w:themeColor="accent1" w:themeShade="BF"/>
      <w:sz w:val="22"/>
      <w:szCs w:val="22"/>
      <w:lang w:val="es-ES" w:eastAsia="en-US"/>
    </w:rPr>
  </w:style>
  <w:style w:type="paragraph" w:styleId="Ttulo5">
    <w:name w:val="heading 5"/>
    <w:basedOn w:val="Normal"/>
    <w:next w:val="Normal"/>
    <w:link w:val="Ttulo5Car"/>
    <w:uiPriority w:val="9"/>
    <w:unhideWhenUsed/>
    <w:qFormat/>
    <w:rsid w:val="00633D53"/>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F11F6F"/>
    <w:rPr>
      <w:rFonts w:ascii="Times New Roman" w:eastAsia="Times New Roman" w:hAnsi="Times New Roman" w:cs="Times New Roman"/>
      <w:b/>
      <w:bCs/>
      <w:sz w:val="24"/>
      <w:szCs w:val="24"/>
      <w:lang w:val="es-CO" w:eastAsia="es-CO"/>
    </w:rPr>
  </w:style>
  <w:style w:type="character" w:customStyle="1" w:styleId="Ttulo2Car">
    <w:name w:val="Título 2 Car"/>
    <w:basedOn w:val="Fuentedeprrafopredeter"/>
    <w:link w:val="Ttulo2"/>
    <w:uiPriority w:val="99"/>
    <w:rsid w:val="002C7269"/>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uiPriority w:val="9"/>
    <w:rsid w:val="007929D1"/>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rsid w:val="00D12DBA"/>
    <w:rPr>
      <w:rFonts w:asciiTheme="majorHAnsi" w:eastAsiaTheme="majorEastAsia" w:hAnsiTheme="majorHAnsi" w:cstheme="majorBidi"/>
      <w:i/>
      <w:iCs/>
      <w:color w:val="365F91" w:themeColor="accent1" w:themeShade="BF"/>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character" w:customStyle="1" w:styleId="TextoindependienteCar">
    <w:name w:val="Texto independiente Car"/>
    <w:basedOn w:val="Fuentedeprrafopredeter"/>
    <w:link w:val="Textoindependiente"/>
    <w:uiPriority w:val="99"/>
    <w:rsid w:val="00F11F6F"/>
    <w:rPr>
      <w:rFonts w:ascii="Times New Roman" w:eastAsia="Times New Roman" w:hAnsi="Times New Roman" w:cs="Times New Roman"/>
      <w:sz w:val="24"/>
      <w:szCs w:val="24"/>
      <w:lang w:val="es-CO" w:eastAsia="es-CO"/>
    </w:rPr>
  </w:style>
  <w:style w:type="paragraph" w:styleId="Prrafodelista">
    <w:name w:val="List Paragraph"/>
    <w:aliases w:val="titulo 3,Bolita,Párrafo de lista3,BOLA,Párrafo de lista21,Guión,HOJA,Viñeta 2,Titulo 8,BOLADEF,Párrafo de lista2,Párrafo de lista1,Viñeta 6,Lista multicolor - Énfasis 11,chulo,MIBEX B,BOLITA,Viñetas,VIÑETA,Bullet List,lp1,List Paragraph"/>
    <w:basedOn w:val="Normal"/>
    <w:link w:val="PrrafodelistaCar"/>
    <w:uiPriority w:val="34"/>
    <w:qFormat/>
    <w:pPr>
      <w:ind w:left="942" w:hanging="360"/>
    </w:pPr>
  </w:style>
  <w:style w:type="character" w:customStyle="1" w:styleId="PrrafodelistaCar">
    <w:name w:val="Párrafo de lista Car"/>
    <w:aliases w:val="titulo 3 Car,Bolita Car,Párrafo de lista3 Car,BOLA Car,Párrafo de lista21 Car,Guión Car,HOJA Car,Viñeta 2 Car,Titulo 8 Car,BOLADEF Car,Párrafo de lista2 Car,Párrafo de lista1 Car,Viñeta 6 Car,Lista multicolor - Énfasis 11 Car"/>
    <w:link w:val="Prrafodelista"/>
    <w:uiPriority w:val="34"/>
    <w:qFormat/>
    <w:locked/>
    <w:rsid w:val="002C7269"/>
    <w:rPr>
      <w:rFonts w:ascii="Arial Narrow" w:eastAsia="Arial Narrow" w:hAnsi="Arial Narrow" w:cs="Arial Narrow"/>
      <w:lang w:val="es-ES"/>
    </w:rPr>
  </w:style>
  <w:style w:type="paragraph" w:customStyle="1" w:styleId="TableParagraph">
    <w:name w:val="Table Paragraph"/>
    <w:basedOn w:val="Normal"/>
    <w:uiPriority w:val="1"/>
    <w:qFormat/>
  </w:style>
  <w:style w:type="table" w:styleId="Tablaconcuadrcula">
    <w:name w:val="Table Grid"/>
    <w:aliases w:val="Estilo Tablas EIA,sin cuadricula,Tabla GEOCOL,petro,Petrominerales,SGI"/>
    <w:basedOn w:val="Tablanormal"/>
    <w:uiPriority w:val="59"/>
    <w:qFormat/>
    <w:rsid w:val="002C7269"/>
    <w:pPr>
      <w:widowControl/>
      <w:autoSpaceDE/>
      <w:autoSpaceDN/>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nhideWhenUsed/>
    <w:qFormat/>
    <w:rsid w:val="002C7269"/>
    <w:rPr>
      <w:sz w:val="20"/>
      <w:szCs w:val="20"/>
      <w:lang w:eastAsia="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qFormat/>
    <w:rsid w:val="002C7269"/>
    <w:rPr>
      <w:rFonts w:ascii="Times New Roman" w:eastAsia="Times New Roman" w:hAnsi="Times New Roman" w:cs="Times New Roman"/>
      <w:sz w:val="20"/>
      <w:szCs w:val="20"/>
      <w:lang w:val="es-CO" w:eastAsia="es-ES_tradnl"/>
    </w:rPr>
  </w:style>
  <w:style w:type="character" w:styleId="Refdenotaalpie">
    <w:name w:val="footnote reference"/>
    <w:aliases w:val="referencia nota al pie,Texto de nota al pie,Ref. de nota al pie 2,Char Char,Ref. de nota al pie.,BVI fnr,Fußnotenzeichen DISS,16 Point,Superscript 6 Point,ftref,Nota de pie,Ref,de nota al pie,Texto nota al pie,Footnote symbol,normal"/>
    <w:basedOn w:val="Fuentedeprrafopredeter"/>
    <w:link w:val="Char2"/>
    <w:uiPriority w:val="99"/>
    <w:unhideWhenUsed/>
    <w:qFormat/>
    <w:rsid w:val="002C7269"/>
    <w:rPr>
      <w:vertAlign w:val="superscript"/>
    </w:rPr>
  </w:style>
  <w:style w:type="paragraph" w:customStyle="1" w:styleId="Char2">
    <w:name w:val="Char2"/>
    <w:basedOn w:val="Normal"/>
    <w:link w:val="Refdenotaalpie"/>
    <w:uiPriority w:val="99"/>
    <w:qFormat/>
    <w:rsid w:val="008E1185"/>
    <w:pPr>
      <w:spacing w:after="160" w:line="240" w:lineRule="exact"/>
    </w:pPr>
    <w:rPr>
      <w:rFonts w:asciiTheme="minorHAnsi" w:eastAsiaTheme="minorHAnsi" w:hAnsiTheme="minorHAnsi" w:cstheme="minorBidi"/>
      <w:vertAlign w:val="superscript"/>
      <w:lang w:val="en-US"/>
    </w:rPr>
  </w:style>
  <w:style w:type="character" w:styleId="Fuerte">
    <w:name w:val="Strong"/>
    <w:basedOn w:val="Fuentedeprrafopredeter"/>
    <w:uiPriority w:val="22"/>
    <w:qFormat/>
    <w:rsid w:val="002C7269"/>
    <w:rPr>
      <w:b/>
    </w:rPr>
  </w:style>
  <w:style w:type="paragraph" w:styleId="NormalWeb">
    <w:name w:val="Normal (Web)"/>
    <w:aliases w:val="Normal (Web) Car Car,Normal (Web) Car Car Car,Normal (Web) Car Car Car Car Car Car,Normal (Web) Car Car Car Car Car Car Car Car Car,Normal (Web)1,Normal (Web)2,Car Car Car Car Car Car Car Car Car Car,Car2,Normal (Web) Char"/>
    <w:basedOn w:val="Normal"/>
    <w:link w:val="NormalWebCar"/>
    <w:uiPriority w:val="99"/>
    <w:qFormat/>
    <w:rsid w:val="00587449"/>
    <w:pPr>
      <w:spacing w:after="200" w:line="276" w:lineRule="auto"/>
    </w:pPr>
    <w:rPr>
      <w:lang w:eastAsia="es-ES_tradnl"/>
    </w:rPr>
  </w:style>
  <w:style w:type="character" w:customStyle="1" w:styleId="NormalWebCar">
    <w:name w:val="Normal (Web) Car"/>
    <w:aliases w:val="Normal (Web) Car Car Car1,Normal (Web) Car Car Car Car,Normal (Web) Car Car Car Car Car Car Car,Normal (Web) Car Car Car Car Car Car Car Car Car Car,Normal (Web)1 Car,Normal (Web)2 Car,Car Car Car Car Car Car Car Car Car Car Car"/>
    <w:link w:val="NormalWeb"/>
    <w:uiPriority w:val="99"/>
    <w:locked/>
    <w:rsid w:val="004E0760"/>
    <w:rPr>
      <w:rFonts w:ascii="Times New Roman" w:eastAsia="Times New Roman" w:hAnsi="Times New Roman" w:cs="Times New Roman"/>
      <w:sz w:val="24"/>
      <w:szCs w:val="24"/>
      <w:lang w:val="es-CO" w:eastAsia="es-ES_tradnl"/>
    </w:rPr>
  </w:style>
  <w:style w:type="character" w:styleId="Hipervnculo">
    <w:name w:val="Hyperlink"/>
    <w:uiPriority w:val="99"/>
    <w:unhideWhenUsed/>
    <w:rsid w:val="008E1185"/>
    <w:rPr>
      <w:rFonts w:ascii="Times New Roman" w:hAnsi="Times New Roman" w:cs="Times New Roman" w:hint="default"/>
      <w:color w:val="0563C1"/>
      <w:u w:val="single"/>
    </w:rPr>
  </w:style>
  <w:style w:type="paragraph" w:styleId="ndice1">
    <w:name w:val="index 1"/>
    <w:basedOn w:val="Normal"/>
    <w:next w:val="Normal"/>
    <w:autoRedefine/>
    <w:uiPriority w:val="99"/>
    <w:unhideWhenUsed/>
    <w:rsid w:val="00933FEC"/>
    <w:pPr>
      <w:jc w:val="both"/>
    </w:pPr>
    <w:rPr>
      <w:rFonts w:eastAsia="Calibri"/>
      <w:lang w:val="es-ES_tradnl" w:eastAsia="es-ES_tradnl"/>
    </w:rPr>
  </w:style>
  <w:style w:type="paragraph" w:styleId="Ttulodendice">
    <w:name w:val="index heading"/>
    <w:basedOn w:val="Normal"/>
    <w:next w:val="ndice1"/>
    <w:uiPriority w:val="99"/>
    <w:unhideWhenUsed/>
    <w:rsid w:val="007929D1"/>
    <w:pPr>
      <w:spacing w:line="276" w:lineRule="auto"/>
      <w:jc w:val="both"/>
    </w:pPr>
    <w:rPr>
      <w:rFonts w:asciiTheme="majorHAnsi" w:eastAsiaTheme="majorEastAsia" w:hAnsiTheme="majorHAnsi" w:cstheme="majorBidi"/>
      <w:b/>
      <w:bCs/>
      <w:lang w:val="es-ES_tradnl" w:eastAsia="es-ES_tradnl"/>
    </w:rPr>
  </w:style>
  <w:style w:type="paragraph" w:customStyle="1" w:styleId="Default">
    <w:name w:val="Default"/>
    <w:link w:val="DefaultCar"/>
    <w:qFormat/>
    <w:rsid w:val="00D37673"/>
    <w:pPr>
      <w:widowControl/>
      <w:adjustRightInd w:val="0"/>
    </w:pPr>
    <w:rPr>
      <w:rFonts w:ascii="Arial" w:eastAsia="Calibri" w:hAnsi="Arial" w:cs="Arial"/>
      <w:color w:val="000000"/>
      <w:sz w:val="24"/>
      <w:szCs w:val="24"/>
      <w:lang w:val="es-CO"/>
    </w:rPr>
  </w:style>
  <w:style w:type="table" w:customStyle="1" w:styleId="Tablaconcuadrcula8">
    <w:name w:val="Tabla con cuadrícula8"/>
    <w:basedOn w:val="Tablanormal"/>
    <w:next w:val="Tablaconcuadrcula"/>
    <w:uiPriority w:val="59"/>
    <w:rsid w:val="00D37673"/>
    <w:pPr>
      <w:widowControl/>
      <w:autoSpaceDE/>
      <w:autoSpaceDN/>
    </w:pPr>
    <w:rPr>
      <w:rFonts w:ascii="Cambria" w:eastAsia="Calibri"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AL Encabezado,Encabezado AL,Tit 1,Encabezado1,Alt Header,Encabezado Car Car Car Car Car,Encabezado Car Car Car,Cover Page,Header Bold,TENDER"/>
    <w:basedOn w:val="Normal"/>
    <w:link w:val="EncabezadoCar"/>
    <w:uiPriority w:val="99"/>
    <w:unhideWhenUsed/>
    <w:qFormat/>
    <w:rsid w:val="00DB7CD2"/>
    <w:pPr>
      <w:tabs>
        <w:tab w:val="center" w:pos="4419"/>
        <w:tab w:val="right" w:pos="8838"/>
      </w:tabs>
    </w:pPr>
  </w:style>
  <w:style w:type="character" w:customStyle="1" w:styleId="EncabezadoCar">
    <w:name w:val="Encabezado Car"/>
    <w:aliases w:val="h Car,h8 Car,h9 Car,h10 Car,h18 Car,encabezado Car,AL Encabezado Car,Encabezado AL Car,Tit 1 Car,Encabezado1 Car,Alt Header Car,Encabezado Car Car Car Car Car Car,Encabezado Car Car Car Car,Cover Page Car,Header Bold Car,TENDER Car"/>
    <w:basedOn w:val="Fuentedeprrafopredeter"/>
    <w:link w:val="Encabezado"/>
    <w:uiPriority w:val="99"/>
    <w:qFormat/>
    <w:rsid w:val="00DB7CD2"/>
    <w:rPr>
      <w:rFonts w:ascii="Times New Roman" w:eastAsia="Times New Roman" w:hAnsi="Times New Roman" w:cs="Times New Roman"/>
      <w:sz w:val="24"/>
      <w:szCs w:val="24"/>
      <w:lang w:val="es-CO" w:eastAsia="es-CO"/>
    </w:rPr>
  </w:style>
  <w:style w:type="paragraph" w:styleId="Piedepgina">
    <w:name w:val="footer"/>
    <w:aliases w:val="pie de página"/>
    <w:basedOn w:val="Normal"/>
    <w:link w:val="PiedepginaCar"/>
    <w:uiPriority w:val="99"/>
    <w:unhideWhenUsed/>
    <w:rsid w:val="00DB7CD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B7CD2"/>
    <w:rPr>
      <w:rFonts w:ascii="Times New Roman" w:eastAsia="Times New Roman" w:hAnsi="Times New Roman" w:cs="Times New Roman"/>
      <w:sz w:val="24"/>
      <w:szCs w:val="24"/>
      <w:lang w:val="es-CO" w:eastAsia="es-CO"/>
    </w:rPr>
  </w:style>
  <w:style w:type="character" w:customStyle="1" w:styleId="mycompanyprofiledetailsgrouptext">
    <w:name w:val=".mycompanyprofiledetailsgrouptext"/>
    <w:basedOn w:val="Fuentedeprrafopredeter"/>
    <w:rsid w:val="00C6778C"/>
  </w:style>
  <w:style w:type="character" w:customStyle="1" w:styleId="mycompanyprofiledetailsgroupheader">
    <w:name w:val="mycompanyprofiledetailsgroupheader"/>
    <w:basedOn w:val="Fuentedeprrafopredeter"/>
    <w:rsid w:val="00C6778C"/>
  </w:style>
  <w:style w:type="paragraph" w:styleId="TtuloTDC">
    <w:name w:val="TOC Heading"/>
    <w:basedOn w:val="Ttulo1"/>
    <w:next w:val="Normal"/>
    <w:uiPriority w:val="39"/>
    <w:unhideWhenUsed/>
    <w:qFormat/>
    <w:rsid w:val="00F66506"/>
    <w:pPr>
      <w:keepNext/>
      <w:keepLines/>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DC3">
    <w:name w:val="toc 3"/>
    <w:basedOn w:val="Normal"/>
    <w:next w:val="Normal"/>
    <w:autoRedefine/>
    <w:uiPriority w:val="39"/>
    <w:unhideWhenUsed/>
    <w:rsid w:val="00F66506"/>
    <w:pPr>
      <w:spacing w:after="100"/>
      <w:ind w:left="480"/>
    </w:pPr>
  </w:style>
  <w:style w:type="paragraph" w:styleId="TDC1">
    <w:name w:val="toc 1"/>
    <w:basedOn w:val="Normal"/>
    <w:next w:val="Normal"/>
    <w:autoRedefine/>
    <w:uiPriority w:val="39"/>
    <w:unhideWhenUsed/>
    <w:rsid w:val="00F66506"/>
    <w:pPr>
      <w:spacing w:after="100"/>
    </w:pPr>
  </w:style>
  <w:style w:type="paragraph" w:styleId="TDC2">
    <w:name w:val="toc 2"/>
    <w:basedOn w:val="Normal"/>
    <w:next w:val="Normal"/>
    <w:autoRedefine/>
    <w:uiPriority w:val="39"/>
    <w:unhideWhenUsed/>
    <w:rsid w:val="00F66506"/>
    <w:pPr>
      <w:spacing w:after="100"/>
      <w:ind w:left="240"/>
    </w:pPr>
  </w:style>
  <w:style w:type="paragraph" w:styleId="Textodeglobo">
    <w:name w:val="Balloon Text"/>
    <w:basedOn w:val="Normal"/>
    <w:link w:val="TextodegloboCar"/>
    <w:uiPriority w:val="99"/>
    <w:semiHidden/>
    <w:unhideWhenUsed/>
    <w:rsid w:val="002C3F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3FEF"/>
    <w:rPr>
      <w:rFonts w:ascii="Segoe UI" w:eastAsia="Times New Roman" w:hAnsi="Segoe UI" w:cs="Segoe UI"/>
      <w:sz w:val="18"/>
      <w:szCs w:val="18"/>
      <w:lang w:val="es-CO" w:eastAsia="es-CO"/>
    </w:rPr>
  </w:style>
  <w:style w:type="paragraph" w:customStyle="1" w:styleId="paragraph">
    <w:name w:val="paragraph"/>
    <w:basedOn w:val="Normal"/>
    <w:rsid w:val="00621F29"/>
    <w:pPr>
      <w:spacing w:before="100" w:beforeAutospacing="1" w:after="100" w:afterAutospacing="1"/>
    </w:pPr>
  </w:style>
  <w:style w:type="character" w:customStyle="1" w:styleId="normaltextrun">
    <w:name w:val="normaltextrun"/>
    <w:basedOn w:val="Fuentedeprrafopredeter"/>
    <w:rsid w:val="00621F29"/>
  </w:style>
  <w:style w:type="character" w:customStyle="1" w:styleId="eop">
    <w:name w:val="eop"/>
    <w:basedOn w:val="Fuentedeprrafopredeter"/>
    <w:rsid w:val="00621F29"/>
  </w:style>
  <w:style w:type="table" w:styleId="Sombreadomedio1-nfasis1">
    <w:name w:val="Medium Shading 1 Accent 1"/>
    <w:basedOn w:val="Tablanormal"/>
    <w:uiPriority w:val="63"/>
    <w:rsid w:val="00D160DF"/>
    <w:pPr>
      <w:widowControl/>
      <w:autoSpaceDE/>
      <w:autoSpaceDN/>
    </w:pPr>
    <w:rPr>
      <w:rFonts w:ascii="Calibri" w:eastAsia="Calibri" w:hAnsi="Calibri" w:cs="Times New Roman"/>
      <w:sz w:val="20"/>
      <w:szCs w:val="20"/>
      <w:lang w:val="es-CO"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Mencinsinresolver1">
    <w:name w:val="Mención sin resolver1"/>
    <w:basedOn w:val="Fuentedeprrafopredeter"/>
    <w:uiPriority w:val="99"/>
    <w:semiHidden/>
    <w:unhideWhenUsed/>
    <w:rsid w:val="00151B4D"/>
    <w:rPr>
      <w:color w:val="605E5C"/>
      <w:shd w:val="clear" w:color="auto" w:fill="E1DFDD"/>
    </w:rPr>
  </w:style>
  <w:style w:type="paragraph" w:styleId="Revisin">
    <w:name w:val="Revision"/>
    <w:hidden/>
    <w:uiPriority w:val="71"/>
    <w:rsid w:val="0077212C"/>
    <w:pPr>
      <w:widowControl/>
      <w:autoSpaceDE/>
      <w:autoSpaceDN/>
    </w:pPr>
    <w:rPr>
      <w:rFonts w:ascii="Times New Roman" w:eastAsia="Times New Roman" w:hAnsi="Times New Roman" w:cs="Times New Roman"/>
      <w:sz w:val="24"/>
      <w:szCs w:val="24"/>
      <w:lang w:val="es-CO" w:eastAsia="es-CO"/>
    </w:rPr>
  </w:style>
  <w:style w:type="table" w:customStyle="1" w:styleId="Listaclara-nfasis11">
    <w:name w:val="Lista clara - Énfasis 11"/>
    <w:basedOn w:val="Tablanormal"/>
    <w:uiPriority w:val="61"/>
    <w:rsid w:val="006A2198"/>
    <w:pPr>
      <w:widowControl/>
      <w:autoSpaceDE/>
      <w:autoSpaceDN/>
    </w:pPr>
    <w:rPr>
      <w:rFonts w:ascii="Calibri" w:eastAsia="Calibri" w:hAnsi="Calibri" w:cs="Times New Roman"/>
      <w:sz w:val="20"/>
      <w:szCs w:val="20"/>
      <w:lang w:val="es-CO" w:eastAsia="es-CO"/>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styleId="Textocomentario">
    <w:name w:val="annotation text"/>
    <w:aliases w:val="Comment Text"/>
    <w:basedOn w:val="Normal"/>
    <w:link w:val="TextocomentarioCar"/>
    <w:uiPriority w:val="99"/>
    <w:unhideWhenUsed/>
    <w:qFormat/>
    <w:rsid w:val="008C664E"/>
    <w:rPr>
      <w:sz w:val="20"/>
      <w:szCs w:val="20"/>
      <w:lang w:eastAsia="es-ES"/>
    </w:rPr>
  </w:style>
  <w:style w:type="character" w:customStyle="1" w:styleId="TextocomentarioCar">
    <w:name w:val="Texto comentario Car"/>
    <w:aliases w:val="Comment Text Car"/>
    <w:basedOn w:val="Fuentedeprrafopredeter"/>
    <w:link w:val="Textocomentario"/>
    <w:uiPriority w:val="99"/>
    <w:rsid w:val="008C664E"/>
    <w:rPr>
      <w:rFonts w:ascii="Times New Roman" w:eastAsia="Times New Roman" w:hAnsi="Times New Roman" w:cs="Times New Roman"/>
      <w:sz w:val="20"/>
      <w:szCs w:val="20"/>
      <w:lang w:val="es-CO" w:eastAsia="es-ES"/>
    </w:rPr>
  </w:style>
  <w:style w:type="character" w:styleId="Refdecomentario">
    <w:name w:val="annotation reference"/>
    <w:uiPriority w:val="99"/>
    <w:unhideWhenUsed/>
    <w:rsid w:val="008C664E"/>
    <w:rPr>
      <w:sz w:val="16"/>
      <w:szCs w:val="16"/>
    </w:rPr>
  </w:style>
  <w:style w:type="table" w:styleId="Tablaconcuadrcula2-nfasis1">
    <w:name w:val="Grid Table 2 Accent 1"/>
    <w:basedOn w:val="Tablanormal"/>
    <w:uiPriority w:val="47"/>
    <w:rsid w:val="008C664E"/>
    <w:pPr>
      <w:widowControl/>
      <w:autoSpaceDE/>
      <w:autoSpaceDN/>
    </w:pPr>
    <w:rPr>
      <w:rFonts w:ascii="Calibri" w:eastAsia="Calibri" w:hAnsi="Calibri" w:cs="Times New Roman"/>
      <w:sz w:val="20"/>
      <w:szCs w:val="20"/>
      <w:lang w:val="es-CO" w:eastAsia="es-CO"/>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vortalspan">
    <w:name w:val="vortalspan"/>
    <w:basedOn w:val="Fuentedeprrafopredeter"/>
    <w:rsid w:val="003B67AC"/>
  </w:style>
  <w:style w:type="character" w:customStyle="1" w:styleId="estilo61">
    <w:name w:val="estilo61"/>
    <w:basedOn w:val="Fuentedeprrafopredeter"/>
    <w:rsid w:val="001D6AE5"/>
  </w:style>
  <w:style w:type="paragraph" w:styleId="Asuntodelcomentario">
    <w:name w:val="annotation subject"/>
    <w:basedOn w:val="Textocomentario"/>
    <w:next w:val="Textocomentario"/>
    <w:link w:val="AsuntodelcomentarioCar"/>
    <w:uiPriority w:val="99"/>
    <w:semiHidden/>
    <w:unhideWhenUsed/>
    <w:rsid w:val="001875D5"/>
    <w:rPr>
      <w:b/>
      <w:bCs/>
      <w:lang w:eastAsia="es-CO"/>
    </w:rPr>
  </w:style>
  <w:style w:type="character" w:customStyle="1" w:styleId="AsuntodelcomentarioCar">
    <w:name w:val="Asunto del comentario Car"/>
    <w:basedOn w:val="TextocomentarioCar"/>
    <w:link w:val="Asuntodelcomentario"/>
    <w:uiPriority w:val="99"/>
    <w:semiHidden/>
    <w:rsid w:val="001875D5"/>
    <w:rPr>
      <w:rFonts w:ascii="Times New Roman" w:eastAsia="Times New Roman" w:hAnsi="Times New Roman" w:cs="Times New Roman"/>
      <w:b/>
      <w:bCs/>
      <w:sz w:val="20"/>
      <w:szCs w:val="20"/>
      <w:lang w:val="es-CO" w:eastAsia="es-CO"/>
    </w:rPr>
  </w:style>
  <w:style w:type="paragraph" w:styleId="Sinespaciado">
    <w:name w:val="No Spacing"/>
    <w:link w:val="SinespaciadoCar"/>
    <w:uiPriority w:val="1"/>
    <w:qFormat/>
    <w:rsid w:val="00343246"/>
    <w:pPr>
      <w:widowControl/>
      <w:autoSpaceDE/>
      <w:autoSpaceDN/>
    </w:pPr>
    <w:rPr>
      <w:rFonts w:ascii="Arial" w:eastAsia="Times New Roman" w:hAnsi="Arial" w:cs="Times New Roman"/>
      <w:szCs w:val="20"/>
      <w:lang w:val="es-CO" w:eastAsia="es-CO"/>
    </w:rPr>
  </w:style>
  <w:style w:type="character" w:customStyle="1" w:styleId="SinespaciadoCar">
    <w:name w:val="Sin espaciado Car"/>
    <w:link w:val="Sinespaciado"/>
    <w:uiPriority w:val="99"/>
    <w:qFormat/>
    <w:rsid w:val="00343246"/>
    <w:rPr>
      <w:rFonts w:ascii="Arial" w:eastAsia="Times New Roman" w:hAnsi="Arial" w:cs="Times New Roman"/>
      <w:szCs w:val="20"/>
      <w:lang w:val="es-CO" w:eastAsia="es-CO"/>
    </w:rPr>
  </w:style>
  <w:style w:type="paragraph" w:styleId="Textonotaalfinal">
    <w:name w:val="endnote text"/>
    <w:basedOn w:val="Normal"/>
    <w:link w:val="TextonotaalfinalCar"/>
    <w:uiPriority w:val="99"/>
    <w:semiHidden/>
    <w:unhideWhenUsed/>
    <w:rsid w:val="009E4ED8"/>
    <w:rPr>
      <w:sz w:val="20"/>
      <w:szCs w:val="20"/>
    </w:rPr>
  </w:style>
  <w:style w:type="character" w:customStyle="1" w:styleId="TextonotaalfinalCar">
    <w:name w:val="Texto nota al final Car"/>
    <w:basedOn w:val="Fuentedeprrafopredeter"/>
    <w:link w:val="Textonotaalfinal"/>
    <w:uiPriority w:val="99"/>
    <w:semiHidden/>
    <w:rsid w:val="009E4ED8"/>
    <w:rPr>
      <w:rFonts w:ascii="Times New Roman" w:eastAsia="Times New Roman" w:hAnsi="Times New Roman" w:cs="Times New Roman"/>
      <w:sz w:val="20"/>
      <w:szCs w:val="20"/>
      <w:lang w:val="es-CO" w:eastAsia="es-CO"/>
    </w:rPr>
  </w:style>
  <w:style w:type="character" w:styleId="Refdenotaalfinal">
    <w:name w:val="endnote reference"/>
    <w:basedOn w:val="Fuentedeprrafopredeter"/>
    <w:uiPriority w:val="99"/>
    <w:semiHidden/>
    <w:unhideWhenUsed/>
    <w:rsid w:val="009E4ED8"/>
    <w:rPr>
      <w:vertAlign w:val="superscript"/>
    </w:rPr>
  </w:style>
  <w:style w:type="table" w:styleId="Tablaconcuadrcula4-nfasis6">
    <w:name w:val="Grid Table 4 Accent 6"/>
    <w:basedOn w:val="Tablanormal"/>
    <w:uiPriority w:val="49"/>
    <w:rsid w:val="0088083B"/>
    <w:pPr>
      <w:widowControl/>
      <w:autoSpaceDE/>
      <w:autoSpaceDN/>
    </w:pPr>
    <w:rPr>
      <w:rFonts w:ascii="Calibri" w:eastAsia="Calibri" w:hAnsi="Calibri" w:cs="Times New Roman"/>
      <w:sz w:val="20"/>
      <w:szCs w:val="20"/>
      <w:lang w:val="es-CO" w:eastAsia="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vortalnumericspan">
    <w:name w:val="vortalnumericspan"/>
    <w:basedOn w:val="Fuentedeprrafopredeter"/>
    <w:rsid w:val="00FC0DCC"/>
  </w:style>
  <w:style w:type="table" w:customStyle="1" w:styleId="Tablaconcuadrcula2">
    <w:name w:val="Tabla con cuadrícula2"/>
    <w:basedOn w:val="Tablanormal"/>
    <w:next w:val="Tablaconcuadrcula"/>
    <w:uiPriority w:val="39"/>
    <w:rsid w:val="007D29FC"/>
    <w:pPr>
      <w:widowControl/>
      <w:autoSpaceDE/>
      <w:autoSpaceDN/>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049">
    <w:name w:val="xl58049"/>
    <w:basedOn w:val="Normal"/>
    <w:rsid w:val="00491913"/>
    <w:pPr>
      <w:spacing w:before="100" w:beforeAutospacing="1" w:after="100" w:afterAutospacing="1"/>
      <w:jc w:val="center"/>
      <w:textAlignment w:val="center"/>
    </w:pPr>
  </w:style>
  <w:style w:type="paragraph" w:customStyle="1" w:styleId="xl58050">
    <w:name w:val="xl58050"/>
    <w:basedOn w:val="Normal"/>
    <w:rsid w:val="00491913"/>
    <w:pPr>
      <w:spacing w:before="100" w:beforeAutospacing="1" w:after="100" w:afterAutospacing="1"/>
      <w:textAlignment w:val="center"/>
    </w:pPr>
  </w:style>
  <w:style w:type="paragraph" w:customStyle="1" w:styleId="xl58051">
    <w:name w:val="xl58051"/>
    <w:basedOn w:val="Normal"/>
    <w:rsid w:val="00491913"/>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b/>
      <w:bCs/>
    </w:rPr>
  </w:style>
  <w:style w:type="paragraph" w:customStyle="1" w:styleId="xl58052">
    <w:name w:val="xl58052"/>
    <w:basedOn w:val="Normal"/>
    <w:rsid w:val="00491913"/>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53">
    <w:name w:val="xl58053"/>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54">
    <w:name w:val="xl58054"/>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55">
    <w:name w:val="xl58055"/>
    <w:basedOn w:val="Normal"/>
    <w:rsid w:val="00491913"/>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8056">
    <w:name w:val="xl58056"/>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57">
    <w:name w:val="xl58057"/>
    <w:basedOn w:val="Normal"/>
    <w:rsid w:val="00491913"/>
    <w:pPr>
      <w:pBdr>
        <w:top w:val="single" w:sz="8"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58">
    <w:name w:val="xl58058"/>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59">
    <w:name w:val="xl58059"/>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60">
    <w:name w:val="xl58060"/>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61">
    <w:name w:val="xl58061"/>
    <w:basedOn w:val="Normal"/>
    <w:rsid w:val="00491913"/>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62">
    <w:name w:val="xl58062"/>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63">
    <w:name w:val="xl58063"/>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64">
    <w:name w:val="xl58064"/>
    <w:basedOn w:val="Normal"/>
    <w:rsid w:val="0049191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65">
    <w:name w:val="xl58065"/>
    <w:basedOn w:val="Normal"/>
    <w:rsid w:val="0049191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66">
    <w:name w:val="xl58066"/>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67">
    <w:name w:val="xl58067"/>
    <w:basedOn w:val="Normal"/>
    <w:rsid w:val="00491913"/>
    <w:pPr>
      <w:pBdr>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68">
    <w:name w:val="xl58068"/>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58069">
    <w:name w:val="xl58069"/>
    <w:basedOn w:val="Normal"/>
    <w:rsid w:val="00491913"/>
    <w:pPr>
      <w:pBdr>
        <w:top w:val="single" w:sz="8" w:space="0" w:color="auto"/>
        <w:left w:val="single" w:sz="4" w:space="0" w:color="auto"/>
        <w:bottom w:val="single" w:sz="4" w:space="0" w:color="auto"/>
      </w:pBdr>
      <w:spacing w:before="100" w:beforeAutospacing="1" w:after="100" w:afterAutospacing="1"/>
      <w:textAlignment w:val="center"/>
    </w:pPr>
  </w:style>
  <w:style w:type="paragraph" w:customStyle="1" w:styleId="xl58070">
    <w:name w:val="xl58070"/>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71">
    <w:name w:val="xl58071"/>
    <w:basedOn w:val="Normal"/>
    <w:rsid w:val="00491913"/>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72">
    <w:name w:val="xl58072"/>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73">
    <w:name w:val="xl58073"/>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58074">
    <w:name w:val="xl58074"/>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75">
    <w:name w:val="xl58075"/>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76">
    <w:name w:val="xl58076"/>
    <w:basedOn w:val="Normal"/>
    <w:rsid w:val="00491913"/>
    <w:pPr>
      <w:pBdr>
        <w:left w:val="single" w:sz="8" w:space="0" w:color="auto"/>
        <w:bottom w:val="single" w:sz="8" w:space="0" w:color="auto"/>
      </w:pBdr>
      <w:shd w:val="clear" w:color="000000" w:fill="92D050"/>
      <w:spacing w:before="100" w:beforeAutospacing="1" w:after="100" w:afterAutospacing="1"/>
      <w:jc w:val="center"/>
      <w:textAlignment w:val="center"/>
    </w:pPr>
    <w:rPr>
      <w:b/>
      <w:bCs/>
    </w:rPr>
  </w:style>
  <w:style w:type="paragraph" w:customStyle="1" w:styleId="xl58077">
    <w:name w:val="xl58077"/>
    <w:basedOn w:val="Normal"/>
    <w:rsid w:val="00491913"/>
    <w:pPr>
      <w:pBdr>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78">
    <w:name w:val="xl58078"/>
    <w:basedOn w:val="Normal"/>
    <w:rsid w:val="00491913"/>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58079">
    <w:name w:val="xl58079"/>
    <w:basedOn w:val="Normal"/>
    <w:rsid w:val="00491913"/>
    <w:pPr>
      <w:pBdr>
        <w:left w:val="single" w:sz="4" w:space="0" w:color="auto"/>
        <w:bottom w:val="single" w:sz="4" w:space="0" w:color="auto"/>
      </w:pBdr>
      <w:spacing w:before="100" w:beforeAutospacing="1" w:after="100" w:afterAutospacing="1"/>
      <w:textAlignment w:val="center"/>
    </w:pPr>
  </w:style>
  <w:style w:type="paragraph" w:customStyle="1" w:styleId="xl58080">
    <w:name w:val="xl58080"/>
    <w:basedOn w:val="Normal"/>
    <w:rsid w:val="0049191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81">
    <w:name w:val="xl58081"/>
    <w:basedOn w:val="Normal"/>
    <w:rsid w:val="0049191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8082">
    <w:name w:val="xl58082"/>
    <w:basedOn w:val="Normal"/>
    <w:rsid w:val="00491913"/>
    <w:pPr>
      <w:pBdr>
        <w:top w:val="single" w:sz="4" w:space="0" w:color="auto"/>
        <w:left w:val="single" w:sz="4" w:space="0" w:color="auto"/>
        <w:right w:val="single" w:sz="4" w:space="0" w:color="auto"/>
      </w:pBdr>
      <w:spacing w:before="100" w:beforeAutospacing="1" w:after="100" w:afterAutospacing="1"/>
      <w:jc w:val="right"/>
      <w:textAlignment w:val="center"/>
    </w:pPr>
  </w:style>
  <w:style w:type="paragraph" w:customStyle="1" w:styleId="xl58083">
    <w:name w:val="xl58083"/>
    <w:basedOn w:val="Normal"/>
    <w:rsid w:val="00491913"/>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84">
    <w:name w:val="xl58084"/>
    <w:basedOn w:val="Normal"/>
    <w:rsid w:val="0049191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58085">
    <w:name w:val="xl58085"/>
    <w:basedOn w:val="Normal"/>
    <w:rsid w:val="00491913"/>
    <w:pPr>
      <w:pBdr>
        <w:left w:val="single" w:sz="8" w:space="0" w:color="auto"/>
      </w:pBdr>
      <w:shd w:val="clear" w:color="000000" w:fill="92D050"/>
      <w:spacing w:before="100" w:beforeAutospacing="1" w:after="100" w:afterAutospacing="1"/>
      <w:jc w:val="center"/>
      <w:textAlignment w:val="center"/>
    </w:pPr>
  </w:style>
  <w:style w:type="paragraph" w:customStyle="1" w:styleId="xl58086">
    <w:name w:val="xl58086"/>
    <w:basedOn w:val="Normal"/>
    <w:rsid w:val="0049191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8087">
    <w:name w:val="xl58087"/>
    <w:basedOn w:val="Normal"/>
    <w:rsid w:val="00491913"/>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88">
    <w:name w:val="xl58088"/>
    <w:basedOn w:val="Normal"/>
    <w:rsid w:val="0049191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089">
    <w:name w:val="xl58089"/>
    <w:basedOn w:val="Normal"/>
    <w:rsid w:val="00491913"/>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58090">
    <w:name w:val="xl58090"/>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91">
    <w:name w:val="xl58091"/>
    <w:basedOn w:val="Normal"/>
    <w:rsid w:val="0049191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58092">
    <w:name w:val="xl58092"/>
    <w:basedOn w:val="Normal"/>
    <w:rsid w:val="00491913"/>
    <w:pPr>
      <w:pBdr>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93">
    <w:name w:val="xl58093"/>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94">
    <w:name w:val="xl58094"/>
    <w:basedOn w:val="Normal"/>
    <w:rsid w:val="00491913"/>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95">
    <w:name w:val="xl58095"/>
    <w:basedOn w:val="Normal"/>
    <w:rsid w:val="00491913"/>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096">
    <w:name w:val="xl58096"/>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8097">
    <w:name w:val="xl58097"/>
    <w:basedOn w:val="Normal"/>
    <w:rsid w:val="00491913"/>
    <w:pPr>
      <w:pBdr>
        <w:left w:val="single" w:sz="4" w:space="0" w:color="auto"/>
        <w:bottom w:val="single" w:sz="4" w:space="0" w:color="auto"/>
      </w:pBdr>
      <w:spacing w:before="100" w:beforeAutospacing="1" w:after="100" w:afterAutospacing="1"/>
      <w:textAlignment w:val="center"/>
    </w:pPr>
  </w:style>
  <w:style w:type="paragraph" w:customStyle="1" w:styleId="xl58098">
    <w:name w:val="xl58098"/>
    <w:basedOn w:val="Normal"/>
    <w:rsid w:val="00491913"/>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58099">
    <w:name w:val="xl58099"/>
    <w:basedOn w:val="Normal"/>
    <w:rsid w:val="00491913"/>
    <w:pPr>
      <w:pBdr>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100">
    <w:name w:val="xl58100"/>
    <w:basedOn w:val="Normal"/>
    <w:rsid w:val="0049191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58101">
    <w:name w:val="xl58101"/>
    <w:basedOn w:val="Normal"/>
    <w:rsid w:val="00491913"/>
    <w:pPr>
      <w:pBdr>
        <w:left w:val="single" w:sz="4" w:space="0" w:color="000000"/>
        <w:bottom w:val="single" w:sz="4" w:space="0" w:color="000000"/>
      </w:pBdr>
      <w:spacing w:before="100" w:beforeAutospacing="1" w:after="100" w:afterAutospacing="1"/>
      <w:textAlignment w:val="center"/>
    </w:pPr>
  </w:style>
  <w:style w:type="paragraph" w:customStyle="1" w:styleId="xl58102">
    <w:name w:val="xl58102"/>
    <w:basedOn w:val="Normal"/>
    <w:rsid w:val="00491913"/>
    <w:pPr>
      <w:pBdr>
        <w:left w:val="single" w:sz="4" w:space="0" w:color="000000"/>
        <w:bottom w:val="single" w:sz="4" w:space="0" w:color="000000"/>
      </w:pBdr>
      <w:shd w:val="clear" w:color="FFFFFF" w:fill="FFFFFF"/>
      <w:spacing w:before="100" w:beforeAutospacing="1" w:after="100" w:afterAutospacing="1"/>
      <w:textAlignment w:val="center"/>
    </w:pPr>
  </w:style>
  <w:style w:type="paragraph" w:customStyle="1" w:styleId="xl58103">
    <w:name w:val="xl58103"/>
    <w:basedOn w:val="Normal"/>
    <w:rsid w:val="00491913"/>
    <w:pPr>
      <w:pBdr>
        <w:left w:val="single" w:sz="4" w:space="0" w:color="000000"/>
        <w:bottom w:val="single" w:sz="4" w:space="0" w:color="000000"/>
      </w:pBdr>
      <w:shd w:val="clear" w:color="FFFFFF" w:fill="FFFFFF"/>
      <w:spacing w:before="100" w:beforeAutospacing="1" w:after="100" w:afterAutospacing="1"/>
      <w:jc w:val="center"/>
      <w:textAlignment w:val="center"/>
    </w:pPr>
  </w:style>
  <w:style w:type="paragraph" w:customStyle="1" w:styleId="xl58104">
    <w:name w:val="xl58104"/>
    <w:basedOn w:val="Normal"/>
    <w:rsid w:val="00491913"/>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style>
  <w:style w:type="paragraph" w:customStyle="1" w:styleId="xl58105">
    <w:name w:val="xl58105"/>
    <w:basedOn w:val="Normal"/>
    <w:rsid w:val="00491913"/>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style>
  <w:style w:type="paragraph" w:customStyle="1" w:styleId="xl58106">
    <w:name w:val="xl58106"/>
    <w:basedOn w:val="Normal"/>
    <w:rsid w:val="00491913"/>
    <w:pPr>
      <w:pBdr>
        <w:top w:val="single" w:sz="4" w:space="0" w:color="auto"/>
        <w:left w:val="single" w:sz="4" w:space="0" w:color="auto"/>
        <w:right w:val="single" w:sz="4" w:space="0" w:color="auto"/>
      </w:pBdr>
      <w:shd w:val="clear" w:color="FFFFFF" w:fill="FFFFFF"/>
      <w:spacing w:before="100" w:beforeAutospacing="1" w:after="100" w:afterAutospacing="1"/>
      <w:textAlignment w:val="center"/>
    </w:pPr>
  </w:style>
  <w:style w:type="paragraph" w:customStyle="1" w:styleId="xl58107">
    <w:name w:val="xl58107"/>
    <w:basedOn w:val="Normal"/>
    <w:rsid w:val="00491913"/>
    <w:pPr>
      <w:pBdr>
        <w:top w:val="single" w:sz="4" w:space="0" w:color="auto"/>
        <w:left w:val="single" w:sz="4" w:space="0" w:color="auto"/>
        <w:right w:val="single" w:sz="4" w:space="0" w:color="auto"/>
      </w:pBdr>
      <w:shd w:val="clear" w:color="FFFFFF" w:fill="FFFFFF"/>
      <w:spacing w:before="100" w:beforeAutospacing="1" w:after="100" w:afterAutospacing="1"/>
      <w:jc w:val="center"/>
      <w:textAlignment w:val="center"/>
    </w:pPr>
  </w:style>
  <w:style w:type="paragraph" w:customStyle="1" w:styleId="xl58108">
    <w:name w:val="xl58108"/>
    <w:basedOn w:val="Normal"/>
    <w:rsid w:val="0049191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09">
    <w:name w:val="xl58109"/>
    <w:basedOn w:val="Normal"/>
    <w:rsid w:val="00491913"/>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58110">
    <w:name w:val="xl58110"/>
    <w:basedOn w:val="Normal"/>
    <w:rsid w:val="00491913"/>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58111">
    <w:name w:val="xl58111"/>
    <w:basedOn w:val="Normal"/>
    <w:rsid w:val="00491913"/>
    <w:pPr>
      <w:pBdr>
        <w:top w:val="single" w:sz="4" w:space="0" w:color="auto"/>
        <w:left w:val="single" w:sz="8" w:space="0" w:color="auto"/>
      </w:pBdr>
      <w:shd w:val="clear" w:color="000000" w:fill="92D050"/>
      <w:spacing w:before="100" w:beforeAutospacing="1" w:after="100" w:afterAutospacing="1"/>
      <w:jc w:val="center"/>
      <w:textAlignment w:val="center"/>
    </w:pPr>
  </w:style>
  <w:style w:type="paragraph" w:customStyle="1" w:styleId="xl58112">
    <w:name w:val="xl58112"/>
    <w:basedOn w:val="Normal"/>
    <w:rsid w:val="00491913"/>
    <w:pPr>
      <w:pBdr>
        <w:bottom w:val="single" w:sz="8" w:space="0" w:color="auto"/>
      </w:pBdr>
      <w:shd w:val="clear" w:color="000000" w:fill="92D050"/>
      <w:spacing w:before="100" w:beforeAutospacing="1" w:after="100" w:afterAutospacing="1"/>
      <w:jc w:val="center"/>
      <w:textAlignment w:val="center"/>
    </w:pPr>
    <w:rPr>
      <w:b/>
      <w:bCs/>
    </w:rPr>
  </w:style>
  <w:style w:type="paragraph" w:customStyle="1" w:styleId="xl58113">
    <w:name w:val="xl58113"/>
    <w:basedOn w:val="Normal"/>
    <w:rsid w:val="00491913"/>
    <w:pPr>
      <w:pBdr>
        <w:bottom w:val="single" w:sz="8" w:space="0" w:color="auto"/>
        <w:right w:val="single" w:sz="8" w:space="0" w:color="auto"/>
      </w:pBdr>
      <w:shd w:val="clear" w:color="000000" w:fill="92D050"/>
      <w:spacing w:before="100" w:beforeAutospacing="1" w:after="100" w:afterAutospacing="1"/>
      <w:jc w:val="center"/>
      <w:textAlignment w:val="center"/>
    </w:pPr>
    <w:rPr>
      <w:b/>
      <w:bCs/>
    </w:rPr>
  </w:style>
  <w:style w:type="paragraph" w:customStyle="1" w:styleId="xl58114">
    <w:name w:val="xl58114"/>
    <w:basedOn w:val="Normal"/>
    <w:rsid w:val="00491913"/>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8115">
    <w:name w:val="xl58115"/>
    <w:basedOn w:val="Normal"/>
    <w:rsid w:val="00491913"/>
    <w:pPr>
      <w:pBdr>
        <w:top w:val="single" w:sz="8"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116">
    <w:name w:val="xl58116"/>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17">
    <w:name w:val="xl58117"/>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18">
    <w:name w:val="xl58118"/>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58119">
    <w:name w:val="xl58119"/>
    <w:basedOn w:val="Normal"/>
    <w:rsid w:val="00491913"/>
    <w:pPr>
      <w:spacing w:before="100" w:beforeAutospacing="1" w:after="100" w:afterAutospacing="1"/>
      <w:textAlignment w:val="center"/>
    </w:pPr>
  </w:style>
  <w:style w:type="paragraph" w:customStyle="1" w:styleId="xl58120">
    <w:name w:val="xl58120"/>
    <w:basedOn w:val="Normal"/>
    <w:rsid w:val="00491913"/>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121">
    <w:name w:val="xl58121"/>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22">
    <w:name w:val="xl58122"/>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23">
    <w:name w:val="xl58123"/>
    <w:basedOn w:val="Normal"/>
    <w:rsid w:val="00491913"/>
    <w:pPr>
      <w:pBdr>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124">
    <w:name w:val="xl58124"/>
    <w:basedOn w:val="Normal"/>
    <w:rsid w:val="0049191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25">
    <w:name w:val="xl58125"/>
    <w:basedOn w:val="Normal"/>
    <w:rsid w:val="00491913"/>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58126">
    <w:name w:val="xl58126"/>
    <w:basedOn w:val="Normal"/>
    <w:rsid w:val="0049191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27">
    <w:name w:val="xl58127"/>
    <w:basedOn w:val="Normal"/>
    <w:rsid w:val="00491913"/>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128">
    <w:name w:val="xl58128"/>
    <w:basedOn w:val="Normal"/>
    <w:rsid w:val="00491913"/>
    <w:pPr>
      <w:pBdr>
        <w:left w:val="single" w:sz="8" w:space="0" w:color="auto"/>
      </w:pBdr>
      <w:shd w:val="clear" w:color="000000" w:fill="92D050"/>
      <w:spacing w:before="100" w:beforeAutospacing="1" w:after="100" w:afterAutospacing="1"/>
      <w:jc w:val="center"/>
      <w:textAlignment w:val="center"/>
    </w:pPr>
  </w:style>
  <w:style w:type="paragraph" w:customStyle="1" w:styleId="xl58129">
    <w:name w:val="xl58129"/>
    <w:basedOn w:val="Normal"/>
    <w:rsid w:val="0049191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8130">
    <w:name w:val="xl58130"/>
    <w:basedOn w:val="Normal"/>
    <w:rsid w:val="0049191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8131">
    <w:name w:val="xl58131"/>
    <w:basedOn w:val="Normal"/>
    <w:rsid w:val="0049191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58132">
    <w:name w:val="xl58132"/>
    <w:basedOn w:val="Normal"/>
    <w:rsid w:val="00491913"/>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133">
    <w:name w:val="xl58133"/>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34">
    <w:name w:val="xl58134"/>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35">
    <w:name w:val="xl58135"/>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58136">
    <w:name w:val="xl58136"/>
    <w:basedOn w:val="Normal"/>
    <w:rsid w:val="00491913"/>
    <w:pPr>
      <w:pBdr>
        <w:left w:val="single" w:sz="8" w:space="0" w:color="auto"/>
        <w:bottom w:val="single" w:sz="4" w:space="0" w:color="auto"/>
      </w:pBdr>
      <w:shd w:val="clear" w:color="000000" w:fill="92D050"/>
      <w:spacing w:before="100" w:beforeAutospacing="1" w:after="100" w:afterAutospacing="1"/>
      <w:jc w:val="center"/>
      <w:textAlignment w:val="center"/>
    </w:pPr>
  </w:style>
  <w:style w:type="paragraph" w:customStyle="1" w:styleId="xl58137">
    <w:name w:val="xl58137"/>
    <w:basedOn w:val="Normal"/>
    <w:rsid w:val="00491913"/>
    <w:pPr>
      <w:pBdr>
        <w:bottom w:val="single" w:sz="8" w:space="0" w:color="auto"/>
        <w:right w:val="single" w:sz="8" w:space="0" w:color="auto"/>
      </w:pBdr>
      <w:shd w:val="clear" w:color="000000" w:fill="92D050"/>
      <w:spacing w:before="100" w:beforeAutospacing="1" w:after="100" w:afterAutospacing="1"/>
      <w:textAlignment w:val="center"/>
    </w:pPr>
    <w:rPr>
      <w:b/>
      <w:bCs/>
    </w:rPr>
  </w:style>
  <w:style w:type="paragraph" w:customStyle="1" w:styleId="xl58138">
    <w:name w:val="xl58138"/>
    <w:basedOn w:val="Normal"/>
    <w:rsid w:val="00491913"/>
    <w:pPr>
      <w:pBdr>
        <w:top w:val="single" w:sz="4" w:space="0" w:color="auto"/>
        <w:left w:val="single" w:sz="4" w:space="0" w:color="auto"/>
        <w:bottom w:val="single" w:sz="4" w:space="0" w:color="auto"/>
      </w:pBdr>
      <w:spacing w:before="100" w:beforeAutospacing="1" w:after="100" w:afterAutospacing="1"/>
      <w:jc w:val="right"/>
      <w:textAlignment w:val="center"/>
    </w:pPr>
  </w:style>
  <w:style w:type="paragraph" w:customStyle="1" w:styleId="xl58139">
    <w:name w:val="xl58139"/>
    <w:basedOn w:val="Normal"/>
    <w:rsid w:val="00491913"/>
    <w:pPr>
      <w:pBdr>
        <w:top w:val="single" w:sz="4" w:space="0" w:color="auto"/>
        <w:left w:val="single" w:sz="4" w:space="0" w:color="auto"/>
      </w:pBdr>
      <w:spacing w:before="100" w:beforeAutospacing="1" w:after="100" w:afterAutospacing="1"/>
      <w:jc w:val="right"/>
      <w:textAlignment w:val="center"/>
    </w:pPr>
  </w:style>
  <w:style w:type="paragraph" w:customStyle="1" w:styleId="xl58140">
    <w:name w:val="xl58140"/>
    <w:basedOn w:val="Normal"/>
    <w:rsid w:val="00491913"/>
    <w:pPr>
      <w:pBdr>
        <w:top w:val="single" w:sz="4" w:space="0" w:color="auto"/>
        <w:left w:val="single" w:sz="4" w:space="0" w:color="auto"/>
        <w:bottom w:val="single" w:sz="4" w:space="0" w:color="auto"/>
      </w:pBdr>
      <w:spacing w:before="100" w:beforeAutospacing="1" w:after="100" w:afterAutospacing="1"/>
      <w:jc w:val="right"/>
      <w:textAlignment w:val="center"/>
    </w:pPr>
  </w:style>
  <w:style w:type="paragraph" w:customStyle="1" w:styleId="xl58141">
    <w:name w:val="xl58141"/>
    <w:basedOn w:val="Normal"/>
    <w:rsid w:val="00491913"/>
    <w:pPr>
      <w:pBdr>
        <w:left w:val="single" w:sz="4" w:space="0" w:color="auto"/>
        <w:bottom w:val="single" w:sz="4" w:space="0" w:color="auto"/>
      </w:pBdr>
      <w:spacing w:before="100" w:beforeAutospacing="1" w:after="100" w:afterAutospacing="1"/>
      <w:jc w:val="right"/>
      <w:textAlignment w:val="center"/>
    </w:pPr>
  </w:style>
  <w:style w:type="paragraph" w:customStyle="1" w:styleId="xl58142">
    <w:name w:val="xl58142"/>
    <w:basedOn w:val="Normal"/>
    <w:rsid w:val="00491913"/>
    <w:pPr>
      <w:pBdr>
        <w:left w:val="single" w:sz="4" w:space="0" w:color="auto"/>
        <w:bottom w:val="single" w:sz="4" w:space="0" w:color="auto"/>
      </w:pBdr>
      <w:spacing w:before="100" w:beforeAutospacing="1" w:after="100" w:afterAutospacing="1"/>
      <w:jc w:val="right"/>
      <w:textAlignment w:val="center"/>
    </w:pPr>
  </w:style>
  <w:style w:type="paragraph" w:customStyle="1" w:styleId="xl58143">
    <w:name w:val="xl58143"/>
    <w:basedOn w:val="Normal"/>
    <w:rsid w:val="00491913"/>
    <w:pPr>
      <w:pBdr>
        <w:left w:val="single" w:sz="4" w:space="0" w:color="auto"/>
      </w:pBdr>
      <w:spacing w:before="100" w:beforeAutospacing="1" w:after="100" w:afterAutospacing="1"/>
      <w:jc w:val="right"/>
      <w:textAlignment w:val="center"/>
    </w:pPr>
  </w:style>
  <w:style w:type="paragraph" w:customStyle="1" w:styleId="xl58144">
    <w:name w:val="xl58144"/>
    <w:basedOn w:val="Normal"/>
    <w:rsid w:val="00491913"/>
    <w:pPr>
      <w:pBdr>
        <w:top w:val="single" w:sz="4" w:space="0" w:color="auto"/>
        <w:left w:val="single" w:sz="4" w:space="0" w:color="auto"/>
        <w:bottom w:val="single" w:sz="4" w:space="0" w:color="auto"/>
      </w:pBdr>
      <w:spacing w:before="100" w:beforeAutospacing="1" w:after="100" w:afterAutospacing="1"/>
      <w:jc w:val="right"/>
      <w:textAlignment w:val="center"/>
    </w:pPr>
  </w:style>
  <w:style w:type="paragraph" w:customStyle="1" w:styleId="xl58145">
    <w:name w:val="xl58145"/>
    <w:basedOn w:val="Normal"/>
    <w:rsid w:val="00491913"/>
    <w:pPr>
      <w:pBdr>
        <w:left w:val="single" w:sz="4" w:space="0" w:color="auto"/>
        <w:bottom w:val="single" w:sz="4" w:space="0" w:color="auto"/>
      </w:pBdr>
      <w:spacing w:before="100" w:beforeAutospacing="1" w:after="100" w:afterAutospacing="1"/>
      <w:jc w:val="right"/>
      <w:textAlignment w:val="center"/>
    </w:pPr>
  </w:style>
  <w:style w:type="paragraph" w:customStyle="1" w:styleId="xl58146">
    <w:name w:val="xl58146"/>
    <w:basedOn w:val="Normal"/>
    <w:rsid w:val="00491913"/>
    <w:pPr>
      <w:pBdr>
        <w:left w:val="single" w:sz="4" w:space="0" w:color="auto"/>
      </w:pBdr>
      <w:spacing w:before="100" w:beforeAutospacing="1" w:after="100" w:afterAutospacing="1"/>
      <w:jc w:val="right"/>
      <w:textAlignment w:val="center"/>
    </w:pPr>
  </w:style>
  <w:style w:type="paragraph" w:customStyle="1" w:styleId="xl58147">
    <w:name w:val="xl58147"/>
    <w:basedOn w:val="Normal"/>
    <w:rsid w:val="00491913"/>
    <w:pPr>
      <w:pBdr>
        <w:top w:val="single" w:sz="4" w:space="0" w:color="auto"/>
        <w:left w:val="single" w:sz="4" w:space="0" w:color="auto"/>
      </w:pBdr>
      <w:spacing w:before="100" w:beforeAutospacing="1" w:after="100" w:afterAutospacing="1"/>
      <w:jc w:val="right"/>
      <w:textAlignment w:val="center"/>
    </w:pPr>
  </w:style>
  <w:style w:type="paragraph" w:customStyle="1" w:styleId="xl58148">
    <w:name w:val="xl58148"/>
    <w:basedOn w:val="Normal"/>
    <w:rsid w:val="00491913"/>
    <w:pPr>
      <w:pBdr>
        <w:top w:val="single" w:sz="4" w:space="0" w:color="auto"/>
        <w:left w:val="single" w:sz="4" w:space="0" w:color="auto"/>
        <w:bottom w:val="single" w:sz="4" w:space="0" w:color="auto"/>
      </w:pBdr>
      <w:spacing w:before="100" w:beforeAutospacing="1" w:after="100" w:afterAutospacing="1"/>
      <w:jc w:val="right"/>
      <w:textAlignment w:val="center"/>
    </w:pPr>
  </w:style>
  <w:style w:type="paragraph" w:customStyle="1" w:styleId="xl58149">
    <w:name w:val="xl58149"/>
    <w:basedOn w:val="Normal"/>
    <w:rsid w:val="00491913"/>
    <w:pPr>
      <w:pBdr>
        <w:left w:val="single" w:sz="4" w:space="0" w:color="auto"/>
        <w:bottom w:val="single" w:sz="4" w:space="0" w:color="auto"/>
      </w:pBdr>
      <w:spacing w:before="100" w:beforeAutospacing="1" w:after="100" w:afterAutospacing="1"/>
      <w:jc w:val="right"/>
      <w:textAlignment w:val="center"/>
    </w:pPr>
  </w:style>
  <w:style w:type="paragraph" w:customStyle="1" w:styleId="xl58150">
    <w:name w:val="xl58150"/>
    <w:basedOn w:val="Normal"/>
    <w:rsid w:val="00491913"/>
    <w:pPr>
      <w:spacing w:before="100" w:beforeAutospacing="1" w:after="100" w:afterAutospacing="1"/>
      <w:jc w:val="right"/>
      <w:textAlignment w:val="center"/>
    </w:pPr>
  </w:style>
  <w:style w:type="paragraph" w:customStyle="1" w:styleId="xl58151">
    <w:name w:val="xl58151"/>
    <w:basedOn w:val="Normal"/>
    <w:rsid w:val="00491913"/>
    <w:pPr>
      <w:spacing w:before="100" w:beforeAutospacing="1" w:after="100" w:afterAutospacing="1"/>
      <w:jc w:val="right"/>
      <w:textAlignment w:val="center"/>
    </w:pPr>
  </w:style>
  <w:style w:type="paragraph" w:customStyle="1" w:styleId="xl58152">
    <w:name w:val="xl58152"/>
    <w:basedOn w:val="Normal"/>
    <w:rsid w:val="00491913"/>
    <w:pPr>
      <w:spacing w:before="100" w:beforeAutospacing="1" w:after="100" w:afterAutospacing="1"/>
      <w:jc w:val="center"/>
      <w:textAlignment w:val="center"/>
    </w:pPr>
    <w:rPr>
      <w:b/>
      <w:bCs/>
    </w:rPr>
  </w:style>
  <w:style w:type="paragraph" w:customStyle="1" w:styleId="xl58153">
    <w:name w:val="xl58153"/>
    <w:basedOn w:val="Normal"/>
    <w:rsid w:val="00491913"/>
    <w:pPr>
      <w:spacing w:before="100" w:beforeAutospacing="1" w:after="100" w:afterAutospacing="1"/>
      <w:jc w:val="center"/>
      <w:textAlignment w:val="center"/>
    </w:pPr>
    <w:rPr>
      <w:b/>
      <w:bCs/>
    </w:rPr>
  </w:style>
  <w:style w:type="paragraph" w:customStyle="1" w:styleId="xl58154">
    <w:name w:val="xl58154"/>
    <w:basedOn w:val="Normal"/>
    <w:rsid w:val="00491913"/>
    <w:pPr>
      <w:spacing w:before="100" w:beforeAutospacing="1" w:after="100" w:afterAutospacing="1"/>
      <w:jc w:val="right"/>
      <w:textAlignment w:val="center"/>
    </w:pPr>
    <w:rPr>
      <w:b/>
      <w:bCs/>
    </w:rPr>
  </w:style>
  <w:style w:type="paragraph" w:customStyle="1" w:styleId="xl58155">
    <w:name w:val="xl58155"/>
    <w:basedOn w:val="Normal"/>
    <w:rsid w:val="0049191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58156">
    <w:name w:val="xl58156"/>
    <w:basedOn w:val="Normal"/>
    <w:rsid w:val="00491913"/>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rPr>
  </w:style>
  <w:style w:type="paragraph" w:customStyle="1" w:styleId="xl58157">
    <w:name w:val="xl58157"/>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58">
    <w:name w:val="xl58158"/>
    <w:basedOn w:val="Normal"/>
    <w:rsid w:val="00491913"/>
    <w:pPr>
      <w:pBdr>
        <w:top w:val="single" w:sz="4" w:space="0" w:color="auto"/>
        <w:left w:val="single" w:sz="4" w:space="0" w:color="auto"/>
        <w:right w:val="single" w:sz="8" w:space="0" w:color="auto"/>
      </w:pBdr>
      <w:spacing w:before="100" w:beforeAutospacing="1" w:after="100" w:afterAutospacing="1"/>
      <w:jc w:val="right"/>
      <w:textAlignment w:val="center"/>
    </w:pPr>
  </w:style>
  <w:style w:type="paragraph" w:customStyle="1" w:styleId="xl58159">
    <w:name w:val="xl58159"/>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60">
    <w:name w:val="xl58160"/>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61">
    <w:name w:val="xl58161"/>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62">
    <w:name w:val="xl58162"/>
    <w:basedOn w:val="Normal"/>
    <w:rsid w:val="00491913"/>
    <w:pPr>
      <w:pBdr>
        <w:left w:val="single" w:sz="4" w:space="0" w:color="auto"/>
        <w:right w:val="single" w:sz="8" w:space="0" w:color="auto"/>
      </w:pBdr>
      <w:spacing w:before="100" w:beforeAutospacing="1" w:after="100" w:afterAutospacing="1"/>
      <w:jc w:val="right"/>
      <w:textAlignment w:val="center"/>
    </w:pPr>
  </w:style>
  <w:style w:type="paragraph" w:customStyle="1" w:styleId="xl58163">
    <w:name w:val="xl58163"/>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64">
    <w:name w:val="xl58164"/>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65">
    <w:name w:val="xl58165"/>
    <w:basedOn w:val="Normal"/>
    <w:rsid w:val="00491913"/>
    <w:pPr>
      <w:pBdr>
        <w:left w:val="single" w:sz="4" w:space="0" w:color="auto"/>
        <w:right w:val="single" w:sz="8" w:space="0" w:color="auto"/>
      </w:pBdr>
      <w:spacing w:before="100" w:beforeAutospacing="1" w:after="100" w:afterAutospacing="1"/>
      <w:jc w:val="right"/>
      <w:textAlignment w:val="center"/>
    </w:pPr>
  </w:style>
  <w:style w:type="paragraph" w:customStyle="1" w:styleId="xl58166">
    <w:name w:val="xl58166"/>
    <w:basedOn w:val="Normal"/>
    <w:rsid w:val="00491913"/>
    <w:pPr>
      <w:pBdr>
        <w:top w:val="single" w:sz="4" w:space="0" w:color="auto"/>
        <w:left w:val="single" w:sz="4" w:space="0" w:color="auto"/>
        <w:right w:val="single" w:sz="8" w:space="0" w:color="auto"/>
      </w:pBdr>
      <w:spacing w:before="100" w:beforeAutospacing="1" w:after="100" w:afterAutospacing="1"/>
      <w:jc w:val="right"/>
      <w:textAlignment w:val="center"/>
    </w:pPr>
  </w:style>
  <w:style w:type="paragraph" w:customStyle="1" w:styleId="xl58167">
    <w:name w:val="xl58167"/>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68">
    <w:name w:val="xl58168"/>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69">
    <w:name w:val="xl58169"/>
    <w:basedOn w:val="Normal"/>
    <w:rsid w:val="00491913"/>
    <w:pPr>
      <w:pBdr>
        <w:top w:val="single" w:sz="4" w:space="0" w:color="auto"/>
        <w:left w:val="single" w:sz="8" w:space="0" w:color="auto"/>
        <w:bottom w:val="single" w:sz="4" w:space="0" w:color="auto"/>
      </w:pBdr>
      <w:spacing w:before="100" w:beforeAutospacing="1" w:after="100" w:afterAutospacing="1"/>
      <w:jc w:val="right"/>
      <w:textAlignment w:val="center"/>
    </w:pPr>
  </w:style>
  <w:style w:type="paragraph" w:customStyle="1" w:styleId="xl58170">
    <w:name w:val="xl58170"/>
    <w:basedOn w:val="Normal"/>
    <w:rsid w:val="00491913"/>
    <w:pPr>
      <w:pBdr>
        <w:left w:val="single" w:sz="8" w:space="0" w:color="auto"/>
        <w:bottom w:val="single" w:sz="8" w:space="0" w:color="auto"/>
      </w:pBdr>
      <w:shd w:val="clear" w:color="000000" w:fill="F2F2F2"/>
      <w:spacing w:before="100" w:beforeAutospacing="1" w:after="100" w:afterAutospacing="1"/>
      <w:jc w:val="right"/>
      <w:textAlignment w:val="center"/>
    </w:pPr>
    <w:rPr>
      <w:b/>
      <w:bCs/>
    </w:rPr>
  </w:style>
  <w:style w:type="paragraph" w:customStyle="1" w:styleId="xl58171">
    <w:name w:val="xl58171"/>
    <w:basedOn w:val="Normal"/>
    <w:rsid w:val="00491913"/>
    <w:pPr>
      <w:pBdr>
        <w:top w:val="single" w:sz="4" w:space="0" w:color="auto"/>
        <w:left w:val="single" w:sz="8" w:space="0" w:color="auto"/>
      </w:pBdr>
      <w:spacing w:before="100" w:beforeAutospacing="1" w:after="100" w:afterAutospacing="1"/>
      <w:jc w:val="right"/>
      <w:textAlignment w:val="center"/>
    </w:pPr>
  </w:style>
  <w:style w:type="paragraph" w:customStyle="1" w:styleId="xl58172">
    <w:name w:val="xl58172"/>
    <w:basedOn w:val="Normal"/>
    <w:rsid w:val="00491913"/>
    <w:pPr>
      <w:pBdr>
        <w:top w:val="single" w:sz="4" w:space="0" w:color="auto"/>
        <w:left w:val="single" w:sz="8" w:space="0" w:color="auto"/>
        <w:bottom w:val="single" w:sz="4" w:space="0" w:color="auto"/>
      </w:pBdr>
      <w:spacing w:before="100" w:beforeAutospacing="1" w:after="100" w:afterAutospacing="1"/>
      <w:jc w:val="right"/>
      <w:textAlignment w:val="center"/>
    </w:pPr>
  </w:style>
  <w:style w:type="paragraph" w:customStyle="1" w:styleId="xl58173">
    <w:name w:val="xl58173"/>
    <w:basedOn w:val="Normal"/>
    <w:rsid w:val="00491913"/>
    <w:pPr>
      <w:pBdr>
        <w:left w:val="single" w:sz="8" w:space="0" w:color="auto"/>
        <w:bottom w:val="single" w:sz="4" w:space="0" w:color="auto"/>
      </w:pBdr>
      <w:spacing w:before="100" w:beforeAutospacing="1" w:after="100" w:afterAutospacing="1"/>
      <w:jc w:val="right"/>
      <w:textAlignment w:val="center"/>
    </w:pPr>
  </w:style>
  <w:style w:type="paragraph" w:customStyle="1" w:styleId="xl58174">
    <w:name w:val="xl58174"/>
    <w:basedOn w:val="Normal"/>
    <w:rsid w:val="00491913"/>
    <w:pPr>
      <w:pBdr>
        <w:left w:val="single" w:sz="8" w:space="0" w:color="auto"/>
        <w:bottom w:val="single" w:sz="4" w:space="0" w:color="auto"/>
      </w:pBdr>
      <w:spacing w:before="100" w:beforeAutospacing="1" w:after="100" w:afterAutospacing="1"/>
      <w:jc w:val="right"/>
      <w:textAlignment w:val="center"/>
    </w:pPr>
  </w:style>
  <w:style w:type="paragraph" w:customStyle="1" w:styleId="xl58175">
    <w:name w:val="xl58175"/>
    <w:basedOn w:val="Normal"/>
    <w:rsid w:val="00491913"/>
    <w:pPr>
      <w:pBdr>
        <w:top w:val="single" w:sz="4" w:space="0" w:color="auto"/>
        <w:left w:val="single" w:sz="8" w:space="0" w:color="auto"/>
        <w:bottom w:val="single" w:sz="4" w:space="0" w:color="auto"/>
      </w:pBdr>
      <w:spacing w:before="100" w:beforeAutospacing="1" w:after="100" w:afterAutospacing="1"/>
      <w:jc w:val="right"/>
      <w:textAlignment w:val="center"/>
    </w:pPr>
  </w:style>
  <w:style w:type="paragraph" w:customStyle="1" w:styleId="xl58176">
    <w:name w:val="xl58176"/>
    <w:basedOn w:val="Normal"/>
    <w:rsid w:val="00491913"/>
    <w:pPr>
      <w:pBdr>
        <w:left w:val="single" w:sz="8" w:space="0" w:color="auto"/>
        <w:bottom w:val="single" w:sz="4" w:space="0" w:color="auto"/>
      </w:pBdr>
      <w:spacing w:before="100" w:beforeAutospacing="1" w:after="100" w:afterAutospacing="1"/>
      <w:jc w:val="right"/>
      <w:textAlignment w:val="center"/>
    </w:pPr>
  </w:style>
  <w:style w:type="paragraph" w:customStyle="1" w:styleId="xl58177">
    <w:name w:val="xl58177"/>
    <w:basedOn w:val="Normal"/>
    <w:rsid w:val="00491913"/>
    <w:pPr>
      <w:pBdr>
        <w:left w:val="single" w:sz="8" w:space="0" w:color="auto"/>
      </w:pBdr>
      <w:spacing w:before="100" w:beforeAutospacing="1" w:after="100" w:afterAutospacing="1"/>
      <w:jc w:val="right"/>
      <w:textAlignment w:val="center"/>
    </w:pPr>
  </w:style>
  <w:style w:type="paragraph" w:customStyle="1" w:styleId="xl58178">
    <w:name w:val="xl58178"/>
    <w:basedOn w:val="Normal"/>
    <w:rsid w:val="00491913"/>
    <w:pPr>
      <w:pBdr>
        <w:top w:val="single" w:sz="4" w:space="0" w:color="auto"/>
        <w:left w:val="single" w:sz="8" w:space="0" w:color="auto"/>
      </w:pBdr>
      <w:spacing w:before="100" w:beforeAutospacing="1" w:after="100" w:afterAutospacing="1"/>
      <w:jc w:val="right"/>
      <w:textAlignment w:val="center"/>
    </w:pPr>
  </w:style>
  <w:style w:type="paragraph" w:customStyle="1" w:styleId="xl58179">
    <w:name w:val="xl58179"/>
    <w:basedOn w:val="Normal"/>
    <w:rsid w:val="00491913"/>
    <w:pPr>
      <w:pBdr>
        <w:top w:val="single" w:sz="4" w:space="0" w:color="auto"/>
        <w:left w:val="single" w:sz="8" w:space="0" w:color="auto"/>
        <w:bottom w:val="single" w:sz="4" w:space="0" w:color="auto"/>
      </w:pBdr>
      <w:spacing w:before="100" w:beforeAutospacing="1" w:after="100" w:afterAutospacing="1"/>
      <w:jc w:val="right"/>
      <w:textAlignment w:val="center"/>
    </w:pPr>
  </w:style>
  <w:style w:type="paragraph" w:customStyle="1" w:styleId="xl58180">
    <w:name w:val="xl58180"/>
    <w:basedOn w:val="Normal"/>
    <w:rsid w:val="00491913"/>
    <w:pPr>
      <w:pBdr>
        <w:left w:val="single" w:sz="8" w:space="0" w:color="auto"/>
        <w:bottom w:val="single" w:sz="4" w:space="0" w:color="auto"/>
      </w:pBdr>
      <w:spacing w:before="100" w:beforeAutospacing="1" w:after="100" w:afterAutospacing="1"/>
      <w:jc w:val="right"/>
      <w:textAlignment w:val="center"/>
    </w:pPr>
  </w:style>
  <w:style w:type="paragraph" w:customStyle="1" w:styleId="xl58181">
    <w:name w:val="xl58181"/>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82">
    <w:name w:val="xl58182"/>
    <w:basedOn w:val="Normal"/>
    <w:rsid w:val="00491913"/>
    <w:pPr>
      <w:pBdr>
        <w:left w:val="single" w:sz="8"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58183">
    <w:name w:val="xl58183"/>
    <w:basedOn w:val="Normal"/>
    <w:rsid w:val="00491913"/>
    <w:pPr>
      <w:pBdr>
        <w:left w:val="single" w:sz="4" w:space="0" w:color="000000"/>
        <w:bottom w:val="single" w:sz="4" w:space="0" w:color="000000"/>
      </w:pBdr>
      <w:shd w:val="clear" w:color="FFFFFF" w:fill="FFFFFF"/>
      <w:spacing w:before="100" w:beforeAutospacing="1" w:after="100" w:afterAutospacing="1"/>
      <w:textAlignment w:val="center"/>
    </w:pPr>
  </w:style>
  <w:style w:type="paragraph" w:customStyle="1" w:styleId="xl58184">
    <w:name w:val="xl58184"/>
    <w:basedOn w:val="Normal"/>
    <w:rsid w:val="0049191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58185">
    <w:name w:val="xl58185"/>
    <w:basedOn w:val="Normal"/>
    <w:rsid w:val="00491913"/>
    <w:pPr>
      <w:pBdr>
        <w:top w:val="single" w:sz="8" w:space="0" w:color="auto"/>
        <w:left w:val="single" w:sz="8" w:space="0" w:color="auto"/>
        <w:bottom w:val="single" w:sz="8" w:space="0" w:color="auto"/>
      </w:pBdr>
      <w:shd w:val="clear" w:color="000000" w:fill="F2F2F2"/>
      <w:spacing w:before="100" w:beforeAutospacing="1" w:after="100" w:afterAutospacing="1"/>
      <w:jc w:val="right"/>
      <w:textAlignment w:val="center"/>
    </w:pPr>
    <w:rPr>
      <w:b/>
      <w:bCs/>
      <w:sz w:val="28"/>
      <w:szCs w:val="28"/>
    </w:rPr>
  </w:style>
  <w:style w:type="paragraph" w:customStyle="1" w:styleId="xl58186">
    <w:name w:val="xl58186"/>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58187">
    <w:name w:val="xl58187"/>
    <w:basedOn w:val="Normal"/>
    <w:rsid w:val="0049191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8188">
    <w:name w:val="xl58188"/>
    <w:basedOn w:val="Normal"/>
    <w:rsid w:val="0049191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58189">
    <w:name w:val="xl58189"/>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58190">
    <w:name w:val="xl58190"/>
    <w:basedOn w:val="Normal"/>
    <w:rsid w:val="00491913"/>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right"/>
      <w:textAlignment w:val="center"/>
    </w:pPr>
    <w:rPr>
      <w:b/>
      <w:bCs/>
      <w:sz w:val="28"/>
      <w:szCs w:val="28"/>
    </w:rPr>
  </w:style>
  <w:style w:type="paragraph" w:customStyle="1" w:styleId="xl58191">
    <w:name w:val="xl58191"/>
    <w:basedOn w:val="Normal"/>
    <w:rsid w:val="00491913"/>
    <w:pPr>
      <w:pBdr>
        <w:left w:val="single" w:sz="4" w:space="0" w:color="auto"/>
        <w:bottom w:val="single" w:sz="8" w:space="0" w:color="auto"/>
        <w:right w:val="single" w:sz="8" w:space="0" w:color="auto"/>
      </w:pBdr>
      <w:shd w:val="clear" w:color="000000" w:fill="F2F2F2"/>
      <w:spacing w:before="100" w:beforeAutospacing="1" w:after="100" w:afterAutospacing="1"/>
      <w:jc w:val="right"/>
      <w:textAlignment w:val="center"/>
    </w:pPr>
    <w:rPr>
      <w:b/>
      <w:bCs/>
    </w:rPr>
  </w:style>
  <w:style w:type="paragraph" w:customStyle="1" w:styleId="xl58192">
    <w:name w:val="xl58192"/>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93">
    <w:name w:val="xl58193"/>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94">
    <w:name w:val="xl58194"/>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95">
    <w:name w:val="xl58195"/>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96">
    <w:name w:val="xl58196"/>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97">
    <w:name w:val="xl58197"/>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98">
    <w:name w:val="xl58198"/>
    <w:basedOn w:val="Normal"/>
    <w:rsid w:val="00491913"/>
    <w:pPr>
      <w:pBdr>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199">
    <w:name w:val="xl58199"/>
    <w:basedOn w:val="Normal"/>
    <w:rsid w:val="0049191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style>
  <w:style w:type="paragraph" w:customStyle="1" w:styleId="xl58200">
    <w:name w:val="xl58200"/>
    <w:basedOn w:val="Normal"/>
    <w:rsid w:val="00491913"/>
    <w:pPr>
      <w:pBdr>
        <w:top w:val="single" w:sz="4" w:space="0" w:color="auto"/>
        <w:left w:val="single" w:sz="4" w:space="0" w:color="auto"/>
        <w:bottom w:val="single" w:sz="4" w:space="0" w:color="auto"/>
      </w:pBdr>
      <w:spacing w:before="100" w:beforeAutospacing="1" w:after="100" w:afterAutospacing="1"/>
      <w:jc w:val="right"/>
      <w:textAlignment w:val="center"/>
    </w:pPr>
    <w:rPr>
      <w:color w:val="FF0000"/>
    </w:rPr>
  </w:style>
  <w:style w:type="paragraph" w:customStyle="1" w:styleId="xl58201">
    <w:name w:val="xl58201"/>
    <w:basedOn w:val="Normal"/>
    <w:rsid w:val="0049191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FF0000"/>
    </w:rPr>
  </w:style>
  <w:style w:type="paragraph" w:customStyle="1" w:styleId="xl58202">
    <w:name w:val="xl58202"/>
    <w:basedOn w:val="Normal"/>
    <w:rsid w:val="00491913"/>
    <w:pPr>
      <w:pBdr>
        <w:top w:val="single" w:sz="4" w:space="0" w:color="auto"/>
        <w:left w:val="single" w:sz="4" w:space="0" w:color="auto"/>
      </w:pBdr>
      <w:spacing w:before="100" w:beforeAutospacing="1" w:after="100" w:afterAutospacing="1"/>
      <w:jc w:val="right"/>
      <w:textAlignment w:val="center"/>
    </w:pPr>
    <w:rPr>
      <w:color w:val="FF0000"/>
    </w:rPr>
  </w:style>
  <w:style w:type="paragraph" w:customStyle="1" w:styleId="xl58203">
    <w:name w:val="xl58203"/>
    <w:basedOn w:val="Normal"/>
    <w:rsid w:val="00491913"/>
    <w:pPr>
      <w:pBdr>
        <w:top w:val="single" w:sz="4" w:space="0" w:color="auto"/>
        <w:left w:val="single" w:sz="4" w:space="0" w:color="auto"/>
        <w:bottom w:val="single" w:sz="4" w:space="0" w:color="auto"/>
      </w:pBdr>
      <w:spacing w:before="100" w:beforeAutospacing="1" w:after="100" w:afterAutospacing="1"/>
      <w:jc w:val="right"/>
      <w:textAlignment w:val="center"/>
    </w:pPr>
    <w:rPr>
      <w:color w:val="FF0000"/>
    </w:rPr>
  </w:style>
  <w:style w:type="paragraph" w:customStyle="1" w:styleId="xl58204">
    <w:name w:val="xl58204"/>
    <w:basedOn w:val="Normal"/>
    <w:rsid w:val="00491913"/>
    <w:pPr>
      <w:pBdr>
        <w:left w:val="single" w:sz="4" w:space="0" w:color="auto"/>
        <w:bottom w:val="single" w:sz="4" w:space="0" w:color="auto"/>
        <w:right w:val="single" w:sz="4" w:space="0" w:color="auto"/>
      </w:pBdr>
      <w:spacing w:before="100" w:beforeAutospacing="1" w:after="100" w:afterAutospacing="1"/>
      <w:jc w:val="right"/>
      <w:textAlignment w:val="center"/>
    </w:pPr>
    <w:rPr>
      <w:color w:val="FF0000"/>
    </w:rPr>
  </w:style>
  <w:style w:type="paragraph" w:customStyle="1" w:styleId="xl58205">
    <w:name w:val="xl58205"/>
    <w:basedOn w:val="Normal"/>
    <w:rsid w:val="00491913"/>
    <w:pPr>
      <w:pBdr>
        <w:left w:val="single" w:sz="4" w:space="0" w:color="auto"/>
        <w:bottom w:val="single" w:sz="4" w:space="0" w:color="auto"/>
      </w:pBdr>
      <w:spacing w:before="100" w:beforeAutospacing="1" w:after="100" w:afterAutospacing="1"/>
      <w:jc w:val="right"/>
      <w:textAlignment w:val="center"/>
    </w:pPr>
    <w:rPr>
      <w:color w:val="FF0000"/>
    </w:rPr>
  </w:style>
  <w:style w:type="paragraph" w:customStyle="1" w:styleId="xl58206">
    <w:name w:val="xl58206"/>
    <w:basedOn w:val="Normal"/>
    <w:rsid w:val="00491913"/>
    <w:pPr>
      <w:pBdr>
        <w:top w:val="single" w:sz="4" w:space="0" w:color="auto"/>
        <w:left w:val="single" w:sz="4" w:space="0" w:color="auto"/>
        <w:right w:val="single" w:sz="4" w:space="0" w:color="auto"/>
      </w:pBdr>
      <w:spacing w:before="100" w:beforeAutospacing="1" w:after="100" w:afterAutospacing="1"/>
      <w:jc w:val="right"/>
      <w:textAlignment w:val="center"/>
    </w:pPr>
    <w:rPr>
      <w:color w:val="FF0000"/>
    </w:rPr>
  </w:style>
  <w:style w:type="paragraph" w:customStyle="1" w:styleId="xl58207">
    <w:name w:val="xl58207"/>
    <w:basedOn w:val="Normal"/>
    <w:rsid w:val="00491913"/>
    <w:pPr>
      <w:pBdr>
        <w:top w:val="single" w:sz="4" w:space="0" w:color="auto"/>
        <w:left w:val="single" w:sz="4" w:space="0" w:color="auto"/>
        <w:right w:val="single" w:sz="4" w:space="0" w:color="auto"/>
      </w:pBdr>
      <w:spacing w:before="100" w:beforeAutospacing="1" w:after="100" w:afterAutospacing="1"/>
      <w:jc w:val="right"/>
      <w:textAlignment w:val="center"/>
    </w:pPr>
    <w:rPr>
      <w:color w:val="FF0000"/>
    </w:rPr>
  </w:style>
  <w:style w:type="paragraph" w:customStyle="1" w:styleId="xl58208">
    <w:name w:val="xl58208"/>
    <w:basedOn w:val="Normal"/>
    <w:rsid w:val="00491913"/>
    <w:pPr>
      <w:pBdr>
        <w:top w:val="single" w:sz="4" w:space="0" w:color="auto"/>
        <w:left w:val="single" w:sz="4" w:space="0" w:color="auto"/>
        <w:bottom w:val="single" w:sz="4" w:space="0" w:color="auto"/>
      </w:pBdr>
      <w:spacing w:before="100" w:beforeAutospacing="1" w:after="100" w:afterAutospacing="1"/>
      <w:jc w:val="right"/>
      <w:textAlignment w:val="center"/>
    </w:pPr>
    <w:rPr>
      <w:color w:val="FF0000"/>
    </w:rPr>
  </w:style>
  <w:style w:type="paragraph" w:customStyle="1" w:styleId="xl58209">
    <w:name w:val="xl58209"/>
    <w:basedOn w:val="Normal"/>
    <w:rsid w:val="00491913"/>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b/>
      <w:bCs/>
      <w:sz w:val="28"/>
      <w:szCs w:val="28"/>
    </w:rPr>
  </w:style>
  <w:style w:type="paragraph" w:customStyle="1" w:styleId="xl58210">
    <w:name w:val="xl58210"/>
    <w:basedOn w:val="Normal"/>
    <w:rsid w:val="00491913"/>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b/>
      <w:bCs/>
      <w:sz w:val="28"/>
      <w:szCs w:val="28"/>
    </w:rPr>
  </w:style>
  <w:style w:type="paragraph" w:customStyle="1" w:styleId="xl58211">
    <w:name w:val="xl58211"/>
    <w:basedOn w:val="Normal"/>
    <w:rsid w:val="00491913"/>
    <w:pPr>
      <w:pBdr>
        <w:top w:val="single" w:sz="4" w:space="0" w:color="auto"/>
        <w:left w:val="single" w:sz="8" w:space="0" w:color="auto"/>
        <w:bottom w:val="single" w:sz="8" w:space="0" w:color="auto"/>
      </w:pBdr>
      <w:shd w:val="clear" w:color="000000" w:fill="F2F2F2"/>
      <w:spacing w:before="100" w:beforeAutospacing="1" w:after="100" w:afterAutospacing="1"/>
      <w:jc w:val="right"/>
      <w:textAlignment w:val="center"/>
    </w:pPr>
    <w:rPr>
      <w:b/>
      <w:bCs/>
    </w:rPr>
  </w:style>
  <w:style w:type="paragraph" w:customStyle="1" w:styleId="xl58212">
    <w:name w:val="xl58212"/>
    <w:basedOn w:val="Normal"/>
    <w:rsid w:val="00491913"/>
    <w:pPr>
      <w:pBdr>
        <w:top w:val="single" w:sz="4" w:space="0" w:color="auto"/>
        <w:bottom w:val="single" w:sz="8" w:space="0" w:color="auto"/>
      </w:pBdr>
      <w:shd w:val="clear" w:color="000000" w:fill="F2F2F2"/>
      <w:spacing w:before="100" w:beforeAutospacing="1" w:after="100" w:afterAutospacing="1"/>
      <w:jc w:val="right"/>
      <w:textAlignment w:val="center"/>
    </w:pPr>
    <w:rPr>
      <w:b/>
      <w:bCs/>
    </w:rPr>
  </w:style>
  <w:style w:type="paragraph" w:customStyle="1" w:styleId="xl58213">
    <w:name w:val="xl58213"/>
    <w:basedOn w:val="Normal"/>
    <w:rsid w:val="00491913"/>
    <w:pPr>
      <w:pBdr>
        <w:top w:val="single" w:sz="4" w:space="0" w:color="auto"/>
        <w:bottom w:val="single" w:sz="8" w:space="0" w:color="auto"/>
        <w:right w:val="single" w:sz="8" w:space="0" w:color="auto"/>
      </w:pBdr>
      <w:shd w:val="clear" w:color="000000" w:fill="F2F2F2"/>
      <w:spacing w:before="100" w:beforeAutospacing="1" w:after="100" w:afterAutospacing="1"/>
      <w:jc w:val="right"/>
      <w:textAlignment w:val="center"/>
    </w:pPr>
    <w:rPr>
      <w:b/>
      <w:bCs/>
    </w:rPr>
  </w:style>
  <w:style w:type="paragraph" w:customStyle="1" w:styleId="xl58214">
    <w:name w:val="xl58214"/>
    <w:basedOn w:val="Normal"/>
    <w:rsid w:val="00491913"/>
    <w:pPr>
      <w:pBdr>
        <w:top w:val="single" w:sz="4" w:space="0" w:color="auto"/>
        <w:left w:val="single" w:sz="8" w:space="0" w:color="auto"/>
        <w:bottom w:val="single" w:sz="8" w:space="0" w:color="auto"/>
      </w:pBdr>
      <w:shd w:val="clear" w:color="000000" w:fill="D9D9D9"/>
      <w:spacing w:before="100" w:beforeAutospacing="1" w:after="100" w:afterAutospacing="1"/>
      <w:jc w:val="right"/>
      <w:textAlignment w:val="center"/>
    </w:pPr>
    <w:rPr>
      <w:b/>
      <w:bCs/>
      <w:sz w:val="32"/>
      <w:szCs w:val="32"/>
    </w:rPr>
  </w:style>
  <w:style w:type="paragraph" w:customStyle="1" w:styleId="xl58215">
    <w:name w:val="xl58215"/>
    <w:basedOn w:val="Normal"/>
    <w:rsid w:val="00491913"/>
    <w:pPr>
      <w:pBdr>
        <w:top w:val="single" w:sz="4" w:space="0" w:color="auto"/>
        <w:bottom w:val="single" w:sz="8" w:space="0" w:color="auto"/>
      </w:pBdr>
      <w:shd w:val="clear" w:color="000000" w:fill="D9D9D9"/>
      <w:spacing w:before="100" w:beforeAutospacing="1" w:after="100" w:afterAutospacing="1"/>
      <w:jc w:val="right"/>
      <w:textAlignment w:val="center"/>
    </w:pPr>
    <w:rPr>
      <w:b/>
      <w:bCs/>
      <w:sz w:val="32"/>
      <w:szCs w:val="32"/>
    </w:rPr>
  </w:style>
  <w:style w:type="paragraph" w:customStyle="1" w:styleId="xl58216">
    <w:name w:val="xl58216"/>
    <w:basedOn w:val="Normal"/>
    <w:rsid w:val="00491913"/>
    <w:pPr>
      <w:pBdr>
        <w:top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32"/>
      <w:szCs w:val="32"/>
    </w:rPr>
  </w:style>
  <w:style w:type="paragraph" w:customStyle="1" w:styleId="xl58217">
    <w:name w:val="xl58217"/>
    <w:basedOn w:val="Normal"/>
    <w:rsid w:val="00491913"/>
    <w:pPr>
      <w:pBdr>
        <w:top w:val="single" w:sz="4" w:space="0" w:color="auto"/>
        <w:left w:val="single" w:sz="8" w:space="0" w:color="auto"/>
        <w:bottom w:val="single" w:sz="8" w:space="0" w:color="auto"/>
      </w:pBdr>
      <w:shd w:val="clear" w:color="000000" w:fill="92D050"/>
      <w:spacing w:before="100" w:beforeAutospacing="1" w:after="100" w:afterAutospacing="1"/>
      <w:jc w:val="center"/>
      <w:textAlignment w:val="center"/>
    </w:pPr>
    <w:rPr>
      <w:b/>
      <w:bCs/>
      <w:sz w:val="32"/>
      <w:szCs w:val="32"/>
    </w:rPr>
  </w:style>
  <w:style w:type="paragraph" w:customStyle="1" w:styleId="xl58218">
    <w:name w:val="xl58218"/>
    <w:basedOn w:val="Normal"/>
    <w:rsid w:val="00491913"/>
    <w:pPr>
      <w:pBdr>
        <w:top w:val="single" w:sz="4" w:space="0" w:color="auto"/>
        <w:bottom w:val="single" w:sz="8" w:space="0" w:color="auto"/>
        <w:right w:val="single" w:sz="8" w:space="0" w:color="auto"/>
      </w:pBdr>
      <w:shd w:val="clear" w:color="000000" w:fill="92D050"/>
      <w:spacing w:before="100" w:beforeAutospacing="1" w:after="100" w:afterAutospacing="1"/>
      <w:jc w:val="center"/>
      <w:textAlignment w:val="center"/>
    </w:pPr>
    <w:rPr>
      <w:b/>
      <w:bCs/>
      <w:sz w:val="32"/>
      <w:szCs w:val="32"/>
    </w:rPr>
  </w:style>
  <w:style w:type="paragraph" w:customStyle="1" w:styleId="xl58219">
    <w:name w:val="xl58219"/>
    <w:basedOn w:val="Normal"/>
    <w:rsid w:val="00491913"/>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20">
    <w:name w:val="xl58220"/>
    <w:basedOn w:val="Normal"/>
    <w:rsid w:val="0049191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21">
    <w:name w:val="xl58221"/>
    <w:basedOn w:val="Normal"/>
    <w:rsid w:val="0049191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22">
    <w:name w:val="xl58222"/>
    <w:basedOn w:val="Normal"/>
    <w:rsid w:val="0049191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23">
    <w:name w:val="xl58223"/>
    <w:basedOn w:val="Normal"/>
    <w:rsid w:val="00491913"/>
    <w:pPr>
      <w:pBdr>
        <w:top w:val="single" w:sz="8" w:space="0" w:color="auto"/>
        <w:left w:val="single" w:sz="4" w:space="0" w:color="auto"/>
        <w:bottom w:val="single" w:sz="8" w:space="0" w:color="auto"/>
      </w:pBdr>
      <w:shd w:val="clear" w:color="000000" w:fill="92D050"/>
      <w:spacing w:before="100" w:beforeAutospacing="1" w:after="100" w:afterAutospacing="1"/>
      <w:jc w:val="center"/>
      <w:textAlignment w:val="center"/>
    </w:pPr>
    <w:rPr>
      <w:b/>
      <w:bCs/>
    </w:rPr>
  </w:style>
  <w:style w:type="paragraph" w:customStyle="1" w:styleId="xl58224">
    <w:name w:val="xl58224"/>
    <w:basedOn w:val="Normal"/>
    <w:rsid w:val="00491913"/>
    <w:pPr>
      <w:pBdr>
        <w:top w:val="single" w:sz="8" w:space="0" w:color="auto"/>
        <w:bottom w:val="single" w:sz="8" w:space="0" w:color="auto"/>
      </w:pBdr>
      <w:shd w:val="clear" w:color="000000" w:fill="92D050"/>
      <w:spacing w:before="100" w:beforeAutospacing="1" w:after="100" w:afterAutospacing="1"/>
      <w:jc w:val="center"/>
      <w:textAlignment w:val="center"/>
    </w:pPr>
    <w:rPr>
      <w:b/>
      <w:bCs/>
    </w:rPr>
  </w:style>
  <w:style w:type="paragraph" w:customStyle="1" w:styleId="xl58225">
    <w:name w:val="xl58225"/>
    <w:basedOn w:val="Normal"/>
    <w:rsid w:val="00491913"/>
    <w:pPr>
      <w:pBdr>
        <w:top w:val="single" w:sz="8" w:space="0" w:color="auto"/>
        <w:left w:val="single" w:sz="8" w:space="0" w:color="auto"/>
      </w:pBdr>
      <w:shd w:val="clear" w:color="000000" w:fill="D9D9D9"/>
      <w:spacing w:before="100" w:beforeAutospacing="1" w:after="100" w:afterAutospacing="1"/>
      <w:jc w:val="center"/>
      <w:textAlignment w:val="center"/>
    </w:pPr>
    <w:rPr>
      <w:b/>
      <w:bCs/>
    </w:rPr>
  </w:style>
  <w:style w:type="paragraph" w:customStyle="1" w:styleId="xl58226">
    <w:name w:val="xl58226"/>
    <w:basedOn w:val="Normal"/>
    <w:rsid w:val="00491913"/>
    <w:pPr>
      <w:pBdr>
        <w:left w:val="single" w:sz="8" w:space="0" w:color="auto"/>
        <w:bottom w:val="single" w:sz="8" w:space="0" w:color="auto"/>
      </w:pBdr>
      <w:shd w:val="clear" w:color="000000" w:fill="D9D9D9"/>
      <w:spacing w:before="100" w:beforeAutospacing="1" w:after="100" w:afterAutospacing="1"/>
      <w:jc w:val="center"/>
      <w:textAlignment w:val="center"/>
    </w:pPr>
    <w:rPr>
      <w:b/>
      <w:bCs/>
    </w:rPr>
  </w:style>
  <w:style w:type="paragraph" w:customStyle="1" w:styleId="xl58227">
    <w:name w:val="xl58227"/>
    <w:basedOn w:val="Normal"/>
    <w:rsid w:val="0049191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rPr>
  </w:style>
  <w:style w:type="paragraph" w:customStyle="1" w:styleId="xl58228">
    <w:name w:val="xl58228"/>
    <w:basedOn w:val="Normal"/>
    <w:rsid w:val="00491913"/>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rPr>
  </w:style>
  <w:style w:type="paragraph" w:customStyle="1" w:styleId="xl58229">
    <w:name w:val="xl58229"/>
    <w:basedOn w:val="Normal"/>
    <w:rsid w:val="00F11F6F"/>
    <w:pPr>
      <w:pBdr>
        <w:top w:val="single" w:sz="4" w:space="0" w:color="auto"/>
        <w:bottom w:val="single" w:sz="8" w:space="0" w:color="auto"/>
      </w:pBdr>
      <w:shd w:val="clear" w:color="000000" w:fill="F2F2F2"/>
      <w:spacing w:before="100" w:beforeAutospacing="1" w:after="100" w:afterAutospacing="1"/>
      <w:jc w:val="right"/>
      <w:textAlignment w:val="center"/>
    </w:pPr>
    <w:rPr>
      <w:b/>
      <w:bCs/>
    </w:rPr>
  </w:style>
  <w:style w:type="paragraph" w:customStyle="1" w:styleId="xl58230">
    <w:name w:val="xl58230"/>
    <w:basedOn w:val="Normal"/>
    <w:rsid w:val="00F11F6F"/>
    <w:pPr>
      <w:pBdr>
        <w:top w:val="single" w:sz="4" w:space="0" w:color="auto"/>
        <w:bottom w:val="single" w:sz="8" w:space="0" w:color="auto"/>
        <w:right w:val="single" w:sz="8" w:space="0" w:color="auto"/>
      </w:pBdr>
      <w:shd w:val="clear" w:color="000000" w:fill="F2F2F2"/>
      <w:spacing w:before="100" w:beforeAutospacing="1" w:after="100" w:afterAutospacing="1"/>
      <w:jc w:val="right"/>
      <w:textAlignment w:val="center"/>
    </w:pPr>
    <w:rPr>
      <w:b/>
      <w:bCs/>
    </w:rPr>
  </w:style>
  <w:style w:type="paragraph" w:customStyle="1" w:styleId="xl58231">
    <w:name w:val="xl58231"/>
    <w:basedOn w:val="Normal"/>
    <w:rsid w:val="00F11F6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32">
    <w:name w:val="xl58232"/>
    <w:basedOn w:val="Normal"/>
    <w:rsid w:val="00F11F6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33">
    <w:name w:val="xl58233"/>
    <w:basedOn w:val="Normal"/>
    <w:rsid w:val="00F11F6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34">
    <w:name w:val="xl58234"/>
    <w:basedOn w:val="Normal"/>
    <w:rsid w:val="00F11F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35">
    <w:name w:val="xl58235"/>
    <w:basedOn w:val="Normal"/>
    <w:rsid w:val="00F11F6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b/>
      <w:bCs/>
    </w:rPr>
  </w:style>
  <w:style w:type="paragraph" w:customStyle="1" w:styleId="xl58236">
    <w:name w:val="xl58236"/>
    <w:basedOn w:val="Normal"/>
    <w:rsid w:val="00F11F6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rPr>
  </w:style>
  <w:style w:type="character" w:styleId="Hipervnculovisitado">
    <w:name w:val="FollowedHyperlink"/>
    <w:basedOn w:val="Fuentedeprrafopredeter"/>
    <w:uiPriority w:val="99"/>
    <w:semiHidden/>
    <w:unhideWhenUsed/>
    <w:rsid w:val="00725455"/>
    <w:rPr>
      <w:color w:val="954F72"/>
      <w:u w:val="single"/>
    </w:rPr>
  </w:style>
  <w:style w:type="character" w:customStyle="1" w:styleId="Ttulo5Car">
    <w:name w:val="Título 5 Car"/>
    <w:basedOn w:val="Fuentedeprrafopredeter"/>
    <w:link w:val="Ttulo5"/>
    <w:uiPriority w:val="9"/>
    <w:rsid w:val="00633D53"/>
    <w:rPr>
      <w:rFonts w:asciiTheme="majorHAnsi" w:eastAsiaTheme="majorEastAsia" w:hAnsiTheme="majorHAnsi" w:cstheme="majorBidi"/>
      <w:color w:val="365F91" w:themeColor="accent1" w:themeShade="BF"/>
      <w:sz w:val="24"/>
      <w:szCs w:val="24"/>
      <w:lang w:val="es-CO" w:eastAsia="es-CO"/>
    </w:rPr>
  </w:style>
  <w:style w:type="character" w:customStyle="1" w:styleId="Mencinsinresolver2">
    <w:name w:val="Mención sin resolver2"/>
    <w:basedOn w:val="Fuentedeprrafopredeter"/>
    <w:uiPriority w:val="99"/>
    <w:semiHidden/>
    <w:unhideWhenUsed/>
    <w:rsid w:val="00B948B2"/>
    <w:rPr>
      <w:color w:val="605E5C"/>
      <w:shd w:val="clear" w:color="auto" w:fill="E1DFDD"/>
    </w:rPr>
  </w:style>
  <w:style w:type="paragraph" w:customStyle="1" w:styleId="Invias-Titulo2">
    <w:name w:val="Invias-Titulo 2"/>
    <w:next w:val="Normal"/>
    <w:autoRedefine/>
    <w:uiPriority w:val="99"/>
    <w:qFormat/>
    <w:rsid w:val="00F31ADD"/>
    <w:pPr>
      <w:numPr>
        <w:ilvl w:val="1"/>
        <w:numId w:val="10"/>
      </w:numPr>
      <w:adjustRightInd w:val="0"/>
      <w:jc w:val="both"/>
      <w:outlineLvl w:val="1"/>
    </w:pPr>
    <w:rPr>
      <w:rFonts w:ascii="Arial Narrow" w:eastAsia="Times New Roman" w:hAnsi="Arial Narrow" w:cs="Arial"/>
      <w:b/>
      <w:sz w:val="24"/>
      <w:szCs w:val="24"/>
      <w:lang w:val="es-CO" w:eastAsia="es-CO" w:bidi="th-TH"/>
    </w:rPr>
  </w:style>
  <w:style w:type="character" w:customStyle="1" w:styleId="DefaultCar">
    <w:name w:val="Default Car"/>
    <w:link w:val="Default"/>
    <w:qFormat/>
    <w:locked/>
    <w:rsid w:val="00D061E0"/>
    <w:rPr>
      <w:rFonts w:ascii="Arial" w:eastAsia="Calibri" w:hAnsi="Arial" w:cs="Arial"/>
      <w:color w:val="000000"/>
      <w:sz w:val="24"/>
      <w:szCs w:val="24"/>
      <w:lang w:val="es-CO"/>
    </w:rPr>
  </w:style>
  <w:style w:type="paragraph" w:customStyle="1" w:styleId="xxxxxxxmsobodytext">
    <w:name w:val="x_x_x_x_x_x_x_msobodytext"/>
    <w:basedOn w:val="Normal"/>
    <w:uiPriority w:val="99"/>
    <w:semiHidden/>
    <w:rsid w:val="00D061E0"/>
    <w:rPr>
      <w:rFonts w:eastAsia="Calibri"/>
    </w:rPr>
  </w:style>
  <w:style w:type="character" w:customStyle="1" w:styleId="InviasNormalCar">
    <w:name w:val="Invias Normal Car"/>
    <w:link w:val="InviasNormal"/>
    <w:locked/>
    <w:rsid w:val="003C7DBE"/>
    <w:rPr>
      <w:rFonts w:ascii="Arial Narrow" w:hAnsi="Arial Narrow" w:cs="Arial"/>
      <w:color w:val="000000"/>
      <w:lang w:eastAsia="es-ES"/>
    </w:rPr>
  </w:style>
  <w:style w:type="paragraph" w:customStyle="1" w:styleId="InviasNormal">
    <w:name w:val="Invias Normal"/>
    <w:basedOn w:val="Normal"/>
    <w:link w:val="InviasNormalCar"/>
    <w:qFormat/>
    <w:rsid w:val="003C7DBE"/>
    <w:pPr>
      <w:spacing w:before="120" w:after="240"/>
      <w:jc w:val="both"/>
    </w:pPr>
    <w:rPr>
      <w:rFonts w:ascii="Arial Narrow" w:eastAsiaTheme="minorHAnsi" w:hAnsi="Arial Narrow" w:cs="Arial"/>
      <w:color w:val="000000"/>
      <w:sz w:val="22"/>
      <w:szCs w:val="22"/>
      <w:lang w:val="en-US" w:eastAsia="es-ES"/>
    </w:rPr>
  </w:style>
  <w:style w:type="character" w:styleId="Mencinsinresolver">
    <w:name w:val="Unresolved Mention"/>
    <w:basedOn w:val="Fuentedeprrafopredeter"/>
    <w:uiPriority w:val="99"/>
    <w:semiHidden/>
    <w:unhideWhenUsed/>
    <w:rsid w:val="00531DC9"/>
    <w:rPr>
      <w:color w:val="605E5C"/>
      <w:shd w:val="clear" w:color="auto" w:fill="E1DFDD"/>
    </w:rPr>
  </w:style>
  <w:style w:type="paragraph" w:customStyle="1" w:styleId="Car1CarCarCar">
    <w:name w:val="Car1 Car Car Car"/>
    <w:basedOn w:val="Normal"/>
    <w:uiPriority w:val="99"/>
    <w:rsid w:val="008322ED"/>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8322ED"/>
    <w:pPr>
      <w:jc w:val="both"/>
    </w:pPr>
    <w:rPr>
      <w:rFonts w:ascii="Arial" w:hAnsi="Arial" w:cs="Arial"/>
      <w:lang w:eastAsia="es-ES"/>
    </w:rPr>
  </w:style>
  <w:style w:type="paragraph" w:styleId="Lista2">
    <w:name w:val="List 2"/>
    <w:basedOn w:val="Normal"/>
    <w:uiPriority w:val="99"/>
    <w:rsid w:val="008322ED"/>
    <w:pPr>
      <w:ind w:left="566" w:hanging="283"/>
      <w:jc w:val="both"/>
    </w:pPr>
    <w:rPr>
      <w:rFonts w:ascii="Arial" w:hAnsi="Arial" w:cs="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8322ED"/>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8322ED"/>
    <w:pPr>
      <w:overflowPunct w:val="0"/>
      <w:autoSpaceDE w:val="0"/>
      <w:autoSpaceDN w:val="0"/>
      <w:adjustRightInd w:val="0"/>
      <w:ind w:left="360"/>
      <w:jc w:val="both"/>
      <w:textAlignment w:val="baseline"/>
    </w:pPr>
    <w:rPr>
      <w:rFonts w:ascii="Arial" w:hAnsi="Arial" w:cs="Arial"/>
      <w:lang w:val="es-ES" w:eastAsia="es-ES"/>
    </w:rPr>
  </w:style>
  <w:style w:type="paragraph" w:customStyle="1" w:styleId="Car">
    <w:name w:val="Car"/>
    <w:basedOn w:val="Normal"/>
    <w:uiPriority w:val="99"/>
    <w:rsid w:val="008322ED"/>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8322ED"/>
    <w:pPr>
      <w:shd w:val="clear" w:color="auto" w:fill="000080"/>
    </w:pPr>
    <w:rPr>
      <w:rFonts w:ascii="Tahoma" w:hAnsi="Tahoma" w:cs="Tahoma"/>
      <w:sz w:val="20"/>
      <w:szCs w:val="20"/>
      <w:lang w:val="es-ES" w:eastAsia="es-ES"/>
    </w:rPr>
  </w:style>
  <w:style w:type="character" w:customStyle="1" w:styleId="MapadeldocumentoCar">
    <w:name w:val="Mapa del documento Car"/>
    <w:basedOn w:val="Fuentedeprrafopredeter"/>
    <w:link w:val="Mapadeldocumento"/>
    <w:uiPriority w:val="99"/>
    <w:semiHidden/>
    <w:rsid w:val="008322ED"/>
    <w:rPr>
      <w:rFonts w:ascii="Tahoma" w:eastAsia="Times New Roman" w:hAnsi="Tahoma" w:cs="Tahoma"/>
      <w:sz w:val="20"/>
      <w:szCs w:val="20"/>
      <w:shd w:val="clear" w:color="auto" w:fill="000080"/>
      <w:lang w:val="es-ES" w:eastAsia="es-ES"/>
    </w:rPr>
  </w:style>
  <w:style w:type="paragraph" w:customStyle="1" w:styleId="1Car">
    <w:name w:val="1 Car"/>
    <w:basedOn w:val="Normal"/>
    <w:uiPriority w:val="99"/>
    <w:rsid w:val="008322ED"/>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8322ED"/>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8322ED"/>
    <w:rPr>
      <w:rFonts w:cs="Times New Roman"/>
    </w:rPr>
  </w:style>
  <w:style w:type="paragraph" w:styleId="Textoindependiente2">
    <w:name w:val="Body Text 2"/>
    <w:basedOn w:val="Normal"/>
    <w:link w:val="Textoindependiente2Car"/>
    <w:uiPriority w:val="99"/>
    <w:rsid w:val="008322ED"/>
    <w:pPr>
      <w:spacing w:after="120" w:line="480" w:lineRule="auto"/>
    </w:pPr>
    <w:rPr>
      <w:lang w:val="es-ES" w:eastAsia="es-ES"/>
    </w:rPr>
  </w:style>
  <w:style w:type="character" w:customStyle="1" w:styleId="Textoindependiente2Car">
    <w:name w:val="Texto independiente 2 Car"/>
    <w:basedOn w:val="Fuentedeprrafopredeter"/>
    <w:link w:val="Textoindependiente2"/>
    <w:uiPriority w:val="99"/>
    <w:rsid w:val="008322ED"/>
    <w:rPr>
      <w:rFonts w:ascii="Times New Roman" w:eastAsia="Times New Roman" w:hAnsi="Times New Roman" w:cs="Times New Roman"/>
      <w:sz w:val="24"/>
      <w:szCs w:val="24"/>
      <w:lang w:val="es-ES" w:eastAsia="es-ES"/>
    </w:rPr>
  </w:style>
  <w:style w:type="paragraph" w:customStyle="1" w:styleId="Texto">
    <w:name w:val="Texto"/>
    <w:basedOn w:val="Normal"/>
    <w:uiPriority w:val="99"/>
    <w:rsid w:val="008322ED"/>
    <w:pPr>
      <w:overflowPunct w:val="0"/>
      <w:autoSpaceDE w:val="0"/>
      <w:autoSpaceDN w:val="0"/>
      <w:adjustRightInd w:val="0"/>
      <w:ind w:left="708"/>
      <w:jc w:val="both"/>
      <w:textAlignment w:val="baseline"/>
    </w:pPr>
    <w:rPr>
      <w:rFonts w:ascii="Arial" w:hAnsi="Arial" w:cs="Arial"/>
      <w:sz w:val="22"/>
      <w:szCs w:val="22"/>
      <w:lang w:val="es-ES" w:eastAsia="es-ES"/>
    </w:rPr>
  </w:style>
  <w:style w:type="character" w:customStyle="1" w:styleId="apple-converted-space">
    <w:name w:val="apple-converted-space"/>
    <w:basedOn w:val="Fuentedeprrafopredeter"/>
    <w:rsid w:val="008322ED"/>
  </w:style>
  <w:style w:type="character" w:customStyle="1" w:styleId="Cuadrculamedia1-nfasis2Car">
    <w:name w:val="Cuadrícula media 1 - Énfasis 2 Car"/>
    <w:aliases w:val="List1 Car,Bullet List Car,FooterText Car,numbered Car,Paragraphe de liste1 Car,lp1 Car,Lista vistosa - Énfasis 11 Car,Lista vistosa - Énfasis 1 Car"/>
    <w:uiPriority w:val="34"/>
    <w:locked/>
    <w:rsid w:val="008322ED"/>
    <w:rPr>
      <w:rFonts w:ascii="Arial" w:hAnsi="Arial" w:cs="Arial"/>
      <w:sz w:val="22"/>
      <w:szCs w:val="22"/>
      <w:lang w:val="es-ES" w:eastAsia="es-ES"/>
    </w:rPr>
  </w:style>
  <w:style w:type="character" w:styleId="nfasis">
    <w:name w:val="Emphasis"/>
    <w:uiPriority w:val="20"/>
    <w:qFormat/>
    <w:rsid w:val="008322ED"/>
    <w:rPr>
      <w:i/>
      <w:iCs/>
    </w:rPr>
  </w:style>
  <w:style w:type="character" w:customStyle="1" w:styleId="a9">
    <w:name w:val="a9"/>
    <w:rsid w:val="008322ED"/>
  </w:style>
  <w:style w:type="paragraph" w:customStyle="1" w:styleId="Sintab">
    <w:name w:val="Sin tab"/>
    <w:basedOn w:val="Normal"/>
    <w:next w:val="Normal"/>
    <w:rsid w:val="008322ED"/>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eastAsia="es-ES"/>
    </w:rPr>
  </w:style>
  <w:style w:type="paragraph" w:customStyle="1" w:styleId="Estilo1">
    <w:name w:val="Estilo1"/>
    <w:basedOn w:val="Textonotapie"/>
    <w:qFormat/>
    <w:rsid w:val="008322ED"/>
    <w:pPr>
      <w:jc w:val="both"/>
    </w:pPr>
    <w:rPr>
      <w:rFonts w:ascii="Cambria" w:hAnsi="Cambria" w:cs="Arial"/>
      <w:sz w:val="18"/>
      <w:szCs w:val="18"/>
      <w:lang w:val="es-ES_tradnl" w:eastAsia="es-ES"/>
    </w:rPr>
  </w:style>
  <w:style w:type="character" w:customStyle="1" w:styleId="Tabladecuadrcula1clara1">
    <w:name w:val="Tabla de cuadrícula 1 clara1"/>
    <w:uiPriority w:val="69"/>
    <w:qFormat/>
    <w:rsid w:val="008322ED"/>
    <w:rPr>
      <w:b/>
      <w:bCs/>
      <w:smallCaps/>
      <w:spacing w:val="5"/>
    </w:rPr>
  </w:style>
  <w:style w:type="paragraph" w:customStyle="1" w:styleId="Sinespaciado1">
    <w:name w:val="Sin espaciado1"/>
    <w:uiPriority w:val="1"/>
    <w:qFormat/>
    <w:rsid w:val="008322ED"/>
    <w:pPr>
      <w:widowControl/>
      <w:autoSpaceDE/>
      <w:autoSpaceDN/>
    </w:pPr>
    <w:rPr>
      <w:rFonts w:ascii="Times New Roman" w:eastAsia="Times New Roman" w:hAnsi="Times New Roman" w:cs="Times New Roman"/>
      <w:sz w:val="24"/>
      <w:szCs w:val="24"/>
      <w:lang w:val="es-ES" w:eastAsia="es-ES"/>
    </w:rPr>
  </w:style>
  <w:style w:type="table" w:styleId="Tablaconcuadrcula1clara-nfasis5">
    <w:name w:val="Grid Table 1 Light Accent 5"/>
    <w:basedOn w:val="Tablanormal"/>
    <w:uiPriority w:val="46"/>
    <w:rsid w:val="008322E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E59EDC"/>
        <w:left w:val="single" w:sz="4" w:space="0" w:color="E59EDC"/>
        <w:bottom w:val="single" w:sz="4" w:space="0" w:color="E59EDC"/>
        <w:right w:val="single" w:sz="4" w:space="0" w:color="E59EDC"/>
        <w:insideH w:val="single" w:sz="4" w:space="0" w:color="E59EDC"/>
        <w:insideV w:val="single" w:sz="4" w:space="0" w:color="E59EDC"/>
      </w:tblBorders>
    </w:tblPr>
    <w:tblStylePr w:type="firstRow">
      <w:rPr>
        <w:b/>
        <w:bCs/>
      </w:rPr>
      <w:tblPr/>
      <w:tcPr>
        <w:tcBorders>
          <w:bottom w:val="single" w:sz="12" w:space="0" w:color="D86DCB"/>
        </w:tcBorders>
      </w:tcPr>
    </w:tblStylePr>
    <w:tblStylePr w:type="lastRow">
      <w:rPr>
        <w:b/>
        <w:bCs/>
      </w:rPr>
      <w:tblPr/>
      <w:tcPr>
        <w:tcBorders>
          <w:top w:val="double" w:sz="2" w:space="0" w:color="D86DCB"/>
        </w:tcBorders>
      </w:tcPr>
    </w:tblStylePr>
    <w:tblStylePr w:type="firstCol">
      <w:rPr>
        <w:b/>
        <w:bCs/>
      </w:rPr>
    </w:tblStylePr>
    <w:tblStylePr w:type="lastCol">
      <w:rPr>
        <w:b/>
        <w:bCs/>
      </w:rPr>
    </w:tblStylePr>
  </w:style>
  <w:style w:type="paragraph" w:styleId="Descripcin">
    <w:name w:val="caption"/>
    <w:basedOn w:val="Normal"/>
    <w:next w:val="Normal"/>
    <w:unhideWhenUsed/>
    <w:qFormat/>
    <w:rsid w:val="008322ED"/>
    <w:rPr>
      <w:b/>
      <w:bCs/>
      <w:sz w:val="20"/>
      <w:szCs w:val="20"/>
      <w:lang w:val="es-ES" w:eastAsia="es-ES"/>
    </w:rPr>
  </w:style>
  <w:style w:type="paragraph" w:customStyle="1" w:styleId="msonormal0">
    <w:name w:val="msonormal"/>
    <w:basedOn w:val="Normal"/>
    <w:rsid w:val="004A49D5"/>
    <w:pPr>
      <w:spacing w:before="100" w:beforeAutospacing="1" w:after="100" w:afterAutospacing="1"/>
    </w:pPr>
  </w:style>
  <w:style w:type="paragraph" w:customStyle="1" w:styleId="xl66">
    <w:name w:val="xl66"/>
    <w:basedOn w:val="Normal"/>
    <w:rsid w:val="004A49D5"/>
    <w:pPr>
      <w:pBdr>
        <w:bottom w:val="single" w:sz="12" w:space="0" w:color="FFFFFF"/>
        <w:right w:val="single" w:sz="4" w:space="0" w:color="FFFFFF"/>
      </w:pBdr>
      <w:shd w:val="clear" w:color="5B9BD5" w:fill="5B9BD5"/>
      <w:spacing w:before="100" w:beforeAutospacing="1" w:after="100" w:afterAutospacing="1"/>
      <w:jc w:val="center"/>
      <w:textAlignment w:val="center"/>
    </w:pPr>
    <w:rPr>
      <w:rFonts w:ascii="Arial Narrow" w:hAnsi="Arial Narrow"/>
      <w:b/>
      <w:bCs/>
      <w:color w:val="FFFFFF"/>
      <w:sz w:val="16"/>
      <w:szCs w:val="16"/>
    </w:rPr>
  </w:style>
  <w:style w:type="paragraph" w:customStyle="1" w:styleId="xl67">
    <w:name w:val="xl67"/>
    <w:basedOn w:val="Normal"/>
    <w:rsid w:val="004A49D5"/>
    <w:pPr>
      <w:pBdr>
        <w:left w:val="single" w:sz="4" w:space="0" w:color="FFFFFF"/>
        <w:bottom w:val="single" w:sz="12" w:space="0" w:color="FFFFFF"/>
        <w:right w:val="single" w:sz="4" w:space="0" w:color="FFFFFF"/>
      </w:pBdr>
      <w:shd w:val="clear" w:color="5B9BD5" w:fill="5B9BD5"/>
      <w:spacing w:before="100" w:beforeAutospacing="1" w:after="100" w:afterAutospacing="1"/>
      <w:jc w:val="center"/>
      <w:textAlignment w:val="center"/>
    </w:pPr>
    <w:rPr>
      <w:rFonts w:ascii="Arial Narrow" w:hAnsi="Arial Narrow"/>
      <w:b/>
      <w:bCs/>
      <w:color w:val="FFFFFF"/>
      <w:sz w:val="16"/>
      <w:szCs w:val="16"/>
    </w:rPr>
  </w:style>
  <w:style w:type="paragraph" w:customStyle="1" w:styleId="xl68">
    <w:name w:val="xl68"/>
    <w:basedOn w:val="Normal"/>
    <w:rsid w:val="004A49D5"/>
    <w:pPr>
      <w:pBdr>
        <w:left w:val="single" w:sz="4" w:space="0" w:color="FFFFFF"/>
        <w:bottom w:val="single" w:sz="12" w:space="0" w:color="FFFFFF"/>
      </w:pBdr>
      <w:shd w:val="clear" w:color="5B9BD5" w:fill="5B9BD5"/>
      <w:spacing w:before="100" w:beforeAutospacing="1" w:after="100" w:afterAutospacing="1"/>
      <w:jc w:val="center"/>
      <w:textAlignment w:val="center"/>
    </w:pPr>
    <w:rPr>
      <w:rFonts w:ascii="Arial Narrow" w:hAnsi="Arial Narrow"/>
      <w:b/>
      <w:bCs/>
      <w:color w:val="FFFFFF"/>
      <w:sz w:val="16"/>
      <w:szCs w:val="16"/>
    </w:rPr>
  </w:style>
  <w:style w:type="paragraph" w:customStyle="1" w:styleId="xl69">
    <w:name w:val="xl69"/>
    <w:basedOn w:val="Normal"/>
    <w:rsid w:val="004A49D5"/>
    <w:pPr>
      <w:pBdr>
        <w:left w:val="single" w:sz="4" w:space="0" w:color="FFFFFF"/>
        <w:bottom w:val="single" w:sz="12" w:space="0" w:color="FFFFFF"/>
        <w:right w:val="single" w:sz="4" w:space="0" w:color="FFFFFF"/>
      </w:pBdr>
      <w:shd w:val="clear" w:color="5B9BD5" w:fill="5B9BD5"/>
      <w:spacing w:before="100" w:beforeAutospacing="1" w:after="100" w:afterAutospacing="1"/>
      <w:jc w:val="center"/>
      <w:textAlignment w:val="center"/>
    </w:pPr>
    <w:rPr>
      <w:rFonts w:ascii="Arial Narrow" w:hAnsi="Arial Narrow"/>
      <w:b/>
      <w:bCs/>
      <w:color w:val="FFFFFF"/>
      <w:sz w:val="16"/>
      <w:szCs w:val="16"/>
    </w:rPr>
  </w:style>
  <w:style w:type="paragraph" w:customStyle="1" w:styleId="xl70">
    <w:name w:val="xl70"/>
    <w:basedOn w:val="Normal"/>
    <w:rsid w:val="004A49D5"/>
    <w:pPr>
      <w:spacing w:before="100" w:beforeAutospacing="1" w:after="100" w:afterAutospacing="1"/>
      <w:jc w:val="center"/>
      <w:textAlignment w:val="center"/>
    </w:pPr>
    <w:rPr>
      <w:sz w:val="16"/>
      <w:szCs w:val="16"/>
    </w:rPr>
  </w:style>
  <w:style w:type="paragraph" w:customStyle="1" w:styleId="xl71">
    <w:name w:val="xl71"/>
    <w:basedOn w:val="Normal"/>
    <w:rsid w:val="004A49D5"/>
    <w:pPr>
      <w:spacing w:before="100" w:beforeAutospacing="1" w:after="100" w:afterAutospacing="1"/>
      <w:jc w:val="center"/>
      <w:textAlignment w:val="center"/>
    </w:pPr>
    <w:rPr>
      <w:sz w:val="16"/>
      <w:szCs w:val="16"/>
    </w:rPr>
  </w:style>
  <w:style w:type="paragraph" w:customStyle="1" w:styleId="xl72">
    <w:name w:val="xl72"/>
    <w:basedOn w:val="Normal"/>
    <w:rsid w:val="004A49D5"/>
    <w:pPr>
      <w:spacing w:before="100" w:beforeAutospacing="1" w:after="100" w:afterAutospacing="1"/>
      <w:jc w:val="center"/>
      <w:textAlignment w:val="center"/>
    </w:pPr>
    <w:rPr>
      <w:sz w:val="16"/>
      <w:szCs w:val="16"/>
    </w:rPr>
  </w:style>
  <w:style w:type="paragraph" w:customStyle="1" w:styleId="xl73">
    <w:name w:val="xl73"/>
    <w:basedOn w:val="Normal"/>
    <w:rsid w:val="004A49D5"/>
    <w:pPr>
      <w:spacing w:before="100" w:beforeAutospacing="1" w:after="100" w:afterAutospacing="1"/>
      <w:jc w:val="center"/>
      <w:textAlignment w:val="center"/>
    </w:pPr>
    <w:rPr>
      <w:sz w:val="16"/>
      <w:szCs w:val="16"/>
    </w:rPr>
  </w:style>
  <w:style w:type="paragraph" w:customStyle="1" w:styleId="xl74">
    <w:name w:val="xl74"/>
    <w:basedOn w:val="Normal"/>
    <w:rsid w:val="004A49D5"/>
    <w:pPr>
      <w:spacing w:before="100" w:beforeAutospacing="1" w:after="100" w:afterAutospacing="1"/>
      <w:jc w:val="center"/>
      <w:textAlignment w:val="center"/>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02843">
      <w:bodyDiv w:val="1"/>
      <w:marLeft w:val="0"/>
      <w:marRight w:val="0"/>
      <w:marTop w:val="0"/>
      <w:marBottom w:val="0"/>
      <w:divBdr>
        <w:top w:val="none" w:sz="0" w:space="0" w:color="auto"/>
        <w:left w:val="none" w:sz="0" w:space="0" w:color="auto"/>
        <w:bottom w:val="none" w:sz="0" w:space="0" w:color="auto"/>
        <w:right w:val="none" w:sz="0" w:space="0" w:color="auto"/>
      </w:divBdr>
    </w:div>
    <w:div w:id="33358777">
      <w:bodyDiv w:val="1"/>
      <w:marLeft w:val="0"/>
      <w:marRight w:val="0"/>
      <w:marTop w:val="0"/>
      <w:marBottom w:val="0"/>
      <w:divBdr>
        <w:top w:val="none" w:sz="0" w:space="0" w:color="auto"/>
        <w:left w:val="none" w:sz="0" w:space="0" w:color="auto"/>
        <w:bottom w:val="none" w:sz="0" w:space="0" w:color="auto"/>
        <w:right w:val="none" w:sz="0" w:space="0" w:color="auto"/>
      </w:divBdr>
    </w:div>
    <w:div w:id="44761387">
      <w:bodyDiv w:val="1"/>
      <w:marLeft w:val="0"/>
      <w:marRight w:val="0"/>
      <w:marTop w:val="0"/>
      <w:marBottom w:val="0"/>
      <w:divBdr>
        <w:top w:val="none" w:sz="0" w:space="0" w:color="auto"/>
        <w:left w:val="none" w:sz="0" w:space="0" w:color="auto"/>
        <w:bottom w:val="none" w:sz="0" w:space="0" w:color="auto"/>
        <w:right w:val="none" w:sz="0" w:space="0" w:color="auto"/>
      </w:divBdr>
    </w:div>
    <w:div w:id="48773040">
      <w:bodyDiv w:val="1"/>
      <w:marLeft w:val="0"/>
      <w:marRight w:val="0"/>
      <w:marTop w:val="0"/>
      <w:marBottom w:val="0"/>
      <w:divBdr>
        <w:top w:val="none" w:sz="0" w:space="0" w:color="auto"/>
        <w:left w:val="none" w:sz="0" w:space="0" w:color="auto"/>
        <w:bottom w:val="none" w:sz="0" w:space="0" w:color="auto"/>
        <w:right w:val="none" w:sz="0" w:space="0" w:color="auto"/>
      </w:divBdr>
    </w:div>
    <w:div w:id="72706920">
      <w:bodyDiv w:val="1"/>
      <w:marLeft w:val="0"/>
      <w:marRight w:val="0"/>
      <w:marTop w:val="0"/>
      <w:marBottom w:val="0"/>
      <w:divBdr>
        <w:top w:val="none" w:sz="0" w:space="0" w:color="auto"/>
        <w:left w:val="none" w:sz="0" w:space="0" w:color="auto"/>
        <w:bottom w:val="none" w:sz="0" w:space="0" w:color="auto"/>
        <w:right w:val="none" w:sz="0" w:space="0" w:color="auto"/>
      </w:divBdr>
    </w:div>
    <w:div w:id="87896025">
      <w:bodyDiv w:val="1"/>
      <w:marLeft w:val="0"/>
      <w:marRight w:val="0"/>
      <w:marTop w:val="0"/>
      <w:marBottom w:val="0"/>
      <w:divBdr>
        <w:top w:val="none" w:sz="0" w:space="0" w:color="auto"/>
        <w:left w:val="none" w:sz="0" w:space="0" w:color="auto"/>
        <w:bottom w:val="none" w:sz="0" w:space="0" w:color="auto"/>
        <w:right w:val="none" w:sz="0" w:space="0" w:color="auto"/>
      </w:divBdr>
    </w:div>
    <w:div w:id="113401296">
      <w:bodyDiv w:val="1"/>
      <w:marLeft w:val="0"/>
      <w:marRight w:val="0"/>
      <w:marTop w:val="0"/>
      <w:marBottom w:val="0"/>
      <w:divBdr>
        <w:top w:val="none" w:sz="0" w:space="0" w:color="auto"/>
        <w:left w:val="none" w:sz="0" w:space="0" w:color="auto"/>
        <w:bottom w:val="none" w:sz="0" w:space="0" w:color="auto"/>
        <w:right w:val="none" w:sz="0" w:space="0" w:color="auto"/>
      </w:divBdr>
    </w:div>
    <w:div w:id="118956474">
      <w:bodyDiv w:val="1"/>
      <w:marLeft w:val="0"/>
      <w:marRight w:val="0"/>
      <w:marTop w:val="0"/>
      <w:marBottom w:val="0"/>
      <w:divBdr>
        <w:top w:val="none" w:sz="0" w:space="0" w:color="auto"/>
        <w:left w:val="none" w:sz="0" w:space="0" w:color="auto"/>
        <w:bottom w:val="none" w:sz="0" w:space="0" w:color="auto"/>
        <w:right w:val="none" w:sz="0" w:space="0" w:color="auto"/>
      </w:divBdr>
    </w:div>
    <w:div w:id="123352000">
      <w:bodyDiv w:val="1"/>
      <w:marLeft w:val="0"/>
      <w:marRight w:val="0"/>
      <w:marTop w:val="0"/>
      <w:marBottom w:val="0"/>
      <w:divBdr>
        <w:top w:val="none" w:sz="0" w:space="0" w:color="auto"/>
        <w:left w:val="none" w:sz="0" w:space="0" w:color="auto"/>
        <w:bottom w:val="none" w:sz="0" w:space="0" w:color="auto"/>
        <w:right w:val="none" w:sz="0" w:space="0" w:color="auto"/>
      </w:divBdr>
    </w:div>
    <w:div w:id="124395389">
      <w:bodyDiv w:val="1"/>
      <w:marLeft w:val="0"/>
      <w:marRight w:val="0"/>
      <w:marTop w:val="0"/>
      <w:marBottom w:val="0"/>
      <w:divBdr>
        <w:top w:val="none" w:sz="0" w:space="0" w:color="auto"/>
        <w:left w:val="none" w:sz="0" w:space="0" w:color="auto"/>
        <w:bottom w:val="none" w:sz="0" w:space="0" w:color="auto"/>
        <w:right w:val="none" w:sz="0" w:space="0" w:color="auto"/>
      </w:divBdr>
    </w:div>
    <w:div w:id="125390965">
      <w:bodyDiv w:val="1"/>
      <w:marLeft w:val="0"/>
      <w:marRight w:val="0"/>
      <w:marTop w:val="0"/>
      <w:marBottom w:val="0"/>
      <w:divBdr>
        <w:top w:val="none" w:sz="0" w:space="0" w:color="auto"/>
        <w:left w:val="none" w:sz="0" w:space="0" w:color="auto"/>
        <w:bottom w:val="none" w:sz="0" w:space="0" w:color="auto"/>
        <w:right w:val="none" w:sz="0" w:space="0" w:color="auto"/>
      </w:divBdr>
    </w:div>
    <w:div w:id="128405874">
      <w:bodyDiv w:val="1"/>
      <w:marLeft w:val="0"/>
      <w:marRight w:val="0"/>
      <w:marTop w:val="0"/>
      <w:marBottom w:val="0"/>
      <w:divBdr>
        <w:top w:val="none" w:sz="0" w:space="0" w:color="auto"/>
        <w:left w:val="none" w:sz="0" w:space="0" w:color="auto"/>
        <w:bottom w:val="none" w:sz="0" w:space="0" w:color="auto"/>
        <w:right w:val="none" w:sz="0" w:space="0" w:color="auto"/>
      </w:divBdr>
    </w:div>
    <w:div w:id="144974034">
      <w:bodyDiv w:val="1"/>
      <w:marLeft w:val="0"/>
      <w:marRight w:val="0"/>
      <w:marTop w:val="0"/>
      <w:marBottom w:val="0"/>
      <w:divBdr>
        <w:top w:val="none" w:sz="0" w:space="0" w:color="auto"/>
        <w:left w:val="none" w:sz="0" w:space="0" w:color="auto"/>
        <w:bottom w:val="none" w:sz="0" w:space="0" w:color="auto"/>
        <w:right w:val="none" w:sz="0" w:space="0" w:color="auto"/>
      </w:divBdr>
      <w:divsChild>
        <w:div w:id="66154446">
          <w:marLeft w:val="0"/>
          <w:marRight w:val="0"/>
          <w:marTop w:val="0"/>
          <w:marBottom w:val="0"/>
          <w:divBdr>
            <w:top w:val="none" w:sz="0" w:space="0" w:color="auto"/>
            <w:left w:val="none" w:sz="0" w:space="0" w:color="auto"/>
            <w:bottom w:val="none" w:sz="0" w:space="0" w:color="auto"/>
            <w:right w:val="none" w:sz="0" w:space="0" w:color="auto"/>
          </w:divBdr>
        </w:div>
        <w:div w:id="177739735">
          <w:marLeft w:val="0"/>
          <w:marRight w:val="0"/>
          <w:marTop w:val="0"/>
          <w:marBottom w:val="0"/>
          <w:divBdr>
            <w:top w:val="none" w:sz="0" w:space="0" w:color="auto"/>
            <w:left w:val="none" w:sz="0" w:space="0" w:color="auto"/>
            <w:bottom w:val="none" w:sz="0" w:space="0" w:color="auto"/>
            <w:right w:val="none" w:sz="0" w:space="0" w:color="auto"/>
          </w:divBdr>
        </w:div>
        <w:div w:id="347871063">
          <w:marLeft w:val="0"/>
          <w:marRight w:val="0"/>
          <w:marTop w:val="0"/>
          <w:marBottom w:val="0"/>
          <w:divBdr>
            <w:top w:val="none" w:sz="0" w:space="0" w:color="auto"/>
            <w:left w:val="none" w:sz="0" w:space="0" w:color="auto"/>
            <w:bottom w:val="none" w:sz="0" w:space="0" w:color="auto"/>
            <w:right w:val="none" w:sz="0" w:space="0" w:color="auto"/>
          </w:divBdr>
        </w:div>
        <w:div w:id="373315753">
          <w:marLeft w:val="0"/>
          <w:marRight w:val="0"/>
          <w:marTop w:val="0"/>
          <w:marBottom w:val="0"/>
          <w:divBdr>
            <w:top w:val="none" w:sz="0" w:space="0" w:color="auto"/>
            <w:left w:val="none" w:sz="0" w:space="0" w:color="auto"/>
            <w:bottom w:val="none" w:sz="0" w:space="0" w:color="auto"/>
            <w:right w:val="none" w:sz="0" w:space="0" w:color="auto"/>
          </w:divBdr>
        </w:div>
        <w:div w:id="374891240">
          <w:marLeft w:val="0"/>
          <w:marRight w:val="0"/>
          <w:marTop w:val="0"/>
          <w:marBottom w:val="0"/>
          <w:divBdr>
            <w:top w:val="none" w:sz="0" w:space="0" w:color="auto"/>
            <w:left w:val="none" w:sz="0" w:space="0" w:color="auto"/>
            <w:bottom w:val="none" w:sz="0" w:space="0" w:color="auto"/>
            <w:right w:val="none" w:sz="0" w:space="0" w:color="auto"/>
          </w:divBdr>
        </w:div>
        <w:div w:id="459878684">
          <w:marLeft w:val="0"/>
          <w:marRight w:val="0"/>
          <w:marTop w:val="0"/>
          <w:marBottom w:val="0"/>
          <w:divBdr>
            <w:top w:val="none" w:sz="0" w:space="0" w:color="auto"/>
            <w:left w:val="none" w:sz="0" w:space="0" w:color="auto"/>
            <w:bottom w:val="none" w:sz="0" w:space="0" w:color="auto"/>
            <w:right w:val="none" w:sz="0" w:space="0" w:color="auto"/>
          </w:divBdr>
        </w:div>
        <w:div w:id="681667687">
          <w:marLeft w:val="0"/>
          <w:marRight w:val="0"/>
          <w:marTop w:val="0"/>
          <w:marBottom w:val="0"/>
          <w:divBdr>
            <w:top w:val="none" w:sz="0" w:space="0" w:color="auto"/>
            <w:left w:val="none" w:sz="0" w:space="0" w:color="auto"/>
            <w:bottom w:val="none" w:sz="0" w:space="0" w:color="auto"/>
            <w:right w:val="none" w:sz="0" w:space="0" w:color="auto"/>
          </w:divBdr>
        </w:div>
        <w:div w:id="763114794">
          <w:marLeft w:val="0"/>
          <w:marRight w:val="0"/>
          <w:marTop w:val="0"/>
          <w:marBottom w:val="0"/>
          <w:divBdr>
            <w:top w:val="none" w:sz="0" w:space="0" w:color="auto"/>
            <w:left w:val="none" w:sz="0" w:space="0" w:color="auto"/>
            <w:bottom w:val="none" w:sz="0" w:space="0" w:color="auto"/>
            <w:right w:val="none" w:sz="0" w:space="0" w:color="auto"/>
          </w:divBdr>
        </w:div>
        <w:div w:id="1134447053">
          <w:marLeft w:val="0"/>
          <w:marRight w:val="0"/>
          <w:marTop w:val="0"/>
          <w:marBottom w:val="0"/>
          <w:divBdr>
            <w:top w:val="none" w:sz="0" w:space="0" w:color="auto"/>
            <w:left w:val="none" w:sz="0" w:space="0" w:color="auto"/>
            <w:bottom w:val="none" w:sz="0" w:space="0" w:color="auto"/>
            <w:right w:val="none" w:sz="0" w:space="0" w:color="auto"/>
          </w:divBdr>
        </w:div>
        <w:div w:id="1177580826">
          <w:marLeft w:val="0"/>
          <w:marRight w:val="0"/>
          <w:marTop w:val="0"/>
          <w:marBottom w:val="0"/>
          <w:divBdr>
            <w:top w:val="none" w:sz="0" w:space="0" w:color="auto"/>
            <w:left w:val="none" w:sz="0" w:space="0" w:color="auto"/>
            <w:bottom w:val="none" w:sz="0" w:space="0" w:color="auto"/>
            <w:right w:val="none" w:sz="0" w:space="0" w:color="auto"/>
          </w:divBdr>
        </w:div>
        <w:div w:id="1522014674">
          <w:marLeft w:val="0"/>
          <w:marRight w:val="0"/>
          <w:marTop w:val="0"/>
          <w:marBottom w:val="0"/>
          <w:divBdr>
            <w:top w:val="none" w:sz="0" w:space="0" w:color="auto"/>
            <w:left w:val="none" w:sz="0" w:space="0" w:color="auto"/>
            <w:bottom w:val="none" w:sz="0" w:space="0" w:color="auto"/>
            <w:right w:val="none" w:sz="0" w:space="0" w:color="auto"/>
          </w:divBdr>
        </w:div>
        <w:div w:id="1684358412">
          <w:marLeft w:val="0"/>
          <w:marRight w:val="0"/>
          <w:marTop w:val="0"/>
          <w:marBottom w:val="0"/>
          <w:divBdr>
            <w:top w:val="none" w:sz="0" w:space="0" w:color="auto"/>
            <w:left w:val="none" w:sz="0" w:space="0" w:color="auto"/>
            <w:bottom w:val="none" w:sz="0" w:space="0" w:color="auto"/>
            <w:right w:val="none" w:sz="0" w:space="0" w:color="auto"/>
          </w:divBdr>
        </w:div>
        <w:div w:id="1698502865">
          <w:marLeft w:val="0"/>
          <w:marRight w:val="0"/>
          <w:marTop w:val="0"/>
          <w:marBottom w:val="0"/>
          <w:divBdr>
            <w:top w:val="none" w:sz="0" w:space="0" w:color="auto"/>
            <w:left w:val="none" w:sz="0" w:space="0" w:color="auto"/>
            <w:bottom w:val="none" w:sz="0" w:space="0" w:color="auto"/>
            <w:right w:val="none" w:sz="0" w:space="0" w:color="auto"/>
          </w:divBdr>
        </w:div>
        <w:div w:id="2010794610">
          <w:marLeft w:val="0"/>
          <w:marRight w:val="0"/>
          <w:marTop w:val="0"/>
          <w:marBottom w:val="0"/>
          <w:divBdr>
            <w:top w:val="none" w:sz="0" w:space="0" w:color="auto"/>
            <w:left w:val="none" w:sz="0" w:space="0" w:color="auto"/>
            <w:bottom w:val="none" w:sz="0" w:space="0" w:color="auto"/>
            <w:right w:val="none" w:sz="0" w:space="0" w:color="auto"/>
          </w:divBdr>
        </w:div>
        <w:div w:id="2103644249">
          <w:marLeft w:val="0"/>
          <w:marRight w:val="0"/>
          <w:marTop w:val="0"/>
          <w:marBottom w:val="0"/>
          <w:divBdr>
            <w:top w:val="none" w:sz="0" w:space="0" w:color="auto"/>
            <w:left w:val="none" w:sz="0" w:space="0" w:color="auto"/>
            <w:bottom w:val="none" w:sz="0" w:space="0" w:color="auto"/>
            <w:right w:val="none" w:sz="0" w:space="0" w:color="auto"/>
          </w:divBdr>
        </w:div>
      </w:divsChild>
    </w:div>
    <w:div w:id="160049909">
      <w:bodyDiv w:val="1"/>
      <w:marLeft w:val="0"/>
      <w:marRight w:val="0"/>
      <w:marTop w:val="0"/>
      <w:marBottom w:val="0"/>
      <w:divBdr>
        <w:top w:val="none" w:sz="0" w:space="0" w:color="auto"/>
        <w:left w:val="none" w:sz="0" w:space="0" w:color="auto"/>
        <w:bottom w:val="none" w:sz="0" w:space="0" w:color="auto"/>
        <w:right w:val="none" w:sz="0" w:space="0" w:color="auto"/>
      </w:divBdr>
    </w:div>
    <w:div w:id="161087754">
      <w:bodyDiv w:val="1"/>
      <w:marLeft w:val="0"/>
      <w:marRight w:val="0"/>
      <w:marTop w:val="0"/>
      <w:marBottom w:val="0"/>
      <w:divBdr>
        <w:top w:val="none" w:sz="0" w:space="0" w:color="auto"/>
        <w:left w:val="none" w:sz="0" w:space="0" w:color="auto"/>
        <w:bottom w:val="none" w:sz="0" w:space="0" w:color="auto"/>
        <w:right w:val="none" w:sz="0" w:space="0" w:color="auto"/>
      </w:divBdr>
    </w:div>
    <w:div w:id="163207361">
      <w:bodyDiv w:val="1"/>
      <w:marLeft w:val="0"/>
      <w:marRight w:val="0"/>
      <w:marTop w:val="0"/>
      <w:marBottom w:val="0"/>
      <w:divBdr>
        <w:top w:val="none" w:sz="0" w:space="0" w:color="auto"/>
        <w:left w:val="none" w:sz="0" w:space="0" w:color="auto"/>
        <w:bottom w:val="none" w:sz="0" w:space="0" w:color="auto"/>
        <w:right w:val="none" w:sz="0" w:space="0" w:color="auto"/>
      </w:divBdr>
    </w:div>
    <w:div w:id="163517261">
      <w:bodyDiv w:val="1"/>
      <w:marLeft w:val="0"/>
      <w:marRight w:val="0"/>
      <w:marTop w:val="0"/>
      <w:marBottom w:val="0"/>
      <w:divBdr>
        <w:top w:val="none" w:sz="0" w:space="0" w:color="auto"/>
        <w:left w:val="none" w:sz="0" w:space="0" w:color="auto"/>
        <w:bottom w:val="none" w:sz="0" w:space="0" w:color="auto"/>
        <w:right w:val="none" w:sz="0" w:space="0" w:color="auto"/>
      </w:divBdr>
    </w:div>
    <w:div w:id="168252491">
      <w:bodyDiv w:val="1"/>
      <w:marLeft w:val="0"/>
      <w:marRight w:val="0"/>
      <w:marTop w:val="0"/>
      <w:marBottom w:val="0"/>
      <w:divBdr>
        <w:top w:val="none" w:sz="0" w:space="0" w:color="auto"/>
        <w:left w:val="none" w:sz="0" w:space="0" w:color="auto"/>
        <w:bottom w:val="none" w:sz="0" w:space="0" w:color="auto"/>
        <w:right w:val="none" w:sz="0" w:space="0" w:color="auto"/>
      </w:divBdr>
    </w:div>
    <w:div w:id="186409133">
      <w:bodyDiv w:val="1"/>
      <w:marLeft w:val="0"/>
      <w:marRight w:val="0"/>
      <w:marTop w:val="0"/>
      <w:marBottom w:val="0"/>
      <w:divBdr>
        <w:top w:val="none" w:sz="0" w:space="0" w:color="auto"/>
        <w:left w:val="none" w:sz="0" w:space="0" w:color="auto"/>
        <w:bottom w:val="none" w:sz="0" w:space="0" w:color="auto"/>
        <w:right w:val="none" w:sz="0" w:space="0" w:color="auto"/>
      </w:divBdr>
    </w:div>
    <w:div w:id="204754465">
      <w:bodyDiv w:val="1"/>
      <w:marLeft w:val="0"/>
      <w:marRight w:val="0"/>
      <w:marTop w:val="0"/>
      <w:marBottom w:val="0"/>
      <w:divBdr>
        <w:top w:val="none" w:sz="0" w:space="0" w:color="auto"/>
        <w:left w:val="none" w:sz="0" w:space="0" w:color="auto"/>
        <w:bottom w:val="none" w:sz="0" w:space="0" w:color="auto"/>
        <w:right w:val="none" w:sz="0" w:space="0" w:color="auto"/>
      </w:divBdr>
    </w:div>
    <w:div w:id="227959199">
      <w:bodyDiv w:val="1"/>
      <w:marLeft w:val="0"/>
      <w:marRight w:val="0"/>
      <w:marTop w:val="0"/>
      <w:marBottom w:val="0"/>
      <w:divBdr>
        <w:top w:val="none" w:sz="0" w:space="0" w:color="auto"/>
        <w:left w:val="none" w:sz="0" w:space="0" w:color="auto"/>
        <w:bottom w:val="none" w:sz="0" w:space="0" w:color="auto"/>
        <w:right w:val="none" w:sz="0" w:space="0" w:color="auto"/>
      </w:divBdr>
    </w:div>
    <w:div w:id="234753730">
      <w:bodyDiv w:val="1"/>
      <w:marLeft w:val="0"/>
      <w:marRight w:val="0"/>
      <w:marTop w:val="0"/>
      <w:marBottom w:val="0"/>
      <w:divBdr>
        <w:top w:val="none" w:sz="0" w:space="0" w:color="auto"/>
        <w:left w:val="none" w:sz="0" w:space="0" w:color="auto"/>
        <w:bottom w:val="none" w:sz="0" w:space="0" w:color="auto"/>
        <w:right w:val="none" w:sz="0" w:space="0" w:color="auto"/>
      </w:divBdr>
    </w:div>
    <w:div w:id="243995452">
      <w:bodyDiv w:val="1"/>
      <w:marLeft w:val="0"/>
      <w:marRight w:val="0"/>
      <w:marTop w:val="0"/>
      <w:marBottom w:val="0"/>
      <w:divBdr>
        <w:top w:val="none" w:sz="0" w:space="0" w:color="auto"/>
        <w:left w:val="none" w:sz="0" w:space="0" w:color="auto"/>
        <w:bottom w:val="none" w:sz="0" w:space="0" w:color="auto"/>
        <w:right w:val="none" w:sz="0" w:space="0" w:color="auto"/>
      </w:divBdr>
    </w:div>
    <w:div w:id="245186443">
      <w:bodyDiv w:val="1"/>
      <w:marLeft w:val="0"/>
      <w:marRight w:val="0"/>
      <w:marTop w:val="0"/>
      <w:marBottom w:val="0"/>
      <w:divBdr>
        <w:top w:val="none" w:sz="0" w:space="0" w:color="auto"/>
        <w:left w:val="none" w:sz="0" w:space="0" w:color="auto"/>
        <w:bottom w:val="none" w:sz="0" w:space="0" w:color="auto"/>
        <w:right w:val="none" w:sz="0" w:space="0" w:color="auto"/>
      </w:divBdr>
    </w:div>
    <w:div w:id="275061832">
      <w:bodyDiv w:val="1"/>
      <w:marLeft w:val="0"/>
      <w:marRight w:val="0"/>
      <w:marTop w:val="0"/>
      <w:marBottom w:val="0"/>
      <w:divBdr>
        <w:top w:val="none" w:sz="0" w:space="0" w:color="auto"/>
        <w:left w:val="none" w:sz="0" w:space="0" w:color="auto"/>
        <w:bottom w:val="none" w:sz="0" w:space="0" w:color="auto"/>
        <w:right w:val="none" w:sz="0" w:space="0" w:color="auto"/>
      </w:divBdr>
    </w:div>
    <w:div w:id="283275543">
      <w:bodyDiv w:val="1"/>
      <w:marLeft w:val="0"/>
      <w:marRight w:val="0"/>
      <w:marTop w:val="0"/>
      <w:marBottom w:val="0"/>
      <w:divBdr>
        <w:top w:val="none" w:sz="0" w:space="0" w:color="auto"/>
        <w:left w:val="none" w:sz="0" w:space="0" w:color="auto"/>
        <w:bottom w:val="none" w:sz="0" w:space="0" w:color="auto"/>
        <w:right w:val="none" w:sz="0" w:space="0" w:color="auto"/>
      </w:divBdr>
    </w:div>
    <w:div w:id="289216001">
      <w:bodyDiv w:val="1"/>
      <w:marLeft w:val="0"/>
      <w:marRight w:val="0"/>
      <w:marTop w:val="0"/>
      <w:marBottom w:val="0"/>
      <w:divBdr>
        <w:top w:val="none" w:sz="0" w:space="0" w:color="auto"/>
        <w:left w:val="none" w:sz="0" w:space="0" w:color="auto"/>
        <w:bottom w:val="none" w:sz="0" w:space="0" w:color="auto"/>
        <w:right w:val="none" w:sz="0" w:space="0" w:color="auto"/>
      </w:divBdr>
    </w:div>
    <w:div w:id="301738071">
      <w:bodyDiv w:val="1"/>
      <w:marLeft w:val="0"/>
      <w:marRight w:val="0"/>
      <w:marTop w:val="0"/>
      <w:marBottom w:val="0"/>
      <w:divBdr>
        <w:top w:val="none" w:sz="0" w:space="0" w:color="auto"/>
        <w:left w:val="none" w:sz="0" w:space="0" w:color="auto"/>
        <w:bottom w:val="none" w:sz="0" w:space="0" w:color="auto"/>
        <w:right w:val="none" w:sz="0" w:space="0" w:color="auto"/>
      </w:divBdr>
    </w:div>
    <w:div w:id="308679321">
      <w:bodyDiv w:val="1"/>
      <w:marLeft w:val="0"/>
      <w:marRight w:val="0"/>
      <w:marTop w:val="0"/>
      <w:marBottom w:val="0"/>
      <w:divBdr>
        <w:top w:val="none" w:sz="0" w:space="0" w:color="auto"/>
        <w:left w:val="none" w:sz="0" w:space="0" w:color="auto"/>
        <w:bottom w:val="none" w:sz="0" w:space="0" w:color="auto"/>
        <w:right w:val="none" w:sz="0" w:space="0" w:color="auto"/>
      </w:divBdr>
    </w:div>
    <w:div w:id="332294880">
      <w:bodyDiv w:val="1"/>
      <w:marLeft w:val="0"/>
      <w:marRight w:val="0"/>
      <w:marTop w:val="0"/>
      <w:marBottom w:val="0"/>
      <w:divBdr>
        <w:top w:val="none" w:sz="0" w:space="0" w:color="auto"/>
        <w:left w:val="none" w:sz="0" w:space="0" w:color="auto"/>
        <w:bottom w:val="none" w:sz="0" w:space="0" w:color="auto"/>
        <w:right w:val="none" w:sz="0" w:space="0" w:color="auto"/>
      </w:divBdr>
    </w:div>
    <w:div w:id="367146437">
      <w:bodyDiv w:val="1"/>
      <w:marLeft w:val="0"/>
      <w:marRight w:val="0"/>
      <w:marTop w:val="0"/>
      <w:marBottom w:val="0"/>
      <w:divBdr>
        <w:top w:val="none" w:sz="0" w:space="0" w:color="auto"/>
        <w:left w:val="none" w:sz="0" w:space="0" w:color="auto"/>
        <w:bottom w:val="none" w:sz="0" w:space="0" w:color="auto"/>
        <w:right w:val="none" w:sz="0" w:space="0" w:color="auto"/>
      </w:divBdr>
    </w:div>
    <w:div w:id="371228083">
      <w:bodyDiv w:val="1"/>
      <w:marLeft w:val="0"/>
      <w:marRight w:val="0"/>
      <w:marTop w:val="0"/>
      <w:marBottom w:val="0"/>
      <w:divBdr>
        <w:top w:val="none" w:sz="0" w:space="0" w:color="auto"/>
        <w:left w:val="none" w:sz="0" w:space="0" w:color="auto"/>
        <w:bottom w:val="none" w:sz="0" w:space="0" w:color="auto"/>
        <w:right w:val="none" w:sz="0" w:space="0" w:color="auto"/>
      </w:divBdr>
      <w:divsChild>
        <w:div w:id="97676132">
          <w:marLeft w:val="0"/>
          <w:marRight w:val="0"/>
          <w:marTop w:val="0"/>
          <w:marBottom w:val="0"/>
          <w:divBdr>
            <w:top w:val="none" w:sz="0" w:space="0" w:color="auto"/>
            <w:left w:val="none" w:sz="0" w:space="0" w:color="auto"/>
            <w:bottom w:val="none" w:sz="0" w:space="0" w:color="auto"/>
            <w:right w:val="none" w:sz="0" w:space="0" w:color="auto"/>
          </w:divBdr>
        </w:div>
        <w:div w:id="121193758">
          <w:marLeft w:val="0"/>
          <w:marRight w:val="0"/>
          <w:marTop w:val="0"/>
          <w:marBottom w:val="0"/>
          <w:divBdr>
            <w:top w:val="none" w:sz="0" w:space="0" w:color="auto"/>
            <w:left w:val="none" w:sz="0" w:space="0" w:color="auto"/>
            <w:bottom w:val="none" w:sz="0" w:space="0" w:color="auto"/>
            <w:right w:val="none" w:sz="0" w:space="0" w:color="auto"/>
          </w:divBdr>
        </w:div>
        <w:div w:id="637732314">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868369905">
          <w:marLeft w:val="0"/>
          <w:marRight w:val="0"/>
          <w:marTop w:val="0"/>
          <w:marBottom w:val="0"/>
          <w:divBdr>
            <w:top w:val="none" w:sz="0" w:space="0" w:color="auto"/>
            <w:left w:val="none" w:sz="0" w:space="0" w:color="auto"/>
            <w:bottom w:val="none" w:sz="0" w:space="0" w:color="auto"/>
            <w:right w:val="none" w:sz="0" w:space="0" w:color="auto"/>
          </w:divBdr>
        </w:div>
        <w:div w:id="942885080">
          <w:marLeft w:val="0"/>
          <w:marRight w:val="0"/>
          <w:marTop w:val="0"/>
          <w:marBottom w:val="0"/>
          <w:divBdr>
            <w:top w:val="none" w:sz="0" w:space="0" w:color="auto"/>
            <w:left w:val="none" w:sz="0" w:space="0" w:color="auto"/>
            <w:bottom w:val="none" w:sz="0" w:space="0" w:color="auto"/>
            <w:right w:val="none" w:sz="0" w:space="0" w:color="auto"/>
          </w:divBdr>
        </w:div>
        <w:div w:id="1157310245">
          <w:marLeft w:val="0"/>
          <w:marRight w:val="0"/>
          <w:marTop w:val="0"/>
          <w:marBottom w:val="0"/>
          <w:divBdr>
            <w:top w:val="none" w:sz="0" w:space="0" w:color="auto"/>
            <w:left w:val="none" w:sz="0" w:space="0" w:color="auto"/>
            <w:bottom w:val="none" w:sz="0" w:space="0" w:color="auto"/>
            <w:right w:val="none" w:sz="0" w:space="0" w:color="auto"/>
          </w:divBdr>
        </w:div>
        <w:div w:id="1209029096">
          <w:marLeft w:val="0"/>
          <w:marRight w:val="0"/>
          <w:marTop w:val="0"/>
          <w:marBottom w:val="0"/>
          <w:divBdr>
            <w:top w:val="none" w:sz="0" w:space="0" w:color="auto"/>
            <w:left w:val="none" w:sz="0" w:space="0" w:color="auto"/>
            <w:bottom w:val="none" w:sz="0" w:space="0" w:color="auto"/>
            <w:right w:val="none" w:sz="0" w:space="0" w:color="auto"/>
          </w:divBdr>
        </w:div>
        <w:div w:id="1244298883">
          <w:marLeft w:val="0"/>
          <w:marRight w:val="0"/>
          <w:marTop w:val="0"/>
          <w:marBottom w:val="0"/>
          <w:divBdr>
            <w:top w:val="none" w:sz="0" w:space="0" w:color="auto"/>
            <w:left w:val="none" w:sz="0" w:space="0" w:color="auto"/>
            <w:bottom w:val="none" w:sz="0" w:space="0" w:color="auto"/>
            <w:right w:val="none" w:sz="0" w:space="0" w:color="auto"/>
          </w:divBdr>
        </w:div>
        <w:div w:id="1390109772">
          <w:marLeft w:val="0"/>
          <w:marRight w:val="0"/>
          <w:marTop w:val="0"/>
          <w:marBottom w:val="0"/>
          <w:divBdr>
            <w:top w:val="none" w:sz="0" w:space="0" w:color="auto"/>
            <w:left w:val="none" w:sz="0" w:space="0" w:color="auto"/>
            <w:bottom w:val="none" w:sz="0" w:space="0" w:color="auto"/>
            <w:right w:val="none" w:sz="0" w:space="0" w:color="auto"/>
          </w:divBdr>
        </w:div>
        <w:div w:id="1407386103">
          <w:marLeft w:val="0"/>
          <w:marRight w:val="0"/>
          <w:marTop w:val="0"/>
          <w:marBottom w:val="0"/>
          <w:divBdr>
            <w:top w:val="none" w:sz="0" w:space="0" w:color="auto"/>
            <w:left w:val="none" w:sz="0" w:space="0" w:color="auto"/>
            <w:bottom w:val="none" w:sz="0" w:space="0" w:color="auto"/>
            <w:right w:val="none" w:sz="0" w:space="0" w:color="auto"/>
          </w:divBdr>
        </w:div>
        <w:div w:id="1697072174">
          <w:marLeft w:val="0"/>
          <w:marRight w:val="0"/>
          <w:marTop w:val="0"/>
          <w:marBottom w:val="0"/>
          <w:divBdr>
            <w:top w:val="none" w:sz="0" w:space="0" w:color="auto"/>
            <w:left w:val="none" w:sz="0" w:space="0" w:color="auto"/>
            <w:bottom w:val="none" w:sz="0" w:space="0" w:color="auto"/>
            <w:right w:val="none" w:sz="0" w:space="0" w:color="auto"/>
          </w:divBdr>
        </w:div>
        <w:div w:id="1782646057">
          <w:marLeft w:val="0"/>
          <w:marRight w:val="0"/>
          <w:marTop w:val="0"/>
          <w:marBottom w:val="0"/>
          <w:divBdr>
            <w:top w:val="none" w:sz="0" w:space="0" w:color="auto"/>
            <w:left w:val="none" w:sz="0" w:space="0" w:color="auto"/>
            <w:bottom w:val="none" w:sz="0" w:space="0" w:color="auto"/>
            <w:right w:val="none" w:sz="0" w:space="0" w:color="auto"/>
          </w:divBdr>
        </w:div>
        <w:div w:id="1827550193">
          <w:marLeft w:val="0"/>
          <w:marRight w:val="0"/>
          <w:marTop w:val="0"/>
          <w:marBottom w:val="0"/>
          <w:divBdr>
            <w:top w:val="none" w:sz="0" w:space="0" w:color="auto"/>
            <w:left w:val="none" w:sz="0" w:space="0" w:color="auto"/>
            <w:bottom w:val="none" w:sz="0" w:space="0" w:color="auto"/>
            <w:right w:val="none" w:sz="0" w:space="0" w:color="auto"/>
          </w:divBdr>
        </w:div>
        <w:div w:id="2041199469">
          <w:marLeft w:val="0"/>
          <w:marRight w:val="0"/>
          <w:marTop w:val="0"/>
          <w:marBottom w:val="0"/>
          <w:divBdr>
            <w:top w:val="none" w:sz="0" w:space="0" w:color="auto"/>
            <w:left w:val="none" w:sz="0" w:space="0" w:color="auto"/>
            <w:bottom w:val="none" w:sz="0" w:space="0" w:color="auto"/>
            <w:right w:val="none" w:sz="0" w:space="0" w:color="auto"/>
          </w:divBdr>
        </w:div>
      </w:divsChild>
    </w:div>
    <w:div w:id="372079102">
      <w:bodyDiv w:val="1"/>
      <w:marLeft w:val="0"/>
      <w:marRight w:val="0"/>
      <w:marTop w:val="0"/>
      <w:marBottom w:val="0"/>
      <w:divBdr>
        <w:top w:val="none" w:sz="0" w:space="0" w:color="auto"/>
        <w:left w:val="none" w:sz="0" w:space="0" w:color="auto"/>
        <w:bottom w:val="none" w:sz="0" w:space="0" w:color="auto"/>
        <w:right w:val="none" w:sz="0" w:space="0" w:color="auto"/>
      </w:divBdr>
      <w:divsChild>
        <w:div w:id="1927106035">
          <w:marLeft w:val="0"/>
          <w:marRight w:val="0"/>
          <w:marTop w:val="0"/>
          <w:marBottom w:val="0"/>
          <w:divBdr>
            <w:top w:val="none" w:sz="0" w:space="0" w:color="auto"/>
            <w:left w:val="none" w:sz="0" w:space="0" w:color="auto"/>
            <w:bottom w:val="none" w:sz="0" w:space="0" w:color="auto"/>
            <w:right w:val="none" w:sz="0" w:space="0" w:color="auto"/>
          </w:divBdr>
        </w:div>
      </w:divsChild>
    </w:div>
    <w:div w:id="428814511">
      <w:bodyDiv w:val="1"/>
      <w:marLeft w:val="0"/>
      <w:marRight w:val="0"/>
      <w:marTop w:val="0"/>
      <w:marBottom w:val="0"/>
      <w:divBdr>
        <w:top w:val="none" w:sz="0" w:space="0" w:color="auto"/>
        <w:left w:val="none" w:sz="0" w:space="0" w:color="auto"/>
        <w:bottom w:val="none" w:sz="0" w:space="0" w:color="auto"/>
        <w:right w:val="none" w:sz="0" w:space="0" w:color="auto"/>
      </w:divBdr>
    </w:div>
    <w:div w:id="441611006">
      <w:bodyDiv w:val="1"/>
      <w:marLeft w:val="0"/>
      <w:marRight w:val="0"/>
      <w:marTop w:val="0"/>
      <w:marBottom w:val="0"/>
      <w:divBdr>
        <w:top w:val="none" w:sz="0" w:space="0" w:color="auto"/>
        <w:left w:val="none" w:sz="0" w:space="0" w:color="auto"/>
        <w:bottom w:val="none" w:sz="0" w:space="0" w:color="auto"/>
        <w:right w:val="none" w:sz="0" w:space="0" w:color="auto"/>
      </w:divBdr>
    </w:div>
    <w:div w:id="442381865">
      <w:bodyDiv w:val="1"/>
      <w:marLeft w:val="0"/>
      <w:marRight w:val="0"/>
      <w:marTop w:val="0"/>
      <w:marBottom w:val="0"/>
      <w:divBdr>
        <w:top w:val="none" w:sz="0" w:space="0" w:color="auto"/>
        <w:left w:val="none" w:sz="0" w:space="0" w:color="auto"/>
        <w:bottom w:val="none" w:sz="0" w:space="0" w:color="auto"/>
        <w:right w:val="none" w:sz="0" w:space="0" w:color="auto"/>
      </w:divBdr>
    </w:div>
    <w:div w:id="469828926">
      <w:bodyDiv w:val="1"/>
      <w:marLeft w:val="0"/>
      <w:marRight w:val="0"/>
      <w:marTop w:val="0"/>
      <w:marBottom w:val="0"/>
      <w:divBdr>
        <w:top w:val="none" w:sz="0" w:space="0" w:color="auto"/>
        <w:left w:val="none" w:sz="0" w:space="0" w:color="auto"/>
        <w:bottom w:val="none" w:sz="0" w:space="0" w:color="auto"/>
        <w:right w:val="none" w:sz="0" w:space="0" w:color="auto"/>
      </w:divBdr>
    </w:div>
    <w:div w:id="482083228">
      <w:bodyDiv w:val="1"/>
      <w:marLeft w:val="0"/>
      <w:marRight w:val="0"/>
      <w:marTop w:val="0"/>
      <w:marBottom w:val="0"/>
      <w:divBdr>
        <w:top w:val="none" w:sz="0" w:space="0" w:color="auto"/>
        <w:left w:val="none" w:sz="0" w:space="0" w:color="auto"/>
        <w:bottom w:val="none" w:sz="0" w:space="0" w:color="auto"/>
        <w:right w:val="none" w:sz="0" w:space="0" w:color="auto"/>
      </w:divBdr>
    </w:div>
    <w:div w:id="495459472">
      <w:bodyDiv w:val="1"/>
      <w:marLeft w:val="0"/>
      <w:marRight w:val="0"/>
      <w:marTop w:val="0"/>
      <w:marBottom w:val="0"/>
      <w:divBdr>
        <w:top w:val="none" w:sz="0" w:space="0" w:color="auto"/>
        <w:left w:val="none" w:sz="0" w:space="0" w:color="auto"/>
        <w:bottom w:val="none" w:sz="0" w:space="0" w:color="auto"/>
        <w:right w:val="none" w:sz="0" w:space="0" w:color="auto"/>
      </w:divBdr>
    </w:div>
    <w:div w:id="526021174">
      <w:bodyDiv w:val="1"/>
      <w:marLeft w:val="0"/>
      <w:marRight w:val="0"/>
      <w:marTop w:val="0"/>
      <w:marBottom w:val="0"/>
      <w:divBdr>
        <w:top w:val="none" w:sz="0" w:space="0" w:color="auto"/>
        <w:left w:val="none" w:sz="0" w:space="0" w:color="auto"/>
        <w:bottom w:val="none" w:sz="0" w:space="0" w:color="auto"/>
        <w:right w:val="none" w:sz="0" w:space="0" w:color="auto"/>
      </w:divBdr>
    </w:div>
    <w:div w:id="530343716">
      <w:bodyDiv w:val="1"/>
      <w:marLeft w:val="0"/>
      <w:marRight w:val="0"/>
      <w:marTop w:val="0"/>
      <w:marBottom w:val="0"/>
      <w:divBdr>
        <w:top w:val="none" w:sz="0" w:space="0" w:color="auto"/>
        <w:left w:val="none" w:sz="0" w:space="0" w:color="auto"/>
        <w:bottom w:val="none" w:sz="0" w:space="0" w:color="auto"/>
        <w:right w:val="none" w:sz="0" w:space="0" w:color="auto"/>
      </w:divBdr>
    </w:div>
    <w:div w:id="531186934">
      <w:bodyDiv w:val="1"/>
      <w:marLeft w:val="0"/>
      <w:marRight w:val="0"/>
      <w:marTop w:val="0"/>
      <w:marBottom w:val="0"/>
      <w:divBdr>
        <w:top w:val="none" w:sz="0" w:space="0" w:color="auto"/>
        <w:left w:val="none" w:sz="0" w:space="0" w:color="auto"/>
        <w:bottom w:val="none" w:sz="0" w:space="0" w:color="auto"/>
        <w:right w:val="none" w:sz="0" w:space="0" w:color="auto"/>
      </w:divBdr>
    </w:div>
    <w:div w:id="533933068">
      <w:bodyDiv w:val="1"/>
      <w:marLeft w:val="0"/>
      <w:marRight w:val="0"/>
      <w:marTop w:val="0"/>
      <w:marBottom w:val="0"/>
      <w:divBdr>
        <w:top w:val="none" w:sz="0" w:space="0" w:color="auto"/>
        <w:left w:val="none" w:sz="0" w:space="0" w:color="auto"/>
        <w:bottom w:val="none" w:sz="0" w:space="0" w:color="auto"/>
        <w:right w:val="none" w:sz="0" w:space="0" w:color="auto"/>
      </w:divBdr>
    </w:div>
    <w:div w:id="536086824">
      <w:bodyDiv w:val="1"/>
      <w:marLeft w:val="0"/>
      <w:marRight w:val="0"/>
      <w:marTop w:val="0"/>
      <w:marBottom w:val="0"/>
      <w:divBdr>
        <w:top w:val="none" w:sz="0" w:space="0" w:color="auto"/>
        <w:left w:val="none" w:sz="0" w:space="0" w:color="auto"/>
        <w:bottom w:val="none" w:sz="0" w:space="0" w:color="auto"/>
        <w:right w:val="none" w:sz="0" w:space="0" w:color="auto"/>
      </w:divBdr>
    </w:div>
    <w:div w:id="542131180">
      <w:bodyDiv w:val="1"/>
      <w:marLeft w:val="0"/>
      <w:marRight w:val="0"/>
      <w:marTop w:val="0"/>
      <w:marBottom w:val="0"/>
      <w:divBdr>
        <w:top w:val="none" w:sz="0" w:space="0" w:color="auto"/>
        <w:left w:val="none" w:sz="0" w:space="0" w:color="auto"/>
        <w:bottom w:val="none" w:sz="0" w:space="0" w:color="auto"/>
        <w:right w:val="none" w:sz="0" w:space="0" w:color="auto"/>
      </w:divBdr>
    </w:div>
    <w:div w:id="565646523">
      <w:bodyDiv w:val="1"/>
      <w:marLeft w:val="0"/>
      <w:marRight w:val="0"/>
      <w:marTop w:val="0"/>
      <w:marBottom w:val="0"/>
      <w:divBdr>
        <w:top w:val="none" w:sz="0" w:space="0" w:color="auto"/>
        <w:left w:val="none" w:sz="0" w:space="0" w:color="auto"/>
        <w:bottom w:val="none" w:sz="0" w:space="0" w:color="auto"/>
        <w:right w:val="none" w:sz="0" w:space="0" w:color="auto"/>
      </w:divBdr>
    </w:div>
    <w:div w:id="594558671">
      <w:bodyDiv w:val="1"/>
      <w:marLeft w:val="0"/>
      <w:marRight w:val="0"/>
      <w:marTop w:val="0"/>
      <w:marBottom w:val="0"/>
      <w:divBdr>
        <w:top w:val="none" w:sz="0" w:space="0" w:color="auto"/>
        <w:left w:val="none" w:sz="0" w:space="0" w:color="auto"/>
        <w:bottom w:val="none" w:sz="0" w:space="0" w:color="auto"/>
        <w:right w:val="none" w:sz="0" w:space="0" w:color="auto"/>
      </w:divBdr>
    </w:div>
    <w:div w:id="601500452">
      <w:bodyDiv w:val="1"/>
      <w:marLeft w:val="0"/>
      <w:marRight w:val="0"/>
      <w:marTop w:val="0"/>
      <w:marBottom w:val="0"/>
      <w:divBdr>
        <w:top w:val="none" w:sz="0" w:space="0" w:color="auto"/>
        <w:left w:val="none" w:sz="0" w:space="0" w:color="auto"/>
        <w:bottom w:val="none" w:sz="0" w:space="0" w:color="auto"/>
        <w:right w:val="none" w:sz="0" w:space="0" w:color="auto"/>
      </w:divBdr>
    </w:div>
    <w:div w:id="611134928">
      <w:bodyDiv w:val="1"/>
      <w:marLeft w:val="0"/>
      <w:marRight w:val="0"/>
      <w:marTop w:val="0"/>
      <w:marBottom w:val="0"/>
      <w:divBdr>
        <w:top w:val="none" w:sz="0" w:space="0" w:color="auto"/>
        <w:left w:val="none" w:sz="0" w:space="0" w:color="auto"/>
        <w:bottom w:val="none" w:sz="0" w:space="0" w:color="auto"/>
        <w:right w:val="none" w:sz="0" w:space="0" w:color="auto"/>
      </w:divBdr>
    </w:div>
    <w:div w:id="657609442">
      <w:bodyDiv w:val="1"/>
      <w:marLeft w:val="0"/>
      <w:marRight w:val="0"/>
      <w:marTop w:val="0"/>
      <w:marBottom w:val="0"/>
      <w:divBdr>
        <w:top w:val="none" w:sz="0" w:space="0" w:color="auto"/>
        <w:left w:val="none" w:sz="0" w:space="0" w:color="auto"/>
        <w:bottom w:val="none" w:sz="0" w:space="0" w:color="auto"/>
        <w:right w:val="none" w:sz="0" w:space="0" w:color="auto"/>
      </w:divBdr>
    </w:div>
    <w:div w:id="679162228">
      <w:bodyDiv w:val="1"/>
      <w:marLeft w:val="0"/>
      <w:marRight w:val="0"/>
      <w:marTop w:val="0"/>
      <w:marBottom w:val="0"/>
      <w:divBdr>
        <w:top w:val="none" w:sz="0" w:space="0" w:color="auto"/>
        <w:left w:val="none" w:sz="0" w:space="0" w:color="auto"/>
        <w:bottom w:val="none" w:sz="0" w:space="0" w:color="auto"/>
        <w:right w:val="none" w:sz="0" w:space="0" w:color="auto"/>
      </w:divBdr>
    </w:div>
    <w:div w:id="686324578">
      <w:bodyDiv w:val="1"/>
      <w:marLeft w:val="0"/>
      <w:marRight w:val="0"/>
      <w:marTop w:val="0"/>
      <w:marBottom w:val="0"/>
      <w:divBdr>
        <w:top w:val="none" w:sz="0" w:space="0" w:color="auto"/>
        <w:left w:val="none" w:sz="0" w:space="0" w:color="auto"/>
        <w:bottom w:val="none" w:sz="0" w:space="0" w:color="auto"/>
        <w:right w:val="none" w:sz="0" w:space="0" w:color="auto"/>
      </w:divBdr>
    </w:div>
    <w:div w:id="688677987">
      <w:bodyDiv w:val="1"/>
      <w:marLeft w:val="0"/>
      <w:marRight w:val="0"/>
      <w:marTop w:val="0"/>
      <w:marBottom w:val="0"/>
      <w:divBdr>
        <w:top w:val="none" w:sz="0" w:space="0" w:color="auto"/>
        <w:left w:val="none" w:sz="0" w:space="0" w:color="auto"/>
        <w:bottom w:val="none" w:sz="0" w:space="0" w:color="auto"/>
        <w:right w:val="none" w:sz="0" w:space="0" w:color="auto"/>
      </w:divBdr>
    </w:div>
    <w:div w:id="690690327">
      <w:bodyDiv w:val="1"/>
      <w:marLeft w:val="0"/>
      <w:marRight w:val="0"/>
      <w:marTop w:val="0"/>
      <w:marBottom w:val="0"/>
      <w:divBdr>
        <w:top w:val="none" w:sz="0" w:space="0" w:color="auto"/>
        <w:left w:val="none" w:sz="0" w:space="0" w:color="auto"/>
        <w:bottom w:val="none" w:sz="0" w:space="0" w:color="auto"/>
        <w:right w:val="none" w:sz="0" w:space="0" w:color="auto"/>
      </w:divBdr>
    </w:div>
    <w:div w:id="697976000">
      <w:bodyDiv w:val="1"/>
      <w:marLeft w:val="0"/>
      <w:marRight w:val="0"/>
      <w:marTop w:val="0"/>
      <w:marBottom w:val="0"/>
      <w:divBdr>
        <w:top w:val="none" w:sz="0" w:space="0" w:color="auto"/>
        <w:left w:val="none" w:sz="0" w:space="0" w:color="auto"/>
        <w:bottom w:val="none" w:sz="0" w:space="0" w:color="auto"/>
        <w:right w:val="none" w:sz="0" w:space="0" w:color="auto"/>
      </w:divBdr>
      <w:divsChild>
        <w:div w:id="288098824">
          <w:marLeft w:val="0"/>
          <w:marRight w:val="0"/>
          <w:marTop w:val="0"/>
          <w:marBottom w:val="0"/>
          <w:divBdr>
            <w:top w:val="none" w:sz="0" w:space="0" w:color="auto"/>
            <w:left w:val="none" w:sz="0" w:space="0" w:color="auto"/>
            <w:bottom w:val="none" w:sz="0" w:space="0" w:color="auto"/>
            <w:right w:val="none" w:sz="0" w:space="0" w:color="auto"/>
          </w:divBdr>
        </w:div>
        <w:div w:id="431361540">
          <w:marLeft w:val="0"/>
          <w:marRight w:val="0"/>
          <w:marTop w:val="0"/>
          <w:marBottom w:val="0"/>
          <w:divBdr>
            <w:top w:val="none" w:sz="0" w:space="0" w:color="auto"/>
            <w:left w:val="none" w:sz="0" w:space="0" w:color="auto"/>
            <w:bottom w:val="none" w:sz="0" w:space="0" w:color="auto"/>
            <w:right w:val="none" w:sz="0" w:space="0" w:color="auto"/>
          </w:divBdr>
        </w:div>
        <w:div w:id="495535353">
          <w:marLeft w:val="0"/>
          <w:marRight w:val="0"/>
          <w:marTop w:val="0"/>
          <w:marBottom w:val="0"/>
          <w:divBdr>
            <w:top w:val="none" w:sz="0" w:space="0" w:color="auto"/>
            <w:left w:val="none" w:sz="0" w:space="0" w:color="auto"/>
            <w:bottom w:val="none" w:sz="0" w:space="0" w:color="auto"/>
            <w:right w:val="none" w:sz="0" w:space="0" w:color="auto"/>
          </w:divBdr>
        </w:div>
        <w:div w:id="543250543">
          <w:marLeft w:val="0"/>
          <w:marRight w:val="0"/>
          <w:marTop w:val="0"/>
          <w:marBottom w:val="0"/>
          <w:divBdr>
            <w:top w:val="none" w:sz="0" w:space="0" w:color="auto"/>
            <w:left w:val="none" w:sz="0" w:space="0" w:color="auto"/>
            <w:bottom w:val="none" w:sz="0" w:space="0" w:color="auto"/>
            <w:right w:val="none" w:sz="0" w:space="0" w:color="auto"/>
          </w:divBdr>
        </w:div>
        <w:div w:id="595094129">
          <w:marLeft w:val="0"/>
          <w:marRight w:val="0"/>
          <w:marTop w:val="0"/>
          <w:marBottom w:val="0"/>
          <w:divBdr>
            <w:top w:val="none" w:sz="0" w:space="0" w:color="auto"/>
            <w:left w:val="none" w:sz="0" w:space="0" w:color="auto"/>
            <w:bottom w:val="none" w:sz="0" w:space="0" w:color="auto"/>
            <w:right w:val="none" w:sz="0" w:space="0" w:color="auto"/>
          </w:divBdr>
        </w:div>
        <w:div w:id="646086040">
          <w:marLeft w:val="0"/>
          <w:marRight w:val="0"/>
          <w:marTop w:val="0"/>
          <w:marBottom w:val="0"/>
          <w:divBdr>
            <w:top w:val="none" w:sz="0" w:space="0" w:color="auto"/>
            <w:left w:val="none" w:sz="0" w:space="0" w:color="auto"/>
            <w:bottom w:val="none" w:sz="0" w:space="0" w:color="auto"/>
            <w:right w:val="none" w:sz="0" w:space="0" w:color="auto"/>
          </w:divBdr>
        </w:div>
        <w:div w:id="706878150">
          <w:marLeft w:val="0"/>
          <w:marRight w:val="0"/>
          <w:marTop w:val="0"/>
          <w:marBottom w:val="0"/>
          <w:divBdr>
            <w:top w:val="none" w:sz="0" w:space="0" w:color="auto"/>
            <w:left w:val="none" w:sz="0" w:space="0" w:color="auto"/>
            <w:bottom w:val="none" w:sz="0" w:space="0" w:color="auto"/>
            <w:right w:val="none" w:sz="0" w:space="0" w:color="auto"/>
          </w:divBdr>
        </w:div>
        <w:div w:id="862324869">
          <w:marLeft w:val="0"/>
          <w:marRight w:val="0"/>
          <w:marTop w:val="0"/>
          <w:marBottom w:val="0"/>
          <w:divBdr>
            <w:top w:val="none" w:sz="0" w:space="0" w:color="auto"/>
            <w:left w:val="none" w:sz="0" w:space="0" w:color="auto"/>
            <w:bottom w:val="none" w:sz="0" w:space="0" w:color="auto"/>
            <w:right w:val="none" w:sz="0" w:space="0" w:color="auto"/>
          </w:divBdr>
        </w:div>
        <w:div w:id="942031139">
          <w:marLeft w:val="0"/>
          <w:marRight w:val="0"/>
          <w:marTop w:val="0"/>
          <w:marBottom w:val="0"/>
          <w:divBdr>
            <w:top w:val="none" w:sz="0" w:space="0" w:color="auto"/>
            <w:left w:val="none" w:sz="0" w:space="0" w:color="auto"/>
            <w:bottom w:val="none" w:sz="0" w:space="0" w:color="auto"/>
            <w:right w:val="none" w:sz="0" w:space="0" w:color="auto"/>
          </w:divBdr>
        </w:div>
        <w:div w:id="1092817562">
          <w:marLeft w:val="0"/>
          <w:marRight w:val="0"/>
          <w:marTop w:val="0"/>
          <w:marBottom w:val="0"/>
          <w:divBdr>
            <w:top w:val="none" w:sz="0" w:space="0" w:color="auto"/>
            <w:left w:val="none" w:sz="0" w:space="0" w:color="auto"/>
            <w:bottom w:val="none" w:sz="0" w:space="0" w:color="auto"/>
            <w:right w:val="none" w:sz="0" w:space="0" w:color="auto"/>
          </w:divBdr>
        </w:div>
        <w:div w:id="1305501315">
          <w:marLeft w:val="0"/>
          <w:marRight w:val="0"/>
          <w:marTop w:val="0"/>
          <w:marBottom w:val="0"/>
          <w:divBdr>
            <w:top w:val="none" w:sz="0" w:space="0" w:color="auto"/>
            <w:left w:val="none" w:sz="0" w:space="0" w:color="auto"/>
            <w:bottom w:val="none" w:sz="0" w:space="0" w:color="auto"/>
            <w:right w:val="none" w:sz="0" w:space="0" w:color="auto"/>
          </w:divBdr>
        </w:div>
        <w:div w:id="1414929504">
          <w:marLeft w:val="0"/>
          <w:marRight w:val="0"/>
          <w:marTop w:val="0"/>
          <w:marBottom w:val="0"/>
          <w:divBdr>
            <w:top w:val="none" w:sz="0" w:space="0" w:color="auto"/>
            <w:left w:val="none" w:sz="0" w:space="0" w:color="auto"/>
            <w:bottom w:val="none" w:sz="0" w:space="0" w:color="auto"/>
            <w:right w:val="none" w:sz="0" w:space="0" w:color="auto"/>
          </w:divBdr>
        </w:div>
        <w:div w:id="1663775519">
          <w:marLeft w:val="0"/>
          <w:marRight w:val="0"/>
          <w:marTop w:val="0"/>
          <w:marBottom w:val="0"/>
          <w:divBdr>
            <w:top w:val="none" w:sz="0" w:space="0" w:color="auto"/>
            <w:left w:val="none" w:sz="0" w:space="0" w:color="auto"/>
            <w:bottom w:val="none" w:sz="0" w:space="0" w:color="auto"/>
            <w:right w:val="none" w:sz="0" w:space="0" w:color="auto"/>
          </w:divBdr>
        </w:div>
        <w:div w:id="1813016808">
          <w:marLeft w:val="0"/>
          <w:marRight w:val="0"/>
          <w:marTop w:val="0"/>
          <w:marBottom w:val="0"/>
          <w:divBdr>
            <w:top w:val="none" w:sz="0" w:space="0" w:color="auto"/>
            <w:left w:val="none" w:sz="0" w:space="0" w:color="auto"/>
            <w:bottom w:val="none" w:sz="0" w:space="0" w:color="auto"/>
            <w:right w:val="none" w:sz="0" w:space="0" w:color="auto"/>
          </w:divBdr>
        </w:div>
        <w:div w:id="1829249371">
          <w:marLeft w:val="0"/>
          <w:marRight w:val="0"/>
          <w:marTop w:val="0"/>
          <w:marBottom w:val="0"/>
          <w:divBdr>
            <w:top w:val="none" w:sz="0" w:space="0" w:color="auto"/>
            <w:left w:val="none" w:sz="0" w:space="0" w:color="auto"/>
            <w:bottom w:val="none" w:sz="0" w:space="0" w:color="auto"/>
            <w:right w:val="none" w:sz="0" w:space="0" w:color="auto"/>
          </w:divBdr>
        </w:div>
      </w:divsChild>
    </w:div>
    <w:div w:id="701249931">
      <w:bodyDiv w:val="1"/>
      <w:marLeft w:val="0"/>
      <w:marRight w:val="0"/>
      <w:marTop w:val="0"/>
      <w:marBottom w:val="0"/>
      <w:divBdr>
        <w:top w:val="none" w:sz="0" w:space="0" w:color="auto"/>
        <w:left w:val="none" w:sz="0" w:space="0" w:color="auto"/>
        <w:bottom w:val="none" w:sz="0" w:space="0" w:color="auto"/>
        <w:right w:val="none" w:sz="0" w:space="0" w:color="auto"/>
      </w:divBdr>
    </w:div>
    <w:div w:id="705368080">
      <w:bodyDiv w:val="1"/>
      <w:marLeft w:val="0"/>
      <w:marRight w:val="0"/>
      <w:marTop w:val="0"/>
      <w:marBottom w:val="0"/>
      <w:divBdr>
        <w:top w:val="none" w:sz="0" w:space="0" w:color="auto"/>
        <w:left w:val="none" w:sz="0" w:space="0" w:color="auto"/>
        <w:bottom w:val="none" w:sz="0" w:space="0" w:color="auto"/>
        <w:right w:val="none" w:sz="0" w:space="0" w:color="auto"/>
      </w:divBdr>
    </w:div>
    <w:div w:id="705832667">
      <w:bodyDiv w:val="1"/>
      <w:marLeft w:val="0"/>
      <w:marRight w:val="0"/>
      <w:marTop w:val="0"/>
      <w:marBottom w:val="0"/>
      <w:divBdr>
        <w:top w:val="none" w:sz="0" w:space="0" w:color="auto"/>
        <w:left w:val="none" w:sz="0" w:space="0" w:color="auto"/>
        <w:bottom w:val="none" w:sz="0" w:space="0" w:color="auto"/>
        <w:right w:val="none" w:sz="0" w:space="0" w:color="auto"/>
      </w:divBdr>
    </w:div>
    <w:div w:id="723873704">
      <w:bodyDiv w:val="1"/>
      <w:marLeft w:val="0"/>
      <w:marRight w:val="0"/>
      <w:marTop w:val="0"/>
      <w:marBottom w:val="0"/>
      <w:divBdr>
        <w:top w:val="none" w:sz="0" w:space="0" w:color="auto"/>
        <w:left w:val="none" w:sz="0" w:space="0" w:color="auto"/>
        <w:bottom w:val="none" w:sz="0" w:space="0" w:color="auto"/>
        <w:right w:val="none" w:sz="0" w:space="0" w:color="auto"/>
      </w:divBdr>
    </w:div>
    <w:div w:id="756681853">
      <w:bodyDiv w:val="1"/>
      <w:marLeft w:val="0"/>
      <w:marRight w:val="0"/>
      <w:marTop w:val="0"/>
      <w:marBottom w:val="0"/>
      <w:divBdr>
        <w:top w:val="none" w:sz="0" w:space="0" w:color="auto"/>
        <w:left w:val="none" w:sz="0" w:space="0" w:color="auto"/>
        <w:bottom w:val="none" w:sz="0" w:space="0" w:color="auto"/>
        <w:right w:val="none" w:sz="0" w:space="0" w:color="auto"/>
      </w:divBdr>
    </w:div>
    <w:div w:id="762918055">
      <w:bodyDiv w:val="1"/>
      <w:marLeft w:val="0"/>
      <w:marRight w:val="0"/>
      <w:marTop w:val="0"/>
      <w:marBottom w:val="0"/>
      <w:divBdr>
        <w:top w:val="none" w:sz="0" w:space="0" w:color="auto"/>
        <w:left w:val="none" w:sz="0" w:space="0" w:color="auto"/>
        <w:bottom w:val="none" w:sz="0" w:space="0" w:color="auto"/>
        <w:right w:val="none" w:sz="0" w:space="0" w:color="auto"/>
      </w:divBdr>
    </w:div>
    <w:div w:id="801461097">
      <w:bodyDiv w:val="1"/>
      <w:marLeft w:val="0"/>
      <w:marRight w:val="0"/>
      <w:marTop w:val="0"/>
      <w:marBottom w:val="0"/>
      <w:divBdr>
        <w:top w:val="none" w:sz="0" w:space="0" w:color="auto"/>
        <w:left w:val="none" w:sz="0" w:space="0" w:color="auto"/>
        <w:bottom w:val="none" w:sz="0" w:space="0" w:color="auto"/>
        <w:right w:val="none" w:sz="0" w:space="0" w:color="auto"/>
      </w:divBdr>
      <w:divsChild>
        <w:div w:id="28341918">
          <w:marLeft w:val="0"/>
          <w:marRight w:val="0"/>
          <w:marTop w:val="0"/>
          <w:marBottom w:val="0"/>
          <w:divBdr>
            <w:top w:val="none" w:sz="0" w:space="0" w:color="auto"/>
            <w:left w:val="none" w:sz="0" w:space="0" w:color="auto"/>
            <w:bottom w:val="none" w:sz="0" w:space="0" w:color="auto"/>
            <w:right w:val="none" w:sz="0" w:space="0" w:color="auto"/>
          </w:divBdr>
        </w:div>
        <w:div w:id="542716167">
          <w:marLeft w:val="0"/>
          <w:marRight w:val="0"/>
          <w:marTop w:val="0"/>
          <w:marBottom w:val="0"/>
          <w:divBdr>
            <w:top w:val="none" w:sz="0" w:space="0" w:color="auto"/>
            <w:left w:val="none" w:sz="0" w:space="0" w:color="auto"/>
            <w:bottom w:val="none" w:sz="0" w:space="0" w:color="auto"/>
            <w:right w:val="none" w:sz="0" w:space="0" w:color="auto"/>
          </w:divBdr>
        </w:div>
        <w:div w:id="687485379">
          <w:marLeft w:val="0"/>
          <w:marRight w:val="0"/>
          <w:marTop w:val="0"/>
          <w:marBottom w:val="0"/>
          <w:divBdr>
            <w:top w:val="none" w:sz="0" w:space="0" w:color="auto"/>
            <w:left w:val="none" w:sz="0" w:space="0" w:color="auto"/>
            <w:bottom w:val="none" w:sz="0" w:space="0" w:color="auto"/>
            <w:right w:val="none" w:sz="0" w:space="0" w:color="auto"/>
          </w:divBdr>
        </w:div>
        <w:div w:id="756362502">
          <w:marLeft w:val="0"/>
          <w:marRight w:val="0"/>
          <w:marTop w:val="0"/>
          <w:marBottom w:val="0"/>
          <w:divBdr>
            <w:top w:val="none" w:sz="0" w:space="0" w:color="auto"/>
            <w:left w:val="none" w:sz="0" w:space="0" w:color="auto"/>
            <w:bottom w:val="none" w:sz="0" w:space="0" w:color="auto"/>
            <w:right w:val="none" w:sz="0" w:space="0" w:color="auto"/>
          </w:divBdr>
        </w:div>
        <w:div w:id="846215200">
          <w:marLeft w:val="0"/>
          <w:marRight w:val="0"/>
          <w:marTop w:val="0"/>
          <w:marBottom w:val="0"/>
          <w:divBdr>
            <w:top w:val="none" w:sz="0" w:space="0" w:color="auto"/>
            <w:left w:val="none" w:sz="0" w:space="0" w:color="auto"/>
            <w:bottom w:val="none" w:sz="0" w:space="0" w:color="auto"/>
            <w:right w:val="none" w:sz="0" w:space="0" w:color="auto"/>
          </w:divBdr>
        </w:div>
        <w:div w:id="1055012717">
          <w:marLeft w:val="0"/>
          <w:marRight w:val="0"/>
          <w:marTop w:val="0"/>
          <w:marBottom w:val="0"/>
          <w:divBdr>
            <w:top w:val="none" w:sz="0" w:space="0" w:color="auto"/>
            <w:left w:val="none" w:sz="0" w:space="0" w:color="auto"/>
            <w:bottom w:val="none" w:sz="0" w:space="0" w:color="auto"/>
            <w:right w:val="none" w:sz="0" w:space="0" w:color="auto"/>
          </w:divBdr>
        </w:div>
        <w:div w:id="1131901196">
          <w:marLeft w:val="0"/>
          <w:marRight w:val="0"/>
          <w:marTop w:val="0"/>
          <w:marBottom w:val="0"/>
          <w:divBdr>
            <w:top w:val="none" w:sz="0" w:space="0" w:color="auto"/>
            <w:left w:val="none" w:sz="0" w:space="0" w:color="auto"/>
            <w:bottom w:val="none" w:sz="0" w:space="0" w:color="auto"/>
            <w:right w:val="none" w:sz="0" w:space="0" w:color="auto"/>
          </w:divBdr>
        </w:div>
        <w:div w:id="1138180736">
          <w:marLeft w:val="0"/>
          <w:marRight w:val="0"/>
          <w:marTop w:val="0"/>
          <w:marBottom w:val="0"/>
          <w:divBdr>
            <w:top w:val="none" w:sz="0" w:space="0" w:color="auto"/>
            <w:left w:val="none" w:sz="0" w:space="0" w:color="auto"/>
            <w:bottom w:val="none" w:sz="0" w:space="0" w:color="auto"/>
            <w:right w:val="none" w:sz="0" w:space="0" w:color="auto"/>
          </w:divBdr>
        </w:div>
        <w:div w:id="1177235616">
          <w:marLeft w:val="0"/>
          <w:marRight w:val="0"/>
          <w:marTop w:val="0"/>
          <w:marBottom w:val="0"/>
          <w:divBdr>
            <w:top w:val="none" w:sz="0" w:space="0" w:color="auto"/>
            <w:left w:val="none" w:sz="0" w:space="0" w:color="auto"/>
            <w:bottom w:val="none" w:sz="0" w:space="0" w:color="auto"/>
            <w:right w:val="none" w:sz="0" w:space="0" w:color="auto"/>
          </w:divBdr>
        </w:div>
        <w:div w:id="1272780113">
          <w:marLeft w:val="0"/>
          <w:marRight w:val="0"/>
          <w:marTop w:val="0"/>
          <w:marBottom w:val="0"/>
          <w:divBdr>
            <w:top w:val="none" w:sz="0" w:space="0" w:color="auto"/>
            <w:left w:val="none" w:sz="0" w:space="0" w:color="auto"/>
            <w:bottom w:val="none" w:sz="0" w:space="0" w:color="auto"/>
            <w:right w:val="none" w:sz="0" w:space="0" w:color="auto"/>
          </w:divBdr>
        </w:div>
        <w:div w:id="1399398557">
          <w:marLeft w:val="0"/>
          <w:marRight w:val="0"/>
          <w:marTop w:val="0"/>
          <w:marBottom w:val="0"/>
          <w:divBdr>
            <w:top w:val="none" w:sz="0" w:space="0" w:color="auto"/>
            <w:left w:val="none" w:sz="0" w:space="0" w:color="auto"/>
            <w:bottom w:val="none" w:sz="0" w:space="0" w:color="auto"/>
            <w:right w:val="none" w:sz="0" w:space="0" w:color="auto"/>
          </w:divBdr>
        </w:div>
        <w:div w:id="1700276119">
          <w:marLeft w:val="0"/>
          <w:marRight w:val="0"/>
          <w:marTop w:val="0"/>
          <w:marBottom w:val="0"/>
          <w:divBdr>
            <w:top w:val="none" w:sz="0" w:space="0" w:color="auto"/>
            <w:left w:val="none" w:sz="0" w:space="0" w:color="auto"/>
            <w:bottom w:val="none" w:sz="0" w:space="0" w:color="auto"/>
            <w:right w:val="none" w:sz="0" w:space="0" w:color="auto"/>
          </w:divBdr>
        </w:div>
        <w:div w:id="1724790911">
          <w:marLeft w:val="0"/>
          <w:marRight w:val="0"/>
          <w:marTop w:val="0"/>
          <w:marBottom w:val="0"/>
          <w:divBdr>
            <w:top w:val="none" w:sz="0" w:space="0" w:color="auto"/>
            <w:left w:val="none" w:sz="0" w:space="0" w:color="auto"/>
            <w:bottom w:val="none" w:sz="0" w:space="0" w:color="auto"/>
            <w:right w:val="none" w:sz="0" w:space="0" w:color="auto"/>
          </w:divBdr>
        </w:div>
        <w:div w:id="1847595728">
          <w:marLeft w:val="0"/>
          <w:marRight w:val="0"/>
          <w:marTop w:val="0"/>
          <w:marBottom w:val="0"/>
          <w:divBdr>
            <w:top w:val="none" w:sz="0" w:space="0" w:color="auto"/>
            <w:left w:val="none" w:sz="0" w:space="0" w:color="auto"/>
            <w:bottom w:val="none" w:sz="0" w:space="0" w:color="auto"/>
            <w:right w:val="none" w:sz="0" w:space="0" w:color="auto"/>
          </w:divBdr>
        </w:div>
        <w:div w:id="2008823403">
          <w:marLeft w:val="0"/>
          <w:marRight w:val="0"/>
          <w:marTop w:val="0"/>
          <w:marBottom w:val="0"/>
          <w:divBdr>
            <w:top w:val="none" w:sz="0" w:space="0" w:color="auto"/>
            <w:left w:val="none" w:sz="0" w:space="0" w:color="auto"/>
            <w:bottom w:val="none" w:sz="0" w:space="0" w:color="auto"/>
            <w:right w:val="none" w:sz="0" w:space="0" w:color="auto"/>
          </w:divBdr>
        </w:div>
      </w:divsChild>
    </w:div>
    <w:div w:id="835799614">
      <w:bodyDiv w:val="1"/>
      <w:marLeft w:val="0"/>
      <w:marRight w:val="0"/>
      <w:marTop w:val="0"/>
      <w:marBottom w:val="0"/>
      <w:divBdr>
        <w:top w:val="none" w:sz="0" w:space="0" w:color="auto"/>
        <w:left w:val="none" w:sz="0" w:space="0" w:color="auto"/>
        <w:bottom w:val="none" w:sz="0" w:space="0" w:color="auto"/>
        <w:right w:val="none" w:sz="0" w:space="0" w:color="auto"/>
      </w:divBdr>
    </w:div>
    <w:div w:id="843981084">
      <w:bodyDiv w:val="1"/>
      <w:marLeft w:val="0"/>
      <w:marRight w:val="0"/>
      <w:marTop w:val="0"/>
      <w:marBottom w:val="0"/>
      <w:divBdr>
        <w:top w:val="none" w:sz="0" w:space="0" w:color="auto"/>
        <w:left w:val="none" w:sz="0" w:space="0" w:color="auto"/>
        <w:bottom w:val="none" w:sz="0" w:space="0" w:color="auto"/>
        <w:right w:val="none" w:sz="0" w:space="0" w:color="auto"/>
      </w:divBdr>
      <w:divsChild>
        <w:div w:id="1007902151">
          <w:marLeft w:val="0"/>
          <w:marRight w:val="0"/>
          <w:marTop w:val="0"/>
          <w:marBottom w:val="0"/>
          <w:divBdr>
            <w:top w:val="none" w:sz="0" w:space="0" w:color="auto"/>
            <w:left w:val="none" w:sz="0" w:space="0" w:color="auto"/>
            <w:bottom w:val="none" w:sz="0" w:space="0" w:color="auto"/>
            <w:right w:val="none" w:sz="0" w:space="0" w:color="auto"/>
          </w:divBdr>
        </w:div>
        <w:div w:id="1066757609">
          <w:marLeft w:val="0"/>
          <w:marRight w:val="0"/>
          <w:marTop w:val="0"/>
          <w:marBottom w:val="0"/>
          <w:divBdr>
            <w:top w:val="none" w:sz="0" w:space="0" w:color="auto"/>
            <w:left w:val="none" w:sz="0" w:space="0" w:color="auto"/>
            <w:bottom w:val="none" w:sz="0" w:space="0" w:color="auto"/>
            <w:right w:val="none" w:sz="0" w:space="0" w:color="auto"/>
          </w:divBdr>
        </w:div>
      </w:divsChild>
    </w:div>
    <w:div w:id="849680037">
      <w:bodyDiv w:val="1"/>
      <w:marLeft w:val="0"/>
      <w:marRight w:val="0"/>
      <w:marTop w:val="0"/>
      <w:marBottom w:val="0"/>
      <w:divBdr>
        <w:top w:val="none" w:sz="0" w:space="0" w:color="auto"/>
        <w:left w:val="none" w:sz="0" w:space="0" w:color="auto"/>
        <w:bottom w:val="none" w:sz="0" w:space="0" w:color="auto"/>
        <w:right w:val="none" w:sz="0" w:space="0" w:color="auto"/>
      </w:divBdr>
    </w:div>
    <w:div w:id="866409864">
      <w:bodyDiv w:val="1"/>
      <w:marLeft w:val="0"/>
      <w:marRight w:val="0"/>
      <w:marTop w:val="0"/>
      <w:marBottom w:val="0"/>
      <w:divBdr>
        <w:top w:val="none" w:sz="0" w:space="0" w:color="auto"/>
        <w:left w:val="none" w:sz="0" w:space="0" w:color="auto"/>
        <w:bottom w:val="none" w:sz="0" w:space="0" w:color="auto"/>
        <w:right w:val="none" w:sz="0" w:space="0" w:color="auto"/>
      </w:divBdr>
    </w:div>
    <w:div w:id="880674577">
      <w:bodyDiv w:val="1"/>
      <w:marLeft w:val="0"/>
      <w:marRight w:val="0"/>
      <w:marTop w:val="0"/>
      <w:marBottom w:val="0"/>
      <w:divBdr>
        <w:top w:val="none" w:sz="0" w:space="0" w:color="auto"/>
        <w:left w:val="none" w:sz="0" w:space="0" w:color="auto"/>
        <w:bottom w:val="none" w:sz="0" w:space="0" w:color="auto"/>
        <w:right w:val="none" w:sz="0" w:space="0" w:color="auto"/>
      </w:divBdr>
    </w:div>
    <w:div w:id="918321805">
      <w:bodyDiv w:val="1"/>
      <w:marLeft w:val="0"/>
      <w:marRight w:val="0"/>
      <w:marTop w:val="0"/>
      <w:marBottom w:val="0"/>
      <w:divBdr>
        <w:top w:val="none" w:sz="0" w:space="0" w:color="auto"/>
        <w:left w:val="none" w:sz="0" w:space="0" w:color="auto"/>
        <w:bottom w:val="none" w:sz="0" w:space="0" w:color="auto"/>
        <w:right w:val="none" w:sz="0" w:space="0" w:color="auto"/>
      </w:divBdr>
    </w:div>
    <w:div w:id="924875558">
      <w:bodyDiv w:val="1"/>
      <w:marLeft w:val="0"/>
      <w:marRight w:val="0"/>
      <w:marTop w:val="0"/>
      <w:marBottom w:val="0"/>
      <w:divBdr>
        <w:top w:val="none" w:sz="0" w:space="0" w:color="auto"/>
        <w:left w:val="none" w:sz="0" w:space="0" w:color="auto"/>
        <w:bottom w:val="none" w:sz="0" w:space="0" w:color="auto"/>
        <w:right w:val="none" w:sz="0" w:space="0" w:color="auto"/>
      </w:divBdr>
    </w:div>
    <w:div w:id="937173264">
      <w:bodyDiv w:val="1"/>
      <w:marLeft w:val="0"/>
      <w:marRight w:val="0"/>
      <w:marTop w:val="0"/>
      <w:marBottom w:val="0"/>
      <w:divBdr>
        <w:top w:val="none" w:sz="0" w:space="0" w:color="auto"/>
        <w:left w:val="none" w:sz="0" w:space="0" w:color="auto"/>
        <w:bottom w:val="none" w:sz="0" w:space="0" w:color="auto"/>
        <w:right w:val="none" w:sz="0" w:space="0" w:color="auto"/>
      </w:divBdr>
      <w:divsChild>
        <w:div w:id="72776365">
          <w:marLeft w:val="0"/>
          <w:marRight w:val="0"/>
          <w:marTop w:val="0"/>
          <w:marBottom w:val="0"/>
          <w:divBdr>
            <w:top w:val="none" w:sz="0" w:space="0" w:color="auto"/>
            <w:left w:val="none" w:sz="0" w:space="0" w:color="auto"/>
            <w:bottom w:val="none" w:sz="0" w:space="0" w:color="auto"/>
            <w:right w:val="none" w:sz="0" w:space="0" w:color="auto"/>
          </w:divBdr>
        </w:div>
        <w:div w:id="91823585">
          <w:marLeft w:val="0"/>
          <w:marRight w:val="0"/>
          <w:marTop w:val="0"/>
          <w:marBottom w:val="0"/>
          <w:divBdr>
            <w:top w:val="none" w:sz="0" w:space="0" w:color="auto"/>
            <w:left w:val="none" w:sz="0" w:space="0" w:color="auto"/>
            <w:bottom w:val="none" w:sz="0" w:space="0" w:color="auto"/>
            <w:right w:val="none" w:sz="0" w:space="0" w:color="auto"/>
          </w:divBdr>
        </w:div>
        <w:div w:id="226385958">
          <w:marLeft w:val="0"/>
          <w:marRight w:val="0"/>
          <w:marTop w:val="0"/>
          <w:marBottom w:val="0"/>
          <w:divBdr>
            <w:top w:val="none" w:sz="0" w:space="0" w:color="auto"/>
            <w:left w:val="none" w:sz="0" w:space="0" w:color="auto"/>
            <w:bottom w:val="none" w:sz="0" w:space="0" w:color="auto"/>
            <w:right w:val="none" w:sz="0" w:space="0" w:color="auto"/>
          </w:divBdr>
        </w:div>
        <w:div w:id="976489032">
          <w:marLeft w:val="0"/>
          <w:marRight w:val="0"/>
          <w:marTop w:val="0"/>
          <w:marBottom w:val="0"/>
          <w:divBdr>
            <w:top w:val="none" w:sz="0" w:space="0" w:color="auto"/>
            <w:left w:val="none" w:sz="0" w:space="0" w:color="auto"/>
            <w:bottom w:val="none" w:sz="0" w:space="0" w:color="auto"/>
            <w:right w:val="none" w:sz="0" w:space="0" w:color="auto"/>
          </w:divBdr>
        </w:div>
        <w:div w:id="1011445287">
          <w:marLeft w:val="0"/>
          <w:marRight w:val="0"/>
          <w:marTop w:val="0"/>
          <w:marBottom w:val="0"/>
          <w:divBdr>
            <w:top w:val="none" w:sz="0" w:space="0" w:color="auto"/>
            <w:left w:val="none" w:sz="0" w:space="0" w:color="auto"/>
            <w:bottom w:val="none" w:sz="0" w:space="0" w:color="auto"/>
            <w:right w:val="none" w:sz="0" w:space="0" w:color="auto"/>
          </w:divBdr>
        </w:div>
        <w:div w:id="1208683649">
          <w:marLeft w:val="0"/>
          <w:marRight w:val="0"/>
          <w:marTop w:val="0"/>
          <w:marBottom w:val="0"/>
          <w:divBdr>
            <w:top w:val="none" w:sz="0" w:space="0" w:color="auto"/>
            <w:left w:val="none" w:sz="0" w:space="0" w:color="auto"/>
            <w:bottom w:val="none" w:sz="0" w:space="0" w:color="auto"/>
            <w:right w:val="none" w:sz="0" w:space="0" w:color="auto"/>
          </w:divBdr>
        </w:div>
        <w:div w:id="1227765129">
          <w:marLeft w:val="0"/>
          <w:marRight w:val="0"/>
          <w:marTop w:val="0"/>
          <w:marBottom w:val="0"/>
          <w:divBdr>
            <w:top w:val="none" w:sz="0" w:space="0" w:color="auto"/>
            <w:left w:val="none" w:sz="0" w:space="0" w:color="auto"/>
            <w:bottom w:val="none" w:sz="0" w:space="0" w:color="auto"/>
            <w:right w:val="none" w:sz="0" w:space="0" w:color="auto"/>
          </w:divBdr>
        </w:div>
        <w:div w:id="1255166009">
          <w:marLeft w:val="0"/>
          <w:marRight w:val="0"/>
          <w:marTop w:val="0"/>
          <w:marBottom w:val="0"/>
          <w:divBdr>
            <w:top w:val="none" w:sz="0" w:space="0" w:color="auto"/>
            <w:left w:val="none" w:sz="0" w:space="0" w:color="auto"/>
            <w:bottom w:val="none" w:sz="0" w:space="0" w:color="auto"/>
            <w:right w:val="none" w:sz="0" w:space="0" w:color="auto"/>
          </w:divBdr>
        </w:div>
        <w:div w:id="1255551577">
          <w:marLeft w:val="0"/>
          <w:marRight w:val="0"/>
          <w:marTop w:val="0"/>
          <w:marBottom w:val="0"/>
          <w:divBdr>
            <w:top w:val="none" w:sz="0" w:space="0" w:color="auto"/>
            <w:left w:val="none" w:sz="0" w:space="0" w:color="auto"/>
            <w:bottom w:val="none" w:sz="0" w:space="0" w:color="auto"/>
            <w:right w:val="none" w:sz="0" w:space="0" w:color="auto"/>
          </w:divBdr>
        </w:div>
        <w:div w:id="1475488140">
          <w:marLeft w:val="0"/>
          <w:marRight w:val="0"/>
          <w:marTop w:val="0"/>
          <w:marBottom w:val="0"/>
          <w:divBdr>
            <w:top w:val="none" w:sz="0" w:space="0" w:color="auto"/>
            <w:left w:val="none" w:sz="0" w:space="0" w:color="auto"/>
            <w:bottom w:val="none" w:sz="0" w:space="0" w:color="auto"/>
            <w:right w:val="none" w:sz="0" w:space="0" w:color="auto"/>
          </w:divBdr>
        </w:div>
        <w:div w:id="1687369410">
          <w:marLeft w:val="0"/>
          <w:marRight w:val="0"/>
          <w:marTop w:val="0"/>
          <w:marBottom w:val="0"/>
          <w:divBdr>
            <w:top w:val="none" w:sz="0" w:space="0" w:color="auto"/>
            <w:left w:val="none" w:sz="0" w:space="0" w:color="auto"/>
            <w:bottom w:val="none" w:sz="0" w:space="0" w:color="auto"/>
            <w:right w:val="none" w:sz="0" w:space="0" w:color="auto"/>
          </w:divBdr>
        </w:div>
        <w:div w:id="1716079454">
          <w:marLeft w:val="0"/>
          <w:marRight w:val="0"/>
          <w:marTop w:val="0"/>
          <w:marBottom w:val="0"/>
          <w:divBdr>
            <w:top w:val="none" w:sz="0" w:space="0" w:color="auto"/>
            <w:left w:val="none" w:sz="0" w:space="0" w:color="auto"/>
            <w:bottom w:val="none" w:sz="0" w:space="0" w:color="auto"/>
            <w:right w:val="none" w:sz="0" w:space="0" w:color="auto"/>
          </w:divBdr>
        </w:div>
        <w:div w:id="1881436477">
          <w:marLeft w:val="0"/>
          <w:marRight w:val="0"/>
          <w:marTop w:val="0"/>
          <w:marBottom w:val="0"/>
          <w:divBdr>
            <w:top w:val="none" w:sz="0" w:space="0" w:color="auto"/>
            <w:left w:val="none" w:sz="0" w:space="0" w:color="auto"/>
            <w:bottom w:val="none" w:sz="0" w:space="0" w:color="auto"/>
            <w:right w:val="none" w:sz="0" w:space="0" w:color="auto"/>
          </w:divBdr>
        </w:div>
        <w:div w:id="2058312806">
          <w:marLeft w:val="0"/>
          <w:marRight w:val="0"/>
          <w:marTop w:val="0"/>
          <w:marBottom w:val="0"/>
          <w:divBdr>
            <w:top w:val="none" w:sz="0" w:space="0" w:color="auto"/>
            <w:left w:val="none" w:sz="0" w:space="0" w:color="auto"/>
            <w:bottom w:val="none" w:sz="0" w:space="0" w:color="auto"/>
            <w:right w:val="none" w:sz="0" w:space="0" w:color="auto"/>
          </w:divBdr>
        </w:div>
        <w:div w:id="2147163887">
          <w:marLeft w:val="0"/>
          <w:marRight w:val="0"/>
          <w:marTop w:val="0"/>
          <w:marBottom w:val="0"/>
          <w:divBdr>
            <w:top w:val="none" w:sz="0" w:space="0" w:color="auto"/>
            <w:left w:val="none" w:sz="0" w:space="0" w:color="auto"/>
            <w:bottom w:val="none" w:sz="0" w:space="0" w:color="auto"/>
            <w:right w:val="none" w:sz="0" w:space="0" w:color="auto"/>
          </w:divBdr>
        </w:div>
      </w:divsChild>
    </w:div>
    <w:div w:id="968632571">
      <w:bodyDiv w:val="1"/>
      <w:marLeft w:val="0"/>
      <w:marRight w:val="0"/>
      <w:marTop w:val="0"/>
      <w:marBottom w:val="0"/>
      <w:divBdr>
        <w:top w:val="none" w:sz="0" w:space="0" w:color="auto"/>
        <w:left w:val="none" w:sz="0" w:space="0" w:color="auto"/>
        <w:bottom w:val="none" w:sz="0" w:space="0" w:color="auto"/>
        <w:right w:val="none" w:sz="0" w:space="0" w:color="auto"/>
      </w:divBdr>
    </w:div>
    <w:div w:id="983969852">
      <w:bodyDiv w:val="1"/>
      <w:marLeft w:val="0"/>
      <w:marRight w:val="0"/>
      <w:marTop w:val="0"/>
      <w:marBottom w:val="0"/>
      <w:divBdr>
        <w:top w:val="none" w:sz="0" w:space="0" w:color="auto"/>
        <w:left w:val="none" w:sz="0" w:space="0" w:color="auto"/>
        <w:bottom w:val="none" w:sz="0" w:space="0" w:color="auto"/>
        <w:right w:val="none" w:sz="0" w:space="0" w:color="auto"/>
      </w:divBdr>
    </w:div>
    <w:div w:id="987631559">
      <w:bodyDiv w:val="1"/>
      <w:marLeft w:val="0"/>
      <w:marRight w:val="0"/>
      <w:marTop w:val="0"/>
      <w:marBottom w:val="0"/>
      <w:divBdr>
        <w:top w:val="none" w:sz="0" w:space="0" w:color="auto"/>
        <w:left w:val="none" w:sz="0" w:space="0" w:color="auto"/>
        <w:bottom w:val="none" w:sz="0" w:space="0" w:color="auto"/>
        <w:right w:val="none" w:sz="0" w:space="0" w:color="auto"/>
      </w:divBdr>
    </w:div>
    <w:div w:id="996345307">
      <w:bodyDiv w:val="1"/>
      <w:marLeft w:val="0"/>
      <w:marRight w:val="0"/>
      <w:marTop w:val="0"/>
      <w:marBottom w:val="0"/>
      <w:divBdr>
        <w:top w:val="none" w:sz="0" w:space="0" w:color="auto"/>
        <w:left w:val="none" w:sz="0" w:space="0" w:color="auto"/>
        <w:bottom w:val="none" w:sz="0" w:space="0" w:color="auto"/>
        <w:right w:val="none" w:sz="0" w:space="0" w:color="auto"/>
      </w:divBdr>
    </w:div>
    <w:div w:id="1080560106">
      <w:bodyDiv w:val="1"/>
      <w:marLeft w:val="0"/>
      <w:marRight w:val="0"/>
      <w:marTop w:val="0"/>
      <w:marBottom w:val="0"/>
      <w:divBdr>
        <w:top w:val="none" w:sz="0" w:space="0" w:color="auto"/>
        <w:left w:val="none" w:sz="0" w:space="0" w:color="auto"/>
        <w:bottom w:val="none" w:sz="0" w:space="0" w:color="auto"/>
        <w:right w:val="none" w:sz="0" w:space="0" w:color="auto"/>
      </w:divBdr>
    </w:div>
    <w:div w:id="1092357915">
      <w:bodyDiv w:val="1"/>
      <w:marLeft w:val="0"/>
      <w:marRight w:val="0"/>
      <w:marTop w:val="0"/>
      <w:marBottom w:val="0"/>
      <w:divBdr>
        <w:top w:val="none" w:sz="0" w:space="0" w:color="auto"/>
        <w:left w:val="none" w:sz="0" w:space="0" w:color="auto"/>
        <w:bottom w:val="none" w:sz="0" w:space="0" w:color="auto"/>
        <w:right w:val="none" w:sz="0" w:space="0" w:color="auto"/>
      </w:divBdr>
    </w:div>
    <w:div w:id="1132333287">
      <w:bodyDiv w:val="1"/>
      <w:marLeft w:val="0"/>
      <w:marRight w:val="0"/>
      <w:marTop w:val="0"/>
      <w:marBottom w:val="0"/>
      <w:divBdr>
        <w:top w:val="none" w:sz="0" w:space="0" w:color="auto"/>
        <w:left w:val="none" w:sz="0" w:space="0" w:color="auto"/>
        <w:bottom w:val="none" w:sz="0" w:space="0" w:color="auto"/>
        <w:right w:val="none" w:sz="0" w:space="0" w:color="auto"/>
      </w:divBdr>
    </w:div>
    <w:div w:id="1164051689">
      <w:bodyDiv w:val="1"/>
      <w:marLeft w:val="0"/>
      <w:marRight w:val="0"/>
      <w:marTop w:val="0"/>
      <w:marBottom w:val="0"/>
      <w:divBdr>
        <w:top w:val="none" w:sz="0" w:space="0" w:color="auto"/>
        <w:left w:val="none" w:sz="0" w:space="0" w:color="auto"/>
        <w:bottom w:val="none" w:sz="0" w:space="0" w:color="auto"/>
        <w:right w:val="none" w:sz="0" w:space="0" w:color="auto"/>
      </w:divBdr>
    </w:div>
    <w:div w:id="1176650270">
      <w:bodyDiv w:val="1"/>
      <w:marLeft w:val="0"/>
      <w:marRight w:val="0"/>
      <w:marTop w:val="0"/>
      <w:marBottom w:val="0"/>
      <w:divBdr>
        <w:top w:val="none" w:sz="0" w:space="0" w:color="auto"/>
        <w:left w:val="none" w:sz="0" w:space="0" w:color="auto"/>
        <w:bottom w:val="none" w:sz="0" w:space="0" w:color="auto"/>
        <w:right w:val="none" w:sz="0" w:space="0" w:color="auto"/>
      </w:divBdr>
    </w:div>
    <w:div w:id="1203438106">
      <w:bodyDiv w:val="1"/>
      <w:marLeft w:val="0"/>
      <w:marRight w:val="0"/>
      <w:marTop w:val="0"/>
      <w:marBottom w:val="0"/>
      <w:divBdr>
        <w:top w:val="none" w:sz="0" w:space="0" w:color="auto"/>
        <w:left w:val="none" w:sz="0" w:space="0" w:color="auto"/>
        <w:bottom w:val="none" w:sz="0" w:space="0" w:color="auto"/>
        <w:right w:val="none" w:sz="0" w:space="0" w:color="auto"/>
      </w:divBdr>
    </w:div>
    <w:div w:id="1235580771">
      <w:bodyDiv w:val="1"/>
      <w:marLeft w:val="0"/>
      <w:marRight w:val="0"/>
      <w:marTop w:val="0"/>
      <w:marBottom w:val="0"/>
      <w:divBdr>
        <w:top w:val="none" w:sz="0" w:space="0" w:color="auto"/>
        <w:left w:val="none" w:sz="0" w:space="0" w:color="auto"/>
        <w:bottom w:val="none" w:sz="0" w:space="0" w:color="auto"/>
        <w:right w:val="none" w:sz="0" w:space="0" w:color="auto"/>
      </w:divBdr>
    </w:div>
    <w:div w:id="1240292032">
      <w:bodyDiv w:val="1"/>
      <w:marLeft w:val="0"/>
      <w:marRight w:val="0"/>
      <w:marTop w:val="0"/>
      <w:marBottom w:val="0"/>
      <w:divBdr>
        <w:top w:val="none" w:sz="0" w:space="0" w:color="auto"/>
        <w:left w:val="none" w:sz="0" w:space="0" w:color="auto"/>
        <w:bottom w:val="none" w:sz="0" w:space="0" w:color="auto"/>
        <w:right w:val="none" w:sz="0" w:space="0" w:color="auto"/>
      </w:divBdr>
    </w:div>
    <w:div w:id="1247373802">
      <w:bodyDiv w:val="1"/>
      <w:marLeft w:val="0"/>
      <w:marRight w:val="0"/>
      <w:marTop w:val="0"/>
      <w:marBottom w:val="0"/>
      <w:divBdr>
        <w:top w:val="none" w:sz="0" w:space="0" w:color="auto"/>
        <w:left w:val="none" w:sz="0" w:space="0" w:color="auto"/>
        <w:bottom w:val="none" w:sz="0" w:space="0" w:color="auto"/>
        <w:right w:val="none" w:sz="0" w:space="0" w:color="auto"/>
      </w:divBdr>
    </w:div>
    <w:div w:id="1306200326">
      <w:bodyDiv w:val="1"/>
      <w:marLeft w:val="0"/>
      <w:marRight w:val="0"/>
      <w:marTop w:val="0"/>
      <w:marBottom w:val="0"/>
      <w:divBdr>
        <w:top w:val="none" w:sz="0" w:space="0" w:color="auto"/>
        <w:left w:val="none" w:sz="0" w:space="0" w:color="auto"/>
        <w:bottom w:val="none" w:sz="0" w:space="0" w:color="auto"/>
        <w:right w:val="none" w:sz="0" w:space="0" w:color="auto"/>
      </w:divBdr>
    </w:div>
    <w:div w:id="1349601233">
      <w:bodyDiv w:val="1"/>
      <w:marLeft w:val="0"/>
      <w:marRight w:val="0"/>
      <w:marTop w:val="0"/>
      <w:marBottom w:val="0"/>
      <w:divBdr>
        <w:top w:val="none" w:sz="0" w:space="0" w:color="auto"/>
        <w:left w:val="none" w:sz="0" w:space="0" w:color="auto"/>
        <w:bottom w:val="none" w:sz="0" w:space="0" w:color="auto"/>
        <w:right w:val="none" w:sz="0" w:space="0" w:color="auto"/>
      </w:divBdr>
      <w:divsChild>
        <w:div w:id="145821276">
          <w:marLeft w:val="0"/>
          <w:marRight w:val="0"/>
          <w:marTop w:val="0"/>
          <w:marBottom w:val="0"/>
          <w:divBdr>
            <w:top w:val="none" w:sz="0" w:space="0" w:color="auto"/>
            <w:left w:val="none" w:sz="0" w:space="0" w:color="auto"/>
            <w:bottom w:val="none" w:sz="0" w:space="0" w:color="auto"/>
            <w:right w:val="none" w:sz="0" w:space="0" w:color="auto"/>
          </w:divBdr>
        </w:div>
        <w:div w:id="151801676">
          <w:marLeft w:val="0"/>
          <w:marRight w:val="0"/>
          <w:marTop w:val="0"/>
          <w:marBottom w:val="0"/>
          <w:divBdr>
            <w:top w:val="none" w:sz="0" w:space="0" w:color="auto"/>
            <w:left w:val="none" w:sz="0" w:space="0" w:color="auto"/>
            <w:bottom w:val="none" w:sz="0" w:space="0" w:color="auto"/>
            <w:right w:val="none" w:sz="0" w:space="0" w:color="auto"/>
          </w:divBdr>
        </w:div>
        <w:div w:id="371614190">
          <w:marLeft w:val="0"/>
          <w:marRight w:val="0"/>
          <w:marTop w:val="0"/>
          <w:marBottom w:val="0"/>
          <w:divBdr>
            <w:top w:val="none" w:sz="0" w:space="0" w:color="auto"/>
            <w:left w:val="none" w:sz="0" w:space="0" w:color="auto"/>
            <w:bottom w:val="none" w:sz="0" w:space="0" w:color="auto"/>
            <w:right w:val="none" w:sz="0" w:space="0" w:color="auto"/>
          </w:divBdr>
        </w:div>
        <w:div w:id="424961997">
          <w:marLeft w:val="0"/>
          <w:marRight w:val="0"/>
          <w:marTop w:val="0"/>
          <w:marBottom w:val="0"/>
          <w:divBdr>
            <w:top w:val="none" w:sz="0" w:space="0" w:color="auto"/>
            <w:left w:val="none" w:sz="0" w:space="0" w:color="auto"/>
            <w:bottom w:val="none" w:sz="0" w:space="0" w:color="auto"/>
            <w:right w:val="none" w:sz="0" w:space="0" w:color="auto"/>
          </w:divBdr>
        </w:div>
        <w:div w:id="634528186">
          <w:marLeft w:val="0"/>
          <w:marRight w:val="0"/>
          <w:marTop w:val="0"/>
          <w:marBottom w:val="0"/>
          <w:divBdr>
            <w:top w:val="none" w:sz="0" w:space="0" w:color="auto"/>
            <w:left w:val="none" w:sz="0" w:space="0" w:color="auto"/>
            <w:bottom w:val="none" w:sz="0" w:space="0" w:color="auto"/>
            <w:right w:val="none" w:sz="0" w:space="0" w:color="auto"/>
          </w:divBdr>
        </w:div>
        <w:div w:id="807894462">
          <w:marLeft w:val="0"/>
          <w:marRight w:val="0"/>
          <w:marTop w:val="0"/>
          <w:marBottom w:val="0"/>
          <w:divBdr>
            <w:top w:val="none" w:sz="0" w:space="0" w:color="auto"/>
            <w:left w:val="none" w:sz="0" w:space="0" w:color="auto"/>
            <w:bottom w:val="none" w:sz="0" w:space="0" w:color="auto"/>
            <w:right w:val="none" w:sz="0" w:space="0" w:color="auto"/>
          </w:divBdr>
        </w:div>
        <w:div w:id="1000738343">
          <w:marLeft w:val="0"/>
          <w:marRight w:val="0"/>
          <w:marTop w:val="0"/>
          <w:marBottom w:val="0"/>
          <w:divBdr>
            <w:top w:val="none" w:sz="0" w:space="0" w:color="auto"/>
            <w:left w:val="none" w:sz="0" w:space="0" w:color="auto"/>
            <w:bottom w:val="none" w:sz="0" w:space="0" w:color="auto"/>
            <w:right w:val="none" w:sz="0" w:space="0" w:color="auto"/>
          </w:divBdr>
        </w:div>
        <w:div w:id="1204052862">
          <w:marLeft w:val="0"/>
          <w:marRight w:val="0"/>
          <w:marTop w:val="0"/>
          <w:marBottom w:val="0"/>
          <w:divBdr>
            <w:top w:val="none" w:sz="0" w:space="0" w:color="auto"/>
            <w:left w:val="none" w:sz="0" w:space="0" w:color="auto"/>
            <w:bottom w:val="none" w:sz="0" w:space="0" w:color="auto"/>
            <w:right w:val="none" w:sz="0" w:space="0" w:color="auto"/>
          </w:divBdr>
        </w:div>
        <w:div w:id="1433284245">
          <w:marLeft w:val="0"/>
          <w:marRight w:val="0"/>
          <w:marTop w:val="0"/>
          <w:marBottom w:val="0"/>
          <w:divBdr>
            <w:top w:val="none" w:sz="0" w:space="0" w:color="auto"/>
            <w:left w:val="none" w:sz="0" w:space="0" w:color="auto"/>
            <w:bottom w:val="none" w:sz="0" w:space="0" w:color="auto"/>
            <w:right w:val="none" w:sz="0" w:space="0" w:color="auto"/>
          </w:divBdr>
        </w:div>
        <w:div w:id="1555655391">
          <w:marLeft w:val="0"/>
          <w:marRight w:val="0"/>
          <w:marTop w:val="0"/>
          <w:marBottom w:val="0"/>
          <w:divBdr>
            <w:top w:val="none" w:sz="0" w:space="0" w:color="auto"/>
            <w:left w:val="none" w:sz="0" w:space="0" w:color="auto"/>
            <w:bottom w:val="none" w:sz="0" w:space="0" w:color="auto"/>
            <w:right w:val="none" w:sz="0" w:space="0" w:color="auto"/>
          </w:divBdr>
        </w:div>
        <w:div w:id="1648971520">
          <w:marLeft w:val="0"/>
          <w:marRight w:val="0"/>
          <w:marTop w:val="0"/>
          <w:marBottom w:val="0"/>
          <w:divBdr>
            <w:top w:val="none" w:sz="0" w:space="0" w:color="auto"/>
            <w:left w:val="none" w:sz="0" w:space="0" w:color="auto"/>
            <w:bottom w:val="none" w:sz="0" w:space="0" w:color="auto"/>
            <w:right w:val="none" w:sz="0" w:space="0" w:color="auto"/>
          </w:divBdr>
        </w:div>
        <w:div w:id="1862812489">
          <w:marLeft w:val="0"/>
          <w:marRight w:val="0"/>
          <w:marTop w:val="0"/>
          <w:marBottom w:val="0"/>
          <w:divBdr>
            <w:top w:val="none" w:sz="0" w:space="0" w:color="auto"/>
            <w:left w:val="none" w:sz="0" w:space="0" w:color="auto"/>
            <w:bottom w:val="none" w:sz="0" w:space="0" w:color="auto"/>
            <w:right w:val="none" w:sz="0" w:space="0" w:color="auto"/>
          </w:divBdr>
        </w:div>
        <w:div w:id="1886062411">
          <w:marLeft w:val="0"/>
          <w:marRight w:val="0"/>
          <w:marTop w:val="0"/>
          <w:marBottom w:val="0"/>
          <w:divBdr>
            <w:top w:val="none" w:sz="0" w:space="0" w:color="auto"/>
            <w:left w:val="none" w:sz="0" w:space="0" w:color="auto"/>
            <w:bottom w:val="none" w:sz="0" w:space="0" w:color="auto"/>
            <w:right w:val="none" w:sz="0" w:space="0" w:color="auto"/>
          </w:divBdr>
        </w:div>
        <w:div w:id="1905262624">
          <w:marLeft w:val="0"/>
          <w:marRight w:val="0"/>
          <w:marTop w:val="0"/>
          <w:marBottom w:val="0"/>
          <w:divBdr>
            <w:top w:val="none" w:sz="0" w:space="0" w:color="auto"/>
            <w:left w:val="none" w:sz="0" w:space="0" w:color="auto"/>
            <w:bottom w:val="none" w:sz="0" w:space="0" w:color="auto"/>
            <w:right w:val="none" w:sz="0" w:space="0" w:color="auto"/>
          </w:divBdr>
        </w:div>
        <w:div w:id="2108964287">
          <w:marLeft w:val="0"/>
          <w:marRight w:val="0"/>
          <w:marTop w:val="0"/>
          <w:marBottom w:val="0"/>
          <w:divBdr>
            <w:top w:val="none" w:sz="0" w:space="0" w:color="auto"/>
            <w:left w:val="none" w:sz="0" w:space="0" w:color="auto"/>
            <w:bottom w:val="none" w:sz="0" w:space="0" w:color="auto"/>
            <w:right w:val="none" w:sz="0" w:space="0" w:color="auto"/>
          </w:divBdr>
        </w:div>
      </w:divsChild>
    </w:div>
    <w:div w:id="1350260146">
      <w:bodyDiv w:val="1"/>
      <w:marLeft w:val="0"/>
      <w:marRight w:val="0"/>
      <w:marTop w:val="0"/>
      <w:marBottom w:val="0"/>
      <w:divBdr>
        <w:top w:val="none" w:sz="0" w:space="0" w:color="auto"/>
        <w:left w:val="none" w:sz="0" w:space="0" w:color="auto"/>
        <w:bottom w:val="none" w:sz="0" w:space="0" w:color="auto"/>
        <w:right w:val="none" w:sz="0" w:space="0" w:color="auto"/>
      </w:divBdr>
    </w:div>
    <w:div w:id="1368943422">
      <w:bodyDiv w:val="1"/>
      <w:marLeft w:val="0"/>
      <w:marRight w:val="0"/>
      <w:marTop w:val="0"/>
      <w:marBottom w:val="0"/>
      <w:divBdr>
        <w:top w:val="none" w:sz="0" w:space="0" w:color="auto"/>
        <w:left w:val="none" w:sz="0" w:space="0" w:color="auto"/>
        <w:bottom w:val="none" w:sz="0" w:space="0" w:color="auto"/>
        <w:right w:val="none" w:sz="0" w:space="0" w:color="auto"/>
      </w:divBdr>
    </w:div>
    <w:div w:id="1369379218">
      <w:bodyDiv w:val="1"/>
      <w:marLeft w:val="0"/>
      <w:marRight w:val="0"/>
      <w:marTop w:val="0"/>
      <w:marBottom w:val="0"/>
      <w:divBdr>
        <w:top w:val="none" w:sz="0" w:space="0" w:color="auto"/>
        <w:left w:val="none" w:sz="0" w:space="0" w:color="auto"/>
        <w:bottom w:val="none" w:sz="0" w:space="0" w:color="auto"/>
        <w:right w:val="none" w:sz="0" w:space="0" w:color="auto"/>
      </w:divBdr>
    </w:div>
    <w:div w:id="1384671660">
      <w:bodyDiv w:val="1"/>
      <w:marLeft w:val="0"/>
      <w:marRight w:val="0"/>
      <w:marTop w:val="0"/>
      <w:marBottom w:val="0"/>
      <w:divBdr>
        <w:top w:val="none" w:sz="0" w:space="0" w:color="auto"/>
        <w:left w:val="none" w:sz="0" w:space="0" w:color="auto"/>
        <w:bottom w:val="none" w:sz="0" w:space="0" w:color="auto"/>
        <w:right w:val="none" w:sz="0" w:space="0" w:color="auto"/>
      </w:divBdr>
    </w:div>
    <w:div w:id="1414090178">
      <w:bodyDiv w:val="1"/>
      <w:marLeft w:val="0"/>
      <w:marRight w:val="0"/>
      <w:marTop w:val="0"/>
      <w:marBottom w:val="0"/>
      <w:divBdr>
        <w:top w:val="none" w:sz="0" w:space="0" w:color="auto"/>
        <w:left w:val="none" w:sz="0" w:space="0" w:color="auto"/>
        <w:bottom w:val="none" w:sz="0" w:space="0" w:color="auto"/>
        <w:right w:val="none" w:sz="0" w:space="0" w:color="auto"/>
      </w:divBdr>
    </w:div>
    <w:div w:id="1416593159">
      <w:bodyDiv w:val="1"/>
      <w:marLeft w:val="0"/>
      <w:marRight w:val="0"/>
      <w:marTop w:val="0"/>
      <w:marBottom w:val="0"/>
      <w:divBdr>
        <w:top w:val="none" w:sz="0" w:space="0" w:color="auto"/>
        <w:left w:val="none" w:sz="0" w:space="0" w:color="auto"/>
        <w:bottom w:val="none" w:sz="0" w:space="0" w:color="auto"/>
        <w:right w:val="none" w:sz="0" w:space="0" w:color="auto"/>
      </w:divBdr>
    </w:div>
    <w:div w:id="1443453133">
      <w:bodyDiv w:val="1"/>
      <w:marLeft w:val="0"/>
      <w:marRight w:val="0"/>
      <w:marTop w:val="0"/>
      <w:marBottom w:val="0"/>
      <w:divBdr>
        <w:top w:val="none" w:sz="0" w:space="0" w:color="auto"/>
        <w:left w:val="none" w:sz="0" w:space="0" w:color="auto"/>
        <w:bottom w:val="none" w:sz="0" w:space="0" w:color="auto"/>
        <w:right w:val="none" w:sz="0" w:space="0" w:color="auto"/>
      </w:divBdr>
    </w:div>
    <w:div w:id="1446461065">
      <w:bodyDiv w:val="1"/>
      <w:marLeft w:val="0"/>
      <w:marRight w:val="0"/>
      <w:marTop w:val="0"/>
      <w:marBottom w:val="0"/>
      <w:divBdr>
        <w:top w:val="none" w:sz="0" w:space="0" w:color="auto"/>
        <w:left w:val="none" w:sz="0" w:space="0" w:color="auto"/>
        <w:bottom w:val="none" w:sz="0" w:space="0" w:color="auto"/>
        <w:right w:val="none" w:sz="0" w:space="0" w:color="auto"/>
      </w:divBdr>
    </w:div>
    <w:div w:id="1451819773">
      <w:bodyDiv w:val="1"/>
      <w:marLeft w:val="0"/>
      <w:marRight w:val="0"/>
      <w:marTop w:val="0"/>
      <w:marBottom w:val="0"/>
      <w:divBdr>
        <w:top w:val="none" w:sz="0" w:space="0" w:color="auto"/>
        <w:left w:val="none" w:sz="0" w:space="0" w:color="auto"/>
        <w:bottom w:val="none" w:sz="0" w:space="0" w:color="auto"/>
        <w:right w:val="none" w:sz="0" w:space="0" w:color="auto"/>
      </w:divBdr>
    </w:div>
    <w:div w:id="1478187693">
      <w:bodyDiv w:val="1"/>
      <w:marLeft w:val="0"/>
      <w:marRight w:val="0"/>
      <w:marTop w:val="0"/>
      <w:marBottom w:val="0"/>
      <w:divBdr>
        <w:top w:val="none" w:sz="0" w:space="0" w:color="auto"/>
        <w:left w:val="none" w:sz="0" w:space="0" w:color="auto"/>
        <w:bottom w:val="none" w:sz="0" w:space="0" w:color="auto"/>
        <w:right w:val="none" w:sz="0" w:space="0" w:color="auto"/>
      </w:divBdr>
    </w:div>
    <w:div w:id="1490439317">
      <w:bodyDiv w:val="1"/>
      <w:marLeft w:val="0"/>
      <w:marRight w:val="0"/>
      <w:marTop w:val="0"/>
      <w:marBottom w:val="0"/>
      <w:divBdr>
        <w:top w:val="none" w:sz="0" w:space="0" w:color="auto"/>
        <w:left w:val="none" w:sz="0" w:space="0" w:color="auto"/>
        <w:bottom w:val="none" w:sz="0" w:space="0" w:color="auto"/>
        <w:right w:val="none" w:sz="0" w:space="0" w:color="auto"/>
      </w:divBdr>
    </w:div>
    <w:div w:id="1498571139">
      <w:bodyDiv w:val="1"/>
      <w:marLeft w:val="0"/>
      <w:marRight w:val="0"/>
      <w:marTop w:val="0"/>
      <w:marBottom w:val="0"/>
      <w:divBdr>
        <w:top w:val="none" w:sz="0" w:space="0" w:color="auto"/>
        <w:left w:val="none" w:sz="0" w:space="0" w:color="auto"/>
        <w:bottom w:val="none" w:sz="0" w:space="0" w:color="auto"/>
        <w:right w:val="none" w:sz="0" w:space="0" w:color="auto"/>
      </w:divBdr>
    </w:div>
    <w:div w:id="1499073374">
      <w:bodyDiv w:val="1"/>
      <w:marLeft w:val="0"/>
      <w:marRight w:val="0"/>
      <w:marTop w:val="0"/>
      <w:marBottom w:val="0"/>
      <w:divBdr>
        <w:top w:val="none" w:sz="0" w:space="0" w:color="auto"/>
        <w:left w:val="none" w:sz="0" w:space="0" w:color="auto"/>
        <w:bottom w:val="none" w:sz="0" w:space="0" w:color="auto"/>
        <w:right w:val="none" w:sz="0" w:space="0" w:color="auto"/>
      </w:divBdr>
    </w:div>
    <w:div w:id="1499809343">
      <w:bodyDiv w:val="1"/>
      <w:marLeft w:val="0"/>
      <w:marRight w:val="0"/>
      <w:marTop w:val="0"/>
      <w:marBottom w:val="0"/>
      <w:divBdr>
        <w:top w:val="none" w:sz="0" w:space="0" w:color="auto"/>
        <w:left w:val="none" w:sz="0" w:space="0" w:color="auto"/>
        <w:bottom w:val="none" w:sz="0" w:space="0" w:color="auto"/>
        <w:right w:val="none" w:sz="0" w:space="0" w:color="auto"/>
      </w:divBdr>
    </w:div>
    <w:div w:id="1511412549">
      <w:bodyDiv w:val="1"/>
      <w:marLeft w:val="0"/>
      <w:marRight w:val="0"/>
      <w:marTop w:val="0"/>
      <w:marBottom w:val="0"/>
      <w:divBdr>
        <w:top w:val="none" w:sz="0" w:space="0" w:color="auto"/>
        <w:left w:val="none" w:sz="0" w:space="0" w:color="auto"/>
        <w:bottom w:val="none" w:sz="0" w:space="0" w:color="auto"/>
        <w:right w:val="none" w:sz="0" w:space="0" w:color="auto"/>
      </w:divBdr>
    </w:div>
    <w:div w:id="1558518352">
      <w:bodyDiv w:val="1"/>
      <w:marLeft w:val="0"/>
      <w:marRight w:val="0"/>
      <w:marTop w:val="0"/>
      <w:marBottom w:val="0"/>
      <w:divBdr>
        <w:top w:val="none" w:sz="0" w:space="0" w:color="auto"/>
        <w:left w:val="none" w:sz="0" w:space="0" w:color="auto"/>
        <w:bottom w:val="none" w:sz="0" w:space="0" w:color="auto"/>
        <w:right w:val="none" w:sz="0" w:space="0" w:color="auto"/>
      </w:divBdr>
    </w:div>
    <w:div w:id="1558784259">
      <w:bodyDiv w:val="1"/>
      <w:marLeft w:val="0"/>
      <w:marRight w:val="0"/>
      <w:marTop w:val="0"/>
      <w:marBottom w:val="0"/>
      <w:divBdr>
        <w:top w:val="none" w:sz="0" w:space="0" w:color="auto"/>
        <w:left w:val="none" w:sz="0" w:space="0" w:color="auto"/>
        <w:bottom w:val="none" w:sz="0" w:space="0" w:color="auto"/>
        <w:right w:val="none" w:sz="0" w:space="0" w:color="auto"/>
      </w:divBdr>
    </w:div>
    <w:div w:id="1570382146">
      <w:bodyDiv w:val="1"/>
      <w:marLeft w:val="0"/>
      <w:marRight w:val="0"/>
      <w:marTop w:val="0"/>
      <w:marBottom w:val="0"/>
      <w:divBdr>
        <w:top w:val="none" w:sz="0" w:space="0" w:color="auto"/>
        <w:left w:val="none" w:sz="0" w:space="0" w:color="auto"/>
        <w:bottom w:val="none" w:sz="0" w:space="0" w:color="auto"/>
        <w:right w:val="none" w:sz="0" w:space="0" w:color="auto"/>
      </w:divBdr>
    </w:div>
    <w:div w:id="1582980110">
      <w:bodyDiv w:val="1"/>
      <w:marLeft w:val="0"/>
      <w:marRight w:val="0"/>
      <w:marTop w:val="0"/>
      <w:marBottom w:val="0"/>
      <w:divBdr>
        <w:top w:val="none" w:sz="0" w:space="0" w:color="auto"/>
        <w:left w:val="none" w:sz="0" w:space="0" w:color="auto"/>
        <w:bottom w:val="none" w:sz="0" w:space="0" w:color="auto"/>
        <w:right w:val="none" w:sz="0" w:space="0" w:color="auto"/>
      </w:divBdr>
    </w:div>
    <w:div w:id="1584988563">
      <w:bodyDiv w:val="1"/>
      <w:marLeft w:val="0"/>
      <w:marRight w:val="0"/>
      <w:marTop w:val="0"/>
      <w:marBottom w:val="0"/>
      <w:divBdr>
        <w:top w:val="none" w:sz="0" w:space="0" w:color="auto"/>
        <w:left w:val="none" w:sz="0" w:space="0" w:color="auto"/>
        <w:bottom w:val="none" w:sz="0" w:space="0" w:color="auto"/>
        <w:right w:val="none" w:sz="0" w:space="0" w:color="auto"/>
      </w:divBdr>
    </w:div>
    <w:div w:id="1585263874">
      <w:bodyDiv w:val="1"/>
      <w:marLeft w:val="0"/>
      <w:marRight w:val="0"/>
      <w:marTop w:val="0"/>
      <w:marBottom w:val="0"/>
      <w:divBdr>
        <w:top w:val="none" w:sz="0" w:space="0" w:color="auto"/>
        <w:left w:val="none" w:sz="0" w:space="0" w:color="auto"/>
        <w:bottom w:val="none" w:sz="0" w:space="0" w:color="auto"/>
        <w:right w:val="none" w:sz="0" w:space="0" w:color="auto"/>
      </w:divBdr>
    </w:div>
    <w:div w:id="1591423788">
      <w:bodyDiv w:val="1"/>
      <w:marLeft w:val="0"/>
      <w:marRight w:val="0"/>
      <w:marTop w:val="0"/>
      <w:marBottom w:val="0"/>
      <w:divBdr>
        <w:top w:val="none" w:sz="0" w:space="0" w:color="auto"/>
        <w:left w:val="none" w:sz="0" w:space="0" w:color="auto"/>
        <w:bottom w:val="none" w:sz="0" w:space="0" w:color="auto"/>
        <w:right w:val="none" w:sz="0" w:space="0" w:color="auto"/>
      </w:divBdr>
    </w:div>
    <w:div w:id="1593002409">
      <w:bodyDiv w:val="1"/>
      <w:marLeft w:val="0"/>
      <w:marRight w:val="0"/>
      <w:marTop w:val="0"/>
      <w:marBottom w:val="0"/>
      <w:divBdr>
        <w:top w:val="none" w:sz="0" w:space="0" w:color="auto"/>
        <w:left w:val="none" w:sz="0" w:space="0" w:color="auto"/>
        <w:bottom w:val="none" w:sz="0" w:space="0" w:color="auto"/>
        <w:right w:val="none" w:sz="0" w:space="0" w:color="auto"/>
      </w:divBdr>
    </w:div>
    <w:div w:id="1606308492">
      <w:bodyDiv w:val="1"/>
      <w:marLeft w:val="0"/>
      <w:marRight w:val="0"/>
      <w:marTop w:val="0"/>
      <w:marBottom w:val="0"/>
      <w:divBdr>
        <w:top w:val="none" w:sz="0" w:space="0" w:color="auto"/>
        <w:left w:val="none" w:sz="0" w:space="0" w:color="auto"/>
        <w:bottom w:val="none" w:sz="0" w:space="0" w:color="auto"/>
        <w:right w:val="none" w:sz="0" w:space="0" w:color="auto"/>
      </w:divBdr>
    </w:div>
    <w:div w:id="1608271423">
      <w:bodyDiv w:val="1"/>
      <w:marLeft w:val="0"/>
      <w:marRight w:val="0"/>
      <w:marTop w:val="0"/>
      <w:marBottom w:val="0"/>
      <w:divBdr>
        <w:top w:val="none" w:sz="0" w:space="0" w:color="auto"/>
        <w:left w:val="none" w:sz="0" w:space="0" w:color="auto"/>
        <w:bottom w:val="none" w:sz="0" w:space="0" w:color="auto"/>
        <w:right w:val="none" w:sz="0" w:space="0" w:color="auto"/>
      </w:divBdr>
    </w:div>
    <w:div w:id="1629968473">
      <w:bodyDiv w:val="1"/>
      <w:marLeft w:val="0"/>
      <w:marRight w:val="0"/>
      <w:marTop w:val="0"/>
      <w:marBottom w:val="0"/>
      <w:divBdr>
        <w:top w:val="none" w:sz="0" w:space="0" w:color="auto"/>
        <w:left w:val="none" w:sz="0" w:space="0" w:color="auto"/>
        <w:bottom w:val="none" w:sz="0" w:space="0" w:color="auto"/>
        <w:right w:val="none" w:sz="0" w:space="0" w:color="auto"/>
      </w:divBdr>
    </w:div>
    <w:div w:id="1631401814">
      <w:bodyDiv w:val="1"/>
      <w:marLeft w:val="0"/>
      <w:marRight w:val="0"/>
      <w:marTop w:val="0"/>
      <w:marBottom w:val="0"/>
      <w:divBdr>
        <w:top w:val="none" w:sz="0" w:space="0" w:color="auto"/>
        <w:left w:val="none" w:sz="0" w:space="0" w:color="auto"/>
        <w:bottom w:val="none" w:sz="0" w:space="0" w:color="auto"/>
        <w:right w:val="none" w:sz="0" w:space="0" w:color="auto"/>
      </w:divBdr>
    </w:div>
    <w:div w:id="1644235332">
      <w:bodyDiv w:val="1"/>
      <w:marLeft w:val="0"/>
      <w:marRight w:val="0"/>
      <w:marTop w:val="0"/>
      <w:marBottom w:val="0"/>
      <w:divBdr>
        <w:top w:val="none" w:sz="0" w:space="0" w:color="auto"/>
        <w:left w:val="none" w:sz="0" w:space="0" w:color="auto"/>
        <w:bottom w:val="none" w:sz="0" w:space="0" w:color="auto"/>
        <w:right w:val="none" w:sz="0" w:space="0" w:color="auto"/>
      </w:divBdr>
    </w:div>
    <w:div w:id="1651709130">
      <w:bodyDiv w:val="1"/>
      <w:marLeft w:val="0"/>
      <w:marRight w:val="0"/>
      <w:marTop w:val="0"/>
      <w:marBottom w:val="0"/>
      <w:divBdr>
        <w:top w:val="none" w:sz="0" w:space="0" w:color="auto"/>
        <w:left w:val="none" w:sz="0" w:space="0" w:color="auto"/>
        <w:bottom w:val="none" w:sz="0" w:space="0" w:color="auto"/>
        <w:right w:val="none" w:sz="0" w:space="0" w:color="auto"/>
      </w:divBdr>
    </w:div>
    <w:div w:id="1672223875">
      <w:bodyDiv w:val="1"/>
      <w:marLeft w:val="0"/>
      <w:marRight w:val="0"/>
      <w:marTop w:val="0"/>
      <w:marBottom w:val="0"/>
      <w:divBdr>
        <w:top w:val="none" w:sz="0" w:space="0" w:color="auto"/>
        <w:left w:val="none" w:sz="0" w:space="0" w:color="auto"/>
        <w:bottom w:val="none" w:sz="0" w:space="0" w:color="auto"/>
        <w:right w:val="none" w:sz="0" w:space="0" w:color="auto"/>
      </w:divBdr>
    </w:div>
    <w:div w:id="1676108240">
      <w:bodyDiv w:val="1"/>
      <w:marLeft w:val="0"/>
      <w:marRight w:val="0"/>
      <w:marTop w:val="0"/>
      <w:marBottom w:val="0"/>
      <w:divBdr>
        <w:top w:val="none" w:sz="0" w:space="0" w:color="auto"/>
        <w:left w:val="none" w:sz="0" w:space="0" w:color="auto"/>
        <w:bottom w:val="none" w:sz="0" w:space="0" w:color="auto"/>
        <w:right w:val="none" w:sz="0" w:space="0" w:color="auto"/>
      </w:divBdr>
    </w:div>
    <w:div w:id="1683817591">
      <w:bodyDiv w:val="1"/>
      <w:marLeft w:val="0"/>
      <w:marRight w:val="0"/>
      <w:marTop w:val="0"/>
      <w:marBottom w:val="0"/>
      <w:divBdr>
        <w:top w:val="none" w:sz="0" w:space="0" w:color="auto"/>
        <w:left w:val="none" w:sz="0" w:space="0" w:color="auto"/>
        <w:bottom w:val="none" w:sz="0" w:space="0" w:color="auto"/>
        <w:right w:val="none" w:sz="0" w:space="0" w:color="auto"/>
      </w:divBdr>
    </w:div>
    <w:div w:id="1690915056">
      <w:bodyDiv w:val="1"/>
      <w:marLeft w:val="0"/>
      <w:marRight w:val="0"/>
      <w:marTop w:val="0"/>
      <w:marBottom w:val="0"/>
      <w:divBdr>
        <w:top w:val="none" w:sz="0" w:space="0" w:color="auto"/>
        <w:left w:val="none" w:sz="0" w:space="0" w:color="auto"/>
        <w:bottom w:val="none" w:sz="0" w:space="0" w:color="auto"/>
        <w:right w:val="none" w:sz="0" w:space="0" w:color="auto"/>
      </w:divBdr>
    </w:div>
    <w:div w:id="1711999662">
      <w:bodyDiv w:val="1"/>
      <w:marLeft w:val="0"/>
      <w:marRight w:val="0"/>
      <w:marTop w:val="0"/>
      <w:marBottom w:val="0"/>
      <w:divBdr>
        <w:top w:val="none" w:sz="0" w:space="0" w:color="auto"/>
        <w:left w:val="none" w:sz="0" w:space="0" w:color="auto"/>
        <w:bottom w:val="none" w:sz="0" w:space="0" w:color="auto"/>
        <w:right w:val="none" w:sz="0" w:space="0" w:color="auto"/>
      </w:divBdr>
    </w:div>
    <w:div w:id="1722558004">
      <w:bodyDiv w:val="1"/>
      <w:marLeft w:val="0"/>
      <w:marRight w:val="0"/>
      <w:marTop w:val="0"/>
      <w:marBottom w:val="0"/>
      <w:divBdr>
        <w:top w:val="none" w:sz="0" w:space="0" w:color="auto"/>
        <w:left w:val="none" w:sz="0" w:space="0" w:color="auto"/>
        <w:bottom w:val="none" w:sz="0" w:space="0" w:color="auto"/>
        <w:right w:val="none" w:sz="0" w:space="0" w:color="auto"/>
      </w:divBdr>
    </w:div>
    <w:div w:id="1730418107">
      <w:bodyDiv w:val="1"/>
      <w:marLeft w:val="0"/>
      <w:marRight w:val="0"/>
      <w:marTop w:val="0"/>
      <w:marBottom w:val="0"/>
      <w:divBdr>
        <w:top w:val="none" w:sz="0" w:space="0" w:color="auto"/>
        <w:left w:val="none" w:sz="0" w:space="0" w:color="auto"/>
        <w:bottom w:val="none" w:sz="0" w:space="0" w:color="auto"/>
        <w:right w:val="none" w:sz="0" w:space="0" w:color="auto"/>
      </w:divBdr>
    </w:div>
    <w:div w:id="1730424368">
      <w:bodyDiv w:val="1"/>
      <w:marLeft w:val="0"/>
      <w:marRight w:val="0"/>
      <w:marTop w:val="0"/>
      <w:marBottom w:val="0"/>
      <w:divBdr>
        <w:top w:val="none" w:sz="0" w:space="0" w:color="auto"/>
        <w:left w:val="none" w:sz="0" w:space="0" w:color="auto"/>
        <w:bottom w:val="none" w:sz="0" w:space="0" w:color="auto"/>
        <w:right w:val="none" w:sz="0" w:space="0" w:color="auto"/>
      </w:divBdr>
    </w:div>
    <w:div w:id="1747871721">
      <w:bodyDiv w:val="1"/>
      <w:marLeft w:val="0"/>
      <w:marRight w:val="0"/>
      <w:marTop w:val="0"/>
      <w:marBottom w:val="0"/>
      <w:divBdr>
        <w:top w:val="none" w:sz="0" w:space="0" w:color="auto"/>
        <w:left w:val="none" w:sz="0" w:space="0" w:color="auto"/>
        <w:bottom w:val="none" w:sz="0" w:space="0" w:color="auto"/>
        <w:right w:val="none" w:sz="0" w:space="0" w:color="auto"/>
      </w:divBdr>
    </w:div>
    <w:div w:id="1754279247">
      <w:bodyDiv w:val="1"/>
      <w:marLeft w:val="0"/>
      <w:marRight w:val="0"/>
      <w:marTop w:val="0"/>
      <w:marBottom w:val="0"/>
      <w:divBdr>
        <w:top w:val="none" w:sz="0" w:space="0" w:color="auto"/>
        <w:left w:val="none" w:sz="0" w:space="0" w:color="auto"/>
        <w:bottom w:val="none" w:sz="0" w:space="0" w:color="auto"/>
        <w:right w:val="none" w:sz="0" w:space="0" w:color="auto"/>
      </w:divBdr>
    </w:div>
    <w:div w:id="1760368997">
      <w:bodyDiv w:val="1"/>
      <w:marLeft w:val="0"/>
      <w:marRight w:val="0"/>
      <w:marTop w:val="0"/>
      <w:marBottom w:val="0"/>
      <w:divBdr>
        <w:top w:val="none" w:sz="0" w:space="0" w:color="auto"/>
        <w:left w:val="none" w:sz="0" w:space="0" w:color="auto"/>
        <w:bottom w:val="none" w:sz="0" w:space="0" w:color="auto"/>
        <w:right w:val="none" w:sz="0" w:space="0" w:color="auto"/>
      </w:divBdr>
    </w:div>
    <w:div w:id="1768848151">
      <w:bodyDiv w:val="1"/>
      <w:marLeft w:val="0"/>
      <w:marRight w:val="0"/>
      <w:marTop w:val="0"/>
      <w:marBottom w:val="0"/>
      <w:divBdr>
        <w:top w:val="none" w:sz="0" w:space="0" w:color="auto"/>
        <w:left w:val="none" w:sz="0" w:space="0" w:color="auto"/>
        <w:bottom w:val="none" w:sz="0" w:space="0" w:color="auto"/>
        <w:right w:val="none" w:sz="0" w:space="0" w:color="auto"/>
      </w:divBdr>
    </w:div>
    <w:div w:id="1776711520">
      <w:bodyDiv w:val="1"/>
      <w:marLeft w:val="0"/>
      <w:marRight w:val="0"/>
      <w:marTop w:val="0"/>
      <w:marBottom w:val="0"/>
      <w:divBdr>
        <w:top w:val="none" w:sz="0" w:space="0" w:color="auto"/>
        <w:left w:val="none" w:sz="0" w:space="0" w:color="auto"/>
        <w:bottom w:val="none" w:sz="0" w:space="0" w:color="auto"/>
        <w:right w:val="none" w:sz="0" w:space="0" w:color="auto"/>
      </w:divBdr>
    </w:div>
    <w:div w:id="1786344193">
      <w:bodyDiv w:val="1"/>
      <w:marLeft w:val="0"/>
      <w:marRight w:val="0"/>
      <w:marTop w:val="0"/>
      <w:marBottom w:val="0"/>
      <w:divBdr>
        <w:top w:val="none" w:sz="0" w:space="0" w:color="auto"/>
        <w:left w:val="none" w:sz="0" w:space="0" w:color="auto"/>
        <w:bottom w:val="none" w:sz="0" w:space="0" w:color="auto"/>
        <w:right w:val="none" w:sz="0" w:space="0" w:color="auto"/>
      </w:divBdr>
    </w:div>
    <w:div w:id="1817725393">
      <w:bodyDiv w:val="1"/>
      <w:marLeft w:val="0"/>
      <w:marRight w:val="0"/>
      <w:marTop w:val="0"/>
      <w:marBottom w:val="0"/>
      <w:divBdr>
        <w:top w:val="none" w:sz="0" w:space="0" w:color="auto"/>
        <w:left w:val="none" w:sz="0" w:space="0" w:color="auto"/>
        <w:bottom w:val="none" w:sz="0" w:space="0" w:color="auto"/>
        <w:right w:val="none" w:sz="0" w:space="0" w:color="auto"/>
      </w:divBdr>
    </w:div>
    <w:div w:id="1901936593">
      <w:bodyDiv w:val="1"/>
      <w:marLeft w:val="0"/>
      <w:marRight w:val="0"/>
      <w:marTop w:val="0"/>
      <w:marBottom w:val="0"/>
      <w:divBdr>
        <w:top w:val="none" w:sz="0" w:space="0" w:color="auto"/>
        <w:left w:val="none" w:sz="0" w:space="0" w:color="auto"/>
        <w:bottom w:val="none" w:sz="0" w:space="0" w:color="auto"/>
        <w:right w:val="none" w:sz="0" w:space="0" w:color="auto"/>
      </w:divBdr>
    </w:div>
    <w:div w:id="1916933273">
      <w:bodyDiv w:val="1"/>
      <w:marLeft w:val="0"/>
      <w:marRight w:val="0"/>
      <w:marTop w:val="0"/>
      <w:marBottom w:val="0"/>
      <w:divBdr>
        <w:top w:val="none" w:sz="0" w:space="0" w:color="auto"/>
        <w:left w:val="none" w:sz="0" w:space="0" w:color="auto"/>
        <w:bottom w:val="none" w:sz="0" w:space="0" w:color="auto"/>
        <w:right w:val="none" w:sz="0" w:space="0" w:color="auto"/>
      </w:divBdr>
    </w:div>
    <w:div w:id="1922593401">
      <w:bodyDiv w:val="1"/>
      <w:marLeft w:val="0"/>
      <w:marRight w:val="0"/>
      <w:marTop w:val="0"/>
      <w:marBottom w:val="0"/>
      <w:divBdr>
        <w:top w:val="none" w:sz="0" w:space="0" w:color="auto"/>
        <w:left w:val="none" w:sz="0" w:space="0" w:color="auto"/>
        <w:bottom w:val="none" w:sz="0" w:space="0" w:color="auto"/>
        <w:right w:val="none" w:sz="0" w:space="0" w:color="auto"/>
      </w:divBdr>
    </w:div>
    <w:div w:id="1925723187">
      <w:bodyDiv w:val="1"/>
      <w:marLeft w:val="0"/>
      <w:marRight w:val="0"/>
      <w:marTop w:val="0"/>
      <w:marBottom w:val="0"/>
      <w:divBdr>
        <w:top w:val="none" w:sz="0" w:space="0" w:color="auto"/>
        <w:left w:val="none" w:sz="0" w:space="0" w:color="auto"/>
        <w:bottom w:val="none" w:sz="0" w:space="0" w:color="auto"/>
        <w:right w:val="none" w:sz="0" w:space="0" w:color="auto"/>
      </w:divBdr>
    </w:div>
    <w:div w:id="1926499276">
      <w:bodyDiv w:val="1"/>
      <w:marLeft w:val="0"/>
      <w:marRight w:val="0"/>
      <w:marTop w:val="0"/>
      <w:marBottom w:val="0"/>
      <w:divBdr>
        <w:top w:val="none" w:sz="0" w:space="0" w:color="auto"/>
        <w:left w:val="none" w:sz="0" w:space="0" w:color="auto"/>
        <w:bottom w:val="none" w:sz="0" w:space="0" w:color="auto"/>
        <w:right w:val="none" w:sz="0" w:space="0" w:color="auto"/>
      </w:divBdr>
    </w:div>
    <w:div w:id="1936982554">
      <w:bodyDiv w:val="1"/>
      <w:marLeft w:val="0"/>
      <w:marRight w:val="0"/>
      <w:marTop w:val="0"/>
      <w:marBottom w:val="0"/>
      <w:divBdr>
        <w:top w:val="none" w:sz="0" w:space="0" w:color="auto"/>
        <w:left w:val="none" w:sz="0" w:space="0" w:color="auto"/>
        <w:bottom w:val="none" w:sz="0" w:space="0" w:color="auto"/>
        <w:right w:val="none" w:sz="0" w:space="0" w:color="auto"/>
      </w:divBdr>
    </w:div>
    <w:div w:id="1979718805">
      <w:bodyDiv w:val="1"/>
      <w:marLeft w:val="0"/>
      <w:marRight w:val="0"/>
      <w:marTop w:val="0"/>
      <w:marBottom w:val="0"/>
      <w:divBdr>
        <w:top w:val="none" w:sz="0" w:space="0" w:color="auto"/>
        <w:left w:val="none" w:sz="0" w:space="0" w:color="auto"/>
        <w:bottom w:val="none" w:sz="0" w:space="0" w:color="auto"/>
        <w:right w:val="none" w:sz="0" w:space="0" w:color="auto"/>
      </w:divBdr>
    </w:div>
    <w:div w:id="1982419108">
      <w:bodyDiv w:val="1"/>
      <w:marLeft w:val="0"/>
      <w:marRight w:val="0"/>
      <w:marTop w:val="0"/>
      <w:marBottom w:val="0"/>
      <w:divBdr>
        <w:top w:val="none" w:sz="0" w:space="0" w:color="auto"/>
        <w:left w:val="none" w:sz="0" w:space="0" w:color="auto"/>
        <w:bottom w:val="none" w:sz="0" w:space="0" w:color="auto"/>
        <w:right w:val="none" w:sz="0" w:space="0" w:color="auto"/>
      </w:divBdr>
    </w:div>
    <w:div w:id="1986201839">
      <w:bodyDiv w:val="1"/>
      <w:marLeft w:val="0"/>
      <w:marRight w:val="0"/>
      <w:marTop w:val="0"/>
      <w:marBottom w:val="0"/>
      <w:divBdr>
        <w:top w:val="none" w:sz="0" w:space="0" w:color="auto"/>
        <w:left w:val="none" w:sz="0" w:space="0" w:color="auto"/>
        <w:bottom w:val="none" w:sz="0" w:space="0" w:color="auto"/>
        <w:right w:val="none" w:sz="0" w:space="0" w:color="auto"/>
      </w:divBdr>
    </w:div>
    <w:div w:id="1995909149">
      <w:bodyDiv w:val="1"/>
      <w:marLeft w:val="0"/>
      <w:marRight w:val="0"/>
      <w:marTop w:val="0"/>
      <w:marBottom w:val="0"/>
      <w:divBdr>
        <w:top w:val="none" w:sz="0" w:space="0" w:color="auto"/>
        <w:left w:val="none" w:sz="0" w:space="0" w:color="auto"/>
        <w:bottom w:val="none" w:sz="0" w:space="0" w:color="auto"/>
        <w:right w:val="none" w:sz="0" w:space="0" w:color="auto"/>
      </w:divBdr>
    </w:div>
    <w:div w:id="2017345473">
      <w:bodyDiv w:val="1"/>
      <w:marLeft w:val="0"/>
      <w:marRight w:val="0"/>
      <w:marTop w:val="0"/>
      <w:marBottom w:val="0"/>
      <w:divBdr>
        <w:top w:val="none" w:sz="0" w:space="0" w:color="auto"/>
        <w:left w:val="none" w:sz="0" w:space="0" w:color="auto"/>
        <w:bottom w:val="none" w:sz="0" w:space="0" w:color="auto"/>
        <w:right w:val="none" w:sz="0" w:space="0" w:color="auto"/>
      </w:divBdr>
    </w:div>
    <w:div w:id="2029479361">
      <w:bodyDiv w:val="1"/>
      <w:marLeft w:val="0"/>
      <w:marRight w:val="0"/>
      <w:marTop w:val="0"/>
      <w:marBottom w:val="0"/>
      <w:divBdr>
        <w:top w:val="none" w:sz="0" w:space="0" w:color="auto"/>
        <w:left w:val="none" w:sz="0" w:space="0" w:color="auto"/>
        <w:bottom w:val="none" w:sz="0" w:space="0" w:color="auto"/>
        <w:right w:val="none" w:sz="0" w:space="0" w:color="auto"/>
      </w:divBdr>
    </w:div>
    <w:div w:id="2043551995">
      <w:bodyDiv w:val="1"/>
      <w:marLeft w:val="0"/>
      <w:marRight w:val="0"/>
      <w:marTop w:val="0"/>
      <w:marBottom w:val="0"/>
      <w:divBdr>
        <w:top w:val="none" w:sz="0" w:space="0" w:color="auto"/>
        <w:left w:val="none" w:sz="0" w:space="0" w:color="auto"/>
        <w:bottom w:val="none" w:sz="0" w:space="0" w:color="auto"/>
        <w:right w:val="none" w:sz="0" w:space="0" w:color="auto"/>
      </w:divBdr>
    </w:div>
    <w:div w:id="2050884035">
      <w:bodyDiv w:val="1"/>
      <w:marLeft w:val="0"/>
      <w:marRight w:val="0"/>
      <w:marTop w:val="0"/>
      <w:marBottom w:val="0"/>
      <w:divBdr>
        <w:top w:val="none" w:sz="0" w:space="0" w:color="auto"/>
        <w:left w:val="none" w:sz="0" w:space="0" w:color="auto"/>
        <w:bottom w:val="none" w:sz="0" w:space="0" w:color="auto"/>
        <w:right w:val="none" w:sz="0" w:space="0" w:color="auto"/>
      </w:divBdr>
    </w:div>
    <w:div w:id="2068071307">
      <w:bodyDiv w:val="1"/>
      <w:marLeft w:val="0"/>
      <w:marRight w:val="0"/>
      <w:marTop w:val="0"/>
      <w:marBottom w:val="0"/>
      <w:divBdr>
        <w:top w:val="none" w:sz="0" w:space="0" w:color="auto"/>
        <w:left w:val="none" w:sz="0" w:space="0" w:color="auto"/>
        <w:bottom w:val="none" w:sz="0" w:space="0" w:color="auto"/>
        <w:right w:val="none" w:sz="0" w:space="0" w:color="auto"/>
      </w:divBdr>
    </w:div>
    <w:div w:id="2077195435">
      <w:bodyDiv w:val="1"/>
      <w:marLeft w:val="0"/>
      <w:marRight w:val="0"/>
      <w:marTop w:val="0"/>
      <w:marBottom w:val="0"/>
      <w:divBdr>
        <w:top w:val="none" w:sz="0" w:space="0" w:color="auto"/>
        <w:left w:val="none" w:sz="0" w:space="0" w:color="auto"/>
        <w:bottom w:val="none" w:sz="0" w:space="0" w:color="auto"/>
        <w:right w:val="none" w:sz="0" w:space="0" w:color="auto"/>
      </w:divBdr>
    </w:div>
    <w:div w:id="2083479244">
      <w:bodyDiv w:val="1"/>
      <w:marLeft w:val="0"/>
      <w:marRight w:val="0"/>
      <w:marTop w:val="0"/>
      <w:marBottom w:val="0"/>
      <w:divBdr>
        <w:top w:val="none" w:sz="0" w:space="0" w:color="auto"/>
        <w:left w:val="none" w:sz="0" w:space="0" w:color="auto"/>
        <w:bottom w:val="none" w:sz="0" w:space="0" w:color="auto"/>
        <w:right w:val="none" w:sz="0" w:space="0" w:color="auto"/>
      </w:divBdr>
    </w:div>
    <w:div w:id="2101027803">
      <w:bodyDiv w:val="1"/>
      <w:marLeft w:val="0"/>
      <w:marRight w:val="0"/>
      <w:marTop w:val="0"/>
      <w:marBottom w:val="0"/>
      <w:divBdr>
        <w:top w:val="none" w:sz="0" w:space="0" w:color="auto"/>
        <w:left w:val="none" w:sz="0" w:space="0" w:color="auto"/>
        <w:bottom w:val="none" w:sz="0" w:space="0" w:color="auto"/>
        <w:right w:val="none" w:sz="0" w:space="0" w:color="auto"/>
      </w:divBdr>
    </w:div>
    <w:div w:id="2103530413">
      <w:bodyDiv w:val="1"/>
      <w:marLeft w:val="0"/>
      <w:marRight w:val="0"/>
      <w:marTop w:val="0"/>
      <w:marBottom w:val="0"/>
      <w:divBdr>
        <w:top w:val="none" w:sz="0" w:space="0" w:color="auto"/>
        <w:left w:val="none" w:sz="0" w:space="0" w:color="auto"/>
        <w:bottom w:val="none" w:sz="0" w:space="0" w:color="auto"/>
        <w:right w:val="none" w:sz="0" w:space="0" w:color="auto"/>
      </w:divBdr>
    </w:div>
    <w:div w:id="2116172224">
      <w:bodyDiv w:val="1"/>
      <w:marLeft w:val="0"/>
      <w:marRight w:val="0"/>
      <w:marTop w:val="0"/>
      <w:marBottom w:val="0"/>
      <w:divBdr>
        <w:top w:val="none" w:sz="0" w:space="0" w:color="auto"/>
        <w:left w:val="none" w:sz="0" w:space="0" w:color="auto"/>
        <w:bottom w:val="none" w:sz="0" w:space="0" w:color="auto"/>
        <w:right w:val="none" w:sz="0" w:space="0" w:color="auto"/>
      </w:divBdr>
    </w:div>
    <w:div w:id="2138595901">
      <w:bodyDiv w:val="1"/>
      <w:marLeft w:val="0"/>
      <w:marRight w:val="0"/>
      <w:marTop w:val="0"/>
      <w:marBottom w:val="0"/>
      <w:divBdr>
        <w:top w:val="none" w:sz="0" w:space="0" w:color="auto"/>
        <w:left w:val="none" w:sz="0" w:space="0" w:color="auto"/>
        <w:bottom w:val="none" w:sz="0" w:space="0" w:color="auto"/>
        <w:right w:val="none" w:sz="0" w:space="0" w:color="auto"/>
      </w:divBdr>
    </w:div>
    <w:div w:id="2141417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onografias.com/trabajos11/basda/basda.shtml" TargetMode="External"/><Relationship Id="rId117" Type="http://schemas.openxmlformats.org/officeDocument/2006/relationships/header" Target="header3.xml"/><Relationship Id="rId21" Type="http://schemas.openxmlformats.org/officeDocument/2006/relationships/image" Target="media/image13.png"/><Relationship Id="rId42" Type="http://schemas.openxmlformats.org/officeDocument/2006/relationships/image" Target="media/image22.png"/><Relationship Id="rId47" Type="http://schemas.openxmlformats.org/officeDocument/2006/relationships/image" Target="media/image27.png"/><Relationship Id="rId63" Type="http://schemas.openxmlformats.org/officeDocument/2006/relationships/image" Target="media/image43.jpeg"/><Relationship Id="rId68" Type="http://schemas.openxmlformats.org/officeDocument/2006/relationships/image" Target="media/image48.jpeg"/><Relationship Id="rId84" Type="http://schemas.openxmlformats.org/officeDocument/2006/relationships/image" Target="media/image64.jpeg"/><Relationship Id="rId89" Type="http://schemas.openxmlformats.org/officeDocument/2006/relationships/image" Target="media/image69.png"/><Relationship Id="rId112" Type="http://schemas.openxmlformats.org/officeDocument/2006/relationships/image" Target="media/image84.jpeg"/><Relationship Id="rId16" Type="http://schemas.openxmlformats.org/officeDocument/2006/relationships/image" Target="media/image8.png"/><Relationship Id="rId107" Type="http://schemas.openxmlformats.org/officeDocument/2006/relationships/hyperlink" Target="http://www.barep.gov.co" TargetMode="External"/><Relationship Id="rId11" Type="http://schemas.openxmlformats.org/officeDocument/2006/relationships/image" Target="media/image3.png"/><Relationship Id="rId32" Type="http://schemas.openxmlformats.org/officeDocument/2006/relationships/hyperlink" Target="http://www.monografias.com/trabajos4/acciones/acciones.shtml" TargetMode="External"/><Relationship Id="rId37" Type="http://schemas.openxmlformats.org/officeDocument/2006/relationships/image" Target="media/image17.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image" Target="media/image59.png"/><Relationship Id="rId102" Type="http://schemas.openxmlformats.org/officeDocument/2006/relationships/image" Target="media/image80.png"/><Relationship Id="rId5" Type="http://schemas.openxmlformats.org/officeDocument/2006/relationships/webSettings" Target="webSettings.xml"/><Relationship Id="rId90" Type="http://schemas.openxmlformats.org/officeDocument/2006/relationships/image" Target="media/image70.jpeg"/><Relationship Id="rId95" Type="http://schemas.openxmlformats.org/officeDocument/2006/relationships/image" Target="media/image75.png"/><Relationship Id="rId22" Type="http://schemas.openxmlformats.org/officeDocument/2006/relationships/image" Target="media/image14.png"/><Relationship Id="rId27" Type="http://schemas.openxmlformats.org/officeDocument/2006/relationships/hyperlink" Target="http://www.monografias.com/trabajos15/direccion/direccion.shtml" TargetMode="External"/><Relationship Id="rId43" Type="http://schemas.openxmlformats.org/officeDocument/2006/relationships/image" Target="media/image23.png"/><Relationship Id="rId48" Type="http://schemas.openxmlformats.org/officeDocument/2006/relationships/image" Target="media/image28.png"/><Relationship Id="rId64" Type="http://schemas.openxmlformats.org/officeDocument/2006/relationships/image" Target="media/image44.png"/><Relationship Id="rId69" Type="http://schemas.openxmlformats.org/officeDocument/2006/relationships/image" Target="media/image49.png"/><Relationship Id="rId113" Type="http://schemas.openxmlformats.org/officeDocument/2006/relationships/header" Target="header1.xml"/><Relationship Id="rId118" Type="http://schemas.openxmlformats.org/officeDocument/2006/relationships/footer" Target="footer3.xml"/><Relationship Id="rId80" Type="http://schemas.openxmlformats.org/officeDocument/2006/relationships/image" Target="media/image60.png"/><Relationship Id="rId85" Type="http://schemas.openxmlformats.org/officeDocument/2006/relationships/image" Target="media/image65.jpe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16.jpeg"/><Relationship Id="rId38" Type="http://schemas.openxmlformats.org/officeDocument/2006/relationships/image" Target="media/image18.png"/><Relationship Id="rId59" Type="http://schemas.openxmlformats.org/officeDocument/2006/relationships/image" Target="media/image39.png"/><Relationship Id="rId103" Type="http://schemas.openxmlformats.org/officeDocument/2006/relationships/image" Target="media/image81.png"/><Relationship Id="rId108" Type="http://schemas.openxmlformats.org/officeDocument/2006/relationships/hyperlink" Target="http://www.sfc.gov.co" TargetMode="External"/><Relationship Id="rId54" Type="http://schemas.openxmlformats.org/officeDocument/2006/relationships/image" Target="media/image34.jpeg"/><Relationship Id="rId70" Type="http://schemas.openxmlformats.org/officeDocument/2006/relationships/image" Target="media/image50.png"/><Relationship Id="rId75" Type="http://schemas.openxmlformats.org/officeDocument/2006/relationships/image" Target="media/image55.png"/><Relationship Id="rId91" Type="http://schemas.openxmlformats.org/officeDocument/2006/relationships/image" Target="media/image71.jpeg"/><Relationship Id="rId96"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hyperlink" Target="http://www.monografias.com/trabajos54/interes-compuesto/interes-compuesto.shtml" TargetMode="External"/><Relationship Id="rId49" Type="http://schemas.openxmlformats.org/officeDocument/2006/relationships/image" Target="media/image29.png"/><Relationship Id="rId114" Type="http://schemas.openxmlformats.org/officeDocument/2006/relationships/header" Target="header2.xml"/><Relationship Id="rId119"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www.monografias.com/trabajos33/responsabilidad/responsabilidad.shtml" TargetMode="External"/><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image" Target="media/image66.png"/><Relationship Id="rId94" Type="http://schemas.openxmlformats.org/officeDocument/2006/relationships/image" Target="media/image74.png"/><Relationship Id="rId99" Type="http://schemas.openxmlformats.org/officeDocument/2006/relationships/image" Target="media/image78.emf"/><Relationship Id="rId101" Type="http://schemas.openxmlformats.org/officeDocument/2006/relationships/hyperlink" Target="https://www.fasecolda.com/informacion-financiera/"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19.png"/><Relationship Id="rId109" Type="http://schemas.openxmlformats.org/officeDocument/2006/relationships/hyperlink" Target="http://www.cce.gov.co" TargetMode="External"/><Relationship Id="rId34" Type="http://schemas.openxmlformats.org/officeDocument/2006/relationships/hyperlink" Target="https://www.superfinanciera.gov.co/publicaciones/61137/informes-y-cifrascifrasindustria-aseguradora-61137/" TargetMode="External"/><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image" Target="media/image56.png"/><Relationship Id="rId97" Type="http://schemas.openxmlformats.org/officeDocument/2006/relationships/image" Target="media/image77.png"/><Relationship Id="rId104" Type="http://schemas.openxmlformats.org/officeDocument/2006/relationships/image" Target="media/image82.png"/><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1.png"/><Relationship Id="rId92" Type="http://schemas.openxmlformats.org/officeDocument/2006/relationships/image" Target="media/image72.png"/><Relationship Id="rId2" Type="http://schemas.openxmlformats.org/officeDocument/2006/relationships/numbering" Target="numbering.xml"/><Relationship Id="rId29" Type="http://schemas.openxmlformats.org/officeDocument/2006/relationships/hyperlink" Target="http://www.monografias.com/trabajos10/lamateri/lamateri.shtml" TargetMode="External"/><Relationship Id="rId24" Type="http://schemas.openxmlformats.org/officeDocument/2006/relationships/hyperlink" Target="http://www.monografias.com/trabajos6/etic/etic.shtml" TargetMode="External"/><Relationship Id="rId40" Type="http://schemas.openxmlformats.org/officeDocument/2006/relationships/image" Target="media/image20.png"/><Relationship Id="rId45" Type="http://schemas.openxmlformats.org/officeDocument/2006/relationships/image" Target="media/image25.png"/><Relationship Id="rId66" Type="http://schemas.openxmlformats.org/officeDocument/2006/relationships/image" Target="media/image46.png"/><Relationship Id="rId87" Type="http://schemas.openxmlformats.org/officeDocument/2006/relationships/image" Target="media/image67.png"/><Relationship Id="rId110" Type="http://schemas.openxmlformats.org/officeDocument/2006/relationships/hyperlink" Target="http://www.secop.gov.co" TargetMode="External"/><Relationship Id="rId115" Type="http://schemas.openxmlformats.org/officeDocument/2006/relationships/footer" Target="footer1.xml"/><Relationship Id="rId61" Type="http://schemas.openxmlformats.org/officeDocument/2006/relationships/image" Target="media/image41.png"/><Relationship Id="rId82" Type="http://schemas.openxmlformats.org/officeDocument/2006/relationships/image" Target="media/image62.jpe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www.monografias.com/trabajos5/fami/fami.shtml" TargetMode="External"/><Relationship Id="rId35" Type="http://schemas.openxmlformats.org/officeDocument/2006/relationships/hyperlink" Target="https://www.fasecolda.com/fasecolda/estadisticas-del-sector/controles-de-ley/" TargetMode="External"/><Relationship Id="rId56" Type="http://schemas.openxmlformats.org/officeDocument/2006/relationships/image" Target="media/image36.png"/><Relationship Id="rId77" Type="http://schemas.openxmlformats.org/officeDocument/2006/relationships/image" Target="media/image57.jpeg"/><Relationship Id="rId100" Type="http://schemas.openxmlformats.org/officeDocument/2006/relationships/image" Target="media/image79.emf"/><Relationship Id="rId105" Type="http://schemas.openxmlformats.org/officeDocument/2006/relationships/image" Target="media/image83.png"/><Relationship Id="rId8" Type="http://schemas.openxmlformats.org/officeDocument/2006/relationships/hyperlink" Target="https://www.colombiacompra.gov.co/archivos/manual/guia-para-la-codificacion-de-bienes-y-servicios-de-acuerdo-con-el-codigo-estandar-de-productos-y-servicios-de-naciones-unidas" TargetMode="External"/><Relationship Id="rId51" Type="http://schemas.openxmlformats.org/officeDocument/2006/relationships/image" Target="media/image31.png"/><Relationship Id="rId72" Type="http://schemas.openxmlformats.org/officeDocument/2006/relationships/image" Target="media/image52.png"/><Relationship Id="rId93" Type="http://schemas.openxmlformats.org/officeDocument/2006/relationships/image" Target="media/image73.png"/><Relationship Id="rId98" Type="http://schemas.openxmlformats.org/officeDocument/2006/relationships/hyperlink" Target="https://www.colombiacompra.gov.co/content/herramienta-de-visualizacion-para-el-analisis-de-la-demanda-y-de-la-oferta" TargetMode="External"/><Relationship Id="rId3" Type="http://schemas.openxmlformats.org/officeDocument/2006/relationships/styles" Target="styles.xml"/><Relationship Id="rId25" Type="http://schemas.openxmlformats.org/officeDocument/2006/relationships/hyperlink" Target="http://www.monografias.com/trabajos7/regi/regi.shtml" TargetMode="External"/><Relationship Id="rId46" Type="http://schemas.openxmlformats.org/officeDocument/2006/relationships/image" Target="media/image26.png"/><Relationship Id="rId67" Type="http://schemas.openxmlformats.org/officeDocument/2006/relationships/image" Target="media/image47.jpeg"/><Relationship Id="rId11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21.png"/><Relationship Id="rId62" Type="http://schemas.openxmlformats.org/officeDocument/2006/relationships/image" Target="media/image42.png"/><Relationship Id="rId83" Type="http://schemas.openxmlformats.org/officeDocument/2006/relationships/image" Target="media/image63.png"/><Relationship Id="rId88" Type="http://schemas.openxmlformats.org/officeDocument/2006/relationships/image" Target="media/image68.jpeg"/><Relationship Id="rId111" Type="http://schemas.openxmlformats.org/officeDocument/2006/relationships/hyperlink" Target="http://www.fasecolda.com" TargetMode="External"/><Relationship Id="rId15" Type="http://schemas.openxmlformats.org/officeDocument/2006/relationships/image" Target="media/image7.png"/><Relationship Id="rId36" Type="http://schemas.openxmlformats.org/officeDocument/2006/relationships/hyperlink" Target="https://www.fasecolda.com/fasecolda/estadisticas-del-sector/controles-de-ley/" TargetMode="External"/><Relationship Id="rId57" Type="http://schemas.openxmlformats.org/officeDocument/2006/relationships/image" Target="media/image37.png"/><Relationship Id="rId106" Type="http://schemas.openxmlformats.org/officeDocument/2006/relationships/hyperlink" Target="http://www.dane.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adr.gov.c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uperfinanciera.gov.co/publicaciones/10114907/lista-de-entidades/" TargetMode="External"/><Relationship Id="rId3" Type="http://schemas.openxmlformats.org/officeDocument/2006/relationships/hyperlink" Target="https://publicaciones.fasecolda.com/regimen-de-seguros/chapter/p3-c5/" TargetMode="External"/><Relationship Id="rId7" Type="http://schemas.openxmlformats.org/officeDocument/2006/relationships/hyperlink" Target="https://www.dane.gov.co/index.php/estadisticas-por-tema/mercado-laboral/empleo-y-desempleo" TargetMode="External"/><Relationship Id="rId2" Type="http://schemas.openxmlformats.org/officeDocument/2006/relationships/hyperlink" Target="https://www.colombiacompra.gov.co/clasificador-de-bienes-y-servicios" TargetMode="External"/><Relationship Id="rId1" Type="http://schemas.openxmlformats.org/officeDocument/2006/relationships/hyperlink" Target="https://enciclopedia.banrepcultural.org/index.php/Sectores_econ%C3%B3micos" TargetMode="External"/><Relationship Id="rId6" Type="http://schemas.openxmlformats.org/officeDocument/2006/relationships/hyperlink" Target="https://www.dane.gov.co/index.php/estadisticas-por-tema/cuentas-nacionales/cuentas-nacionales-trimestrales/pib-informacion-tecnica" TargetMode="External"/><Relationship Id="rId5" Type="http://schemas.openxmlformats.org/officeDocument/2006/relationships/hyperlink" Target="https://www.fasecolda.com/visualizador-inteligente-de-cifras/" TargetMode="External"/><Relationship Id="rId4" Type="http://schemas.openxmlformats.org/officeDocument/2006/relationships/hyperlink" Target="https://fasecolda.com/fasecolda/estadisticas-del-sector/definicion-de-los-indicadores-del-sector/" TargetMode="External"/><Relationship Id="rId9" Type="http://schemas.openxmlformats.org/officeDocument/2006/relationships/hyperlink" Target="https://doi.org/10.11144/Javeriana.ris54.dsr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A955E-CD4B-46DA-81E8-F6C78851D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126</Pages>
  <Words>42327</Words>
  <Characters>232803</Characters>
  <Application>Microsoft Office Word</Application>
  <DocSecurity>0</DocSecurity>
  <Lines>1940</Lines>
  <Paragraphs>549</Paragraphs>
  <ScaleCrop>false</ScaleCrop>
  <HeadingPairs>
    <vt:vector size="2" baseType="variant">
      <vt:variant>
        <vt:lpstr>Título</vt:lpstr>
      </vt:variant>
      <vt:variant>
        <vt:i4>1</vt:i4>
      </vt:variant>
    </vt:vector>
  </HeadingPairs>
  <TitlesOfParts>
    <vt:vector size="1" baseType="lpstr">
      <vt:lpstr>FECHA</vt:lpstr>
    </vt:vector>
  </TitlesOfParts>
  <Company/>
  <LinksUpToDate>false</LinksUpToDate>
  <CharactersWithSpaces>274581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dc:title>
  <dc:subject/>
  <dc:creator>Sandra Milena Jiménez Castaño</dc:creator>
  <cp:keywords/>
  <dc:description/>
  <cp:lastModifiedBy>Cesar Mauricio Martínez Delgado</cp:lastModifiedBy>
  <cp:revision>14</cp:revision>
  <cp:lastPrinted>2025-06-19T23:40:00Z</cp:lastPrinted>
  <dcterms:created xsi:type="dcterms:W3CDTF">2026-10-02T19:28:00Z</dcterms:created>
  <dcterms:modified xsi:type="dcterms:W3CDTF">2026-10-19T16:21:00Z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2020-12-14T00:00:00Z</vt:filetime>
  </property>
  <property fmtid="{D5CDD505-2E9C-101B-9397-08002B2CF9AE}" pid="3" name="Creator">
    <vt:lpwstr>Microsoft® Word 2010</vt:lpwstr>
  </property>
  <property fmtid="{D5CDD505-2E9C-101B-9397-08002B2CF9AE}" pid="4" name="LastSaved">
    <vt:filetime>2021-02-04T00:00:00Z</vt:filetime>
  </property>
</Properties>
</file>