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18DC75" w14:textId="1E099FBF" w:rsidR="00D72554" w:rsidRPr="00993777" w:rsidRDefault="00D72554" w:rsidP="273F25F1">
      <w:pPr>
        <w:spacing w:after="0" w:line="240" w:lineRule="auto"/>
        <w:jc w:val="both"/>
        <w:rPr>
          <w:rFonts w:ascii="Verdana" w:eastAsia="Arial" w:hAnsi="Verdana" w:cs="Arial"/>
          <w:lang w:val="es-419"/>
        </w:rPr>
      </w:pPr>
    </w:p>
    <w:p w14:paraId="4977A4F0" w14:textId="3C2828D6" w:rsidR="00D72554" w:rsidRPr="00993777" w:rsidRDefault="00D72554" w:rsidP="07FA77B4">
      <w:pPr>
        <w:spacing w:after="0" w:line="240" w:lineRule="auto"/>
        <w:jc w:val="both"/>
        <w:rPr>
          <w:rFonts w:ascii="Verdana" w:eastAsia="Arial" w:hAnsi="Verdana" w:cs="Arial"/>
          <w:lang w:val="es-419"/>
        </w:rPr>
      </w:pPr>
      <w:r>
        <w:rPr>
          <w:rFonts w:ascii="Verdana" w:eastAsia="Arial" w:hAnsi="Verdana" w:cs="Arial"/>
          <w:lang w:val="es-419"/>
        </w:rPr>
        <w:t xml:space="preserve">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del sector social.</w:t>
      </w:r>
    </w:p>
    <w:p w14:paraId="0DFF78BC" w14:textId="77777777" w:rsidR="00D72554" w:rsidRPr="00993777" w:rsidRDefault="00D72554" w:rsidP="00D72554">
      <w:pPr>
        <w:spacing w:after="0" w:line="240" w:lineRule="auto"/>
        <w:jc w:val="both"/>
        <w:rPr>
          <w:rFonts w:ascii="Verdana" w:eastAsia="Arial" w:hAnsi="Verdana" w:cs="Arial"/>
          <w:szCs w:val="24"/>
          <w:lang w:val="es-419"/>
        </w:rPr>
      </w:pPr>
    </w:p>
    <w:p w14:paraId="2A81ABE0" w14:textId="77777777" w:rsidR="00A76A0A" w:rsidRPr="00993777" w:rsidRDefault="00A76A0A" w:rsidP="00A76A0A">
      <w:pPr>
        <w:spacing w:after="0" w:line="240" w:lineRule="auto"/>
        <w:jc w:val="both"/>
        <w:rPr>
          <w:rFonts w:ascii="Verdana" w:eastAsia="Arial" w:hAnsi="Verdana" w:cs="Arial"/>
          <w:szCs w:val="24"/>
          <w:lang w:val="es-419"/>
        </w:rPr>
      </w:pPr>
      <w:r>
        <w:rPr>
          <w:rFonts w:ascii="Verdana" w:eastAsia="Arial" w:hAnsi="Verdana" w:cs="Arial"/>
          <w:szCs w:val="24"/>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993777" w:rsidRDefault="00A76A0A" w:rsidP="00A76A0A">
      <w:pPr>
        <w:spacing w:after="0" w:line="240" w:lineRule="auto"/>
        <w:jc w:val="both"/>
        <w:rPr>
          <w:rFonts w:ascii="Verdana" w:eastAsia="Arial" w:hAnsi="Verdana" w:cs="Arial"/>
          <w:bCs/>
          <w:szCs w:val="28"/>
          <w:lang w:val="es-419"/>
        </w:rPr>
      </w:pPr>
    </w:p>
    <w:p w14:paraId="0D13667A" w14:textId="37AE4B05" w:rsidR="00A76A0A" w:rsidRPr="00993777" w:rsidRDefault="00A76A0A" w:rsidP="00A76A0A">
      <w:pPr>
        <w:numPr>
          <w:ilvl w:val="0"/>
          <w:numId w:val="1"/>
        </w:numPr>
        <w:tabs>
          <w:tab w:val="left" w:pos="1134"/>
        </w:tabs>
        <w:spacing w:after="0" w:line="240" w:lineRule="auto"/>
        <w:contextualSpacing/>
        <w:jc w:val="both"/>
        <w:rPr>
          <w:rFonts w:ascii="Verdana" w:eastAsia="Arial" w:hAnsi="Verdana" w:cs="Arial"/>
          <w:i/>
          <w:color w:val="000000"/>
          <w:lang w:val="es-CO"/>
        </w:rPr>
      </w:pPr>
      <w:r>
        <w:rPr>
          <w:rFonts w:ascii="Verdana" w:eastAsia="Arial" w:hAnsi="Verdana" w:cs="Arial"/>
          <w:iCs/>
          <w:color w:val="000000"/>
          <w:lang w:val="es-CO"/>
        </w:rPr>
        <w:t xml:space="preserve">Identificar dentro del Presupuesto </w:t>
      </w:r>
      <w:r>
        <w:rPr>
          <w:rFonts w:ascii="Verdana" w:eastAsia="Arial" w:hAnsi="Verdana" w:cs="Arial"/>
          <w:color w:val="000000"/>
          <w:lang w:val="es-CO"/>
        </w:rPr>
        <w:t>O</w:t>
      </w:r>
      <w:r>
        <w:rPr>
          <w:rFonts w:ascii="Verdana" w:eastAsia="Arial" w:hAnsi="Verdana" w:cs="Arial"/>
          <w:iCs/>
          <w:color w:val="000000"/>
          <w:lang w:val="es-CO"/>
        </w:rPr>
        <w:t>ficial los bienes o insumos requeridos para la ejecución del proyecto.</w:t>
      </w:r>
    </w:p>
    <w:p w14:paraId="4E8CD06A" w14:textId="77777777" w:rsidR="00AD46BF" w:rsidRPr="00993777" w:rsidRDefault="00AD46BF" w:rsidP="00AD46BF">
      <w:pPr>
        <w:pStyle w:val="Prrafodelista"/>
        <w:tabs>
          <w:tab w:val="left" w:pos="1134"/>
        </w:tabs>
        <w:spacing w:after="160"/>
        <w:ind w:left="502"/>
        <w:rPr>
          <w:rFonts w:ascii="Verdana" w:hAnsi="Verdana" w:cs="Arial"/>
          <w:i/>
          <w:color w:val="000000"/>
          <w:sz w:val="22"/>
          <w:lang w:val="es-CO"/>
        </w:rPr>
      </w:pPr>
    </w:p>
    <w:p w14:paraId="57A97583" w14:textId="1EA22C5E"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Pr>
          <w:rFonts w:ascii="Verdana" w:hAnsi="Verdana" w:cs="Arial"/>
          <w:color w:val="000000"/>
          <w:sz w:val="22"/>
          <w:szCs w:val="24"/>
          <w:lang w:val="es-CO"/>
        </w:rPr>
        <w:t xml:space="preserve">Calcular el </w:t>
      </w:r>
      <w:r>
        <w:rPr>
          <w:rFonts w:ascii="Verdana" w:hAnsi="Verdana" w:cs="Arial"/>
          <w:b/>
          <w:i/>
          <w:color w:val="000000"/>
          <w:sz w:val="22"/>
          <w:szCs w:val="24"/>
          <w:lang w:val="es-CO"/>
        </w:rPr>
        <w:t xml:space="preserve">valor parcial </w:t>
      </w:r>
      <w:r>
        <w:rPr>
          <w:rFonts w:ascii="Verdana" w:hAnsi="Verdana" w:cs="Arial"/>
          <w:color w:val="000000"/>
          <w:sz w:val="22"/>
          <w:szCs w:val="24"/>
          <w:lang w:val="es-CO"/>
        </w:rPr>
        <w:t>de los bienes o insumos identificados, para lo cual se deberá multiplicar el valor unitario de cada uno por la cantidad requerida.</w:t>
      </w:r>
    </w:p>
    <w:p w14:paraId="1B0E195B" w14:textId="77777777" w:rsidR="00AD46BF" w:rsidRPr="00993777" w:rsidRDefault="00AD46BF" w:rsidP="00AD46BF">
      <w:pPr>
        <w:pStyle w:val="Prrafodelista"/>
        <w:rPr>
          <w:rFonts w:ascii="Verdana" w:hAnsi="Verdana" w:cs="Arial"/>
          <w:i/>
          <w:color w:val="000000"/>
          <w:sz w:val="22"/>
          <w:lang w:val="es-CO"/>
        </w:rPr>
      </w:pPr>
    </w:p>
    <w:p w14:paraId="06EF67B8" w14:textId="77777777"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Pr>
          <w:rFonts w:ascii="Verdana" w:hAnsi="Verdana" w:cs="Arial"/>
          <w:color w:val="000000"/>
          <w:sz w:val="22"/>
          <w:szCs w:val="24"/>
          <w:lang w:val="es-CO"/>
        </w:rPr>
        <w:t>Calcular el</w:t>
      </w:r>
      <w:r>
        <w:rPr>
          <w:rFonts w:ascii="Verdana" w:hAnsi="Verdana" w:cs="Arial"/>
          <w:b/>
          <w:i/>
          <w:color w:val="000000"/>
          <w:sz w:val="22"/>
          <w:szCs w:val="24"/>
          <w:lang w:val="es-CO"/>
        </w:rPr>
        <w:t xml:space="preserve"> valor total</w:t>
      </w:r>
      <w:r>
        <w:rPr>
          <w:rFonts w:ascii="Verdana" w:hAnsi="Verdana" w:cs="Arial"/>
          <w:bCs/>
          <w:iCs/>
          <w:color w:val="000000"/>
          <w:sz w:val="22"/>
          <w:szCs w:val="24"/>
          <w:lang w:val="es-CO"/>
        </w:rPr>
        <w:t xml:space="preserve"> </w:t>
      </w:r>
      <w:r>
        <w:rPr>
          <w:rFonts w:ascii="Verdana" w:hAnsi="Verdana" w:cs="Arial"/>
          <w:color w:val="000000"/>
          <w:sz w:val="22"/>
          <w:szCs w:val="24"/>
          <w:lang w:val="es-CO"/>
        </w:rPr>
        <w:t>realizando la sumatoria</w:t>
      </w:r>
      <w:r>
        <w:rPr>
          <w:rFonts w:ascii="Verdana" w:hAnsi="Verdana" w:cs="Arial"/>
          <w:b/>
          <w:i/>
          <w:color w:val="000000"/>
          <w:sz w:val="22"/>
          <w:szCs w:val="24"/>
          <w:lang w:val="es-CO"/>
        </w:rPr>
        <w:t xml:space="preserve"> </w:t>
      </w:r>
      <w:r>
        <w:rPr>
          <w:rFonts w:ascii="Verdana" w:hAnsi="Verdana" w:cs="Arial"/>
          <w:color w:val="000000"/>
          <w:sz w:val="22"/>
          <w:szCs w:val="24"/>
          <w:lang w:val="es-CO"/>
        </w:rPr>
        <w:t xml:space="preserve">de los </w:t>
      </w:r>
      <w:r>
        <w:rPr>
          <w:rFonts w:ascii="Verdana" w:hAnsi="Verdana" w:cs="Arial"/>
          <w:b/>
          <w:i/>
          <w:color w:val="000000"/>
          <w:sz w:val="22"/>
          <w:szCs w:val="24"/>
          <w:lang w:val="es-CO"/>
        </w:rPr>
        <w:t>valores parciales</w:t>
      </w:r>
      <w:r>
        <w:rPr>
          <w:rFonts w:ascii="Verdana" w:hAnsi="Verdana" w:cs="Arial"/>
          <w:color w:val="000000"/>
          <w:sz w:val="22"/>
          <w:szCs w:val="24"/>
          <w:lang w:val="es-CO"/>
        </w:rPr>
        <w:t xml:space="preserve"> de los bienes o insumos requeridos en el proyecto.</w:t>
      </w:r>
    </w:p>
    <w:p w14:paraId="296A9F0A" w14:textId="77777777" w:rsidR="00AD46BF" w:rsidRPr="00993777" w:rsidRDefault="00AD46BF" w:rsidP="00AD46BF">
      <w:pPr>
        <w:pStyle w:val="Prrafodelista"/>
        <w:rPr>
          <w:rFonts w:ascii="Verdana" w:hAnsi="Verdana" w:cs="Arial"/>
          <w:i/>
          <w:color w:val="000000"/>
          <w:sz w:val="22"/>
          <w:lang w:val="es-CO"/>
        </w:rPr>
      </w:pPr>
    </w:p>
    <w:p w14:paraId="7A640803" w14:textId="77777777"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Pr>
          <w:rFonts w:ascii="Verdana" w:hAnsi="Verdana" w:cs="Arial"/>
          <w:color w:val="000000"/>
          <w:sz w:val="22"/>
          <w:szCs w:val="24"/>
          <w:lang w:val="es-CO"/>
        </w:rPr>
        <w:t xml:space="preserve">Determinar el </w:t>
      </w:r>
      <w:r>
        <w:rPr>
          <w:rFonts w:ascii="Verdana" w:hAnsi="Verdana" w:cs="Arial"/>
          <w:b/>
          <w:i/>
          <w:color w:val="000000"/>
          <w:sz w:val="22"/>
          <w:szCs w:val="24"/>
          <w:lang w:val="es-CO"/>
        </w:rPr>
        <w:t>porcentaje de participación</w:t>
      </w:r>
      <w:r>
        <w:rPr>
          <w:rFonts w:ascii="Verdana" w:hAnsi="Verdana" w:cs="Arial"/>
          <w:i/>
          <w:color w:val="000000"/>
          <w:sz w:val="22"/>
          <w:szCs w:val="24"/>
          <w:lang w:val="es-CO"/>
        </w:rPr>
        <w:t xml:space="preserve"> </w:t>
      </w:r>
      <w:r>
        <w:rPr>
          <w:rFonts w:ascii="Verdana" w:hAnsi="Verdana" w:cs="Arial"/>
          <w:color w:val="000000"/>
          <w:sz w:val="22"/>
          <w:szCs w:val="24"/>
          <w:lang w:val="es-CO"/>
        </w:rPr>
        <w:t xml:space="preserve">de cada bien o insumo usando su </w:t>
      </w:r>
      <w:r>
        <w:rPr>
          <w:rFonts w:ascii="Verdana" w:hAnsi="Verdana" w:cs="Arial"/>
          <w:b/>
          <w:i/>
          <w:color w:val="000000"/>
          <w:sz w:val="22"/>
          <w:szCs w:val="24"/>
          <w:lang w:val="es-CO"/>
        </w:rPr>
        <w:t>valor parcial</w:t>
      </w:r>
      <w:r>
        <w:rPr>
          <w:rFonts w:ascii="Verdana" w:hAnsi="Verdana" w:cs="Arial"/>
          <w:color w:val="000000"/>
          <w:sz w:val="22"/>
          <w:szCs w:val="24"/>
          <w:lang w:val="es-CO"/>
        </w:rPr>
        <w:t xml:space="preserve"> divido por el </w:t>
      </w:r>
      <w:r>
        <w:rPr>
          <w:rFonts w:ascii="Verdana" w:hAnsi="Verdana" w:cs="Arial"/>
          <w:b/>
          <w:i/>
          <w:color w:val="000000"/>
          <w:sz w:val="22"/>
          <w:szCs w:val="24"/>
          <w:lang w:val="es-CO"/>
        </w:rPr>
        <w:t>valor total</w:t>
      </w:r>
      <w:r>
        <w:rPr>
          <w:rFonts w:ascii="Verdana" w:hAnsi="Verdana" w:cs="Arial"/>
          <w:color w:val="000000"/>
          <w:sz w:val="22"/>
          <w:szCs w:val="24"/>
          <w:lang w:val="es-CO"/>
        </w:rPr>
        <w:t>, cociente que deberá ser multiplicado por cien (100). Para esto se aplicará la siguiente fórmula:</w:t>
      </w:r>
    </w:p>
    <w:p w14:paraId="6A9462EF" w14:textId="77777777" w:rsidR="00AD46BF" w:rsidRPr="00993777" w:rsidRDefault="00AD46BF" w:rsidP="00AD46BF">
      <w:pPr>
        <w:pStyle w:val="Prrafodelista"/>
        <w:tabs>
          <w:tab w:val="left" w:pos="1134"/>
        </w:tabs>
        <w:ind w:left="502"/>
        <w:rPr>
          <w:rFonts w:ascii="Verdana" w:hAnsi="Verdana" w:cs="Arial"/>
          <w:i/>
          <w:color w:val="000000"/>
          <w:sz w:val="24"/>
          <w:szCs w:val="24"/>
          <w:lang w:val="es-CO"/>
        </w:rPr>
      </w:pPr>
    </w:p>
    <w:p w14:paraId="5C1A07E2" w14:textId="2E99C5FD" w:rsidR="00974AC8" w:rsidRDefault="00862F10" w:rsidP="00867B18">
      <w:pPr>
        <w:tabs>
          <w:tab w:val="left" w:pos="1134"/>
        </w:tabs>
        <w:spacing w:after="0" w:line="240" w:lineRule="auto"/>
        <w:ind w:left="502"/>
        <w:contextualSpacing/>
        <w:jc w:val="center"/>
        <w:rPr>
          <w:rFonts w:ascii="Verdana" w:eastAsia="Arial" w:hAnsi="Verdana" w:cs="Arial"/>
          <w:i/>
          <w:color w:val="000000"/>
          <w:lang w:val="es-CO"/>
        </w:rPr>
      </w:pPr>
      <w:r>
        <w:rPr>
          <w:rFonts w:ascii="Verdana" w:hAnsi="Verdana"/>
          <w:noProof/>
          <w:sz w:val="24"/>
          <w:szCs w:val="24"/>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1BFE6F57" w14:textId="77777777" w:rsidR="00867B18" w:rsidRPr="00867B18" w:rsidRDefault="00867B18" w:rsidP="00867B18">
      <w:pPr>
        <w:tabs>
          <w:tab w:val="left" w:pos="1134"/>
        </w:tabs>
        <w:spacing w:after="0" w:line="240" w:lineRule="auto"/>
        <w:ind w:left="502"/>
        <w:contextualSpacing/>
        <w:jc w:val="center"/>
        <w:rPr>
          <w:rFonts w:ascii="Verdana" w:eastAsia="Arial" w:hAnsi="Verdana" w:cs="Arial"/>
          <w:i/>
          <w:color w:val="000000"/>
          <w:lang w:val="es-CO"/>
        </w:rPr>
      </w:pPr>
    </w:p>
    <w:p w14:paraId="40392333" w14:textId="77777777" w:rsidR="00152E47" w:rsidRPr="00993777" w:rsidRDefault="00152E47" w:rsidP="00152E47">
      <w:pPr>
        <w:numPr>
          <w:ilvl w:val="0"/>
          <w:numId w:val="1"/>
        </w:numPr>
        <w:tabs>
          <w:tab w:val="left" w:pos="1134"/>
        </w:tabs>
        <w:spacing w:after="0" w:line="240" w:lineRule="auto"/>
        <w:contextualSpacing/>
        <w:jc w:val="both"/>
        <w:rPr>
          <w:rFonts w:ascii="Verdana" w:eastAsia="Arial" w:hAnsi="Verdana" w:cs="Arial"/>
          <w:iCs/>
          <w:color w:val="000000"/>
          <w:lang w:val="es-CO"/>
        </w:rPr>
      </w:pPr>
      <w:r>
        <w:rPr>
          <w:rFonts w:ascii="Verdana" w:eastAsia="Arial" w:hAnsi="Verdana" w:cs="Arial"/>
          <w:color w:val="000000"/>
          <w:szCs w:val="24"/>
          <w:lang w:val="es-CO"/>
        </w:rPr>
        <w:t>Determinar el</w:t>
      </w:r>
      <w:r>
        <w:rPr>
          <w:rFonts w:ascii="Verdana" w:eastAsia="Arial" w:hAnsi="Verdana" w:cs="Arial"/>
          <w:b/>
          <w:i/>
          <w:color w:val="000000"/>
          <w:szCs w:val="24"/>
          <w:lang w:val="es-CO"/>
        </w:rPr>
        <w:t xml:space="preserve"> porcentaje acumulado </w:t>
      </w:r>
      <w:r>
        <w:rPr>
          <w:rFonts w:ascii="Verdana" w:eastAsia="Arial" w:hAnsi="Verdana" w:cs="Arial"/>
          <w:bCs/>
          <w:iCs/>
          <w:color w:val="000000"/>
          <w:szCs w:val="24"/>
          <w:lang w:val="es-CO"/>
        </w:rPr>
        <w:t>entendido como la sumatoria de los porcentajes de participación definidos en el numeral anterior. P</w:t>
      </w:r>
      <w:r>
        <w:rPr>
          <w:rFonts w:ascii="Verdana" w:eastAsia="Arial" w:hAnsi="Verdana" w:cs="Arial"/>
          <w:color w:val="000000"/>
          <w:szCs w:val="24"/>
          <w:lang w:val="es-CO"/>
        </w:rPr>
        <w:t xml:space="preserve">ara lo cual, se sugiere, organizar los bienes en una tabla, en orden descendente según su </w:t>
      </w:r>
      <w:r>
        <w:rPr>
          <w:rFonts w:ascii="Verdana" w:eastAsia="Arial" w:hAnsi="Verdana" w:cs="Arial"/>
          <w:b/>
          <w:i/>
          <w:color w:val="000000"/>
          <w:szCs w:val="24"/>
          <w:lang w:val="es-CO"/>
        </w:rPr>
        <w:t>porcentaje de participación,</w:t>
      </w:r>
      <w:r>
        <w:rPr>
          <w:rFonts w:ascii="Verdana" w:eastAsia="Arial" w:hAnsi="Verdana" w:cs="Arial"/>
          <w:color w:val="000000"/>
          <w:szCs w:val="24"/>
          <w:lang w:val="es-CO"/>
        </w:rPr>
        <w:t xml:space="preserve"> disponiendo una fila por cada bien, una columna para el nombre o descripción del bien, otra para el </w:t>
      </w:r>
      <w:r>
        <w:rPr>
          <w:rFonts w:ascii="Verdana" w:eastAsia="Arial" w:hAnsi="Verdana" w:cs="Arial"/>
          <w:b/>
          <w:i/>
          <w:color w:val="000000"/>
          <w:szCs w:val="24"/>
          <w:lang w:val="es-CO"/>
        </w:rPr>
        <w:t>porcentaje de participación</w:t>
      </w:r>
      <w:r>
        <w:rPr>
          <w:rFonts w:ascii="Verdana" w:eastAsia="Arial" w:hAnsi="Verdana" w:cs="Arial"/>
          <w:b/>
          <w:color w:val="000000"/>
          <w:szCs w:val="24"/>
          <w:lang w:val="es-CO"/>
        </w:rPr>
        <w:t xml:space="preserve"> </w:t>
      </w:r>
      <w:r>
        <w:rPr>
          <w:rFonts w:ascii="Verdana" w:eastAsia="Arial" w:hAnsi="Verdana" w:cs="Arial"/>
          <w:color w:val="000000"/>
          <w:szCs w:val="24"/>
          <w:lang w:val="es-CO"/>
        </w:rPr>
        <w:t xml:space="preserve">y otra en la que se consignará el </w:t>
      </w:r>
      <w:r>
        <w:rPr>
          <w:rFonts w:ascii="Verdana" w:eastAsia="Arial" w:hAnsi="Verdana" w:cs="Arial"/>
          <w:b/>
          <w:i/>
          <w:color w:val="000000"/>
          <w:szCs w:val="24"/>
          <w:lang w:val="es-CO"/>
        </w:rPr>
        <w:t>porcentaje acumulado.</w:t>
      </w:r>
      <w:r>
        <w:rPr>
          <w:rFonts w:ascii="Verdana" w:eastAsia="Arial" w:hAnsi="Verdana" w:cs="Arial"/>
          <w:b/>
          <w:color w:val="000000"/>
          <w:szCs w:val="24"/>
          <w:lang w:val="es-CO"/>
        </w:rPr>
        <w:t xml:space="preserve"> </w:t>
      </w:r>
    </w:p>
    <w:p w14:paraId="369AB5CF" w14:textId="77777777" w:rsidR="00152E47" w:rsidRPr="00993777" w:rsidRDefault="00152E47" w:rsidP="00152E47">
      <w:pPr>
        <w:tabs>
          <w:tab w:val="left" w:pos="1134"/>
        </w:tabs>
        <w:spacing w:after="0" w:line="240" w:lineRule="auto"/>
        <w:ind w:left="502"/>
        <w:contextualSpacing/>
        <w:jc w:val="both"/>
        <w:rPr>
          <w:rFonts w:ascii="Verdana" w:eastAsia="Arial" w:hAnsi="Verdana" w:cs="Arial"/>
          <w:iCs/>
          <w:color w:val="000000"/>
          <w:lang w:val="es-CO"/>
        </w:rPr>
      </w:pPr>
    </w:p>
    <w:p w14:paraId="03DCD0B8" w14:textId="581186C9" w:rsidR="00152E47" w:rsidRPr="00993777" w:rsidRDefault="00152E47" w:rsidP="00152E47">
      <w:pPr>
        <w:tabs>
          <w:tab w:val="left" w:pos="1134"/>
        </w:tabs>
        <w:spacing w:after="0" w:line="240" w:lineRule="auto"/>
        <w:ind w:left="502"/>
        <w:contextualSpacing/>
        <w:jc w:val="both"/>
        <w:rPr>
          <w:rFonts w:ascii="Verdana" w:eastAsia="Arial" w:hAnsi="Verdana" w:cs="Arial"/>
          <w:color w:val="000000"/>
          <w:szCs w:val="24"/>
          <w:lang w:val="es-CO"/>
        </w:rPr>
      </w:pPr>
      <w:r>
        <w:rPr>
          <w:rFonts w:ascii="Verdana" w:eastAsia="Arial" w:hAnsi="Verdana" w:cs="Arial"/>
          <w:color w:val="000000"/>
          <w:szCs w:val="24"/>
          <w:lang w:val="es-CO"/>
        </w:rPr>
        <w:t xml:space="preserve">Al bien o insumo que tiene la mayor participación, es decir, el que ocupa el primer lugar en el listado, le corresponderá como </w:t>
      </w:r>
      <w:r>
        <w:rPr>
          <w:rFonts w:ascii="Verdana" w:eastAsia="Arial" w:hAnsi="Verdana" w:cs="Arial"/>
          <w:b/>
          <w:i/>
          <w:color w:val="000000"/>
          <w:szCs w:val="24"/>
          <w:lang w:val="es-CO"/>
        </w:rPr>
        <w:t>porcentaje acumulado</w:t>
      </w:r>
      <w:r>
        <w:rPr>
          <w:rFonts w:ascii="Verdana" w:eastAsia="Arial" w:hAnsi="Verdana" w:cs="Arial"/>
          <w:color w:val="000000"/>
          <w:szCs w:val="24"/>
          <w:lang w:val="es-CO"/>
        </w:rPr>
        <w:t xml:space="preserve"> el valor asignado como </w:t>
      </w:r>
      <w:r>
        <w:rPr>
          <w:rFonts w:ascii="Verdana" w:eastAsia="Arial" w:hAnsi="Verdana" w:cs="Arial"/>
          <w:b/>
          <w:i/>
          <w:color w:val="000000"/>
          <w:szCs w:val="24"/>
          <w:lang w:val="es-CO"/>
        </w:rPr>
        <w:t>porcentaje de participación</w:t>
      </w:r>
      <w:r>
        <w:rPr>
          <w:rFonts w:ascii="Verdana" w:eastAsia="Arial" w:hAnsi="Verdana" w:cs="Arial"/>
          <w:color w:val="000000"/>
          <w:szCs w:val="24"/>
          <w:lang w:val="es-CO"/>
        </w:rPr>
        <w:t xml:space="preserve">. Para el segundo bien el </w:t>
      </w:r>
      <w:r>
        <w:rPr>
          <w:rFonts w:ascii="Verdana" w:eastAsia="Arial" w:hAnsi="Verdana" w:cs="Arial"/>
          <w:b/>
          <w:bCs/>
          <w:i/>
          <w:iCs/>
          <w:color w:val="000000"/>
          <w:szCs w:val="24"/>
          <w:lang w:val="es-CO"/>
        </w:rPr>
        <w:t xml:space="preserve">porcentaje acumulado </w:t>
      </w:r>
      <w:r>
        <w:rPr>
          <w:rFonts w:ascii="Verdana" w:eastAsia="Arial" w:hAnsi="Verdana" w:cs="Arial"/>
          <w:color w:val="000000"/>
          <w:szCs w:val="24"/>
          <w:lang w:val="es-CO"/>
        </w:rPr>
        <w:t xml:space="preserve">será la suma de su porcentaje de participación con el </w:t>
      </w:r>
      <w:r>
        <w:rPr>
          <w:rFonts w:ascii="Verdana" w:eastAsia="Arial" w:hAnsi="Verdana" w:cs="Arial"/>
          <w:b/>
          <w:bCs/>
          <w:i/>
          <w:iCs/>
          <w:color w:val="000000"/>
          <w:szCs w:val="24"/>
          <w:lang w:val="es-CO"/>
        </w:rPr>
        <w:t>porcentaje acumulado</w:t>
      </w:r>
      <w:r>
        <w:rPr>
          <w:rFonts w:ascii="Verdana" w:eastAsia="Arial" w:hAnsi="Verdana" w:cs="Arial"/>
          <w:color w:val="000000"/>
          <w:szCs w:val="24"/>
          <w:lang w:val="es-CO"/>
        </w:rPr>
        <w:t xml:space="preserve"> asignado al bien que lo antecede en el listado. Del mismo modo, para el tercer bien el </w:t>
      </w:r>
      <w:r>
        <w:rPr>
          <w:rFonts w:ascii="Verdana" w:eastAsia="Arial" w:hAnsi="Verdana" w:cs="Arial"/>
          <w:b/>
          <w:bCs/>
          <w:i/>
          <w:iCs/>
          <w:color w:val="000000"/>
          <w:szCs w:val="24"/>
          <w:lang w:val="es-CO"/>
        </w:rPr>
        <w:t>porcentaje acumulado</w:t>
      </w:r>
      <w:r>
        <w:rPr>
          <w:rFonts w:ascii="Verdana" w:eastAsia="Arial" w:hAnsi="Verdana" w:cs="Arial"/>
          <w:color w:val="000000"/>
          <w:szCs w:val="24"/>
          <w:lang w:val="es-CO"/>
        </w:rPr>
        <w:t xml:space="preserve"> será la suma de su porcentaje de participación con el </w:t>
      </w:r>
      <w:r>
        <w:rPr>
          <w:rFonts w:ascii="Verdana" w:eastAsia="Arial" w:hAnsi="Verdana" w:cs="Arial"/>
          <w:b/>
          <w:bCs/>
          <w:i/>
          <w:iCs/>
          <w:color w:val="000000"/>
          <w:szCs w:val="24"/>
          <w:lang w:val="es-CO"/>
        </w:rPr>
        <w:t>porcentaje acumulado</w:t>
      </w:r>
      <w:r>
        <w:rPr>
          <w:rFonts w:ascii="Verdana" w:eastAsia="Arial" w:hAnsi="Verdana" w:cs="Arial"/>
          <w:color w:val="000000"/>
          <w:szCs w:val="24"/>
          <w:lang w:val="es-CO"/>
        </w:rPr>
        <w:t xml:space="preserve"> calculado para el anterior bien, y así sucesivamente deberá procederse respecto de los demás bienes hasta completar todos los porcentajes acumulados. Para mayor claridad se aplicará la siguiente fórmula.</w:t>
      </w:r>
    </w:p>
    <w:p w14:paraId="2980C8BA" w14:textId="1961A94F" w:rsidR="00CE23D6" w:rsidRPr="00993777" w:rsidRDefault="00CE23D6" w:rsidP="00152E47">
      <w:pPr>
        <w:tabs>
          <w:tab w:val="left" w:pos="1134"/>
        </w:tabs>
        <w:spacing w:after="0" w:line="240" w:lineRule="auto"/>
        <w:ind w:left="502"/>
        <w:contextualSpacing/>
        <w:jc w:val="both"/>
        <w:rPr>
          <w:rFonts w:ascii="Verdana" w:eastAsia="Arial" w:hAnsi="Verdana" w:cs="Arial"/>
          <w:color w:val="000000"/>
          <w:szCs w:val="24"/>
          <w:lang w:val="es-CO"/>
        </w:rPr>
      </w:pPr>
    </w:p>
    <w:p w14:paraId="4E8377B3" w14:textId="77777777" w:rsidR="00124A4D" w:rsidRPr="00993777" w:rsidRDefault="00CE23D6" w:rsidP="00124A4D">
      <w:pPr>
        <w:tabs>
          <w:tab w:val="left" w:pos="1134"/>
        </w:tabs>
        <w:spacing w:after="0" w:line="240" w:lineRule="auto"/>
        <w:ind w:left="502"/>
        <w:contextualSpacing/>
        <w:jc w:val="center"/>
        <w:rPr>
          <w:rFonts w:ascii="Verdana" w:eastAsia="Arial" w:hAnsi="Verdana" w:cs="Arial"/>
          <w:iCs/>
          <w:color w:val="000000"/>
          <w:lang w:val="es-CO"/>
        </w:rPr>
      </w:pPr>
      <w:r>
        <w:rPr>
          <w:rFonts w:ascii="Verdana" w:hAnsi="Verdana"/>
          <w:noProof/>
          <w:sz w:val="24"/>
          <w:szCs w:val="24"/>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Pr="00993777" w:rsidRDefault="00124A4D" w:rsidP="00124A4D">
      <w:pPr>
        <w:tabs>
          <w:tab w:val="left" w:pos="1134"/>
        </w:tabs>
        <w:spacing w:after="0" w:line="240" w:lineRule="auto"/>
        <w:ind w:left="502"/>
        <w:contextualSpacing/>
        <w:jc w:val="center"/>
        <w:rPr>
          <w:rFonts w:ascii="Verdana" w:eastAsia="Arial" w:hAnsi="Verdana" w:cs="Arial"/>
          <w:iCs/>
          <w:color w:val="000000"/>
          <w:lang w:val="es-CO"/>
        </w:rPr>
      </w:pPr>
    </w:p>
    <w:p w14:paraId="0108865F" w14:textId="2493FE6C" w:rsidR="00124A4D" w:rsidRPr="00993777" w:rsidRDefault="00124A4D" w:rsidP="00124A4D">
      <w:pPr>
        <w:tabs>
          <w:tab w:val="left" w:pos="1134"/>
        </w:tabs>
        <w:spacing w:after="0" w:line="240" w:lineRule="auto"/>
        <w:ind w:left="502"/>
        <w:contextualSpacing/>
        <w:jc w:val="both"/>
        <w:rPr>
          <w:rFonts w:ascii="Verdana" w:eastAsia="Arial" w:hAnsi="Verdana" w:cs="Arial"/>
          <w:color w:val="000000"/>
          <w:szCs w:val="24"/>
          <w:lang w:val="es-CO"/>
        </w:rPr>
      </w:pPr>
      <w:r>
        <w:rPr>
          <w:rFonts w:ascii="Verdana" w:eastAsia="Arial" w:hAnsi="Verdana" w:cs="Arial"/>
          <w:color w:val="000000"/>
          <w:szCs w:val="24"/>
          <w:lang w:val="es-CO"/>
        </w:rPr>
        <w:t xml:space="preserve">Donde </w:t>
      </w:r>
      <m:oMath>
        <m:sSub>
          <m:sSubPr>
            <m:ctrlPr>
              <w:rPr>
                <w:rFonts w:ascii="Cambria Math" w:eastAsia="Arial" w:hAnsi="Cambria Math" w:cs="Arial"/>
                <w:color w:val="000000"/>
                <w:szCs w:val="24"/>
                <w:lang w:val="es-CO"/>
              </w:rPr>
            </m:ctrlPr>
          </m:sSubPr>
          <m:e>
            <m:r>
              <w:rPr>
                <w:rFonts w:ascii="Cambria Math" w:eastAsia="Arial" w:hAnsi="Cambria Math" w:cs="Arial"/>
                <w:color w:val="000000"/>
                <w:szCs w:val="24"/>
                <w:lang w:val="es-CO"/>
              </w:rPr>
              <m:t>participacion</m:t>
            </m:r>
            <m:r>
              <m:rPr>
                <m:sty m:val="p"/>
              </m:rPr>
              <w:rPr>
                <w:rFonts w:ascii="Cambria Math" w:eastAsia="Arial" w:hAnsi="Cambria Math" w:cs="Arial"/>
                <w:color w:val="000000"/>
                <w:szCs w:val="24"/>
                <w:lang w:val="es-CO"/>
              </w:rPr>
              <m:t xml:space="preserve"> (%)</m:t>
            </m:r>
          </m:e>
          <m:sub>
            <m:r>
              <w:rPr>
                <w:rFonts w:ascii="Cambria Math" w:eastAsia="Arial" w:hAnsi="Cambria Math" w:cs="Arial"/>
                <w:color w:val="000000"/>
                <w:szCs w:val="24"/>
                <w:lang w:val="es-CO"/>
              </w:rPr>
              <m:t>i</m:t>
            </m:r>
          </m:sub>
        </m:sSub>
      </m:oMath>
      <w:r>
        <w:rPr>
          <w:rFonts w:ascii="Verdana" w:eastAsia="Arial" w:hAnsi="Verdana" w:cs="Arial"/>
          <w:color w:val="000000"/>
          <w:szCs w:val="24"/>
          <w:lang w:val="es-CO"/>
        </w:rPr>
        <w:t xml:space="preserve"> son las frecuencias acumuladas o porcentaje de participación (%) calculado.</w:t>
      </w:r>
    </w:p>
    <w:p w14:paraId="4F656CB7" w14:textId="3D1B2F63" w:rsidR="00124A4D" w:rsidRPr="00993777" w:rsidRDefault="00124A4D" w:rsidP="00124A4D">
      <w:pPr>
        <w:tabs>
          <w:tab w:val="left" w:pos="1134"/>
        </w:tabs>
        <w:spacing w:after="0" w:line="240" w:lineRule="auto"/>
        <w:ind w:left="502"/>
        <w:contextualSpacing/>
        <w:jc w:val="both"/>
        <w:rPr>
          <w:rFonts w:ascii="Verdana" w:eastAsia="Arial" w:hAnsi="Verdana" w:cs="Arial"/>
          <w:iCs/>
          <w:color w:val="000000"/>
          <w:lang w:val="es-CO"/>
        </w:rPr>
      </w:pPr>
    </w:p>
    <w:p w14:paraId="2BE08D0D" w14:textId="30C25015"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Pr>
          <w:rFonts w:ascii="Verdana" w:eastAsia="Arial" w:hAnsi="Verdana" w:cs="Arial"/>
          <w:iCs/>
          <w:color w:val="000000"/>
          <w:lang w:val="es-CO"/>
        </w:rPr>
        <w:t>Identificar los bienes o insumos cuyo porcentaje acumulado esté dentro del ochenta por ciento (80%) o un valor aproximado por debajo.</w:t>
      </w:r>
    </w:p>
    <w:p w14:paraId="608FFA52"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0E830A63" w14:textId="53E89248"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Pr>
          <w:rFonts w:ascii="Verdana" w:eastAsia="Arial" w:hAnsi="Verdana" w:cs="Arial"/>
          <w:iCs/>
          <w:color w:val="000000"/>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54322F56"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244ED900" w14:textId="1529E86C"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Pr>
          <w:rFonts w:ascii="Verdana" w:eastAsia="Arial" w:hAnsi="Verdana" w:cs="Arial"/>
          <w:iCs/>
          <w:color w:val="000000"/>
          <w:lang w:val="es-CO"/>
        </w:rPr>
        <w:t xml:space="preserve">Los bienes relevantes serán aquellos cuyo porcentaje de participación sea igual o superior al promedio calculado en el paso anterior. </w:t>
      </w:r>
    </w:p>
    <w:p w14:paraId="7FE797E8"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56F5BE4F" w14:textId="5B12BD70"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Pr>
          <w:rFonts w:ascii="Verdana" w:eastAsia="Arial" w:hAnsi="Verdana" w:cs="Arial"/>
          <w:iCs/>
          <w:color w:val="00000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36C5997B" w14:textId="77777777" w:rsidR="00EC153F" w:rsidRPr="00993777" w:rsidRDefault="00EC153F" w:rsidP="00EC153F">
      <w:pPr>
        <w:pStyle w:val="Prrafodelista"/>
        <w:rPr>
          <w:rFonts w:ascii="Verdana" w:eastAsia="Arial" w:hAnsi="Verdana" w:cs="Arial"/>
          <w:iCs/>
          <w:color w:val="000000"/>
          <w:sz w:val="22"/>
          <w:lang w:val="es-CO"/>
        </w:rPr>
      </w:pPr>
    </w:p>
    <w:p w14:paraId="2F9F8627" w14:textId="77777777" w:rsidR="00EC153F" w:rsidRPr="00993777" w:rsidRDefault="00EC153F" w:rsidP="00EC153F">
      <w:pPr>
        <w:numPr>
          <w:ilvl w:val="0"/>
          <w:numId w:val="1"/>
        </w:numPr>
        <w:spacing w:after="0" w:line="240" w:lineRule="auto"/>
        <w:contextualSpacing/>
        <w:jc w:val="both"/>
        <w:rPr>
          <w:rFonts w:ascii="Verdana" w:eastAsia="Arial" w:hAnsi="Verdana" w:cs="Times New Roman"/>
          <w:szCs w:val="24"/>
          <w:lang w:val="es-CO"/>
        </w:rPr>
      </w:pPr>
      <w:r>
        <w:rPr>
          <w:rFonts w:ascii="Verdana" w:eastAsia="Arial" w:hAnsi="Verdana" w:cs="Times New Roman"/>
          <w:color w:val="000000"/>
          <w:szCs w:val="24"/>
          <w:lang w:val="es-CO"/>
        </w:rPr>
        <w:t xml:space="preserve">Si ninguno de los bienes relevantes están incluidos en el Registro de Productores de Bienes Nacionales, la Entidad Estatal otorgará el puntaje a los Proponentes que se comprometan a vincular un porcentaje de empleados o contratistas por prestación de servicios colombianos de al menos el cuarenta por ciento (40 %)</w:t>
      </w:r>
      <w:r>
        <w:rPr>
          <w:rFonts w:ascii="Verdana" w:eastAsia="Arial" w:hAnsi="Verdana" w:cs="Arial"/>
          <w:highlight w:val="lightGray"/>
          <w:lang w:val="es-MX" w:bidi="en-US"/>
        </w:rPr>
      </w:r>
      <w:r>
        <w:rPr>
          <w:rFonts w:ascii="Verdana" w:eastAsia="Arial" w:hAnsi="Verdana" w:cs="Arial"/>
          <w:color w:val="000000"/>
          <w:highlight w:val="lightGray"/>
        </w:rPr>
      </w:r>
      <w:r>
        <w:rPr>
          <w:rFonts w:ascii="Verdana" w:eastAsia="Arial" w:hAnsi="Verdana" w:cs="Times New Roman"/>
          <w:color w:val="000000"/>
        </w:rPr>
        <w:t xml:space="preserve"> </w:t>
      </w:r>
      <w:r>
        <w:rPr>
          <w:rFonts w:ascii="Verdana" w:eastAsia="Arial" w:hAnsi="Verdana" w:cs="Times New Roman"/>
          <w:color w:val="000000"/>
          <w:szCs w:val="24"/>
          <w:lang w:val="es-CO"/>
        </w:rPr>
        <w:t xml:space="preserve">del personal requerido para el cumplimiento del contrato. </w:t>
      </w:r>
    </w:p>
    <w:p w14:paraId="15EA420A" w14:textId="77777777" w:rsidR="00EC153F" w:rsidRPr="00993777" w:rsidRDefault="00EC153F" w:rsidP="00EC153F">
      <w:pPr>
        <w:spacing w:after="0" w:line="240" w:lineRule="auto"/>
        <w:ind w:left="502"/>
        <w:contextualSpacing/>
        <w:jc w:val="both"/>
        <w:rPr>
          <w:rFonts w:ascii="Verdana" w:eastAsia="Arial" w:hAnsi="Verdana" w:cs="Arial"/>
          <w:bCs/>
          <w:szCs w:val="28"/>
          <w:lang w:val="es-419"/>
        </w:rPr>
      </w:pPr>
    </w:p>
    <w:p w14:paraId="56F43221" w14:textId="5CC85541" w:rsidR="00EC153F" w:rsidRPr="00993777" w:rsidRDefault="00EC153F" w:rsidP="07FA77B4">
      <w:pPr>
        <w:spacing w:after="0" w:line="240" w:lineRule="auto"/>
        <w:jc w:val="both"/>
        <w:rPr>
          <w:rFonts w:ascii="Verdana" w:eastAsia="Arial" w:hAnsi="Verdana" w:cs="Times New Roman"/>
          <w:lang w:val="es-MX"/>
        </w:rPr>
      </w:pPr>
      <w:r>
        <w:rPr>
          <w:rFonts w:ascii="Verdana" w:eastAsia="Arial" w:hAnsi="Verdana" w:cs="Times New Roman"/>
          <w:lang w:val="es-MX"/>
        </w:rPr>
        <w:t xml:space="preserve">La Agencia Nacional de Contratación Pública ha elaborado el siguiente listado de los bienes relevantes más comunes en el desarrollo de la obra pública de infraestructura del sector social</w:t>
      </w:r>
      <w:r>
        <w:rPr>
          <w:rFonts w:ascii="Verdana" w:eastAsia="Arial" w:hAnsi="Verdana" w:cs="Arial"/>
          <w:lang w:val="es-419"/>
        </w:rPr>
        <w:t xml:space="preserve"/>
      </w:r>
      <w:r>
        <w:rPr>
          <w:rFonts w:ascii="Verdana" w:eastAsia="Arial" w:hAnsi="Verdana" w:cs="Times New Roman"/>
          <w:lang w:val="es-MX"/>
        </w:rPr>
        <w:t xml:space="preserv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Pr>
          <w:rFonts w:ascii="Verdana" w:eastAsia="Arial" w:hAnsi="Verdana" w:cs="Times New Roman"/>
          <w:lang w:val="es-419"/>
        </w:rPr>
        <w:t xml:space="preserve">2.2.1.2.4.2.9. del Decreto 1082 de 2015, adicionado </w:t>
      </w:r>
      <w:r>
        <w:rPr>
          <w:rFonts w:ascii="Verdana" w:eastAsia="Arial" w:hAnsi="Verdana" w:cs="Times New Roman"/>
          <w:lang w:val="es-MX"/>
        </w:rPr>
        <w:t xml:space="preserve">por el Decreto 680 de 2021. </w:t>
      </w:r>
    </w:p>
    <w:p w14:paraId="7133F42D" w14:textId="77777777" w:rsidR="00EC153F" w:rsidRPr="00993777" w:rsidRDefault="00EC153F" w:rsidP="00EC153F">
      <w:pPr>
        <w:spacing w:after="0" w:line="240" w:lineRule="auto"/>
        <w:jc w:val="both"/>
        <w:rPr>
          <w:rFonts w:ascii="Verdana" w:eastAsia="Arial" w:hAnsi="Verdana" w:cs="Times New Roman"/>
          <w:bCs/>
          <w:szCs w:val="24"/>
          <w:lang w:val="es-MX"/>
        </w:rPr>
      </w:pPr>
    </w:p>
    <w:p w14:paraId="712B5A88" w14:textId="1ADCC5C4" w:rsidR="00EC153F" w:rsidRPr="00993777" w:rsidRDefault="00EC153F" w:rsidP="07FA77B4">
      <w:pPr>
        <w:spacing w:after="0" w:line="240" w:lineRule="auto"/>
        <w:jc w:val="both"/>
        <w:rPr>
          <w:rFonts w:ascii="Verdana" w:eastAsia="Arial" w:hAnsi="Verdana" w:cs="Times New Roman"/>
          <w:lang w:val="es-MX"/>
        </w:rPr>
      </w:pPr>
      <w:r>
        <w:rPr>
          <w:rFonts w:ascii="Verdana" w:eastAsia="Arial" w:hAnsi="Verdana" w:cs="Times New Roman"/>
          <w:lang w:val="es-MX"/>
        </w:rPr>
        <w:t xml:space="preserve">Los bienes que se enuncian se presentan de forma generalizada para los diferentes tipos de infraestructura y actividades categorizadas en la Matriz 1 – Experiencia de los Documentos Tipo de obra pública de infraestructura del sector social</w:t>
      </w:r>
      <w:r>
        <w:rPr>
          <w:rFonts w:ascii="Verdana" w:eastAsia="Arial" w:hAnsi="Verdana" w:cs="Arial"/>
          <w:lang w:val="es-419"/>
        </w:rPr>
        <w:t xml:space="preserve"/>
      </w:r>
      <w:r>
        <w:rPr>
          <w:rFonts w:ascii="Verdana" w:eastAsia="Arial" w:hAnsi="Verdana" w:cs="Times New Roman"/>
          <w:lang w:val="es-MX"/>
        </w:rPr>
        <w:t xml:space="preserve">. </w:t>
      </w:r>
    </w:p>
    <w:p w14:paraId="273CFABC" w14:textId="77777777" w:rsidR="00EC153F" w:rsidRPr="00993777" w:rsidRDefault="00EC153F" w:rsidP="00EC153F">
      <w:pPr>
        <w:spacing w:after="0" w:line="240" w:lineRule="auto"/>
        <w:jc w:val="both"/>
        <w:rPr>
          <w:rFonts w:ascii="Verdana" w:eastAsia="Arial" w:hAnsi="Verdana" w:cs="Times New Roman"/>
          <w:bCs/>
          <w:szCs w:val="24"/>
          <w:lang w:val="es-MX"/>
        </w:rPr>
      </w:pPr>
    </w:p>
    <w:p w14:paraId="696BC45A" w14:textId="77777777" w:rsidR="00EC153F" w:rsidRPr="00993777" w:rsidRDefault="00EC153F" w:rsidP="00EC153F">
      <w:pPr>
        <w:spacing w:after="0" w:line="240" w:lineRule="auto"/>
        <w:jc w:val="both"/>
        <w:rPr>
          <w:rFonts w:ascii="Verdana" w:eastAsia="Arial" w:hAnsi="Verdana" w:cs="Times New Roman"/>
          <w:szCs w:val="24"/>
          <w:lang w:val="es-MX"/>
        </w:rPr>
      </w:pPr>
      <w:r>
        <w:rPr>
          <w:rFonts w:ascii="Verdana" w:eastAsia="Arial" w:hAnsi="Verdana" w:cs="Times New Roman"/>
          <w:lang w:val="es-MX"/>
        </w:rPr>
        <w:t xml:space="preserve">Para determinar los bienes nacionales relevantes, la Entidad tendrá en cuenta tanto los </w:t>
      </w:r>
      <w:r>
        <w:rPr>
          <w:rFonts w:ascii="Verdana" w:eastAsia="Arial" w:hAnsi="Verdana" w:cs="Times New Roman"/>
          <w:i/>
          <w:iCs/>
          <w:lang w:val="es-MX"/>
        </w:rPr>
        <w:t>insumos</w:t>
      </w:r>
      <w:r>
        <w:rPr>
          <w:rFonts w:ascii="Verdana" w:eastAsia="Arial" w:hAnsi="Verdana" w:cs="Times New Roman"/>
          <w:lang w:val="es-MX"/>
        </w:rPr>
        <w:t xml:space="preserve"> como los materiales producidos con dichos insumos, tal como se presenta de forma enunciativa a continuación: </w:t>
      </w:r>
    </w:p>
    <w:p w14:paraId="6BE3A45C" w14:textId="5820964E" w:rsidR="07FA77B4" w:rsidRDefault="07FA77B4" w:rsidP="07FA77B4">
      <w:pPr>
        <w:spacing w:after="0" w:line="240" w:lineRule="auto"/>
        <w:jc w:val="both"/>
        <w:rPr>
          <w:rFonts w:ascii="Verdana" w:eastAsia="Verdana" w:hAnsi="Verdana" w:cs="Verdana"/>
          <w:color w:val="000000" w:themeColor="text1"/>
          <w:lang w:val="es-CO"/>
        </w:rPr>
      </w:pPr>
    </w:p>
    <w:p w14:paraId="2712675D" w14:textId="2D5E111B" w:rsidR="07FA77B4" w:rsidRDefault="07FA77B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640"/>
        <w:gridCol w:w="3172"/>
        <w:gridCol w:w="3172"/>
      </w:tblGrid>
      <w:tr w:rsidR="07FA77B4" w14:paraId="018954A5" w14:textId="77777777" w:rsidTr="07FA77B4">
        <w:trPr>
          <w:trHeight w:val="300"/>
        </w:trPr>
        <w:tc>
          <w:tcPr>
            <w:tcW w:w="2640" w:type="dxa"/>
            <w:vMerge w:val="restart"/>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30F13051" w14:textId="24812929" w:rsidR="07FA77B4" w:rsidRDefault="07FA77B4" w:rsidP="07FA77B4">
            <w:pPr>
              <w:spacing w:after="0" w:line="240" w:lineRule="auto"/>
              <w:jc w:val="center"/>
              <w:rPr>
                <w:rFonts w:ascii="Verdana" w:eastAsia="Verdana" w:hAnsi="Verdana" w:cs="Verdana"/>
                <w:color w:val="000000" w:themeColor="text1"/>
                <w:sz w:val="18"/>
                <w:szCs w:val="18"/>
              </w:rPr>
            </w:pPr>
            <w:r>
              <w:rPr>
                <w:rFonts w:ascii="Verdana" w:eastAsia="Verdana" w:hAnsi="Verdana" w:cs="Verdana"/>
                <w:b/>
                <w:bCs/>
                <w:color w:val="000000" w:themeColor="text1"/>
                <w:sz w:val="18"/>
                <w:szCs w:val="18"/>
                <w:lang w:val="es-CO"/>
              </w:rPr>
              <w:t>TIPO DE INFRAESTRUCTURA DEL SECTOR SOCIAL</w:t>
            </w:r>
          </w:p>
        </w:tc>
        <w:tc>
          <w:tcPr>
            <w:tcW w:w="6344" w:type="dxa"/>
            <w:gridSpan w:val="2"/>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05676AA0" w14:textId="41C8929B" w:rsidR="07FA77B4" w:rsidRDefault="07FA77B4" w:rsidP="07FA77B4">
            <w:pPr>
              <w:spacing w:after="0" w:line="240" w:lineRule="auto"/>
              <w:jc w:val="center"/>
              <w:rPr>
                <w:rFonts w:ascii="Verdana" w:eastAsia="Verdana" w:hAnsi="Verdana" w:cs="Verdana"/>
                <w:color w:val="000000" w:themeColor="text1"/>
                <w:sz w:val="18"/>
                <w:szCs w:val="18"/>
              </w:rPr>
            </w:pPr>
            <w:r>
              <w:rPr>
                <w:rFonts w:ascii="Verdana" w:eastAsia="Verdana" w:hAnsi="Verdana" w:cs="Verdana"/>
                <w:b/>
                <w:bCs/>
                <w:color w:val="000000" w:themeColor="text1"/>
                <w:sz w:val="18"/>
                <w:szCs w:val="18"/>
                <w:lang w:val="es-CO"/>
              </w:rPr>
              <w:t>LISTADO DE BIENES COLOMBIANOS RELEVANTES SECTOR SOCIAL</w:t>
            </w:r>
          </w:p>
        </w:tc>
      </w:tr>
      <w:tr w:rsidR="07FA77B4" w14:paraId="394FC62B"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25564CC0" w14:textId="77777777" w:rsidR="005D0C34" w:rsidRDefault="005D0C34"/>
        </w:tc>
        <w:tc>
          <w:tcPr>
            <w:tcW w:w="3172" w:type="dxa"/>
            <w:tcBorders>
              <w:top w:val="single" w:sz="6" w:space="0" w:color="auto"/>
              <w:left w:val="nil"/>
              <w:bottom w:val="single" w:sz="6" w:space="0" w:color="auto"/>
              <w:right w:val="single" w:sz="6" w:space="0" w:color="auto"/>
            </w:tcBorders>
            <w:shd w:val="clear" w:color="auto" w:fill="B8B7B7"/>
            <w:tcMar>
              <w:left w:w="60" w:type="dxa"/>
              <w:right w:w="60" w:type="dxa"/>
            </w:tcMar>
            <w:vAlign w:val="center"/>
          </w:tcPr>
          <w:p w14:paraId="18514F5C" w14:textId="7A9186AB" w:rsidR="07FA77B4" w:rsidRDefault="07FA77B4" w:rsidP="07FA77B4">
            <w:pPr>
              <w:spacing w:after="0" w:line="240" w:lineRule="auto"/>
              <w:jc w:val="center"/>
              <w:rPr>
                <w:rFonts w:ascii="Verdana" w:eastAsia="Verdana" w:hAnsi="Verdana" w:cs="Verdana"/>
                <w:color w:val="000000" w:themeColor="text1"/>
                <w:sz w:val="18"/>
                <w:szCs w:val="18"/>
              </w:rPr>
            </w:pPr>
            <w:r>
              <w:rPr>
                <w:rFonts w:ascii="Verdana" w:eastAsia="Verdana" w:hAnsi="Verdana" w:cs="Verdana"/>
                <w:b/>
                <w:bCs/>
                <w:color w:val="000000" w:themeColor="text1"/>
                <w:sz w:val="18"/>
                <w:szCs w:val="18"/>
                <w:lang w:val="es-CO"/>
              </w:rPr>
              <w:t>Insumos</w:t>
            </w:r>
          </w:p>
        </w:tc>
        <w:tc>
          <w:tcPr>
            <w:tcW w:w="3172" w:type="dxa"/>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29A72ADF" w14:textId="4CCBE327" w:rsidR="07FA77B4" w:rsidRDefault="07FA77B4" w:rsidP="07FA77B4">
            <w:pPr>
              <w:spacing w:after="0" w:line="240" w:lineRule="auto"/>
              <w:jc w:val="center"/>
              <w:rPr>
                <w:rFonts w:ascii="Verdana" w:eastAsia="Verdana" w:hAnsi="Verdana" w:cs="Verdana"/>
                <w:color w:val="000000" w:themeColor="text1"/>
                <w:sz w:val="18"/>
                <w:szCs w:val="18"/>
              </w:rPr>
            </w:pPr>
            <w:r>
              <w:rPr>
                <w:rFonts w:ascii="Verdana" w:eastAsia="Verdana" w:hAnsi="Verdana" w:cs="Verdana"/>
                <w:b/>
                <w:bCs/>
                <w:color w:val="000000" w:themeColor="text1"/>
                <w:sz w:val="18"/>
                <w:szCs w:val="18"/>
                <w:lang w:val="es-CO"/>
              </w:rPr>
              <w:t>Elementos o materiales producidos</w:t>
            </w:r>
          </w:p>
        </w:tc>
      </w:tr>
      <w:tr w:rsidR="07FA77B4" w14:paraId="2F057F30" w14:textId="77777777" w:rsidTr="07FA77B4">
        <w:trPr>
          <w:trHeight w:val="300"/>
        </w:trPr>
        <w:tc>
          <w:tcPr>
            <w:tcW w:w="2640" w:type="dxa"/>
            <w:vMerge w:val="restart"/>
            <w:tcBorders>
              <w:top w:val="nil"/>
              <w:left w:val="single" w:sz="6" w:space="0" w:color="auto"/>
              <w:bottom w:val="single" w:sz="6" w:space="0" w:color="auto"/>
              <w:right w:val="single" w:sz="6" w:space="0" w:color="auto"/>
            </w:tcBorders>
            <w:tcMar>
              <w:left w:w="60" w:type="dxa"/>
              <w:right w:w="60" w:type="dxa"/>
            </w:tcMar>
            <w:vAlign w:val="center"/>
          </w:tcPr>
          <w:p w14:paraId="67F2C936" w14:textId="72E1C53A" w:rsidR="07FA77B4" w:rsidRDefault="07FA77B4" w:rsidP="07FA77B4">
            <w:pPr>
              <w:spacing w:after="0" w:line="240" w:lineRule="auto"/>
              <w:jc w:val="center"/>
              <w:rPr>
                <w:rFonts w:ascii="Verdana" w:eastAsia="Verdana" w:hAnsi="Verdana" w:cs="Verdana"/>
                <w:color w:val="000000" w:themeColor="text1"/>
                <w:sz w:val="20"/>
                <w:szCs w:val="20"/>
              </w:rPr>
            </w:pPr>
            <w:r>
              <w:rPr>
                <w:rFonts w:ascii="Verdana" w:eastAsia="Verdana" w:hAnsi="Verdana" w:cs="Verdana"/>
                <w:b/>
                <w:bCs/>
                <w:sz w:val="18"/>
                <w:szCs w:val="18"/>
                <w:lang w:val="es-CO"/>
              </w:rPr>
              <w:t xml:space="preserve">1. OBRAS EN INFRAESTRUCTURA RECREODEPORTIVA EN INFRAESTRUCTURA EDUCATIVA (actividad 2.1 de la Matriz 1 – Experiencia del sector educativo: construcción e instalación de parques infantiles en sedes educativas)</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7337E7F" w14:textId="19AF3F61" w:rsidR="07FA77B4" w:rsidRDefault="07FA77B4" w:rsidP="07FA77B4">
            <w:pPr>
              <w:spacing w:after="0" w:line="240" w:lineRule="auto"/>
              <w:rPr>
                <w:rFonts w:ascii="Verdana" w:eastAsia="Verdana" w:hAnsi="Verdana" w:cs="Verdana"/>
                <w:color w:val="000000" w:themeColor="text1"/>
                <w:lang w:val="en-US"/>
              </w:rPr>
            </w:pPr>
            <w:r>
              <w:rPr>
                <w:rFonts w:ascii="Verdana" w:eastAsia="Verdana" w:hAnsi="Verdana" w:cs="Verdana"/>
                <w:i w:val="0"/>
                <w:color w:val="000000" w:themeColor="text1"/>
                <w:lang w:val="es-CO"/>
              </w:rPr>
              <w:t xml:space="preserve">Cemento gris de uso general</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35A2EE3" w14:textId="4672638A" w:rsidR="07FA77B4" w:rsidRDefault="07FA77B4" w:rsidP="07FA77B4">
            <w:pPr>
              <w:spacing w:after="0" w:line="240" w:lineRule="auto"/>
              <w:rPr>
                <w:rFonts w:ascii="Verdana" w:eastAsia="Verdana" w:hAnsi="Verdana" w:cs="Verdana"/>
                <w:color w:val="000000" w:themeColor="text1"/>
                <w:lang w:val="en-US"/>
              </w:rPr>
            </w:pPr>
            <w:r>
              <w:rPr>
                <w:rFonts w:ascii="Verdana" w:eastAsia="Verdana" w:hAnsi="Verdana" w:cs="Verdana"/>
                <w:i w:val="0"/>
                <w:color w:val="000000" w:themeColor="text1"/>
                <w:lang w:val="es-CO"/>
              </w:rPr>
              <w:t xml:space="preserve">Concreto simple de 17,5 MPa preparado en obra (dados de anclaje)</w:t>
            </w:r>
          </w:p>
        </w:tc>
      </w:tr>
      <w:tr w:rsidR="07FA77B4" w14:paraId="2D905378"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43D0E789"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7337E7F" w14:textId="19AF3F61" w:rsidR="07FA77B4" w:rsidRDefault="07FA77B4" w:rsidP="07FA77B4">
            <w:pPr>
              <w:spacing w:after="0" w:line="240" w:lineRule="auto"/>
              <w:rPr>
                <w:rFonts w:ascii="Verdana" w:eastAsia="Verdana" w:hAnsi="Verdana" w:cs="Verdana"/>
                <w:color w:val="000000" w:themeColor="text1"/>
                <w:lang w:val="en-US"/>
              </w:rPr>
            </w:pPr>
            <w:r>
              <w:rPr>
                <w:rFonts w:ascii="Verdana" w:eastAsia="Verdana" w:hAnsi="Verdana" w:cs="Verdana"/>
                <w:i w:val="0"/>
                <w:color w:val="000000" w:themeColor="text1"/>
                <w:lang w:val="es-CO"/>
              </w:rPr>
              <w:t xml:space="preserve">Agregado fino (arena)</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35A2EE3" w14:textId="4672638A" w:rsidR="07FA77B4" w:rsidRDefault="07FA77B4" w:rsidP="07FA77B4">
            <w:pPr>
              <w:spacing w:after="0" w:line="240" w:lineRule="auto"/>
              <w:rPr>
                <w:rFonts w:ascii="Verdana" w:eastAsia="Verdana" w:hAnsi="Verdana" w:cs="Verdana"/>
                <w:color w:val="000000" w:themeColor="text1"/>
                <w:lang w:val="en-US"/>
              </w:rPr>
            </w:pPr>
            <w:r>
              <w:rPr>
                <w:rFonts w:ascii="Verdana" w:eastAsia="Verdana" w:hAnsi="Verdana" w:cs="Verdana"/>
                <w:i w:val="0"/>
                <w:color w:val="000000" w:themeColor="text1"/>
                <w:lang w:val="es-CO"/>
              </w:rPr>
              <w:t xml:space="preserve">Plataforma castillo (torre de una tarima) con techo a dos aguas en madera inmunizada</w:t>
            </w:r>
          </w:p>
        </w:tc>
      </w:tr>
      <w:tr w:rsidR="07FA77B4" w14:paraId="4954D197" w14:textId="77777777" w:rsidTr="07FA77B4">
        <w:trPr>
          <w:trHeight w:val="300"/>
        </w:trPr>
        <w:tc>
          <w:tcPr>
            <w:tcW w:w="2640" w:type="dxa"/>
            <w:vMerge/>
            <w:tcBorders>
              <w:left w:val="single" w:sz="0" w:space="0" w:color="auto"/>
              <w:right w:val="single" w:sz="0" w:space="0" w:color="auto"/>
            </w:tcBorders>
            <w:vAlign w:val="center"/>
          </w:tcPr>
          <w:p w14:paraId="3DC06C77"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B59271D" w14:textId="0FE51A60" w:rsidR="07FA77B4" w:rsidRDefault="07FA77B4" w:rsidP="07FA77B4">
            <w:pPr>
              <w:spacing w:after="0" w:line="240" w:lineRule="auto"/>
              <w:rPr>
                <w:rFonts w:ascii="Verdana" w:eastAsia="Verdana" w:hAnsi="Verdana" w:cs="Verdana"/>
                <w:color w:val="000000" w:themeColor="text1"/>
                <w:lang w:val="en-US"/>
              </w:rPr>
            </w:pPr>
            <w:r>
              <w:rPr>
                <w:rFonts w:ascii="Verdana" w:eastAsia="Verdana" w:hAnsi="Verdana" w:cs="Verdana"/>
                <w:i w:val="0"/>
                <w:color w:val="000000" w:themeColor="text1"/>
                <w:lang w:val="es-CO"/>
              </w:rPr>
              <w:t xml:space="preserve">Agregado grueso (triturado)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2BE1931" w14:textId="72245092" w:rsidR="07FA77B4" w:rsidRDefault="07FA77B4" w:rsidP="07FA77B4">
            <w:pPr>
              <w:spacing w:after="0" w:line="240" w:lineRule="auto"/>
              <w:rPr>
                <w:rFonts w:ascii="Verdana" w:eastAsia="Verdana" w:hAnsi="Verdana" w:cs="Verdana"/>
                <w:color w:val="000000" w:themeColor="text1"/>
                <w:lang w:val="en-US"/>
              </w:rPr>
            </w:pPr>
            <w:r>
              <w:rPr>
                <w:rFonts w:ascii="Verdana" w:eastAsia="Verdana" w:hAnsi="Verdana" w:cs="Verdana"/>
                <w:i w:val="0"/>
                <w:color w:val="000000" w:themeColor="text1"/>
                <w:lang w:val="es-CO"/>
              </w:rPr>
              <w:t xml:space="preserve">Columpio doble en madera inmunizada</w:t>
            </w:r>
          </w:p>
        </w:tc>
      </w:tr>
      <w:tr w:rsidR="07FA77B4" w14:paraId="5B25D380" w14:textId="77777777" w:rsidTr="07FA77B4">
        <w:trPr>
          <w:trHeight w:val="300"/>
        </w:trPr>
        <w:tc>
          <w:tcPr>
            <w:tcW w:w="2640" w:type="dxa"/>
            <w:vMerge/>
            <w:tcBorders>
              <w:left w:val="single" w:sz="0" w:space="0" w:color="auto"/>
              <w:right w:val="single" w:sz="0" w:space="0" w:color="auto"/>
            </w:tcBorders>
            <w:vAlign w:val="center"/>
          </w:tcPr>
          <w:p w14:paraId="3F3F9634"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AE8364D" w14:textId="1292F309" w:rsidR="07FA77B4" w:rsidRDefault="07FA77B4" w:rsidP="07FA77B4">
            <w:pPr>
              <w:spacing w:after="0" w:line="240" w:lineRule="auto"/>
              <w:rPr>
                <w:rFonts w:ascii="Verdana" w:eastAsia="Verdana" w:hAnsi="Verdana" w:cs="Verdana"/>
                <w:color w:val="000000" w:themeColor="text1"/>
                <w:lang w:val="en-US"/>
              </w:rPr>
            </w:pPr>
            <w:r>
              <w:rPr>
                <w:rFonts w:ascii="Verdana" w:eastAsia="Verdana" w:hAnsi="Verdana" w:cs="Verdana"/>
                <w:i w:val="0"/>
                <w:color w:val="000000" w:themeColor="text1"/>
                <w:lang w:val="es-CO"/>
              </w:rPr>
              <w:t xml:space="preserve">Acero de refuerzo (varilla de 3/8")</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6A425A59" w14:textId="018774D7" w:rsidR="07FA77B4" w:rsidRDefault="07FA77B4" w:rsidP="07FA77B4">
            <w:pPr>
              <w:spacing w:after="0" w:line="240" w:lineRule="auto"/>
              <w:rPr>
                <w:rFonts w:ascii="Verdana" w:eastAsia="Verdana" w:hAnsi="Verdana" w:cs="Verdana"/>
                <w:color w:val="000000" w:themeColor="text1"/>
                <w:lang w:val="en-US"/>
              </w:rPr>
            </w:pPr>
            <w:r>
              <w:rPr>
                <w:rFonts w:ascii="Verdana" w:eastAsia="Verdana" w:hAnsi="Verdana" w:cs="Verdana"/>
                <w:i w:val="0"/>
                <w:color w:val="000000" w:themeColor="text1"/>
                <w:lang w:val="es-CO"/>
              </w:rPr>
              <w:t xml:space="preserve">Pasamanos en madera inmunizada</w:t>
            </w:r>
          </w:p>
        </w:tc>
      </w:tr>
      <w:tr w:rsidR="07FA77B4" w14:paraId="37E3BF4B" w14:textId="77777777" w:rsidTr="07FA77B4">
        <w:trPr>
          <w:trHeight w:val="300"/>
        </w:trPr>
        <w:tc>
          <w:tcPr>
            <w:tcW w:w="2640" w:type="dxa"/>
            <w:vMerge/>
            <w:tcBorders>
              <w:left w:val="single" w:sz="0" w:space="0" w:color="auto"/>
              <w:right w:val="single" w:sz="0" w:space="0" w:color="auto"/>
            </w:tcBorders>
            <w:vAlign w:val="center"/>
          </w:tcPr>
          <w:p w14:paraId="73E37E62"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14FE88F" w14:textId="699126F9" w:rsidR="07FA77B4" w:rsidRDefault="07FA77B4" w:rsidP="07FA77B4">
            <w:pPr>
              <w:spacing w:after="0" w:line="240" w:lineRule="auto"/>
              <w:rPr>
                <w:rFonts w:ascii="Verdana" w:eastAsia="Verdana" w:hAnsi="Verdana" w:cs="Verdana"/>
                <w:color w:val="000000" w:themeColor="text1"/>
                <w:lang w:val="en-US"/>
              </w:rPr>
            </w:pPr>
            <w:r>
              <w:rPr>
                <w:rFonts w:ascii="Verdana" w:eastAsia="Verdana" w:hAnsi="Verdana" w:cs="Verdana"/>
                <w:i w:val="0"/>
                <w:color w:val="000000" w:themeColor="text1"/>
                <w:lang w:val="es-CO"/>
              </w:rPr>
              <w:t xml:space="preserve">Madera de pino inmunizada por vacío-presión</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7CF1A1F1" w14:textId="69033628" w:rsidR="07FA77B4" w:rsidRDefault="07FA77B4" w:rsidP="07FA77B4">
            <w:pPr>
              <w:spacing w:after="0" w:line="240" w:lineRule="auto"/>
              <w:rPr>
                <w:rFonts w:ascii="Verdana" w:eastAsia="Verdana" w:hAnsi="Verdana" w:cs="Verdana"/>
                <w:color w:val="000000" w:themeColor="text1"/>
                <w:lang w:val="en-US"/>
              </w:rPr>
            </w:pPr>
            <w:r>
              <w:rPr>
                <w:rFonts w:ascii="Verdana" w:eastAsia="Verdana" w:hAnsi="Verdana" w:cs="Verdana"/>
                <w:i w:val="0"/>
                <w:color w:val="000000" w:themeColor="text1"/>
                <w:lang w:val="es-CO"/>
              </w:rPr>
              <w:t xml:space="preserve">Deslizadero en polietileno rotomoldeado con protección UV</w:t>
            </w:r>
          </w:p>
        </w:tc>
      </w:tr>
      <w:tr w:rsidR="07FA77B4" w14:paraId="42480C5D" w14:textId="77777777" w:rsidTr="07FA77B4">
        <w:trPr>
          <w:trHeight w:val="300"/>
        </w:trPr>
        <w:tc>
          <w:tcPr>
            <w:tcW w:w="2640" w:type="dxa"/>
            <w:vMerge/>
            <w:tcBorders>
              <w:left w:val="single" w:sz="0" w:space="0" w:color="auto"/>
              <w:right w:val="single" w:sz="0" w:space="0" w:color="auto"/>
            </w:tcBorders>
            <w:vAlign w:val="center"/>
          </w:tcPr>
          <w:p w14:paraId="6F0BCE46"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9AF285F" w14:textId="7CA9BEA3" w:rsidR="07FA77B4" w:rsidRDefault="07FA77B4" w:rsidP="07FA77B4">
            <w:pPr>
              <w:spacing w:after="0" w:line="240" w:lineRule="auto"/>
              <w:rPr>
                <w:rFonts w:ascii="Verdana" w:eastAsia="Verdana" w:hAnsi="Verdana" w:cs="Verdana"/>
                <w:color w:val="000000" w:themeColor="text1"/>
                <w:lang w:val="en-US"/>
              </w:rPr>
            </w:pPr>
            <w:r>
              <w:rPr>
                <w:rFonts w:ascii="Verdana" w:eastAsia="Verdana" w:hAnsi="Verdana" w:cs="Verdana"/>
                <w:i w:val="0"/>
                <w:color w:val="000000" w:themeColor="text1"/>
                <w:lang w:val="es-CO"/>
              </w:rPr>
              <w:t xml:space="preserve">Polietileno de alta densidad (rotomoldeado)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29018E78" w14:textId="6F8DCB29" w:rsidR="07FA77B4" w:rsidRDefault="07FA77B4" w:rsidP="07FA77B4">
            <w:pPr>
              <w:spacing w:after="0" w:line="240" w:lineRule="auto"/>
              <w:rPr>
                <w:rFonts w:ascii="Verdana" w:eastAsia="Verdana" w:hAnsi="Verdana" w:cs="Verdana"/>
                <w:color w:val="000000" w:themeColor="text1"/>
                <w:lang w:val="en-US"/>
              </w:rPr>
            </w:pPr>
            <w:r>
              <w:rPr>
                <w:rFonts w:ascii="Verdana" w:eastAsia="Verdana" w:hAnsi="Verdana" w:cs="Verdana"/>
                <w:i w:val="0"/>
                <w:color w:val="000000" w:themeColor="text1"/>
                <w:lang w:val="es-CO"/>
              </w:rPr>
              <w:t xml:space="preserve">Mataculín (balancín) de dos puestos en madera inmunizada</w:t>
            </w:r>
          </w:p>
        </w:tc>
      </w:tr>
      <w:tr w:rsidR="07FA77B4" w14:paraId="712B3E09" w14:textId="77777777" w:rsidTr="07FA77B4">
        <w:trPr>
          <w:trHeight w:val="300"/>
        </w:trPr>
        <w:tc>
          <w:tcPr>
            <w:tcW w:w="2640" w:type="dxa"/>
            <w:vMerge/>
            <w:tcBorders>
              <w:left w:val="single" w:sz="0" w:space="0" w:color="auto"/>
              <w:right w:val="single" w:sz="0" w:space="0" w:color="auto"/>
            </w:tcBorders>
            <w:vAlign w:val="center"/>
          </w:tcPr>
          <w:p w14:paraId="6368A1A0"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59C8A64" w14:textId="57987B6F" w:rsidR="07FA77B4" w:rsidRDefault="07FA77B4" w:rsidP="07FA77B4">
            <w:pPr>
              <w:spacing w:after="0" w:line="240" w:lineRule="auto"/>
              <w:rPr>
                <w:rFonts w:ascii="Verdana" w:eastAsia="Verdana" w:hAnsi="Verdana" w:cs="Verdana"/>
                <w:color w:val="000000" w:themeColor="text1"/>
                <w:lang w:val="en-US"/>
              </w:rPr>
            </w:pPr>
            <w:r>
              <w:t xml:space="preserve">Cuerda de polipropileno multifilamento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6252E85E" w14:textId="77B11D5F" w:rsidR="07FA77B4" w:rsidRDefault="07FA77B4" w:rsidP="07FA77B4">
            <w:pPr>
              <w:spacing w:after="0" w:line="240" w:lineRule="auto"/>
              <w:rPr>
                <w:rFonts w:ascii="Verdana" w:eastAsia="Verdana" w:hAnsi="Verdana" w:cs="Verdana"/>
                <w:color w:val="000000" w:themeColor="text1"/>
                <w:lang w:val="en-US"/>
              </w:rPr>
            </w:pPr>
            <w:r>
              <w:rPr>
                <w:rFonts w:ascii="Verdana" w:eastAsia="Verdana" w:hAnsi="Verdana" w:cs="Verdana"/>
                <w:i w:val="0"/>
                <w:color w:val="000000" w:themeColor="text1"/>
                <w:lang w:val="es-CO"/>
              </w:rPr>
              <w:t xml:space="preserve">Malla araña (red de escalar)</w:t>
            </w:r>
          </w:p>
        </w:tc>
      </w:tr>
      <w:tr w:rsidR="07FA77B4" w14:paraId="79EC1395" w14:textId="77777777" w:rsidTr="07FA77B4">
        <w:trPr>
          <w:trHeight w:val="300"/>
        </w:trPr>
        <w:tc>
          <w:tcPr>
            <w:tcW w:w="2640" w:type="dxa"/>
            <w:vMerge/>
            <w:tcBorders>
              <w:left w:val="single" w:sz="0" w:space="0" w:color="auto"/>
              <w:right w:val="single" w:sz="0" w:space="0" w:color="auto"/>
            </w:tcBorders>
            <w:vAlign w:val="center"/>
          </w:tcPr>
          <w:p w14:paraId="631EF492"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5F6A8FF" w14:textId="62540D64" w:rsidR="07FA77B4" w:rsidRDefault="07FA77B4" w:rsidP="07FA77B4">
            <w:pPr>
              <w:spacing w:after="0" w:line="240" w:lineRule="auto"/>
              <w:rPr>
                <w:rFonts w:ascii="Verdana" w:eastAsia="Verdana" w:hAnsi="Verdana" w:cs="Verdana"/>
                <w:color w:val="000000" w:themeColor="text1"/>
                <w:lang w:val="en-US"/>
              </w:rPr>
            </w:pPr>
            <w:r>
              <w:t xml:space="preserve">Tubería y lámina de acero galvanizado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51116D42" w14:textId="231D909E" w:rsidR="07FA77B4" w:rsidRDefault="07FA77B4" w:rsidP="07FA77B4">
            <w:pPr>
              <w:spacing w:after="0" w:line="240" w:lineRule="auto"/>
              <w:rPr>
                <w:rFonts w:ascii="Verdana" w:eastAsia="Verdana" w:hAnsi="Verdana" w:cs="Verdana"/>
                <w:color w:val="000000" w:themeColor="text1"/>
                <w:lang w:val="en-US"/>
              </w:rPr>
            </w:pPr>
            <w:r>
              <w:rPr>
                <w:rFonts w:ascii="Verdana" w:eastAsia="Verdana" w:hAnsi="Verdana" w:cs="Verdana"/>
                <w:i w:val="0"/>
                <w:color w:val="000000" w:themeColor="text1"/>
                <w:lang w:val="es-CO"/>
              </w:rPr>
              <w:t xml:space="preserve">Par de aros trapecio y barra trapecio</w:t>
            </w:r>
          </w:p>
        </w:tc>
      </w:tr>
      <w:tr w:rsidR="07FA77B4" w14:paraId="242ABC5A" w14:textId="77777777" w:rsidTr="07FA77B4">
        <w:trPr>
          <w:trHeight w:val="300"/>
        </w:trPr>
        <w:tc>
          <w:tcPr>
            <w:tcW w:w="2640" w:type="dxa"/>
            <w:vMerge/>
            <w:tcBorders>
              <w:left w:val="single" w:sz="0" w:space="0" w:color="auto"/>
              <w:right w:val="single" w:sz="0" w:space="0" w:color="auto"/>
            </w:tcBorders>
            <w:vAlign w:val="center"/>
          </w:tcPr>
          <w:p w14:paraId="535A7AB2"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D253554" w14:textId="28A7805F" w:rsidR="07FA77B4"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014BD8E4" w14:textId="2DFE2A4B" w:rsidR="07FA77B4" w:rsidRDefault="07FA77B4" w:rsidP="07FA77B4">
            <w:pPr>
              <w:spacing w:after="0" w:line="240" w:lineRule="auto"/>
              <w:rPr>
                <w:rFonts w:ascii="Verdana" w:eastAsia="Verdana" w:hAnsi="Verdana" w:cs="Verdana"/>
                <w:color w:val="000000" w:themeColor="text1"/>
                <w:lang w:val="en-US"/>
              </w:rPr>
            </w:pPr>
            <w:r>
              <w:rPr>
                <w:rFonts w:ascii="Verdana" w:eastAsia="Verdana" w:hAnsi="Verdana" w:cs="Verdana"/>
                <w:i w:val="0"/>
                <w:color w:val="000000" w:themeColor="text1"/>
                <w:lang w:val="es-CO"/>
              </w:rPr>
              <w:t xml:space="preserve">Cadenas, herrajes y tornillería galvanizados</w:t>
            </w:r>
          </w:p>
        </w:tc>
      </w:tr>
      <w:tr w:rsidR="07FA77B4" w14:paraId="308BD2DB" w14:textId="77777777" w:rsidTr="07FA77B4">
        <w:trPr>
          <w:trHeight w:val="300"/>
        </w:trPr>
        <w:tc>
          <w:tcPr>
            <w:tcW w:w="2640" w:type="dxa"/>
            <w:vMerge/>
            <w:tcBorders>
              <w:left w:val="single" w:sz="0" w:space="0" w:color="auto"/>
              <w:right w:val="single" w:sz="0" w:space="0" w:color="auto"/>
            </w:tcBorders>
            <w:vAlign w:val="center"/>
          </w:tcPr>
          <w:p w14:paraId="0DE674B4"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1E37BC9" w14:textId="76866D5A" w:rsidR="07FA77B4"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2CFE04A7" w14:textId="082425F7" w:rsidR="07FA77B4" w:rsidRDefault="07FA77B4" w:rsidP="07FA77B4">
            <w:pPr>
              <w:spacing w:after="0" w:line="240" w:lineRule="auto"/>
              <w:rPr>
                <w:rFonts w:ascii="Verdana" w:eastAsia="Verdana" w:hAnsi="Verdana" w:cs="Verdana"/>
                <w:color w:val="000000" w:themeColor="text1"/>
                <w:lang w:val="en-US"/>
              </w:rPr>
            </w:pPr>
            <w:r>
              <w:rPr>
                <w:rFonts w:ascii="Verdana" w:eastAsia="Verdana" w:hAnsi="Verdana" w:cs="Verdana"/>
                <w:i w:val="0"/>
                <w:color w:val="000000" w:themeColor="text1"/>
                <w:lang w:val="es-CO"/>
              </w:rPr>
              <w:t xml:space="preserve">Sellador y pintura no tóxicos (libres de plomo)</w:t>
            </w:r>
          </w:p>
        </w:tc>
      </w:tr>
    </w:tbl>
    <w:p w14:paraId="696BC45A" w14:textId="77777777" w:rsidR="00EC153F" w:rsidRPr="00993777" w:rsidRDefault="00EC153F" w:rsidP="00EC153F">
      <w:pPr>
        <w:spacing w:after="0" w:line="240" w:lineRule="auto"/>
        <w:jc w:val="both"/>
        <w:rPr>
          <w:rFonts w:ascii="Verdana" w:eastAsia="Arial" w:hAnsi="Verdana" w:cs="Times New Roman"/>
          <w:szCs w:val="24"/>
          <w:lang w:val="es-MX"/>
        </w:rPr>
      </w:pPr>
      <w:r>
        <w:rPr>
          <w:rFonts w:ascii="Verdana" w:eastAsia="Arial" w:hAnsi="Verdana" w:cs="Times New Roman"/>
          <w:lang w:val="es-MX"/>
        </w:rPr>
      </w:r>
    </w:p>
    <w:p w14:paraId="696BC45A" w14:textId="77777777" w:rsidR="00EC153F" w:rsidRPr="00993777" w:rsidRDefault="00EC153F" w:rsidP="00EC153F">
      <w:pPr>
        <w:spacing w:after="0" w:line="240" w:lineRule="auto"/>
        <w:jc w:val="both"/>
        <w:rPr>
          <w:rFonts w:ascii="Verdana" w:eastAsia="Arial" w:hAnsi="Verdana" w:cs="Times New Roman"/>
          <w:szCs w:val="24"/>
          <w:lang w:val="es-MX"/>
        </w:rPr>
      </w:pPr>
      <w:r>
        <w:rPr>
          <w:rFonts w:ascii="Verdana" w:eastAsia="Arial" w:hAnsi="Verdana" w:cs="Times New Roman"/>
          <w:lang w:val="es-MX"/>
        </w:rPr>
        <w:t xml:space="preserve">Aplicación al Proceso de Contratación No. SAMC-SP-010-2026: en aplicación de la metodología anterior al Presupuesto Oficial (valor de los bienes e insumos: $63.422.303), los bienes cuyo porcentaje acumulado se encuentra dentro del 80 % son la plataforma castillo (22,55 %), el columpio doble (15,13 %), el pasamanos (13,17 %), el deslizadero (13,08 %) y el mataculín (11,83 %), con un porcentaje acumulado de 75,75 % y un promedio de participación de 15,15 %. En consecuencia, el bien nacional relevante, por tener una participación igual o superior al promedio, es la plataforma castillo (torre de una tarima) con techo a dos aguas en madera de pino inmunizada, con el 22,55 %. De conformidad con la consulta del Registro de Productores de Bienes Nacionales realizada el 19 de octubre de 2026, este bien no se encuentra inscrito en dicho registro, por lo que el puntaje de apoyo a la industria nacional se otorgará a los Proponentes que se comprometan a vincular al menos el cuarenta por ciento (40 %) de personal colombiano, en los términos del numeral 4.3.1 del Pliego de Condiciones.</w:t>
      </w:r>
    </w:p>
    <w:p w14:paraId="224A8025" w14:textId="1914E624" w:rsidR="07FA77B4" w:rsidRDefault="07FA77B4" w:rsidP="07FA77B4">
      <w:pPr>
        <w:rPr>
          <w:rFonts w:ascii="Verdana" w:eastAsia="Verdana" w:hAnsi="Verdana" w:cs="Verdana"/>
          <w:color w:val="000000" w:themeColor="text1"/>
          <w:lang w:val="en-US"/>
        </w:rPr>
      </w:pPr>
    </w:p>
    <w:p w14:paraId="7EF79EDE" w14:textId="28CE11A9" w:rsidR="07FA77B4" w:rsidRDefault="07FA77B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58796EB1" w14:textId="5B7725E6" w:rsidR="07FA77B4" w:rsidRDefault="07FA77B4" w:rsidP="07FA77B4">
      <w:pPr>
        <w:tabs>
          <w:tab w:val="left" w:pos="1134"/>
        </w:tabs>
        <w:spacing w:after="0" w:line="240" w:lineRule="auto"/>
        <w:contextualSpacing/>
        <w:jc w:val="both"/>
        <w:rPr>
          <w:rFonts w:ascii="Verdana" w:eastAsia="Arial" w:hAnsi="Verdana" w:cs="Arial"/>
          <w:color w:val="000000" w:themeColor="text1"/>
          <w:lang w:val="es-CO"/>
        </w:rPr>
      </w:pPr>
    </w:p>
    <w:sectPr w:rsidR="07FA77B4">
      <w:headerReference w:type="default" r:id="rId12"/>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20F569" w14:textId="77777777" w:rsidR="00082715" w:rsidRDefault="00082715" w:rsidP="00EC30DA">
      <w:pPr>
        <w:spacing w:after="0" w:line="240" w:lineRule="auto"/>
      </w:pPr>
      <w:r>
        <w:separator/>
      </w:r>
    </w:p>
  </w:endnote>
  <w:endnote w:type="continuationSeparator" w:id="0">
    <w:p w14:paraId="62373367" w14:textId="77777777" w:rsidR="00082715" w:rsidRDefault="00082715"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02C6B" w14:textId="5257527F" w:rsidR="00921956" w:rsidRPr="00867B18" w:rsidRDefault="00993777" w:rsidP="00867B18">
    <w:pPr>
      <w:pStyle w:val="Piedepgina"/>
      <w:jc w:val="right"/>
      <w:rPr>
        <w:rFonts w:ascii="Verdana" w:hAnsi="Verdana"/>
        <w:sz w:val="16"/>
        <w:szCs w:val="16"/>
        <w:lang w:val="es-CO"/>
      </w:rPr>
    </w:pPr>
    <w:r w:rsidRPr="00867B18">
      <w:rPr>
        <w:rFonts w:ascii="Verdana" w:hAnsi="Verdana"/>
        <w:sz w:val="16"/>
        <w:szCs w:val="16"/>
        <w:lang w:val="es-CO"/>
      </w:rPr>
      <w:t>Ver</w:t>
    </w:r>
    <w:r w:rsidR="004854ED" w:rsidRPr="00867B18">
      <w:rPr>
        <w:rFonts w:ascii="Verdana" w:hAnsi="Verdana"/>
        <w:sz w:val="16"/>
        <w:szCs w:val="16"/>
        <w:lang w:val="es-CO"/>
      </w:rPr>
      <w:t xml:space="preserve">sión: </w:t>
    </w:r>
    <w:r w:rsidR="00851C6D" w:rsidRPr="00867B18">
      <w:rPr>
        <w:rFonts w:ascii="Verdana" w:hAnsi="Verdana"/>
        <w:sz w:val="16"/>
        <w:szCs w:val="16"/>
        <w:lang w:val="es-CO"/>
      </w:rPr>
      <w:t>1 de</w:t>
    </w:r>
    <w:r w:rsidR="00867B18" w:rsidRPr="00867B18">
      <w:rPr>
        <w:rFonts w:ascii="Verdana" w:hAnsi="Verdana"/>
        <w:sz w:val="16"/>
        <w:szCs w:val="16"/>
        <w:lang w:val="es-CO"/>
      </w:rPr>
      <w:t>l</w:t>
    </w:r>
    <w:r w:rsidR="00851C6D" w:rsidRPr="00867B18">
      <w:rPr>
        <w:rFonts w:ascii="Verdana" w:hAnsi="Verdana"/>
        <w:sz w:val="16"/>
        <w:szCs w:val="16"/>
        <w:lang w:val="es-CO"/>
      </w:rPr>
      <w:t xml:space="preserve"> </w:t>
    </w:r>
    <w:r w:rsidR="00583623">
      <w:rPr>
        <w:rFonts w:ascii="Verdana" w:hAnsi="Verdana"/>
        <w:sz w:val="16"/>
        <w:szCs w:val="16"/>
        <w:lang w:val="es-CO"/>
      </w:rPr>
      <w:t>21</w:t>
    </w:r>
    <w:r w:rsidR="00851C6D" w:rsidRPr="00867B18">
      <w:rPr>
        <w:rFonts w:ascii="Verdana" w:hAnsi="Verdana"/>
        <w:sz w:val="16"/>
        <w:szCs w:val="16"/>
        <w:lang w:val="es-CO"/>
      </w:rPr>
      <w:t xml:space="preserve"> de </w:t>
    </w:r>
    <w:r w:rsidR="00583623">
      <w:rPr>
        <w:rFonts w:ascii="Verdana" w:hAnsi="Verdana"/>
        <w:sz w:val="16"/>
        <w:szCs w:val="16"/>
        <w:lang w:val="es-CO"/>
      </w:rPr>
      <w:t>agosto</w:t>
    </w:r>
    <w:r w:rsidR="00851C6D" w:rsidRPr="00867B18">
      <w:rPr>
        <w:rFonts w:ascii="Verdana" w:hAnsi="Verdana"/>
        <w:sz w:val="16"/>
        <w:szCs w:val="16"/>
        <w:lang w:val="es-CO"/>
      </w:rPr>
      <w:t xml:space="preserve"> de </w:t>
    </w:r>
    <w:r w:rsidR="00867B18" w:rsidRPr="00867B18">
      <w:rPr>
        <w:rFonts w:ascii="Verdana" w:hAnsi="Verdana"/>
        <w:sz w:val="16"/>
        <w:szCs w:val="16"/>
        <w:lang w:val="es-CO"/>
      </w:rPr>
      <w:t>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B05A5A" w14:textId="77777777" w:rsidR="00082715" w:rsidRDefault="00082715" w:rsidP="00EC30DA">
      <w:pPr>
        <w:spacing w:after="0" w:line="240" w:lineRule="auto"/>
      </w:pPr>
      <w:r>
        <w:separator/>
      </w:r>
    </w:p>
  </w:footnote>
  <w:footnote w:type="continuationSeparator" w:id="0">
    <w:p w14:paraId="42564AF6" w14:textId="77777777" w:rsidR="00082715" w:rsidRDefault="00082715"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C8EE86" w14:textId="77777777" w:rsidR="00993777" w:rsidRPr="00993777" w:rsidRDefault="00993777" w:rsidP="00993777">
    <w:pPr>
      <w:tabs>
        <w:tab w:val="center" w:pos="4419"/>
        <w:tab w:val="right" w:pos="8838"/>
      </w:tabs>
      <w:spacing w:after="0"/>
      <w:jc w:val="center"/>
      <w:rPr>
        <w:rFonts w:ascii="Verdana" w:hAnsi="Verdana" w:cs="Arial"/>
        <w:b/>
      </w:rPr>
    </w:pPr>
    <w:r w:rsidRPr="00993777">
      <w:rPr>
        <w:rFonts w:ascii="Verdana" w:hAnsi="Verdana" w:cs="Arial"/>
        <w:b/>
      </w:rPr>
      <w:t>MATRIZ 4 – BIENES RELEVANTES</w:t>
    </w:r>
  </w:p>
  <w:p w14:paraId="57BAAD2C" w14:textId="6773869C" w:rsidR="002867D6" w:rsidRPr="00993777" w:rsidRDefault="07FA77B4" w:rsidP="00993777">
    <w:pPr>
      <w:pStyle w:val="Encabezado"/>
      <w:jc w:val="center"/>
      <w:rPr>
        <w:rFonts w:ascii="Verdana" w:hAnsi="Verdana"/>
        <w:sz w:val="32"/>
        <w:szCs w:val="32"/>
      </w:rPr>
    </w:pPr>
    <w:r w:rsidRPr="07FA77B4">
      <w:rPr>
        <w:rFonts w:ascii="Verdana" w:hAnsi="Verdana" w:cs="Arial"/>
        <w:b/>
        <w:bCs/>
      </w:rPr>
      <w:t>OBRA PÚBLICA DE INFRAESTRUCTURA DE SOCIAL</w:t>
    </w:r>
  </w:p>
  <w:p w14:paraId="648CE71C" w14:textId="7A3C8547" w:rsidR="07FA77B4" w:rsidRDefault="07FA77B4" w:rsidP="07FA77B4">
    <w:pPr>
      <w:pStyle w:val="Encabezado"/>
      <w:jc w:val="center"/>
      <w:rPr>
        <w:rFonts w:ascii="Verdana" w:hAnsi="Verdana" w:cs="Arial"/>
        <w:b/>
        <w:bCs/>
      </w:rPr>
    </w:pPr>
    <w:r w:rsidRPr="07FA77B4">
      <w:rPr>
        <w:rFonts w:ascii="Verdana" w:hAnsi="Verdana" w:cs="Arial"/>
        <w:b/>
        <w:bCs/>
      </w:rPr>
      <w:t>MENOR CUANTÍA SECTOR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082715"/>
    <w:rsid w:val="00124A4D"/>
    <w:rsid w:val="00152E47"/>
    <w:rsid w:val="002867D6"/>
    <w:rsid w:val="003B3739"/>
    <w:rsid w:val="00440605"/>
    <w:rsid w:val="004854ED"/>
    <w:rsid w:val="00583623"/>
    <w:rsid w:val="00583AE8"/>
    <w:rsid w:val="005D0C34"/>
    <w:rsid w:val="00605C12"/>
    <w:rsid w:val="0068540B"/>
    <w:rsid w:val="00851C6D"/>
    <w:rsid w:val="00862F10"/>
    <w:rsid w:val="00867B18"/>
    <w:rsid w:val="008A4831"/>
    <w:rsid w:val="008D62C7"/>
    <w:rsid w:val="008E0BB5"/>
    <w:rsid w:val="00921956"/>
    <w:rsid w:val="00974AC8"/>
    <w:rsid w:val="00993777"/>
    <w:rsid w:val="009E1A9B"/>
    <w:rsid w:val="00A17713"/>
    <w:rsid w:val="00A76A0A"/>
    <w:rsid w:val="00AD46BF"/>
    <w:rsid w:val="00B1141A"/>
    <w:rsid w:val="00B9627F"/>
    <w:rsid w:val="00CE23D6"/>
    <w:rsid w:val="00D72554"/>
    <w:rsid w:val="00DA4845"/>
    <w:rsid w:val="00EC153F"/>
    <w:rsid w:val="00EC30DA"/>
    <w:rsid w:val="0115F3C6"/>
    <w:rsid w:val="07FA77B4"/>
    <w:rsid w:val="1626B387"/>
    <w:rsid w:val="17D84E5A"/>
    <w:rsid w:val="273F25F1"/>
    <w:rsid w:val="2BB84BEC"/>
    <w:rsid w:val="2DC671A7"/>
    <w:rsid w:val="358A4C83"/>
    <w:rsid w:val="46D6772A"/>
    <w:rsid w:val="48A5D8A1"/>
    <w:rsid w:val="4DD5FCCF"/>
    <w:rsid w:val="5BDC5AD7"/>
    <w:rsid w:val="5BE87DF5"/>
    <w:rsid w:val="740DC592"/>
    <w:rsid w:val="7547A647"/>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227944-370C-481F-845E-0B416877D5E4}">
  <ds:schemaRefs>
    <ds:schemaRef ds:uri="http://schemas.microsoft.com/sharepoint/v3/contenttype/forms"/>
  </ds:schemaRefs>
</ds:datastoreItem>
</file>

<file path=customXml/itemProps2.xml><?xml version="1.0" encoding="utf-8"?>
<ds:datastoreItem xmlns:ds="http://schemas.openxmlformats.org/officeDocument/2006/customXml" ds:itemID="{F2CE4FEF-0258-4B5B-B2AE-6C94DD025B44}">
  <ds:schemaRefs>
    <ds:schemaRef ds:uri="http://purl.org/dc/elements/1.1/"/>
    <ds:schemaRef ds:uri="http://schemas.microsoft.com/office/2006/documentManagement/types"/>
    <ds:schemaRef ds:uri="http://schemas.microsoft.com/office/2006/metadata/properties"/>
    <ds:schemaRef ds:uri="http://schemas.microsoft.com/office/infopath/2007/PartnerControls"/>
    <ds:schemaRef ds:uri="http://www.w3.org/XML/1998/namespace"/>
    <ds:schemaRef ds:uri="http://purl.org/dc/terms/"/>
    <ds:schemaRef ds:uri="9d85dbaf-23eb-4e57-a637-93dcacc8b1a1"/>
    <ds:schemaRef ds:uri="a6cb9e4b-f1d1-4245-83ec-6cad768d538a"/>
    <ds:schemaRef ds:uri="http://schemas.openxmlformats.org/package/2006/metadata/core-properties"/>
    <ds:schemaRef ds:uri="http://purl.org/dc/dcmitype/"/>
  </ds:schemaRefs>
</ds:datastoreItem>
</file>

<file path=customXml/itemProps3.xml><?xml version="1.0" encoding="utf-8"?>
<ds:datastoreItem xmlns:ds="http://schemas.openxmlformats.org/officeDocument/2006/customXml" ds:itemID="{C89FE4BC-DC16-461F-9610-C42041295A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1049</Words>
  <Characters>5771</Characters>
  <Application>Microsoft Office Word</Application>
  <DocSecurity>0</DocSecurity>
  <Lines>48</Lines>
  <Paragraphs>13</Paragraphs>
  <ScaleCrop>false</ScaleCrop>
  <Company/>
  <LinksUpToDate>false</LinksUpToDate>
  <CharactersWithSpaces>6807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Adriana Lopez Rodriguez</cp:lastModifiedBy>
  <cp:revision>11</cp:revision>
  <cp:lastPrinted>2021-10-06T14:45:00Z</cp:lastPrinted>
  <dcterms:created xsi:type="dcterms:W3CDTF">2022-08-01T21:31:00Z</dcterms:created>
  <dcterms:modified xsi:type="dcterms:W3CDTF">2025-08-25T15:47:00Z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