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72579" w14:textId="77777777" w:rsidR="00D53A37" w:rsidRPr="001E3F24" w:rsidRDefault="00D53A37" w:rsidP="00447631">
      <w:pPr>
        <w:jc w:val="both"/>
        <w:rPr>
          <w:rFonts w:ascii="Arial" w:hAnsi="Arial" w:cs="Arial"/>
          <w:sz w:val="20"/>
          <w:szCs w:val="20"/>
          <w:lang w:val="es-CO"/>
        </w:rPr>
      </w:pPr>
    </w:p>
    <w:p w14:paraId="30B57CE8" w14:textId="77777777" w:rsidR="00447631" w:rsidRPr="001E3F24" w:rsidRDefault="00447631" w:rsidP="00447631">
      <w:pPr>
        <w:jc w:val="both"/>
        <w:rPr>
          <w:rFonts w:ascii="Arial" w:hAnsi="Arial" w:cs="Arial"/>
          <w:sz w:val="20"/>
          <w:szCs w:val="20"/>
          <w:lang w:val="es-CO"/>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6679"/>
      </w:tblGrid>
      <w:tr w:rsidR="00C06459" w:rsidRPr="001E3F24" w14:paraId="07F3172F" w14:textId="77777777" w:rsidTr="00F741C8">
        <w:tc>
          <w:tcPr>
            <w:tcW w:w="2410" w:type="dxa"/>
          </w:tcPr>
          <w:p w14:paraId="3D85A3FA" w14:textId="77777777" w:rsidR="00C06459" w:rsidRPr="001E3F24" w:rsidRDefault="00C06459" w:rsidP="00117135">
            <w:pPr>
              <w:jc w:val="both"/>
              <w:rPr>
                <w:rFonts w:ascii="Arial" w:hAnsi="Arial" w:cs="Arial"/>
                <w:b/>
                <w:bCs/>
                <w:sz w:val="20"/>
                <w:szCs w:val="20"/>
              </w:rPr>
            </w:pPr>
            <w:r w:rsidRPr="001E3F24">
              <w:rPr>
                <w:rFonts w:ascii="Arial" w:hAnsi="Arial" w:cs="Arial"/>
                <w:b/>
                <w:bCs/>
                <w:sz w:val="20"/>
                <w:szCs w:val="20"/>
              </w:rPr>
              <w:t>OBJETO A CONTRATAR:</w:t>
            </w:r>
          </w:p>
        </w:tc>
        <w:tc>
          <w:tcPr>
            <w:tcW w:w="6679" w:type="dxa"/>
          </w:tcPr>
          <w:p w14:paraId="56AB2E07" w14:textId="77777777" w:rsidR="001E3F24" w:rsidRDefault="001E3F24" w:rsidP="00913CC1">
            <w:pPr>
              <w:widowControl w:val="0"/>
              <w:autoSpaceDE w:val="0"/>
              <w:autoSpaceDN w:val="0"/>
              <w:adjustRightInd w:val="0"/>
              <w:jc w:val="both"/>
              <w:rPr>
                <w:rFonts w:ascii="Arial" w:hAnsi="Arial" w:cs="Arial"/>
                <w:sz w:val="20"/>
                <w:szCs w:val="20"/>
                <w:u w:val="single"/>
              </w:rPr>
            </w:pPr>
          </w:p>
          <w:p w14:paraId="0FD8DBC6" w14:textId="77777777" w:rsidR="00CB4CA4" w:rsidRDefault="004435C9" w:rsidP="00913CC1">
            <w:pPr>
              <w:widowControl w:val="0"/>
              <w:autoSpaceDE w:val="0"/>
              <w:autoSpaceDN w:val="0"/>
              <w:adjustRightInd w:val="0"/>
              <w:jc w:val="both"/>
              <w:rPr>
                <w:rFonts w:ascii="Arial" w:hAnsi="Arial" w:cs="Arial"/>
                <w:sz w:val="20"/>
                <w:szCs w:val="20"/>
              </w:rPr>
            </w:pPr>
            <w:r w:rsidRPr="00AE7198">
              <w:rPr>
                <w:rFonts w:ascii="Arial" w:hAnsi="Arial" w:cs="Arial"/>
                <w:sz w:val="20"/>
                <w:szCs w:val="20"/>
              </w:rPr>
              <w:t>CONSTRUCCIÓN PRIMERA ETAPA DE LAS OBRAS DESTINADAS A LA SEGURIDAD VIAL Y LA MEJORA DE LA MOVILIDAD, MEDIANTE EL MEJORAMIENTO, REHABILITACIÓN Y EMBELLECIMIENTO DE ZONAS URBANÍSTICAS EN ANDENES, ESPACIO PÚBLICO Y EL BULEVAR CENTRAL DEL SECTOR DEL CRUCE EN EL MUNICIPIO DE BOSCONIA, CESAR</w:t>
            </w:r>
            <w:r>
              <w:rPr>
                <w:rFonts w:ascii="Arial" w:hAnsi="Arial" w:cs="Arial"/>
                <w:sz w:val="20"/>
                <w:szCs w:val="20"/>
              </w:rPr>
              <w:t>.</w:t>
            </w:r>
          </w:p>
          <w:p w14:paraId="4AF0838A" w14:textId="6839E37B" w:rsidR="004435C9" w:rsidRPr="001E3F24" w:rsidRDefault="004435C9" w:rsidP="00913CC1">
            <w:pPr>
              <w:widowControl w:val="0"/>
              <w:autoSpaceDE w:val="0"/>
              <w:autoSpaceDN w:val="0"/>
              <w:adjustRightInd w:val="0"/>
              <w:jc w:val="both"/>
              <w:rPr>
                <w:rFonts w:ascii="Arial" w:hAnsi="Arial" w:cs="Arial"/>
                <w:sz w:val="20"/>
                <w:szCs w:val="20"/>
              </w:rPr>
            </w:pPr>
          </w:p>
        </w:tc>
      </w:tr>
      <w:tr w:rsidR="00C06459" w:rsidRPr="001E3F24" w14:paraId="4A59C960" w14:textId="77777777" w:rsidTr="00F741C8">
        <w:tc>
          <w:tcPr>
            <w:tcW w:w="2410" w:type="dxa"/>
          </w:tcPr>
          <w:p w14:paraId="13CD1595" w14:textId="0D73F899" w:rsidR="00C06459" w:rsidRPr="001E3F24" w:rsidRDefault="00C06459" w:rsidP="00117135">
            <w:pPr>
              <w:jc w:val="both"/>
              <w:rPr>
                <w:rFonts w:ascii="Arial" w:hAnsi="Arial" w:cs="Arial"/>
                <w:b/>
                <w:color w:val="000000"/>
                <w:sz w:val="20"/>
                <w:szCs w:val="20"/>
              </w:rPr>
            </w:pPr>
            <w:r w:rsidRPr="001E3F24">
              <w:rPr>
                <w:rFonts w:ascii="Arial" w:hAnsi="Arial" w:cs="Arial"/>
                <w:b/>
                <w:color w:val="000000"/>
                <w:sz w:val="20"/>
                <w:szCs w:val="20"/>
              </w:rPr>
              <w:t>PRESUPUESTO OFICIAL:</w:t>
            </w:r>
          </w:p>
        </w:tc>
        <w:tc>
          <w:tcPr>
            <w:tcW w:w="6679" w:type="dxa"/>
          </w:tcPr>
          <w:p w14:paraId="3DC1AEC0" w14:textId="12FD6198" w:rsidR="00C06459" w:rsidRPr="001E3F24" w:rsidRDefault="00126208" w:rsidP="00117135">
            <w:pPr>
              <w:jc w:val="both"/>
              <w:rPr>
                <w:rFonts w:ascii="Arial" w:hAnsi="Arial" w:cs="Arial"/>
                <w:color w:val="000000"/>
                <w:sz w:val="20"/>
                <w:szCs w:val="20"/>
              </w:rPr>
            </w:pPr>
            <w:r w:rsidRPr="00126208">
              <w:rPr>
                <w:rFonts w:ascii="Arial" w:hAnsi="Arial" w:cs="Arial"/>
                <w:color w:val="000000"/>
                <w:sz w:val="20"/>
                <w:szCs w:val="20"/>
              </w:rPr>
              <w:t>CUATROCIENTOS VEINTIOCHO MILLONES TREINTA Y TRES MIL CIENTO CINCUENTA Y UN PESOS M/CTE ($428.033.151,00).</w:t>
            </w:r>
          </w:p>
        </w:tc>
      </w:tr>
      <w:tr w:rsidR="00C06459" w:rsidRPr="001E3F24" w14:paraId="7EAA4EA5" w14:textId="77777777" w:rsidTr="00F741C8">
        <w:tc>
          <w:tcPr>
            <w:tcW w:w="2410" w:type="dxa"/>
          </w:tcPr>
          <w:p w14:paraId="718F489B" w14:textId="77777777" w:rsidR="00C06459" w:rsidRPr="001E3F24" w:rsidRDefault="00C06459" w:rsidP="00117135">
            <w:pPr>
              <w:jc w:val="both"/>
              <w:rPr>
                <w:rFonts w:ascii="Arial" w:hAnsi="Arial" w:cs="Arial"/>
                <w:b/>
                <w:color w:val="000000"/>
                <w:sz w:val="20"/>
                <w:szCs w:val="20"/>
              </w:rPr>
            </w:pPr>
            <w:r w:rsidRPr="001E3F24">
              <w:rPr>
                <w:rFonts w:ascii="Arial" w:hAnsi="Arial" w:cs="Arial"/>
                <w:b/>
                <w:color w:val="000000"/>
                <w:sz w:val="20"/>
                <w:szCs w:val="20"/>
              </w:rPr>
              <w:t xml:space="preserve">PLAZO:  </w:t>
            </w:r>
          </w:p>
        </w:tc>
        <w:tc>
          <w:tcPr>
            <w:tcW w:w="6679" w:type="dxa"/>
          </w:tcPr>
          <w:p w14:paraId="20E14F42" w14:textId="4EA70EB1" w:rsidR="001E3F24" w:rsidRPr="001E3F24" w:rsidRDefault="00126208" w:rsidP="00117135">
            <w:pPr>
              <w:jc w:val="both"/>
              <w:rPr>
                <w:rFonts w:ascii="Arial" w:hAnsi="Arial" w:cs="Arial"/>
                <w:bCs/>
                <w:sz w:val="20"/>
                <w:szCs w:val="20"/>
              </w:rPr>
            </w:pPr>
            <w:r>
              <w:rPr>
                <w:rFonts w:ascii="Arial" w:hAnsi="Arial" w:cs="Arial"/>
                <w:bCs/>
                <w:sz w:val="20"/>
                <w:szCs w:val="20"/>
              </w:rPr>
              <w:t>Hasta 31 de diciembre de 2026</w:t>
            </w:r>
          </w:p>
        </w:tc>
      </w:tr>
      <w:tr w:rsidR="00C06459" w:rsidRPr="001E3F24" w14:paraId="5FFE9AF6" w14:textId="77777777" w:rsidTr="00F741C8">
        <w:tc>
          <w:tcPr>
            <w:tcW w:w="2410" w:type="dxa"/>
          </w:tcPr>
          <w:p w14:paraId="7758B17A" w14:textId="77777777" w:rsidR="00C64CE7" w:rsidRDefault="00C64CE7" w:rsidP="00117135">
            <w:pPr>
              <w:jc w:val="both"/>
              <w:rPr>
                <w:rFonts w:ascii="Arial" w:hAnsi="Arial" w:cs="Arial"/>
                <w:b/>
                <w:bCs/>
                <w:sz w:val="20"/>
                <w:szCs w:val="20"/>
              </w:rPr>
            </w:pPr>
          </w:p>
          <w:p w14:paraId="66980E91" w14:textId="77777777" w:rsidR="00C06459" w:rsidRPr="001E3F24" w:rsidRDefault="00C06459" w:rsidP="00117135">
            <w:pPr>
              <w:jc w:val="both"/>
              <w:rPr>
                <w:rFonts w:ascii="Arial" w:hAnsi="Arial" w:cs="Arial"/>
                <w:b/>
                <w:bCs/>
                <w:sz w:val="20"/>
                <w:szCs w:val="20"/>
              </w:rPr>
            </w:pPr>
            <w:r w:rsidRPr="001E3F24">
              <w:rPr>
                <w:rFonts w:ascii="Arial" w:hAnsi="Arial" w:cs="Arial"/>
                <w:b/>
                <w:bCs/>
                <w:sz w:val="20"/>
                <w:szCs w:val="20"/>
              </w:rPr>
              <w:t>CLASIFICACIÓN DEL SERVICIO Y EL SECTOR AL CUAL PERTENECEN</w:t>
            </w:r>
          </w:p>
        </w:tc>
        <w:tc>
          <w:tcPr>
            <w:tcW w:w="6679" w:type="dxa"/>
          </w:tcPr>
          <w:p w14:paraId="7273CFFA" w14:textId="0C1A1A90" w:rsidR="00C06459" w:rsidRPr="001E3F24" w:rsidRDefault="004435C9" w:rsidP="00117135">
            <w:pPr>
              <w:jc w:val="both"/>
              <w:rPr>
                <w:rFonts w:ascii="Arial" w:hAnsi="Arial" w:cs="Arial"/>
                <w:bCs/>
                <w:sz w:val="20"/>
                <w:szCs w:val="20"/>
              </w:rPr>
            </w:pPr>
            <w:r>
              <w:rPr>
                <w:noProof/>
                <w:lang w:val="es-ES"/>
              </w:rPr>
              <w:drawing>
                <wp:inline distT="0" distB="0" distL="0" distR="0" wp14:anchorId="6079BD15" wp14:editId="3957C65D">
                  <wp:extent cx="3225800" cy="702310"/>
                  <wp:effectExtent l="0" t="0" r="0" b="889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3625" r="4290" b="25727"/>
                          <a:stretch/>
                        </pic:blipFill>
                        <pic:spPr bwMode="auto">
                          <a:xfrm>
                            <a:off x="0" y="0"/>
                            <a:ext cx="3229001" cy="70300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C06459" w:rsidRPr="001E3F24" w14:paraId="5B8F18BE" w14:textId="77777777" w:rsidTr="00F741C8">
        <w:tc>
          <w:tcPr>
            <w:tcW w:w="2410" w:type="dxa"/>
          </w:tcPr>
          <w:p w14:paraId="458BB3FF" w14:textId="77777777" w:rsidR="00C06459" w:rsidRPr="001E3F24" w:rsidRDefault="00C06459" w:rsidP="00117135">
            <w:pPr>
              <w:jc w:val="both"/>
              <w:rPr>
                <w:rFonts w:ascii="Arial" w:hAnsi="Arial" w:cs="Arial"/>
                <w:b/>
                <w:bCs/>
                <w:sz w:val="20"/>
                <w:szCs w:val="20"/>
              </w:rPr>
            </w:pPr>
            <w:r w:rsidRPr="001E3F24">
              <w:rPr>
                <w:rFonts w:ascii="Arial" w:hAnsi="Arial" w:cs="Arial"/>
                <w:b/>
                <w:bCs/>
                <w:sz w:val="20"/>
                <w:szCs w:val="20"/>
              </w:rPr>
              <w:t>CLASE DE CONTRATO A CELEBRAR</w:t>
            </w:r>
          </w:p>
        </w:tc>
        <w:tc>
          <w:tcPr>
            <w:tcW w:w="6679" w:type="dxa"/>
          </w:tcPr>
          <w:p w14:paraId="7761C1A9" w14:textId="77777777" w:rsidR="004435C9" w:rsidRDefault="004435C9" w:rsidP="006906E2">
            <w:pPr>
              <w:jc w:val="both"/>
              <w:rPr>
                <w:rFonts w:ascii="Arial" w:hAnsi="Arial" w:cs="Arial"/>
                <w:bCs/>
                <w:sz w:val="20"/>
                <w:szCs w:val="20"/>
              </w:rPr>
            </w:pPr>
          </w:p>
          <w:p w14:paraId="1B85154E" w14:textId="3A8A22BA" w:rsidR="00C06459" w:rsidRPr="001E3F24" w:rsidRDefault="002C19A9" w:rsidP="006906E2">
            <w:pPr>
              <w:jc w:val="both"/>
              <w:rPr>
                <w:rFonts w:ascii="Arial" w:hAnsi="Arial" w:cs="Arial"/>
                <w:bCs/>
                <w:sz w:val="20"/>
                <w:szCs w:val="20"/>
              </w:rPr>
            </w:pPr>
            <w:r w:rsidRPr="001E3F24">
              <w:rPr>
                <w:rFonts w:ascii="Arial" w:hAnsi="Arial" w:cs="Arial"/>
                <w:bCs/>
                <w:sz w:val="20"/>
                <w:szCs w:val="20"/>
              </w:rPr>
              <w:t>CONTRATO</w:t>
            </w:r>
            <w:r w:rsidR="00A606EE" w:rsidRPr="001E3F24">
              <w:rPr>
                <w:rFonts w:ascii="Arial" w:hAnsi="Arial" w:cs="Arial"/>
                <w:bCs/>
                <w:sz w:val="20"/>
                <w:szCs w:val="20"/>
              </w:rPr>
              <w:t xml:space="preserve"> DE </w:t>
            </w:r>
            <w:r w:rsidR="006906E2" w:rsidRPr="001E3F24">
              <w:rPr>
                <w:rFonts w:ascii="Arial" w:hAnsi="Arial" w:cs="Arial"/>
                <w:bCs/>
                <w:sz w:val="20"/>
                <w:szCs w:val="20"/>
              </w:rPr>
              <w:t>OBRA</w:t>
            </w:r>
          </w:p>
        </w:tc>
      </w:tr>
    </w:tbl>
    <w:p w14:paraId="1BB50ED6" w14:textId="77777777" w:rsidR="00C06459" w:rsidRPr="001E3F24" w:rsidRDefault="00C06459" w:rsidP="00C06459">
      <w:pPr>
        <w:pStyle w:val="western"/>
        <w:shd w:val="clear" w:color="auto" w:fill="FFFFFF"/>
        <w:spacing w:before="0" w:beforeAutospacing="0" w:after="0" w:afterAutospacing="0"/>
        <w:jc w:val="center"/>
        <w:rPr>
          <w:rFonts w:ascii="Arial" w:hAnsi="Arial" w:cs="Arial"/>
          <w:b/>
          <w:bCs/>
          <w:sz w:val="20"/>
          <w:szCs w:val="20"/>
        </w:rPr>
      </w:pPr>
      <w:r w:rsidRPr="001E3F24">
        <w:rPr>
          <w:rFonts w:ascii="Arial" w:hAnsi="Arial" w:cs="Arial"/>
          <w:b/>
          <w:bCs/>
          <w:sz w:val="20"/>
          <w:szCs w:val="20"/>
        </w:rPr>
        <w:t xml:space="preserve"> </w:t>
      </w:r>
    </w:p>
    <w:p w14:paraId="0C06EB1B" w14:textId="77777777" w:rsidR="00C06459" w:rsidRPr="001E3F24" w:rsidRDefault="00C06459" w:rsidP="00C06459">
      <w:pPr>
        <w:autoSpaceDE w:val="0"/>
        <w:autoSpaceDN w:val="0"/>
        <w:adjustRightInd w:val="0"/>
        <w:jc w:val="both"/>
        <w:rPr>
          <w:rFonts w:ascii="Arial" w:eastAsia="Times New Roman" w:hAnsi="Arial" w:cs="Arial"/>
          <w:color w:val="000000"/>
          <w:sz w:val="20"/>
          <w:szCs w:val="20"/>
          <w:lang w:eastAsia="es-CO"/>
        </w:rPr>
      </w:pPr>
      <w:r w:rsidRPr="001E3F24">
        <w:rPr>
          <w:rFonts w:ascii="Arial" w:eastAsia="Times New Roman" w:hAnsi="Arial" w:cs="Arial"/>
          <w:color w:val="000000"/>
          <w:sz w:val="20"/>
          <w:szCs w:val="20"/>
          <w:lang w:eastAsia="es-CO"/>
        </w:rPr>
        <w:t xml:space="preserve">De conformidad con lo dispuesto en el </w:t>
      </w:r>
      <w:r w:rsidRPr="001E3F24">
        <w:rPr>
          <w:rFonts w:ascii="Arial" w:eastAsia="Times New Roman" w:hAnsi="Arial" w:cs="Arial"/>
          <w:b/>
          <w:color w:val="000000"/>
          <w:sz w:val="20"/>
          <w:szCs w:val="20"/>
          <w:lang w:eastAsia="es-CO"/>
        </w:rPr>
        <w:t xml:space="preserve">art. </w:t>
      </w:r>
      <w:r w:rsidR="00122158" w:rsidRPr="001E3F24">
        <w:rPr>
          <w:rFonts w:ascii="Arial" w:eastAsia="Times New Roman" w:hAnsi="Arial" w:cs="Arial"/>
          <w:b/>
          <w:bCs/>
          <w:color w:val="000000"/>
          <w:sz w:val="20"/>
          <w:szCs w:val="20"/>
          <w:lang w:eastAsia="es-CO"/>
        </w:rPr>
        <w:t>2.2.1.1.1.6.1.</w:t>
      </w:r>
      <w:r w:rsidRPr="001E3F24">
        <w:rPr>
          <w:rFonts w:ascii="Arial" w:eastAsia="Times New Roman" w:hAnsi="Arial" w:cs="Arial"/>
          <w:b/>
          <w:color w:val="000000"/>
          <w:sz w:val="20"/>
          <w:szCs w:val="20"/>
          <w:lang w:eastAsia="es-CO"/>
        </w:rPr>
        <w:t xml:space="preserve"> del decreto 1</w:t>
      </w:r>
      <w:r w:rsidR="00122158" w:rsidRPr="001E3F24">
        <w:rPr>
          <w:rFonts w:ascii="Arial" w:eastAsia="Times New Roman" w:hAnsi="Arial" w:cs="Arial"/>
          <w:b/>
          <w:color w:val="000000"/>
          <w:sz w:val="20"/>
          <w:szCs w:val="20"/>
          <w:lang w:eastAsia="es-CO"/>
        </w:rPr>
        <w:t>082 de 2015</w:t>
      </w:r>
      <w:r w:rsidRPr="001E3F24">
        <w:rPr>
          <w:rFonts w:ascii="Arial" w:eastAsia="Times New Roman" w:hAnsi="Arial" w:cs="Arial"/>
          <w:color w:val="000000"/>
          <w:sz w:val="20"/>
          <w:szCs w:val="20"/>
          <w:lang w:eastAsia="es-CO"/>
        </w:rPr>
        <w:t xml:space="preserve"> y en la guía para la elaboración de los estudios del sector (Versión G-EES-01) expedida por la AGENCIA NACIONAL COLOMBIA COMPRA EFICIENTE en los Procesos de Contratación de mínima cuantía el alcance del estudio de sector debe ser proporcionado al valor del Proceso de Contratación, la naturaleza del objeto a contratar, el tipo de contrato y a los Riesgos identificados para el Proceso de Contratación.</w:t>
      </w:r>
    </w:p>
    <w:p w14:paraId="0076299A" w14:textId="77777777" w:rsidR="00C06459" w:rsidRPr="001E3F24" w:rsidRDefault="00C06459" w:rsidP="00C06459">
      <w:pPr>
        <w:pStyle w:val="western"/>
        <w:shd w:val="clear" w:color="auto" w:fill="FFFFFF"/>
        <w:spacing w:before="0" w:beforeAutospacing="0" w:after="0" w:afterAutospacing="0"/>
        <w:rPr>
          <w:rFonts w:ascii="Arial" w:hAnsi="Arial" w:cs="Arial"/>
          <w:b/>
          <w:bCs/>
          <w:sz w:val="20"/>
          <w:szCs w:val="20"/>
        </w:rPr>
      </w:pPr>
    </w:p>
    <w:p w14:paraId="5026B4AA" w14:textId="77777777" w:rsidR="00C06459" w:rsidRPr="001E3F24" w:rsidRDefault="00C06459" w:rsidP="00C06459">
      <w:pPr>
        <w:autoSpaceDE w:val="0"/>
        <w:autoSpaceDN w:val="0"/>
        <w:adjustRightInd w:val="0"/>
        <w:jc w:val="both"/>
        <w:rPr>
          <w:rFonts w:ascii="Arial" w:eastAsia="Times New Roman" w:hAnsi="Arial" w:cs="Arial"/>
          <w:color w:val="000000"/>
          <w:sz w:val="20"/>
          <w:szCs w:val="20"/>
          <w:lang w:eastAsia="es-CO"/>
        </w:rPr>
      </w:pPr>
      <w:r w:rsidRPr="001E3F24">
        <w:rPr>
          <w:rFonts w:ascii="Arial" w:eastAsia="Times New Roman" w:hAnsi="Arial" w:cs="Arial"/>
          <w:color w:val="000000"/>
          <w:sz w:val="20"/>
          <w:szCs w:val="20"/>
          <w:lang w:eastAsia="es-CO"/>
        </w:rPr>
        <w:t xml:space="preserve">Para proceder con el presente análisis del sector se realizará el análisis del mercado, el análisis de la demanda y el análisis de la oferta, así: </w:t>
      </w:r>
    </w:p>
    <w:p w14:paraId="77EDAEAE" w14:textId="77777777" w:rsidR="00C06459" w:rsidRPr="001E3F24" w:rsidRDefault="00C06459" w:rsidP="00C06459">
      <w:pPr>
        <w:pStyle w:val="western"/>
        <w:shd w:val="clear" w:color="auto" w:fill="FFFFFF"/>
        <w:spacing w:before="0" w:beforeAutospacing="0" w:after="0" w:afterAutospacing="0"/>
        <w:rPr>
          <w:rFonts w:ascii="Arial" w:hAnsi="Arial" w:cs="Arial"/>
          <w:b/>
          <w:bCs/>
          <w:sz w:val="20"/>
          <w:szCs w:val="20"/>
        </w:rPr>
      </w:pPr>
    </w:p>
    <w:p w14:paraId="72BA6FC4" w14:textId="77777777" w:rsidR="0076671F" w:rsidRPr="001E3F24" w:rsidRDefault="0076671F" w:rsidP="0076671F">
      <w:pPr>
        <w:pStyle w:val="Prrafodelista"/>
        <w:numPr>
          <w:ilvl w:val="0"/>
          <w:numId w:val="1"/>
        </w:numPr>
        <w:tabs>
          <w:tab w:val="left" w:pos="284"/>
        </w:tabs>
        <w:spacing w:after="0"/>
        <w:ind w:left="0" w:firstLine="0"/>
        <w:rPr>
          <w:rFonts w:ascii="Arial" w:eastAsia="Times New Roman" w:hAnsi="Arial" w:cs="Arial"/>
          <w:b/>
          <w:color w:val="000000"/>
          <w:sz w:val="20"/>
          <w:szCs w:val="20"/>
          <w:lang w:eastAsia="es-CO"/>
        </w:rPr>
      </w:pPr>
      <w:r w:rsidRPr="001E3F24">
        <w:rPr>
          <w:rFonts w:ascii="Arial" w:eastAsia="Times New Roman" w:hAnsi="Arial" w:cs="Arial"/>
          <w:b/>
          <w:color w:val="000000"/>
          <w:sz w:val="20"/>
          <w:szCs w:val="20"/>
          <w:lang w:eastAsia="es-CO"/>
        </w:rPr>
        <w:t>IDENTIFICACION DEL SECTOR</w:t>
      </w:r>
    </w:p>
    <w:p w14:paraId="2889DD96" w14:textId="77777777" w:rsidR="0076671F" w:rsidRPr="001E3F24" w:rsidRDefault="0076671F" w:rsidP="0076671F">
      <w:pPr>
        <w:pStyle w:val="Prrafodelista"/>
        <w:tabs>
          <w:tab w:val="left" w:pos="284"/>
        </w:tabs>
        <w:spacing w:after="0"/>
        <w:ind w:left="0"/>
        <w:rPr>
          <w:rFonts w:ascii="Arial" w:eastAsia="Times New Roman" w:hAnsi="Arial" w:cs="Arial"/>
          <w:b/>
          <w:color w:val="000000"/>
          <w:sz w:val="20"/>
          <w:szCs w:val="20"/>
          <w:lang w:eastAsia="es-CO"/>
        </w:rPr>
      </w:pPr>
    </w:p>
    <w:p w14:paraId="08216A2B"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 xml:space="preserve">El objeto a contratar pertenece al sector de la construcción, actividad que hace referencia a la ejecución de obras de públicas o privadas, por parte de empresas constructoras, contratistas o subcontratistas, que generalmente están relacionadas con el sector industrial y sus servicios derivados. </w:t>
      </w:r>
    </w:p>
    <w:p w14:paraId="04F29AF6" w14:textId="77777777" w:rsidR="006906E2" w:rsidRPr="001E3F24" w:rsidRDefault="006906E2" w:rsidP="006906E2">
      <w:pPr>
        <w:jc w:val="both"/>
        <w:rPr>
          <w:rFonts w:ascii="Arial" w:hAnsi="Arial" w:cs="Arial"/>
          <w:sz w:val="20"/>
          <w:szCs w:val="20"/>
          <w:lang w:val="es-ES"/>
        </w:rPr>
      </w:pPr>
    </w:p>
    <w:p w14:paraId="6A2F90B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El sector de la construcción está catalogado dentro del sector terciario o sector servicios que incluye todas aquellas actividades que no producen una mercancía en sí, pero que son necesarias para el funcionamiento de la economía.</w:t>
      </w:r>
    </w:p>
    <w:p w14:paraId="5B24AEE1" w14:textId="77777777" w:rsidR="007647D2" w:rsidRPr="001E3F24" w:rsidRDefault="007647D2" w:rsidP="00F741C8">
      <w:pPr>
        <w:tabs>
          <w:tab w:val="left" w:pos="284"/>
        </w:tabs>
        <w:rPr>
          <w:rFonts w:ascii="Arial" w:eastAsia="Times New Roman" w:hAnsi="Arial" w:cs="Arial"/>
          <w:b/>
          <w:color w:val="000000"/>
          <w:sz w:val="20"/>
          <w:szCs w:val="20"/>
          <w:lang w:eastAsia="es-CO"/>
        </w:rPr>
      </w:pPr>
    </w:p>
    <w:p w14:paraId="7453351B" w14:textId="77777777" w:rsidR="00C06459" w:rsidRDefault="00C06459" w:rsidP="00C06459">
      <w:pPr>
        <w:pStyle w:val="Prrafodelista"/>
        <w:numPr>
          <w:ilvl w:val="0"/>
          <w:numId w:val="1"/>
        </w:numPr>
        <w:tabs>
          <w:tab w:val="left" w:pos="284"/>
        </w:tabs>
        <w:spacing w:after="0"/>
        <w:ind w:left="0" w:firstLine="0"/>
        <w:rPr>
          <w:rFonts w:ascii="Arial" w:eastAsia="Times New Roman" w:hAnsi="Arial" w:cs="Arial"/>
          <w:b/>
          <w:color w:val="000000"/>
          <w:sz w:val="20"/>
          <w:szCs w:val="20"/>
          <w:lang w:eastAsia="es-CO"/>
        </w:rPr>
      </w:pPr>
      <w:r w:rsidRPr="001E3F24">
        <w:rPr>
          <w:rFonts w:ascii="Arial" w:eastAsia="Times New Roman" w:hAnsi="Arial" w:cs="Arial"/>
          <w:b/>
          <w:color w:val="000000"/>
          <w:sz w:val="20"/>
          <w:szCs w:val="20"/>
          <w:lang w:eastAsia="es-CO"/>
        </w:rPr>
        <w:t>ANÁLISIS DEL MERCADO</w:t>
      </w:r>
    </w:p>
    <w:p w14:paraId="397F243F" w14:textId="77777777" w:rsidR="001E3F24" w:rsidRPr="001E3F24" w:rsidRDefault="001E3F24" w:rsidP="001E3F24">
      <w:pPr>
        <w:pStyle w:val="Prrafodelista"/>
        <w:tabs>
          <w:tab w:val="left" w:pos="284"/>
        </w:tabs>
        <w:spacing w:after="0"/>
        <w:ind w:left="0"/>
        <w:rPr>
          <w:rFonts w:ascii="Arial" w:eastAsia="Times New Roman" w:hAnsi="Arial" w:cs="Arial"/>
          <w:b/>
          <w:color w:val="000000"/>
          <w:sz w:val="20"/>
          <w:szCs w:val="20"/>
          <w:lang w:eastAsia="es-CO"/>
        </w:rPr>
      </w:pPr>
    </w:p>
    <w:p w14:paraId="5FD2AE03" w14:textId="78DC6E0B" w:rsidR="006906E2" w:rsidRPr="001E3F24" w:rsidRDefault="006906E2" w:rsidP="006906E2">
      <w:pPr>
        <w:pStyle w:val="Prrafodelista"/>
        <w:numPr>
          <w:ilvl w:val="1"/>
          <w:numId w:val="17"/>
        </w:numPr>
        <w:jc w:val="both"/>
        <w:rPr>
          <w:rFonts w:ascii="Arial" w:hAnsi="Arial" w:cs="Arial"/>
          <w:b/>
          <w:sz w:val="20"/>
          <w:szCs w:val="20"/>
        </w:rPr>
      </w:pPr>
      <w:r w:rsidRPr="001E3F24">
        <w:rPr>
          <w:rFonts w:ascii="Arial" w:hAnsi="Arial" w:cs="Arial"/>
          <w:b/>
          <w:sz w:val="20"/>
          <w:szCs w:val="20"/>
        </w:rPr>
        <w:t>Aspectos Generales</w:t>
      </w:r>
    </w:p>
    <w:p w14:paraId="306A8D58"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El sector de la construcción experimenta ciclos de actividad mucho más acentuados que el promedio nacional y otras ramas productivas, y se constituye en uno de los principales indicadores económicos, debido a que las fluctuaciones de este sector están muy asociadas al ciclo de la economía.</w:t>
      </w:r>
    </w:p>
    <w:p w14:paraId="02BD4429" w14:textId="77777777" w:rsidR="006906E2" w:rsidRPr="001E3F24" w:rsidRDefault="006906E2" w:rsidP="006906E2">
      <w:pPr>
        <w:jc w:val="both"/>
        <w:rPr>
          <w:rFonts w:ascii="Arial" w:hAnsi="Arial" w:cs="Arial"/>
          <w:sz w:val="20"/>
          <w:szCs w:val="20"/>
          <w:lang w:val="es-ES"/>
        </w:rPr>
      </w:pPr>
    </w:p>
    <w:p w14:paraId="31EC8E8B"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En el sector de la construcción en Colombia, participan agremiaciones de diferentes ámbitos, tales como los productores o proveedores de materiales, constructores, agremiaciones de profesionales del sector, entidades estatales, entre otras. A continuación, se relaciona un listado de agremiaciones, asociaciones y entidades que participan del sector de la construcción e influyen desde diferentes frentes en la dinámica del mercado.</w:t>
      </w:r>
    </w:p>
    <w:p w14:paraId="5B25466F" w14:textId="77777777" w:rsidR="006906E2" w:rsidRPr="001E3F24" w:rsidRDefault="006906E2" w:rsidP="006906E2">
      <w:pPr>
        <w:jc w:val="both"/>
        <w:rPr>
          <w:rFonts w:ascii="Arial" w:hAnsi="Arial" w:cs="Arial"/>
          <w:sz w:val="20"/>
          <w:szCs w:val="20"/>
          <w:lang w:val="es-ES"/>
        </w:rPr>
      </w:pPr>
    </w:p>
    <w:p w14:paraId="400BFC4C" w14:textId="1E59AA26"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Asociación Bancaria</w:t>
      </w:r>
      <w:r w:rsidR="003B79C1">
        <w:rPr>
          <w:rFonts w:ascii="Arial" w:hAnsi="Arial" w:cs="Arial"/>
          <w:sz w:val="20"/>
          <w:szCs w:val="20"/>
          <w:lang w:val="es-ES"/>
        </w:rPr>
        <w:t xml:space="preserve"> y de Entidades Financieras de</w:t>
      </w:r>
      <w:r w:rsidRPr="001E3F24">
        <w:rPr>
          <w:rFonts w:ascii="Arial" w:hAnsi="Arial" w:cs="Arial"/>
          <w:sz w:val="20"/>
          <w:szCs w:val="20"/>
          <w:lang w:val="es-ES"/>
        </w:rPr>
        <w:t xml:space="preserve">  Colombia</w:t>
      </w:r>
    </w:p>
    <w:p w14:paraId="26DABFA2"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Asociación Colombiana de Ingenieros de Colombia (ACIC)</w:t>
      </w:r>
    </w:p>
    <w:p w14:paraId="30F68364"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Asociación Colombiana de Facultades de Ingeniería (ACOFI)</w:t>
      </w:r>
    </w:p>
    <w:p w14:paraId="7C1B6F7D"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Asociación Colombiana de Estudiantes de Ingeniería Civil (ANEIC)</w:t>
      </w:r>
    </w:p>
    <w:p w14:paraId="4390F849"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Agregados y Concretos S.A ( AGREGON)</w:t>
      </w:r>
    </w:p>
    <w:p w14:paraId="2B91D553"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Asociación Nacional de Industriales (ANDI)</w:t>
      </w:r>
    </w:p>
    <w:p w14:paraId="14B18B99"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Asociación de Productores de Concreto (ASOCRETO)</w:t>
      </w:r>
    </w:p>
    <w:p w14:paraId="7A453A21"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Cámara Colombiana de la Construcción (CAMACOL)</w:t>
      </w:r>
    </w:p>
    <w:p w14:paraId="4CD4041D"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lastRenderedPageBreak/>
        <w:t>Corporación de Investigación de la Construcción (CICC)</w:t>
      </w:r>
    </w:p>
    <w:p w14:paraId="7CAEBDC0"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Informática para la construcción (CONSTRUDATA)</w:t>
      </w:r>
    </w:p>
    <w:p w14:paraId="56B25A32"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Departamento Nacional de Planeación (DNP)</w:t>
      </w:r>
    </w:p>
    <w:p w14:paraId="133B1C4A"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Empresa Colombiana de Vías Férreas (Ferrovías)</w:t>
      </w:r>
    </w:p>
    <w:p w14:paraId="5DB8FA7A"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Federación Internacional de la Industria de la  Construcción (FIIC)</w:t>
      </w:r>
    </w:p>
    <w:p w14:paraId="1C6E11FC"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Instituto Colombiano de Normas Técnicas y Certificación (ICONTEC)</w:t>
      </w:r>
    </w:p>
    <w:p w14:paraId="45B4A718"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Instituto Nacional Agustín Codazzi (INAC)</w:t>
      </w:r>
    </w:p>
    <w:p w14:paraId="3E7B268D" w14:textId="77777777" w:rsidR="006906E2" w:rsidRPr="001E3F24" w:rsidRDefault="006906E2" w:rsidP="006906E2">
      <w:pPr>
        <w:numPr>
          <w:ilvl w:val="0"/>
          <w:numId w:val="12"/>
        </w:numPr>
        <w:ind w:left="0" w:firstLine="0"/>
        <w:jc w:val="both"/>
        <w:rPr>
          <w:rFonts w:ascii="Arial" w:hAnsi="Arial" w:cs="Arial"/>
          <w:sz w:val="20"/>
          <w:szCs w:val="20"/>
          <w:lang w:val="es-ES"/>
        </w:rPr>
      </w:pPr>
      <w:r w:rsidRPr="001E3F24">
        <w:rPr>
          <w:rFonts w:ascii="Arial" w:hAnsi="Arial" w:cs="Arial"/>
          <w:sz w:val="20"/>
          <w:szCs w:val="20"/>
          <w:lang w:val="es-ES"/>
        </w:rPr>
        <w:t>Sociedad Colombiana de Ingenieros (SCI).</w:t>
      </w:r>
    </w:p>
    <w:p w14:paraId="1582B91B" w14:textId="77777777" w:rsidR="006906E2" w:rsidRPr="001E3F24" w:rsidRDefault="006906E2" w:rsidP="006906E2">
      <w:pPr>
        <w:jc w:val="both"/>
        <w:rPr>
          <w:rFonts w:ascii="Arial" w:hAnsi="Arial" w:cs="Arial"/>
          <w:sz w:val="20"/>
          <w:szCs w:val="20"/>
          <w:lang w:val="es-ES"/>
        </w:rPr>
      </w:pPr>
    </w:p>
    <w:p w14:paraId="5A4F1FB9" w14:textId="315C1E5A" w:rsidR="006906E2" w:rsidRPr="001E3F24" w:rsidRDefault="006906E2" w:rsidP="006906E2">
      <w:pPr>
        <w:pStyle w:val="Prrafodelista"/>
        <w:numPr>
          <w:ilvl w:val="2"/>
          <w:numId w:val="18"/>
        </w:numPr>
        <w:jc w:val="both"/>
        <w:rPr>
          <w:rFonts w:ascii="Arial" w:hAnsi="Arial" w:cs="Arial"/>
          <w:b/>
          <w:sz w:val="20"/>
          <w:szCs w:val="20"/>
        </w:rPr>
      </w:pPr>
      <w:r w:rsidRPr="001E3F24">
        <w:rPr>
          <w:rFonts w:ascii="Arial" w:hAnsi="Arial" w:cs="Arial"/>
          <w:b/>
          <w:sz w:val="20"/>
          <w:szCs w:val="20"/>
        </w:rPr>
        <w:t>Cadena de Valor Sector Construcción</w:t>
      </w:r>
    </w:p>
    <w:p w14:paraId="2880EDBA"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Los insumos para la construcción son numerosos y diversos. La cadena de valor comienza desde los servicios asociados a los proveedores de insumos, considerando el primer eslabón la explotación y extracción de minerales destinados a sectores de cementos, concretos y la industria maderera. En cuanto 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Finalmente, los productos obtenidos, entre otros, son vías, viviendas, edificaciones y bodegas. En este sentido, la construcción se ha convertido en un sector líder de la actividad económica del país por su efecto multiplicador. Además, porque la culminación exitosa de proyectos de infraestructura hace que el país sea competitivo, incidiendo en la minimización de costos de los empresarios y activando el turismo interregional.</w:t>
      </w:r>
    </w:p>
    <w:p w14:paraId="752CB329" w14:textId="77777777" w:rsidR="006906E2" w:rsidRPr="001E3F24" w:rsidRDefault="006906E2" w:rsidP="006906E2">
      <w:pPr>
        <w:jc w:val="both"/>
        <w:rPr>
          <w:rFonts w:ascii="Arial" w:hAnsi="Arial" w:cs="Arial"/>
          <w:sz w:val="20"/>
          <w:szCs w:val="20"/>
          <w:lang w:val="es-ES"/>
        </w:rPr>
      </w:pPr>
    </w:p>
    <w:p w14:paraId="4EE22DBF" w14:textId="77777777" w:rsidR="006906E2" w:rsidRPr="001E3F24" w:rsidRDefault="006906E2" w:rsidP="006906E2">
      <w:pPr>
        <w:jc w:val="both"/>
        <w:rPr>
          <w:rFonts w:ascii="Arial" w:hAnsi="Arial" w:cs="Arial"/>
          <w:sz w:val="20"/>
          <w:szCs w:val="20"/>
          <w:lang w:val="es-ES"/>
        </w:rPr>
      </w:pPr>
    </w:p>
    <w:p w14:paraId="1DAE9AF8" w14:textId="3B73DAC2" w:rsidR="006906E2" w:rsidRPr="001E3F24" w:rsidRDefault="006906E2" w:rsidP="006906E2">
      <w:pPr>
        <w:pStyle w:val="Prrafodelista"/>
        <w:numPr>
          <w:ilvl w:val="2"/>
          <w:numId w:val="18"/>
        </w:numPr>
        <w:jc w:val="both"/>
        <w:rPr>
          <w:rFonts w:ascii="Arial" w:hAnsi="Arial" w:cs="Arial"/>
          <w:b/>
          <w:sz w:val="20"/>
          <w:szCs w:val="20"/>
        </w:rPr>
      </w:pPr>
      <w:r w:rsidRPr="001E3F24">
        <w:rPr>
          <w:rFonts w:ascii="Arial" w:hAnsi="Arial" w:cs="Arial"/>
          <w:b/>
          <w:sz w:val="20"/>
          <w:szCs w:val="20"/>
        </w:rPr>
        <w:t>Importancia del Sector</w:t>
      </w:r>
    </w:p>
    <w:p w14:paraId="4E7BEE70"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El sector de la construcción es uno de los sectores más importantes y dinámicos por su estrecha relación con la creación de infraestructura básica como puentes, carreteras, puertos, vías férreas, plantas de energía eléctrica y termoeléctrica, así como sus correspondientes líneas de transmisión y distribución, obras de irrigación, construcciones industriales y comerciales, instalaciones telefónicas y telegráficas, perforación de pozos, plantas petroquímicas e instalaciones de refinación y obras de edificación no residencial, entre otras. La satisfacción de necesidades humanas, entre las que se destacan servicios de suministros de agua potable, instalación de saneamiento, drenaje, pavimentación, obras de vivienda, hospitales y escuelas. El fuerte impacto multiplicador, que genera en las diversas ramas industriales de la economía de un país.</w:t>
      </w:r>
    </w:p>
    <w:p w14:paraId="0377306F" w14:textId="77777777" w:rsidR="006906E2" w:rsidRPr="001E3F24" w:rsidRDefault="006906E2" w:rsidP="006906E2">
      <w:pPr>
        <w:jc w:val="both"/>
        <w:rPr>
          <w:rFonts w:ascii="Arial" w:hAnsi="Arial" w:cs="Arial"/>
          <w:sz w:val="20"/>
          <w:szCs w:val="20"/>
          <w:lang w:val="es-ES"/>
        </w:rPr>
      </w:pPr>
    </w:p>
    <w:p w14:paraId="0E89BB77"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Los factores anteriores hacen de la industria de la construcción el eje fundamental para el logro de objetivos económicos y sociales, así como el mejoramiento de las condiciones de vida de la sociedad. Esta industria como sector económico, está incluida en el sistema general de cuentas nacionales, y se relaciona con casi la mitad de las 72 ramas de actividad económica que contiene la matriz de Insumo Producto, destacando entre ellas: industrias básicas de hierro o acero, otros productos de minerales no metálicos, cemento, aserraderos, canteras, arena, grava y arcilla, maquinaria y equipo no eléctrico, otros productos metálicos e industrias químicas, entre los más representativos.</w:t>
      </w:r>
    </w:p>
    <w:p w14:paraId="54E96CFE" w14:textId="77777777" w:rsidR="006906E2" w:rsidRPr="001E3F24" w:rsidRDefault="006906E2" w:rsidP="006906E2">
      <w:pPr>
        <w:jc w:val="both"/>
        <w:rPr>
          <w:rFonts w:ascii="Arial" w:hAnsi="Arial" w:cs="Arial"/>
          <w:sz w:val="20"/>
          <w:szCs w:val="20"/>
          <w:lang w:val="es-ES"/>
        </w:rPr>
      </w:pPr>
    </w:p>
    <w:p w14:paraId="1A071EEC"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Esto quiere decir que prácticamente la mitad de los sectores productivos de la economía de relacionan en mayor grado o menor grado con el sector de la construcción como proveedores directos. Los países en desarrollo cuentan con un amplio mercado potencial debido a las grandes carencias de infraestructura, cuya satisfacción les permitirá la inserción más favorable de sus economías a un mundo cada vez más competitivo.</w:t>
      </w:r>
    </w:p>
    <w:p w14:paraId="1E3A04A0" w14:textId="77777777" w:rsidR="006906E2" w:rsidRPr="001E3F24" w:rsidRDefault="006906E2" w:rsidP="006906E2">
      <w:pPr>
        <w:jc w:val="both"/>
        <w:rPr>
          <w:rFonts w:ascii="Arial" w:hAnsi="Arial" w:cs="Arial"/>
          <w:sz w:val="20"/>
          <w:szCs w:val="20"/>
          <w:lang w:val="es-ES"/>
        </w:rPr>
      </w:pPr>
    </w:p>
    <w:p w14:paraId="32D02D2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En los países industrializados ha ido en aumento el interés de llevar a cabo desarrollos tecnológicos que permitan conservar la vanguardia dentro de la industria. Es por ello, que el sector de la construcción tiene una gran importancia en el mundo. Debido a lo anterior y efectuando un apoyo en la política de vivienda en Colombia, podemos llegar a las siguientes conclusiones de la importancia del sector de la construcción:</w:t>
      </w:r>
    </w:p>
    <w:p w14:paraId="77608EB3" w14:textId="77777777" w:rsidR="006906E2" w:rsidRPr="001E3F24" w:rsidRDefault="006906E2" w:rsidP="006906E2">
      <w:pPr>
        <w:jc w:val="both"/>
        <w:rPr>
          <w:rFonts w:ascii="Arial" w:hAnsi="Arial" w:cs="Arial"/>
          <w:sz w:val="20"/>
          <w:szCs w:val="20"/>
          <w:lang w:val="es-ES"/>
        </w:rPr>
      </w:pPr>
    </w:p>
    <w:p w14:paraId="4E4F53F3" w14:textId="77777777" w:rsidR="006906E2" w:rsidRPr="001E3F24" w:rsidRDefault="006906E2" w:rsidP="006906E2">
      <w:pPr>
        <w:jc w:val="both"/>
        <w:rPr>
          <w:rFonts w:ascii="Arial" w:hAnsi="Arial" w:cs="Arial"/>
          <w:sz w:val="20"/>
          <w:szCs w:val="20"/>
          <w:lang w:val="es-ES"/>
        </w:rPr>
      </w:pPr>
      <w:bookmarkStart w:id="0" w:name="30j0zll" w:colFirst="0" w:colLast="0"/>
      <w:bookmarkEnd w:id="0"/>
      <w:r w:rsidRPr="001E3F24">
        <w:rPr>
          <w:rFonts w:ascii="Arial" w:hAnsi="Arial" w:cs="Arial"/>
          <w:sz w:val="20"/>
          <w:szCs w:val="20"/>
          <w:lang w:val="es-ES"/>
        </w:rPr>
        <w:t>La construcción es un elemento dinamizador de la economía gracias a que produce variaciones en los requerimientos de manos de obra y por ende disminuye el desempleo.  El supuesto expuesto en el numeral anterior es válido, pero no coyuntural, debido a que el trabajo de mano de obra es temporal mientras el tiempo que dura la obra.</w:t>
      </w:r>
    </w:p>
    <w:p w14:paraId="545472E8" w14:textId="77777777" w:rsidR="006906E2" w:rsidRPr="001E3F24" w:rsidRDefault="006906E2" w:rsidP="006906E2">
      <w:pPr>
        <w:jc w:val="both"/>
        <w:rPr>
          <w:rFonts w:ascii="Arial" w:hAnsi="Arial" w:cs="Arial"/>
          <w:sz w:val="20"/>
          <w:szCs w:val="20"/>
          <w:lang w:val="es-ES"/>
        </w:rPr>
      </w:pPr>
    </w:p>
    <w:p w14:paraId="46C9221F"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La relación de causalidad entre construcción e incremento del PIB es temporal, es decir, ante eventuales incrementos en la mano de obra, se presentarán incrementos en el PIB y viceversa.  Por último, se ha demostrado económicamente que el desenvolvimiento positivo de la economía hace surgir la construcción.</w:t>
      </w:r>
    </w:p>
    <w:p w14:paraId="2D2ED20F" w14:textId="77777777" w:rsidR="006906E2" w:rsidRPr="001E3F24" w:rsidRDefault="006906E2" w:rsidP="006906E2">
      <w:pPr>
        <w:jc w:val="both"/>
        <w:rPr>
          <w:rFonts w:ascii="Arial" w:hAnsi="Arial" w:cs="Arial"/>
          <w:sz w:val="20"/>
          <w:szCs w:val="20"/>
          <w:lang w:val="es-ES"/>
        </w:rPr>
      </w:pPr>
    </w:p>
    <w:p w14:paraId="5CCB4CFE" w14:textId="77777777" w:rsidR="00DD043E" w:rsidRPr="00DD043E" w:rsidRDefault="00DD043E" w:rsidP="00DD043E">
      <w:pPr>
        <w:numPr>
          <w:ilvl w:val="2"/>
          <w:numId w:val="18"/>
        </w:numPr>
        <w:ind w:left="0" w:firstLine="0"/>
        <w:jc w:val="both"/>
        <w:rPr>
          <w:rFonts w:ascii="Arial" w:hAnsi="Arial" w:cs="Arial"/>
          <w:b/>
          <w:sz w:val="20"/>
          <w:szCs w:val="20"/>
        </w:rPr>
      </w:pPr>
      <w:r w:rsidRPr="00DD043E">
        <w:rPr>
          <w:rFonts w:ascii="Arial" w:eastAsia="Times New Roman" w:hAnsi="Arial" w:cs="Arial"/>
          <w:b/>
          <w:sz w:val="20"/>
          <w:szCs w:val="20"/>
          <w:lang w:val="es-CO"/>
        </w:rPr>
        <w:t>Producto Interno Bruto (PIB)</w:t>
      </w:r>
    </w:p>
    <w:p w14:paraId="7E5D206F" w14:textId="77777777" w:rsidR="00DD043E" w:rsidRDefault="00DD043E" w:rsidP="00DD043E">
      <w:pPr>
        <w:jc w:val="both"/>
        <w:rPr>
          <w:rFonts w:ascii="Arial" w:hAnsi="Arial" w:cs="Arial"/>
          <w:b/>
          <w:sz w:val="20"/>
          <w:szCs w:val="20"/>
        </w:rPr>
      </w:pPr>
    </w:p>
    <w:p w14:paraId="0DA9737A" w14:textId="4197446D" w:rsidR="00DD043E" w:rsidRPr="00DD043E" w:rsidRDefault="000E49DE" w:rsidP="00DD043E">
      <w:pPr>
        <w:jc w:val="both"/>
        <w:rPr>
          <w:rFonts w:ascii="Arial" w:eastAsia="Times New Roman" w:hAnsi="Arial" w:cs="Arial"/>
          <w:sz w:val="20"/>
          <w:szCs w:val="20"/>
          <w:lang w:val="es-CO"/>
        </w:rPr>
      </w:pPr>
      <w:r w:rsidRPr="00DD043E">
        <w:rPr>
          <w:noProof/>
          <w:lang w:val="es-ES"/>
        </w:rPr>
        <w:drawing>
          <wp:anchor distT="0" distB="0" distL="114300" distR="114300" simplePos="0" relativeHeight="251680768" behindDoc="0" locked="0" layoutInCell="1" allowOverlap="1" wp14:anchorId="5A611440" wp14:editId="6FD07DBE">
            <wp:simplePos x="0" y="0"/>
            <wp:positionH relativeFrom="column">
              <wp:posOffset>0</wp:posOffset>
            </wp:positionH>
            <wp:positionV relativeFrom="paragraph">
              <wp:posOffset>1022350</wp:posOffset>
            </wp:positionV>
            <wp:extent cx="5785485" cy="3817620"/>
            <wp:effectExtent l="0" t="0" r="5715" b="0"/>
            <wp:wrapThrough wrapText="bothSides">
              <wp:wrapPolygon edited="0">
                <wp:start x="0" y="0"/>
                <wp:lineTo x="0" y="21413"/>
                <wp:lineTo x="21527" y="21413"/>
                <wp:lineTo x="21527" y="0"/>
                <wp:lineTo x="0" y="0"/>
              </wp:wrapPolygon>
            </wp:wrapThrough>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5485" cy="3817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D043E" w:rsidRPr="00DD043E">
        <w:rPr>
          <w:rFonts w:ascii="Arial" w:eastAsia="Times New Roman" w:hAnsi="Arial" w:cs="Arial"/>
          <w:sz w:val="20"/>
          <w:szCs w:val="20"/>
          <w:lang w:val="es-CO"/>
        </w:rPr>
        <w:t>En el primer trimestre de 2026 (enero – marzo), el PIB a precios constantes aumentó en 2,2% con relación al mismo trimestre de 2025. Al analizar el resultado del valor agregado por grandes ramas de actividad, se observa un decrecimiento en el valor agregado de la construcción de 5,4% en su variación anual, que se explica principalmente por la disminución del valor agregado de las edificaciones 8,2%. Por otro lado, el valor agregado de las obras civiles se incrementó en 0,6% y las actividades especializadas decreció en 5,6%.</w:t>
      </w:r>
    </w:p>
    <w:p w14:paraId="503E3AA8" w14:textId="77777777" w:rsidR="00DD043E" w:rsidRDefault="00DD043E" w:rsidP="00DD043E">
      <w:pPr>
        <w:jc w:val="both"/>
        <w:rPr>
          <w:rFonts w:ascii="Arial" w:hAnsi="Arial" w:cs="Arial"/>
          <w:b/>
          <w:sz w:val="20"/>
          <w:szCs w:val="20"/>
        </w:rPr>
      </w:pPr>
    </w:p>
    <w:p w14:paraId="656C098C" w14:textId="7CB4DD35" w:rsidR="004D6EAA" w:rsidRPr="000E49DE" w:rsidRDefault="004D6EAA" w:rsidP="004D6EAA">
      <w:pPr>
        <w:jc w:val="both"/>
        <w:rPr>
          <w:rFonts w:ascii="Arial" w:hAnsi="Arial" w:cs="Arial"/>
          <w:b/>
          <w:sz w:val="20"/>
          <w:szCs w:val="20"/>
        </w:rPr>
      </w:pPr>
      <w:r w:rsidRPr="004D6EAA">
        <w:rPr>
          <w:rFonts w:ascii="Arial" w:eastAsia="Times New Roman" w:hAnsi="Arial" w:cs="Arial"/>
          <w:color w:val="565656"/>
          <w:sz w:val="20"/>
          <w:szCs w:val="20"/>
          <w:shd w:val="clear" w:color="auto" w:fill="FDFDFD"/>
          <w:lang w:val="es-CO"/>
        </w:rPr>
        <w:t>En el primer trimestre de 2026 (enero – marzo), el PIB a precios constantes aumentó en 2,2% con relación al mismo trimestre de 2025. Al analizar el resultado del valor agregado por grandes ramas de actividad, se observa un decrecimiento en el valor agregado de la construcción de 5,4% en su variación anual, que se explica principalmente por la disminución del valor agregado de las edificaciones 8,2%. Por otro lado, el valor agregado de las obras civiles se incrementó en 0,6% y las actividades especializadas decreció en 5,6%.</w:t>
      </w:r>
    </w:p>
    <w:p w14:paraId="0E20CE1D" w14:textId="33BC99FB" w:rsidR="006906E2" w:rsidRPr="001E3F24" w:rsidRDefault="006906E2" w:rsidP="006906E2">
      <w:pPr>
        <w:jc w:val="both"/>
        <w:rPr>
          <w:rFonts w:ascii="Arial" w:hAnsi="Arial" w:cs="Arial"/>
          <w:sz w:val="20"/>
          <w:szCs w:val="20"/>
        </w:rPr>
      </w:pPr>
    </w:p>
    <w:p w14:paraId="1B8FE2C3" w14:textId="77777777" w:rsidR="006906E2" w:rsidRPr="001E3F24" w:rsidRDefault="006906E2" w:rsidP="006906E2">
      <w:pPr>
        <w:jc w:val="both"/>
        <w:rPr>
          <w:rFonts w:ascii="Arial" w:hAnsi="Arial" w:cs="Arial"/>
          <w:sz w:val="20"/>
          <w:szCs w:val="20"/>
        </w:rPr>
      </w:pPr>
    </w:p>
    <w:p w14:paraId="79FB1D77" w14:textId="77777777" w:rsidR="006906E2" w:rsidRPr="001E3F24" w:rsidRDefault="006906E2" w:rsidP="001E3F24">
      <w:pPr>
        <w:numPr>
          <w:ilvl w:val="2"/>
          <w:numId w:val="18"/>
        </w:numPr>
        <w:tabs>
          <w:tab w:val="left" w:pos="851"/>
        </w:tabs>
        <w:ind w:left="0" w:hanging="153"/>
        <w:jc w:val="both"/>
        <w:rPr>
          <w:rFonts w:ascii="Arial" w:hAnsi="Arial" w:cs="Arial"/>
          <w:b/>
          <w:sz w:val="20"/>
          <w:szCs w:val="20"/>
        </w:rPr>
      </w:pPr>
      <w:r w:rsidRPr="001E3F24">
        <w:rPr>
          <w:rFonts w:ascii="Arial" w:hAnsi="Arial" w:cs="Arial"/>
          <w:b/>
          <w:sz w:val="20"/>
          <w:szCs w:val="20"/>
        </w:rPr>
        <w:t>Aportes del Sector al Empleo</w:t>
      </w:r>
    </w:p>
    <w:p w14:paraId="31A65B23" w14:textId="77777777" w:rsidR="006906E2" w:rsidRPr="001E3F24" w:rsidRDefault="006906E2" w:rsidP="006906E2">
      <w:pPr>
        <w:tabs>
          <w:tab w:val="left" w:pos="851"/>
        </w:tabs>
        <w:jc w:val="both"/>
        <w:rPr>
          <w:rFonts w:ascii="Arial" w:hAnsi="Arial" w:cs="Arial"/>
          <w:b/>
          <w:sz w:val="20"/>
          <w:szCs w:val="20"/>
        </w:rPr>
      </w:pPr>
    </w:p>
    <w:p w14:paraId="026CE164" w14:textId="00BD314A" w:rsidR="000E49DE" w:rsidRDefault="000E49DE" w:rsidP="00DD043E">
      <w:pPr>
        <w:jc w:val="both"/>
        <w:rPr>
          <w:rFonts w:ascii="Arial" w:eastAsia="Times New Roman" w:hAnsi="Arial" w:cs="Arial"/>
          <w:sz w:val="20"/>
          <w:szCs w:val="20"/>
          <w:lang w:val="es-CO"/>
        </w:rPr>
      </w:pPr>
      <w:r>
        <w:rPr>
          <w:rFonts w:ascii="Arial" w:eastAsia="Times New Roman" w:hAnsi="Arial" w:cs="Arial"/>
          <w:noProof/>
          <w:sz w:val="20"/>
          <w:szCs w:val="20"/>
          <w:lang w:val="es-ES"/>
        </w:rPr>
        <w:drawing>
          <wp:inline distT="0" distB="0" distL="0" distR="0" wp14:anchorId="3385B21B" wp14:editId="1AB0217A">
            <wp:extent cx="5791835" cy="2726267"/>
            <wp:effectExtent l="0" t="0" r="0" b="0"/>
            <wp:docPr id="2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3105" cy="2726865"/>
                    </a:xfrm>
                    <a:prstGeom prst="rect">
                      <a:avLst/>
                    </a:prstGeom>
                    <a:noFill/>
                    <a:ln>
                      <a:noFill/>
                    </a:ln>
                  </pic:spPr>
                </pic:pic>
              </a:graphicData>
            </a:graphic>
          </wp:inline>
        </w:drawing>
      </w:r>
    </w:p>
    <w:p w14:paraId="471C2042" w14:textId="77777777" w:rsidR="00DD043E" w:rsidRPr="00DD043E" w:rsidRDefault="00DD043E" w:rsidP="00DD043E">
      <w:pPr>
        <w:jc w:val="both"/>
        <w:rPr>
          <w:rFonts w:ascii="Arial" w:eastAsia="Times New Roman" w:hAnsi="Arial" w:cs="Arial"/>
          <w:sz w:val="20"/>
          <w:szCs w:val="20"/>
          <w:lang w:val="es-CO"/>
        </w:rPr>
      </w:pPr>
      <w:r w:rsidRPr="00DD043E">
        <w:rPr>
          <w:rFonts w:ascii="Arial" w:eastAsia="Times New Roman" w:hAnsi="Arial" w:cs="Arial"/>
          <w:sz w:val="20"/>
          <w:szCs w:val="20"/>
          <w:lang w:val="es-CO"/>
        </w:rPr>
        <w:lastRenderedPageBreak/>
        <w:t>En abril de 2026, el número de ocupados en el total nacional fue 24.277 miles de personas. La Construcción como rama de actividad económica participó con el 7,0% de los ocupados. En abril de 2026, la población ocupada en el total nacional aumentó 3,0%, mientras que los ocupados en la rama de Construcción aumento en 9,9% con respecto al mismo periodo del año anterior. Para abril de 2026, 1.700 miles de personas estaban ocupadas en la rama de la Construcción; de estos el 43,9% estaban ubicados en 13 ciudades y áreas metropolitanas, equivalente a 747 miles de personas, que además presentaron un aumento del 2,6%, es decir, 18,7 miles de personas más con respecto al período abril de 2025.</w:t>
      </w:r>
    </w:p>
    <w:p w14:paraId="50E651B5" w14:textId="77777777" w:rsidR="006906E2" w:rsidRDefault="006906E2" w:rsidP="006906E2">
      <w:pPr>
        <w:tabs>
          <w:tab w:val="left" w:pos="851"/>
        </w:tabs>
        <w:jc w:val="both"/>
        <w:rPr>
          <w:rFonts w:ascii="Arial" w:hAnsi="Arial" w:cs="Arial"/>
          <w:noProof/>
          <w:sz w:val="20"/>
          <w:szCs w:val="20"/>
          <w:lang w:val="es-ES"/>
        </w:rPr>
      </w:pPr>
      <w:r w:rsidRPr="001E3F24">
        <w:rPr>
          <w:rFonts w:ascii="Arial" w:hAnsi="Arial" w:cs="Arial"/>
          <w:sz w:val="20"/>
          <w:szCs w:val="20"/>
        </w:rPr>
        <w:t>.</w:t>
      </w:r>
      <w:r w:rsidRPr="001E3F24">
        <w:rPr>
          <w:rFonts w:ascii="Arial" w:hAnsi="Arial" w:cs="Arial"/>
          <w:noProof/>
          <w:sz w:val="20"/>
          <w:szCs w:val="20"/>
          <w:lang w:val="es-ES"/>
        </w:rPr>
        <w:t xml:space="preserve"> </w:t>
      </w:r>
    </w:p>
    <w:p w14:paraId="5B6CF2E5" w14:textId="77777777" w:rsidR="000E49DE" w:rsidRPr="001E3F24" w:rsidRDefault="000E49DE" w:rsidP="006906E2">
      <w:pPr>
        <w:tabs>
          <w:tab w:val="left" w:pos="851"/>
        </w:tabs>
        <w:jc w:val="both"/>
        <w:rPr>
          <w:rFonts w:ascii="Arial" w:hAnsi="Arial" w:cs="Arial"/>
          <w:sz w:val="20"/>
          <w:szCs w:val="20"/>
        </w:rPr>
      </w:pPr>
    </w:p>
    <w:p w14:paraId="2ED96CBD" w14:textId="77777777" w:rsidR="006906E2" w:rsidRPr="001E3F24" w:rsidRDefault="006906E2" w:rsidP="001E3F24">
      <w:pPr>
        <w:numPr>
          <w:ilvl w:val="2"/>
          <w:numId w:val="18"/>
        </w:numPr>
        <w:ind w:left="0" w:hanging="11"/>
        <w:jc w:val="both"/>
        <w:rPr>
          <w:rFonts w:ascii="Arial" w:hAnsi="Arial" w:cs="Arial"/>
          <w:b/>
          <w:sz w:val="20"/>
          <w:szCs w:val="20"/>
          <w:lang w:val="es-ES"/>
        </w:rPr>
      </w:pPr>
      <w:r w:rsidRPr="001E3F24">
        <w:rPr>
          <w:rFonts w:ascii="Arial" w:hAnsi="Arial" w:cs="Arial"/>
          <w:b/>
          <w:sz w:val="20"/>
          <w:szCs w:val="20"/>
          <w:lang w:val="es-ES"/>
        </w:rPr>
        <w:t>Índice de Costos de la Construcción de Obras Civiles</w:t>
      </w:r>
    </w:p>
    <w:p w14:paraId="662D5C49" w14:textId="77777777" w:rsidR="006906E2" w:rsidRPr="001E3F24" w:rsidRDefault="006906E2" w:rsidP="006906E2">
      <w:pPr>
        <w:ind w:hanging="11"/>
        <w:jc w:val="both"/>
        <w:rPr>
          <w:rFonts w:ascii="Arial" w:hAnsi="Arial" w:cs="Arial"/>
          <w:b/>
          <w:sz w:val="20"/>
          <w:szCs w:val="20"/>
          <w:lang w:val="es-ES"/>
        </w:rPr>
      </w:pPr>
    </w:p>
    <w:p w14:paraId="39B1ED63" w14:textId="73DE99B9" w:rsidR="000E49DE" w:rsidRPr="000E49DE" w:rsidRDefault="000E49DE" w:rsidP="000E49DE">
      <w:pPr>
        <w:jc w:val="both"/>
        <w:rPr>
          <w:rFonts w:ascii="Arial" w:eastAsia="Times New Roman" w:hAnsi="Arial" w:cs="Arial"/>
          <w:sz w:val="20"/>
          <w:szCs w:val="20"/>
          <w:lang w:val="es-CO"/>
        </w:rPr>
      </w:pPr>
      <w:r w:rsidRPr="000E49DE">
        <w:rPr>
          <w:rFonts w:ascii="Arial" w:eastAsia="Times New Roman" w:hAnsi="Arial" w:cs="Arial"/>
          <w:sz w:val="20"/>
          <w:szCs w:val="20"/>
          <w:lang w:val="es-CO"/>
        </w:rPr>
        <w:t>En abril de 2026, el Índice de Costos de la Construcción de Obras Civiles – (ICOCIV), registró una variación mensual de 0,83%, con respecto a marzo de 2026. Según tipos de construcción, los grupos de Tuberías para la conducción de gas a larga distancia, líneas de comunicación y cables de poder; tuberías y cables locales, y obras conexas presentó una variación mensual de 2,01%, las Construcciones deportivas al aire libre y otras obras de ingeniería civil presentaron una variación mensual de 1,18% y Puertos, canales, presas, sistemas de riego y otras obras hidráulicas (acueductos) presentaron una variación mensual de 0,93% ubicándose estas tres por encima del promedio nacional. De otra parte, los grupos Construcciones en minas y plantas industriales (0,49%) y Carreteras, calles, vías férreas y pistas de aterrizaje, puentes, carreteras elevadas y túneles (0,41%) se ubicaron por debajo del promedio nacional.</w:t>
      </w:r>
    </w:p>
    <w:p w14:paraId="331A9F54" w14:textId="69BB8876" w:rsidR="000E49DE" w:rsidRPr="0093050C" w:rsidRDefault="000E49DE" w:rsidP="0093050C">
      <w:pPr>
        <w:jc w:val="both"/>
        <w:rPr>
          <w:rFonts w:ascii="Arial" w:hAnsi="Arial" w:cs="Arial"/>
          <w:sz w:val="20"/>
          <w:szCs w:val="20"/>
          <w:lang w:val="es-ES"/>
        </w:rPr>
      </w:pPr>
      <w:r w:rsidRPr="000E49DE">
        <w:rPr>
          <w:noProof/>
          <w:lang w:val="es-ES"/>
        </w:rPr>
        <w:drawing>
          <wp:anchor distT="0" distB="0" distL="114300" distR="114300" simplePos="0" relativeHeight="251682816" behindDoc="0" locked="0" layoutInCell="1" allowOverlap="1" wp14:anchorId="63DCE40F" wp14:editId="7E6E2EC5">
            <wp:simplePos x="0" y="0"/>
            <wp:positionH relativeFrom="column">
              <wp:posOffset>0</wp:posOffset>
            </wp:positionH>
            <wp:positionV relativeFrom="paragraph">
              <wp:posOffset>146050</wp:posOffset>
            </wp:positionV>
            <wp:extent cx="5789295" cy="3989070"/>
            <wp:effectExtent l="0" t="0" r="1905" b="0"/>
            <wp:wrapThrough wrapText="bothSides">
              <wp:wrapPolygon edited="0">
                <wp:start x="0" y="0"/>
                <wp:lineTo x="0" y="21456"/>
                <wp:lineTo x="21512" y="21456"/>
                <wp:lineTo x="21512" y="0"/>
                <wp:lineTo x="0" y="0"/>
              </wp:wrapPolygon>
            </wp:wrapThrough>
            <wp:docPr id="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9295" cy="3989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3ED8A" w14:textId="77777777" w:rsidR="006906E2" w:rsidRPr="001E3F24" w:rsidRDefault="006906E2" w:rsidP="006906E2">
      <w:pPr>
        <w:ind w:hanging="11"/>
        <w:jc w:val="center"/>
        <w:rPr>
          <w:rFonts w:ascii="Arial" w:hAnsi="Arial" w:cs="Arial"/>
          <w:sz w:val="20"/>
          <w:szCs w:val="20"/>
          <w:lang w:val="es-ES"/>
        </w:rPr>
      </w:pPr>
    </w:p>
    <w:p w14:paraId="412FD42E" w14:textId="20900047" w:rsidR="006906E2" w:rsidRDefault="006906E2" w:rsidP="006906E2">
      <w:pPr>
        <w:pStyle w:val="Prrafodelista"/>
        <w:widowControl w:val="0"/>
        <w:numPr>
          <w:ilvl w:val="1"/>
          <w:numId w:val="18"/>
        </w:numPr>
        <w:autoSpaceDE w:val="0"/>
        <w:autoSpaceDN w:val="0"/>
        <w:spacing w:after="0" w:line="240" w:lineRule="auto"/>
        <w:ind w:left="0" w:firstLine="0"/>
        <w:contextualSpacing w:val="0"/>
        <w:jc w:val="both"/>
        <w:rPr>
          <w:rFonts w:ascii="Arial" w:hAnsi="Arial" w:cs="Arial"/>
          <w:b/>
          <w:sz w:val="20"/>
          <w:szCs w:val="20"/>
          <w:lang w:val="es-ES"/>
        </w:rPr>
      </w:pPr>
      <w:r w:rsidRPr="001E3F24">
        <w:rPr>
          <w:rFonts w:ascii="Arial" w:hAnsi="Arial" w:cs="Arial"/>
          <w:b/>
          <w:sz w:val="20"/>
          <w:szCs w:val="20"/>
          <w:lang w:val="es-ES"/>
        </w:rPr>
        <w:t>ASPECTO ECONÓMICO</w:t>
      </w:r>
    </w:p>
    <w:p w14:paraId="4F67558B" w14:textId="77777777" w:rsidR="001E3F24" w:rsidRPr="001E3F24" w:rsidRDefault="001E3F24" w:rsidP="001E3F24">
      <w:pPr>
        <w:pStyle w:val="Prrafodelista"/>
        <w:widowControl w:val="0"/>
        <w:autoSpaceDE w:val="0"/>
        <w:autoSpaceDN w:val="0"/>
        <w:spacing w:after="0" w:line="240" w:lineRule="auto"/>
        <w:ind w:left="0"/>
        <w:contextualSpacing w:val="0"/>
        <w:jc w:val="both"/>
        <w:rPr>
          <w:rFonts w:ascii="Arial" w:hAnsi="Arial" w:cs="Arial"/>
          <w:b/>
          <w:sz w:val="20"/>
          <w:szCs w:val="20"/>
          <w:lang w:val="es-ES"/>
        </w:rPr>
      </w:pPr>
    </w:p>
    <w:p w14:paraId="62EBB1C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El análisis económico se centra en los factores que influyen en el poder de compra y los patrones de gasto de las Entidades Estatales.</w:t>
      </w:r>
    </w:p>
    <w:p w14:paraId="43DA127F" w14:textId="77777777" w:rsidR="006906E2" w:rsidRPr="001E3F24" w:rsidRDefault="006906E2" w:rsidP="006906E2">
      <w:pPr>
        <w:pStyle w:val="Prrafodelista"/>
        <w:ind w:left="0"/>
        <w:rPr>
          <w:rFonts w:ascii="Arial" w:hAnsi="Arial" w:cs="Arial"/>
          <w:b/>
          <w:sz w:val="20"/>
          <w:szCs w:val="20"/>
          <w:lang w:val="es-ES"/>
        </w:rPr>
      </w:pPr>
    </w:p>
    <w:p w14:paraId="66195732" w14:textId="35CBF67B" w:rsidR="006906E2" w:rsidRDefault="006906E2" w:rsidP="006906E2">
      <w:pPr>
        <w:pStyle w:val="Prrafodelista"/>
        <w:widowControl w:val="0"/>
        <w:numPr>
          <w:ilvl w:val="2"/>
          <w:numId w:val="19"/>
        </w:numPr>
        <w:autoSpaceDE w:val="0"/>
        <w:autoSpaceDN w:val="0"/>
        <w:spacing w:after="0" w:line="240" w:lineRule="auto"/>
        <w:ind w:left="0" w:firstLine="0"/>
        <w:contextualSpacing w:val="0"/>
        <w:jc w:val="both"/>
        <w:rPr>
          <w:rFonts w:ascii="Arial" w:hAnsi="Arial" w:cs="Arial"/>
          <w:b/>
          <w:sz w:val="20"/>
          <w:szCs w:val="20"/>
          <w:lang w:val="es-ES"/>
        </w:rPr>
      </w:pPr>
      <w:r w:rsidRPr="001E3F24">
        <w:rPr>
          <w:rFonts w:ascii="Arial" w:hAnsi="Arial" w:cs="Arial"/>
          <w:b/>
          <w:sz w:val="20"/>
          <w:szCs w:val="20"/>
          <w:lang w:val="es-ES"/>
        </w:rPr>
        <w:t>Cambios en los Presupuestos</w:t>
      </w:r>
    </w:p>
    <w:p w14:paraId="6CBBA027" w14:textId="77777777" w:rsidR="001E3F24" w:rsidRPr="001E3F24" w:rsidRDefault="001E3F24" w:rsidP="001E3F24">
      <w:pPr>
        <w:pStyle w:val="Prrafodelista"/>
        <w:widowControl w:val="0"/>
        <w:autoSpaceDE w:val="0"/>
        <w:autoSpaceDN w:val="0"/>
        <w:spacing w:after="0" w:line="240" w:lineRule="auto"/>
        <w:ind w:left="0"/>
        <w:contextualSpacing w:val="0"/>
        <w:jc w:val="both"/>
        <w:rPr>
          <w:rFonts w:ascii="Arial" w:hAnsi="Arial" w:cs="Arial"/>
          <w:b/>
          <w:sz w:val="20"/>
          <w:szCs w:val="20"/>
          <w:lang w:val="es-ES"/>
        </w:rPr>
      </w:pPr>
    </w:p>
    <w:p w14:paraId="4EE258F3" w14:textId="77777777" w:rsidR="001E3F24" w:rsidRDefault="006906E2" w:rsidP="006906E2">
      <w:pPr>
        <w:jc w:val="both"/>
        <w:rPr>
          <w:rFonts w:ascii="Arial" w:hAnsi="Arial" w:cs="Arial"/>
          <w:sz w:val="20"/>
          <w:szCs w:val="20"/>
          <w:lang w:val="es-ES"/>
        </w:rPr>
      </w:pPr>
      <w:r w:rsidRPr="001E3F24">
        <w:rPr>
          <w:rFonts w:ascii="Arial" w:hAnsi="Arial" w:cs="Arial"/>
          <w:sz w:val="20"/>
          <w:szCs w:val="20"/>
          <w:lang w:val="es-ES"/>
        </w:rPr>
        <w:t>Existen diversos factores que pueden influir significativamente en los presupuestos establecidos por las entidades territoriales, entre los más importantes se encuentran: Los Desastres Naturales, Las fluctuaciones en la política monetaria del país, las variaciones en los precios nacionales e internacionales de los insumos y los cambios internos en la asignación de recursos.</w:t>
      </w:r>
      <w:bookmarkStart w:id="1" w:name="3znysh7" w:colFirst="0" w:colLast="0"/>
      <w:bookmarkEnd w:id="1"/>
      <w:r w:rsidRPr="001E3F24">
        <w:rPr>
          <w:rFonts w:ascii="Arial" w:hAnsi="Arial" w:cs="Arial"/>
          <w:sz w:val="20"/>
          <w:szCs w:val="20"/>
          <w:lang w:val="es-ES"/>
        </w:rPr>
        <w:t xml:space="preserve"> </w:t>
      </w:r>
    </w:p>
    <w:p w14:paraId="7FF76E78" w14:textId="77777777" w:rsidR="001E3F24" w:rsidRDefault="001E3F24" w:rsidP="006906E2">
      <w:pPr>
        <w:jc w:val="both"/>
        <w:rPr>
          <w:rFonts w:ascii="Arial" w:hAnsi="Arial" w:cs="Arial"/>
          <w:sz w:val="20"/>
          <w:szCs w:val="20"/>
          <w:lang w:val="es-ES"/>
        </w:rPr>
      </w:pPr>
    </w:p>
    <w:p w14:paraId="6B61E826" w14:textId="1615FE40" w:rsidR="001E3F24" w:rsidRPr="005A0D97" w:rsidRDefault="006906E2" w:rsidP="001E3F24">
      <w:pPr>
        <w:jc w:val="both"/>
        <w:rPr>
          <w:rFonts w:ascii="Arial" w:hAnsi="Arial" w:cs="Arial"/>
          <w:color w:val="000000"/>
          <w:sz w:val="20"/>
          <w:szCs w:val="20"/>
        </w:rPr>
      </w:pPr>
      <w:r w:rsidRPr="005A0D97">
        <w:rPr>
          <w:rFonts w:ascii="Arial" w:hAnsi="Arial" w:cs="Arial"/>
          <w:sz w:val="20"/>
          <w:szCs w:val="20"/>
          <w:lang w:val="es-ES"/>
        </w:rPr>
        <w:lastRenderedPageBreak/>
        <w:t xml:space="preserve">Para el presente proceso de contratación la entidad tiene un presupuesto estipulado de: </w:t>
      </w:r>
      <w:r w:rsidR="00126208" w:rsidRPr="00126208">
        <w:rPr>
          <w:rFonts w:ascii="Arial" w:hAnsi="Arial" w:cs="Arial"/>
          <w:b/>
          <w:bCs/>
          <w:sz w:val="20"/>
          <w:szCs w:val="20"/>
        </w:rPr>
        <w:t>CUATROCIENTOS VEINTIOCHO MILLONES TREINTA Y TRES MIL CIENTO CINCUENTA Y UN PESOS M/CTE ($428.033.151,00).</w:t>
      </w:r>
    </w:p>
    <w:p w14:paraId="3ACC0C71" w14:textId="66B8B87D" w:rsidR="006906E2" w:rsidRDefault="006906E2" w:rsidP="001E3F24">
      <w:pPr>
        <w:jc w:val="both"/>
        <w:rPr>
          <w:rFonts w:ascii="Arial" w:hAnsi="Arial" w:cs="Arial"/>
          <w:sz w:val="20"/>
          <w:szCs w:val="20"/>
          <w:lang w:val="es-ES"/>
        </w:rPr>
      </w:pPr>
    </w:p>
    <w:p w14:paraId="24103461" w14:textId="77777777" w:rsidR="005A0D97" w:rsidRPr="005A0D97" w:rsidRDefault="005A0D97" w:rsidP="001E3F24">
      <w:pPr>
        <w:jc w:val="both"/>
        <w:rPr>
          <w:rFonts w:ascii="Arial" w:hAnsi="Arial" w:cs="Arial"/>
          <w:sz w:val="20"/>
          <w:szCs w:val="20"/>
          <w:lang w:val="es-ES"/>
        </w:rPr>
      </w:pPr>
    </w:p>
    <w:p w14:paraId="41063167" w14:textId="068D7F91" w:rsidR="006906E2" w:rsidRPr="005A0D97" w:rsidRDefault="001E3F24" w:rsidP="006906E2">
      <w:pPr>
        <w:ind w:hanging="11"/>
        <w:jc w:val="both"/>
        <w:rPr>
          <w:rFonts w:ascii="Arial" w:hAnsi="Arial" w:cs="Arial"/>
          <w:b/>
          <w:sz w:val="20"/>
          <w:szCs w:val="20"/>
          <w:lang w:val="es-ES"/>
        </w:rPr>
      </w:pPr>
      <w:r w:rsidRPr="005A0D97">
        <w:rPr>
          <w:rFonts w:ascii="Arial" w:hAnsi="Arial" w:cs="Arial"/>
          <w:b/>
          <w:sz w:val="20"/>
          <w:szCs w:val="20"/>
          <w:lang w:val="es-ES"/>
        </w:rPr>
        <w:t>2</w:t>
      </w:r>
      <w:r w:rsidR="006906E2" w:rsidRPr="005A0D97">
        <w:rPr>
          <w:rFonts w:ascii="Arial" w:hAnsi="Arial" w:cs="Arial"/>
          <w:b/>
          <w:sz w:val="20"/>
          <w:szCs w:val="20"/>
          <w:lang w:val="es-ES"/>
        </w:rPr>
        <w:t>.2.2 Cambios en los Ciclos de Producción</w:t>
      </w:r>
    </w:p>
    <w:p w14:paraId="25A21AE8" w14:textId="77777777" w:rsidR="006906E2" w:rsidRPr="005A0D97" w:rsidRDefault="006906E2" w:rsidP="006906E2">
      <w:pPr>
        <w:ind w:hanging="11"/>
        <w:jc w:val="both"/>
        <w:rPr>
          <w:rFonts w:ascii="Arial" w:hAnsi="Arial" w:cs="Arial"/>
          <w:b/>
          <w:sz w:val="20"/>
          <w:szCs w:val="20"/>
          <w:lang w:val="es-ES"/>
        </w:rPr>
      </w:pPr>
    </w:p>
    <w:p w14:paraId="56EEEBA1" w14:textId="77777777" w:rsidR="006906E2" w:rsidRPr="005A0D97" w:rsidRDefault="006906E2" w:rsidP="006906E2">
      <w:pPr>
        <w:ind w:hanging="11"/>
        <w:jc w:val="both"/>
        <w:rPr>
          <w:rFonts w:ascii="Arial" w:hAnsi="Arial" w:cs="Arial"/>
          <w:sz w:val="20"/>
          <w:szCs w:val="20"/>
          <w:lang w:val="es-ES"/>
        </w:rPr>
      </w:pPr>
      <w:r w:rsidRPr="005A0D97">
        <w:rPr>
          <w:rFonts w:ascii="Arial" w:hAnsi="Arial" w:cs="Arial"/>
          <w:sz w:val="20"/>
          <w:szCs w:val="20"/>
          <w:lang w:val="es-ES"/>
        </w:rPr>
        <w:t>Para el presente proceso se aclara que los cambios en los ciclos de producción son las modificaciones técnicas aquellas que representan cambios significativos en las etapas constructivas relacionadas con la naturaleza del presente proyecto, en razón de lo cual el fundamento técnico que ampara el proyecto será los referentes técnicos diseñados para estos propósitos.</w:t>
      </w:r>
    </w:p>
    <w:p w14:paraId="26D265EB" w14:textId="77777777" w:rsidR="006906E2" w:rsidRDefault="006906E2" w:rsidP="006906E2">
      <w:pPr>
        <w:ind w:hanging="11"/>
        <w:jc w:val="both"/>
        <w:rPr>
          <w:rFonts w:ascii="Arial" w:hAnsi="Arial" w:cs="Arial"/>
          <w:sz w:val="20"/>
          <w:szCs w:val="20"/>
          <w:lang w:val="es-ES"/>
        </w:rPr>
      </w:pPr>
    </w:p>
    <w:p w14:paraId="1761F567" w14:textId="77777777" w:rsidR="005A0D97" w:rsidRPr="005A0D97" w:rsidRDefault="005A0D97" w:rsidP="006906E2">
      <w:pPr>
        <w:ind w:hanging="11"/>
        <w:jc w:val="both"/>
        <w:rPr>
          <w:rFonts w:ascii="Arial" w:hAnsi="Arial" w:cs="Arial"/>
          <w:sz w:val="20"/>
          <w:szCs w:val="20"/>
          <w:lang w:val="es-ES"/>
        </w:rPr>
      </w:pPr>
    </w:p>
    <w:p w14:paraId="709CA775" w14:textId="1B90A90D" w:rsidR="006906E2" w:rsidRPr="005A0D97" w:rsidRDefault="001E3F24" w:rsidP="006906E2">
      <w:pPr>
        <w:ind w:hanging="11"/>
        <w:jc w:val="both"/>
        <w:rPr>
          <w:rFonts w:ascii="Arial" w:hAnsi="Arial" w:cs="Arial"/>
          <w:b/>
          <w:sz w:val="20"/>
          <w:szCs w:val="20"/>
          <w:lang w:val="es-ES"/>
        </w:rPr>
      </w:pPr>
      <w:r w:rsidRPr="005A0D97">
        <w:rPr>
          <w:rFonts w:ascii="Arial" w:hAnsi="Arial" w:cs="Arial"/>
          <w:b/>
          <w:sz w:val="20"/>
          <w:szCs w:val="20"/>
          <w:lang w:val="es-ES"/>
        </w:rPr>
        <w:t>2</w:t>
      </w:r>
      <w:r w:rsidR="006906E2" w:rsidRPr="005A0D97">
        <w:rPr>
          <w:rFonts w:ascii="Arial" w:hAnsi="Arial" w:cs="Arial"/>
          <w:b/>
          <w:sz w:val="20"/>
          <w:szCs w:val="20"/>
          <w:lang w:val="es-ES"/>
        </w:rPr>
        <w:t>.2.2.1 Indicador de Producción de Obras Civiles</w:t>
      </w:r>
      <w:r w:rsidR="005A0D97" w:rsidRPr="005A0D97">
        <w:rPr>
          <w:rFonts w:ascii="Arial" w:hAnsi="Arial" w:cs="Arial"/>
          <w:b/>
          <w:sz w:val="20"/>
          <w:szCs w:val="20"/>
          <w:lang w:val="es-ES"/>
        </w:rPr>
        <w:t>.</w:t>
      </w:r>
    </w:p>
    <w:p w14:paraId="4170B305" w14:textId="77777777" w:rsidR="005A0D97" w:rsidRPr="005A0D97" w:rsidRDefault="005A0D97" w:rsidP="006906E2">
      <w:pPr>
        <w:ind w:hanging="11"/>
        <w:jc w:val="both"/>
        <w:rPr>
          <w:rFonts w:ascii="Arial" w:hAnsi="Arial" w:cs="Arial"/>
          <w:b/>
          <w:sz w:val="20"/>
          <w:szCs w:val="20"/>
          <w:lang w:val="es-ES"/>
        </w:rPr>
      </w:pPr>
    </w:p>
    <w:p w14:paraId="7303972A" w14:textId="77777777" w:rsidR="005A0D97" w:rsidRPr="005A0D97" w:rsidRDefault="005A0D97" w:rsidP="005A0D97">
      <w:pPr>
        <w:jc w:val="both"/>
        <w:rPr>
          <w:rFonts w:ascii="Arial" w:eastAsia="Times New Roman" w:hAnsi="Arial" w:cs="Arial"/>
          <w:sz w:val="20"/>
          <w:szCs w:val="20"/>
          <w:lang w:val="es-CO"/>
        </w:rPr>
      </w:pPr>
      <w:r w:rsidRPr="005A0D97">
        <w:rPr>
          <w:rFonts w:ascii="Arial" w:eastAsia="Times New Roman" w:hAnsi="Arial" w:cs="Arial"/>
          <w:sz w:val="20"/>
          <w:szCs w:val="20"/>
          <w:lang w:val="es-CO"/>
        </w:rPr>
        <w:t>En el primer trimestre de 2026, el indicador de producción de obras civiles (IPOC) registró un crecimiento de 0,6%, con relación al primer trimestre de 2025 y está explicado principalmente por el comportamiento positivo en tres de los cinco grupos de obra respecto a su variación anual; el grupo Carreteras, calles, vías férreas y pistas de aterrizaje, puentes, carreteras elevadas y túneles con 11,5%, Instalaciones al aire libre para deportes y esparcimiento; y otras obras de ingeniería civil con 68,6% y finalmente el grupo de Tuberías para la conducción de gas a larga distancia, líneas de comunicación y cables de poder; tuberías y cables locales, y obras conexas con 22,2%. De otro lado, los grupos de Puertos, canales, presas, sistemas de riego y otras obras hidráulicas (acueductos) con una variación de -49,3% y Construcciones en minas y plantas industriales con una variación de -30,7%. (Ver gráfico 24).</w:t>
      </w:r>
    </w:p>
    <w:p w14:paraId="17B21039" w14:textId="6B4F6545" w:rsidR="005A0D97" w:rsidRDefault="005A0D97" w:rsidP="006906E2">
      <w:pPr>
        <w:ind w:hanging="11"/>
        <w:jc w:val="both"/>
        <w:rPr>
          <w:rFonts w:ascii="Arial" w:hAnsi="Arial" w:cs="Arial"/>
          <w:b/>
          <w:sz w:val="20"/>
          <w:szCs w:val="20"/>
          <w:lang w:val="es-ES"/>
        </w:rPr>
      </w:pPr>
      <w:r w:rsidRPr="005A0D97">
        <w:rPr>
          <w:noProof/>
          <w:lang w:val="es-ES"/>
        </w:rPr>
        <w:drawing>
          <wp:anchor distT="0" distB="0" distL="114300" distR="114300" simplePos="0" relativeHeight="251684864" behindDoc="0" locked="0" layoutInCell="1" allowOverlap="1" wp14:anchorId="534E2EB4" wp14:editId="5624FE23">
            <wp:simplePos x="0" y="0"/>
            <wp:positionH relativeFrom="column">
              <wp:posOffset>0</wp:posOffset>
            </wp:positionH>
            <wp:positionV relativeFrom="paragraph">
              <wp:posOffset>146050</wp:posOffset>
            </wp:positionV>
            <wp:extent cx="5792470" cy="3874770"/>
            <wp:effectExtent l="0" t="0" r="0" b="11430"/>
            <wp:wrapThrough wrapText="bothSides">
              <wp:wrapPolygon edited="0">
                <wp:start x="0" y="0"/>
                <wp:lineTo x="0" y="21522"/>
                <wp:lineTo x="21501" y="21522"/>
                <wp:lineTo x="21501" y="0"/>
                <wp:lineTo x="0" y="0"/>
              </wp:wrapPolygon>
            </wp:wrapThrough>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470" cy="3874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5EB598" w14:textId="77777777" w:rsidR="005A0D97" w:rsidRDefault="005A0D97" w:rsidP="00876394">
      <w:pPr>
        <w:jc w:val="both"/>
        <w:rPr>
          <w:rFonts w:ascii="Arial" w:hAnsi="Arial" w:cs="Arial"/>
          <w:b/>
          <w:sz w:val="20"/>
          <w:szCs w:val="20"/>
          <w:lang w:val="es-ES"/>
        </w:rPr>
      </w:pPr>
    </w:p>
    <w:p w14:paraId="3CD375FB" w14:textId="77777777" w:rsidR="005A0D97" w:rsidRPr="005A0D97" w:rsidRDefault="005A0D97" w:rsidP="005A0D97">
      <w:pPr>
        <w:jc w:val="both"/>
        <w:rPr>
          <w:rFonts w:ascii="Arial" w:eastAsia="Times New Roman" w:hAnsi="Arial" w:cs="Arial"/>
          <w:sz w:val="20"/>
          <w:szCs w:val="20"/>
          <w:lang w:val="es-CO"/>
        </w:rPr>
      </w:pPr>
      <w:r w:rsidRPr="005A0D97">
        <w:rPr>
          <w:rFonts w:ascii="Arial" w:eastAsia="Times New Roman" w:hAnsi="Arial" w:cs="Arial"/>
          <w:sz w:val="20"/>
          <w:szCs w:val="20"/>
          <w:lang w:val="es-CO"/>
        </w:rPr>
        <w:t>Al desagregar por las 15 subclases de obras civiles, las subclases que presentaron las variaciones anuales positivas más representativas fueron: Carreteras (excepto carreteras elevadas); calles y ferrocarriles con 13,3% y Otras Obras de ingeniería civil con 69,1%, los cuales sumaron en conjunto 10,1 puntos porcentuales. En contraste, las subclases Construcciones en minas decrece 48,1% y Acueductos y otros conductos de suministros de agua, represas, excepto gasoductos presentó una disminución de 44,2%, los cuales restaron en conjunto 8,7 puntos porcentuales a la variación anual del IPOC 0,6%. (Ver gráfico 25).</w:t>
      </w:r>
    </w:p>
    <w:p w14:paraId="6169492E" w14:textId="77777777" w:rsidR="005A0D97" w:rsidRDefault="005A0D97" w:rsidP="006906E2">
      <w:pPr>
        <w:ind w:hanging="11"/>
        <w:jc w:val="both"/>
        <w:rPr>
          <w:rFonts w:ascii="Arial" w:hAnsi="Arial" w:cs="Arial"/>
          <w:b/>
          <w:sz w:val="20"/>
          <w:szCs w:val="20"/>
          <w:lang w:val="es-ES"/>
        </w:rPr>
      </w:pPr>
    </w:p>
    <w:p w14:paraId="1F29560F" w14:textId="77777777" w:rsidR="005A0D97" w:rsidRPr="001E3F24" w:rsidRDefault="005A0D97" w:rsidP="006906E2">
      <w:pPr>
        <w:ind w:hanging="11"/>
        <w:jc w:val="both"/>
        <w:rPr>
          <w:rFonts w:ascii="Arial" w:hAnsi="Arial" w:cs="Arial"/>
          <w:b/>
          <w:sz w:val="20"/>
          <w:szCs w:val="20"/>
          <w:lang w:val="es-ES"/>
        </w:rPr>
      </w:pPr>
    </w:p>
    <w:p w14:paraId="44D13175" w14:textId="2B2A7004" w:rsidR="006906E2" w:rsidRPr="001E3F24" w:rsidRDefault="006906E2" w:rsidP="006906E2">
      <w:pPr>
        <w:ind w:hanging="11"/>
        <w:jc w:val="both"/>
        <w:rPr>
          <w:rFonts w:ascii="Arial" w:hAnsi="Arial" w:cs="Arial"/>
          <w:sz w:val="20"/>
          <w:szCs w:val="20"/>
          <w:lang w:val="es-ES"/>
        </w:rPr>
      </w:pPr>
    </w:p>
    <w:p w14:paraId="442CA9F1" w14:textId="77777777" w:rsidR="006906E2" w:rsidRPr="001E3F24" w:rsidRDefault="006906E2" w:rsidP="006906E2">
      <w:pPr>
        <w:ind w:hanging="11"/>
        <w:jc w:val="both"/>
        <w:rPr>
          <w:rFonts w:ascii="Arial" w:hAnsi="Arial" w:cs="Arial"/>
          <w:sz w:val="20"/>
          <w:szCs w:val="20"/>
          <w:lang w:val="es-ES"/>
        </w:rPr>
      </w:pPr>
    </w:p>
    <w:p w14:paraId="7F95A35B" w14:textId="7EE36960" w:rsidR="001E3F24" w:rsidRPr="005A0D97" w:rsidRDefault="005A0D97" w:rsidP="005A0D97">
      <w:pPr>
        <w:ind w:hanging="11"/>
        <w:jc w:val="both"/>
        <w:rPr>
          <w:rFonts w:ascii="Arial" w:hAnsi="Arial" w:cs="Arial"/>
          <w:noProof/>
          <w:sz w:val="20"/>
          <w:szCs w:val="20"/>
          <w:lang w:val="es-ES"/>
        </w:rPr>
      </w:pPr>
      <w:r w:rsidRPr="005A0D97">
        <w:rPr>
          <w:noProof/>
          <w:lang w:val="es-ES"/>
        </w:rPr>
        <w:lastRenderedPageBreak/>
        <w:drawing>
          <wp:anchor distT="0" distB="0" distL="114300" distR="114300" simplePos="0" relativeHeight="251686912" behindDoc="0" locked="0" layoutInCell="1" allowOverlap="1" wp14:anchorId="58CEEA9A" wp14:editId="29D6B4B7">
            <wp:simplePos x="0" y="0"/>
            <wp:positionH relativeFrom="column">
              <wp:posOffset>0</wp:posOffset>
            </wp:positionH>
            <wp:positionV relativeFrom="paragraph">
              <wp:posOffset>0</wp:posOffset>
            </wp:positionV>
            <wp:extent cx="5786755" cy="3733165"/>
            <wp:effectExtent l="0" t="0" r="4445" b="635"/>
            <wp:wrapThrough wrapText="bothSides">
              <wp:wrapPolygon edited="0">
                <wp:start x="0" y="0"/>
                <wp:lineTo x="0" y="21457"/>
                <wp:lineTo x="21522" y="21457"/>
                <wp:lineTo x="21522" y="0"/>
                <wp:lineTo x="0" y="0"/>
              </wp:wrapPolygon>
            </wp:wrapThrough>
            <wp:docPr id="3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6755" cy="3733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08B7C" w14:textId="77777777" w:rsidR="001E3F24" w:rsidRPr="001E3F24" w:rsidRDefault="001E3F24" w:rsidP="006906E2">
      <w:pPr>
        <w:tabs>
          <w:tab w:val="left" w:pos="187"/>
          <w:tab w:val="left" w:pos="827"/>
        </w:tabs>
        <w:jc w:val="both"/>
        <w:rPr>
          <w:rFonts w:ascii="Arial" w:hAnsi="Arial" w:cs="Arial"/>
          <w:sz w:val="20"/>
          <w:szCs w:val="20"/>
          <w:lang w:val="es-ES"/>
        </w:rPr>
      </w:pPr>
    </w:p>
    <w:p w14:paraId="79D7269A" w14:textId="77777777" w:rsidR="006906E2" w:rsidRPr="001E3F24" w:rsidRDefault="006906E2" w:rsidP="006906E2">
      <w:pPr>
        <w:ind w:hanging="11"/>
        <w:jc w:val="both"/>
        <w:rPr>
          <w:rFonts w:ascii="Arial" w:hAnsi="Arial" w:cs="Arial"/>
          <w:b/>
          <w:sz w:val="20"/>
          <w:szCs w:val="20"/>
          <w:lang w:val="es-ES"/>
        </w:rPr>
      </w:pPr>
      <w:r w:rsidRPr="001E3F24">
        <w:rPr>
          <w:rFonts w:ascii="Arial" w:hAnsi="Arial" w:cs="Arial"/>
          <w:b/>
          <w:sz w:val="20"/>
          <w:szCs w:val="20"/>
          <w:lang w:val="es-ES"/>
        </w:rPr>
        <w:t>1.2.3 Inflación que afectan el sector</w:t>
      </w:r>
    </w:p>
    <w:p w14:paraId="4DF0DFF9" w14:textId="77777777" w:rsidR="006906E2" w:rsidRDefault="006906E2" w:rsidP="006906E2">
      <w:pPr>
        <w:ind w:hanging="11"/>
        <w:jc w:val="both"/>
        <w:rPr>
          <w:rFonts w:ascii="Arial" w:hAnsi="Arial" w:cs="Arial"/>
          <w:b/>
          <w:sz w:val="20"/>
          <w:szCs w:val="20"/>
          <w:lang w:val="es-ES"/>
        </w:rPr>
      </w:pPr>
    </w:p>
    <w:p w14:paraId="4AB78B96" w14:textId="77777777" w:rsidR="004D5F56" w:rsidRPr="004D5F56" w:rsidRDefault="004D5F56" w:rsidP="004D5F56">
      <w:pPr>
        <w:jc w:val="both"/>
        <w:rPr>
          <w:rFonts w:ascii="Arial" w:eastAsia="Times New Roman" w:hAnsi="Arial" w:cs="Arial"/>
          <w:sz w:val="20"/>
          <w:szCs w:val="20"/>
          <w:lang w:val="es-CO"/>
        </w:rPr>
      </w:pPr>
      <w:r w:rsidRPr="004D5F56">
        <w:rPr>
          <w:rFonts w:ascii="Arial" w:eastAsia="Times New Roman" w:hAnsi="Arial" w:cs="Arial"/>
          <w:sz w:val="20"/>
          <w:szCs w:val="20"/>
          <w:lang w:val="es-CO"/>
        </w:rPr>
        <w:t>En abril de 2026, el Índice de Precios del Productor (IPP) para materiales de construcción presentó una variación mensual de -0,23%, respecto a marzo de 2026. Según la clasificación CUODE, el IPP para consumo intermedio presentó una variación mensual de 0,44%.</w:t>
      </w:r>
    </w:p>
    <w:p w14:paraId="47CCD506" w14:textId="77777777" w:rsidR="004D5F56" w:rsidRDefault="004D5F56" w:rsidP="006906E2">
      <w:pPr>
        <w:ind w:hanging="11"/>
        <w:jc w:val="both"/>
        <w:rPr>
          <w:rFonts w:ascii="Arial" w:hAnsi="Arial" w:cs="Arial"/>
          <w:b/>
          <w:sz w:val="20"/>
          <w:szCs w:val="20"/>
          <w:lang w:val="es-ES"/>
        </w:rPr>
      </w:pPr>
    </w:p>
    <w:p w14:paraId="0D44D6D2" w14:textId="5A976D17" w:rsidR="004D5F56" w:rsidRDefault="00191541" w:rsidP="006906E2">
      <w:pPr>
        <w:ind w:hanging="11"/>
        <w:jc w:val="both"/>
        <w:rPr>
          <w:rFonts w:ascii="Arial" w:hAnsi="Arial" w:cs="Arial"/>
          <w:b/>
          <w:sz w:val="20"/>
          <w:szCs w:val="20"/>
          <w:lang w:val="es-ES"/>
        </w:rPr>
      </w:pPr>
      <w:r w:rsidRPr="00191541">
        <w:rPr>
          <w:noProof/>
          <w:lang w:val="es-ES"/>
        </w:rPr>
        <w:drawing>
          <wp:anchor distT="0" distB="0" distL="114300" distR="114300" simplePos="0" relativeHeight="251688960" behindDoc="0" locked="0" layoutInCell="1" allowOverlap="1" wp14:anchorId="44D0AB73" wp14:editId="747C2B56">
            <wp:simplePos x="0" y="0"/>
            <wp:positionH relativeFrom="column">
              <wp:posOffset>0</wp:posOffset>
            </wp:positionH>
            <wp:positionV relativeFrom="paragraph">
              <wp:posOffset>0</wp:posOffset>
            </wp:positionV>
            <wp:extent cx="5791835" cy="4269740"/>
            <wp:effectExtent l="0" t="0" r="0" b="0"/>
            <wp:wrapThrough wrapText="bothSides">
              <wp:wrapPolygon edited="0">
                <wp:start x="0" y="0"/>
                <wp:lineTo x="0" y="21459"/>
                <wp:lineTo x="21503" y="21459"/>
                <wp:lineTo x="21503" y="0"/>
                <wp:lineTo x="0" y="0"/>
              </wp:wrapPolygon>
            </wp:wrapThrough>
            <wp:docPr id="3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1835" cy="4269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0D9953" w14:textId="77777777" w:rsidR="004D5F56" w:rsidRDefault="004D5F56" w:rsidP="006906E2">
      <w:pPr>
        <w:ind w:hanging="11"/>
        <w:jc w:val="both"/>
        <w:rPr>
          <w:rFonts w:ascii="Arial" w:hAnsi="Arial" w:cs="Arial"/>
          <w:b/>
          <w:sz w:val="20"/>
          <w:szCs w:val="20"/>
          <w:lang w:val="es-ES"/>
        </w:rPr>
      </w:pPr>
    </w:p>
    <w:p w14:paraId="18E97AD6" w14:textId="77777777" w:rsidR="004D5F56" w:rsidRDefault="004D5F56" w:rsidP="00191541">
      <w:pPr>
        <w:jc w:val="both"/>
        <w:rPr>
          <w:rFonts w:ascii="Arial" w:hAnsi="Arial" w:cs="Arial"/>
          <w:b/>
          <w:sz w:val="20"/>
          <w:szCs w:val="20"/>
          <w:lang w:val="es-ES"/>
        </w:rPr>
      </w:pPr>
    </w:p>
    <w:p w14:paraId="72874EFB" w14:textId="76316DBD" w:rsidR="004D6EAA" w:rsidRPr="00191541" w:rsidRDefault="006906E2" w:rsidP="00191541">
      <w:pPr>
        <w:ind w:hanging="11"/>
        <w:jc w:val="both"/>
        <w:rPr>
          <w:rFonts w:ascii="Arial" w:eastAsia="Times New Roman" w:hAnsi="Arial" w:cs="Arial"/>
          <w:bCs/>
          <w:color w:val="333333"/>
          <w:sz w:val="20"/>
          <w:szCs w:val="20"/>
        </w:rPr>
      </w:pPr>
      <w:r w:rsidRPr="001E3F24">
        <w:rPr>
          <w:rFonts w:ascii="Arial" w:hAnsi="Arial" w:cs="Arial"/>
          <w:b/>
          <w:sz w:val="20"/>
          <w:szCs w:val="20"/>
          <w:lang w:val="es-ES"/>
        </w:rPr>
        <w:t xml:space="preserve">1.2.4 </w:t>
      </w:r>
      <w:r w:rsidR="00191541">
        <w:rPr>
          <w:rFonts w:ascii="Arial" w:eastAsia="Times New Roman" w:hAnsi="Arial" w:cs="Arial"/>
          <w:bCs/>
          <w:color w:val="333333"/>
          <w:sz w:val="20"/>
          <w:szCs w:val="20"/>
        </w:rPr>
        <w:t xml:space="preserve"> </w:t>
      </w:r>
      <w:r w:rsidR="004D6EAA" w:rsidRPr="00191541">
        <w:rPr>
          <w:rFonts w:ascii="Arial" w:eastAsia="Times New Roman" w:hAnsi="Arial" w:cs="Arial"/>
          <w:b/>
          <w:bCs/>
          <w:color w:val="333333"/>
          <w:sz w:val="20"/>
          <w:szCs w:val="20"/>
        </w:rPr>
        <w:t>Estadísticas de Concreto Premezclado (EC)</w:t>
      </w:r>
    </w:p>
    <w:p w14:paraId="09625F54" w14:textId="77777777" w:rsidR="004D6EAA" w:rsidRPr="004D6EAA" w:rsidRDefault="004D6EAA" w:rsidP="004D6EAA">
      <w:pPr>
        <w:ind w:hanging="11"/>
        <w:jc w:val="both"/>
        <w:rPr>
          <w:rFonts w:ascii="Arial" w:hAnsi="Arial" w:cs="Arial"/>
          <w:b/>
          <w:sz w:val="20"/>
          <w:szCs w:val="20"/>
          <w:lang w:val="es-ES"/>
        </w:rPr>
      </w:pPr>
    </w:p>
    <w:p w14:paraId="0C935572" w14:textId="77777777" w:rsidR="004D6EAA" w:rsidRPr="004D6EAA" w:rsidRDefault="004D6EAA" w:rsidP="004D6EAA">
      <w:pPr>
        <w:jc w:val="both"/>
        <w:rPr>
          <w:rFonts w:ascii="Times" w:eastAsia="Times New Roman" w:hAnsi="Times" w:cs="Times New Roman"/>
          <w:sz w:val="20"/>
          <w:szCs w:val="20"/>
          <w:lang w:val="es-CO"/>
        </w:rPr>
      </w:pPr>
      <w:r w:rsidRPr="004D6EAA">
        <w:rPr>
          <w:rFonts w:ascii="Arial" w:eastAsia="Times New Roman" w:hAnsi="Arial" w:cs="Arial"/>
          <w:color w:val="565656"/>
          <w:sz w:val="20"/>
          <w:szCs w:val="20"/>
          <w:shd w:val="clear" w:color="auto" w:fill="FDFDFD"/>
          <w:lang w:val="es-CO"/>
        </w:rPr>
        <w:t>En junio de 2026, la producción de concreto premezclado fue de 636,0 miles de metros cúbicos, lo que significó un aumento de 8,6% frente al mismo mes de 2025, en el que se produjeron 585,7 miles de metros cúbicos.</w:t>
      </w:r>
    </w:p>
    <w:p w14:paraId="1DEFDF0D" w14:textId="77777777" w:rsidR="004D6EAA" w:rsidRDefault="004D6EAA" w:rsidP="006906E2">
      <w:pPr>
        <w:ind w:hanging="11"/>
        <w:jc w:val="both"/>
        <w:rPr>
          <w:rFonts w:ascii="Arial" w:hAnsi="Arial" w:cs="Arial"/>
          <w:b/>
          <w:sz w:val="20"/>
          <w:szCs w:val="20"/>
          <w:lang w:val="es-ES"/>
        </w:rPr>
      </w:pPr>
    </w:p>
    <w:p w14:paraId="164CBEC8" w14:textId="69CA4BB9" w:rsidR="004D6EAA" w:rsidRDefault="004D6EAA" w:rsidP="006906E2">
      <w:pPr>
        <w:ind w:hanging="11"/>
        <w:jc w:val="both"/>
        <w:rPr>
          <w:rFonts w:ascii="Arial" w:hAnsi="Arial" w:cs="Arial"/>
          <w:b/>
          <w:sz w:val="20"/>
          <w:szCs w:val="20"/>
          <w:lang w:val="es-ES"/>
        </w:rPr>
      </w:pPr>
      <w:r>
        <w:rPr>
          <w:rFonts w:ascii="Arial" w:hAnsi="Arial" w:cs="Arial"/>
          <w:b/>
          <w:noProof/>
          <w:sz w:val="20"/>
          <w:szCs w:val="20"/>
          <w:lang w:val="es-ES"/>
        </w:rPr>
        <w:drawing>
          <wp:inline distT="0" distB="0" distL="0" distR="0" wp14:anchorId="4A33DEF7" wp14:editId="24C80F9A">
            <wp:extent cx="5793105" cy="2269310"/>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3105" cy="2269310"/>
                    </a:xfrm>
                    <a:prstGeom prst="rect">
                      <a:avLst/>
                    </a:prstGeom>
                    <a:noFill/>
                    <a:ln>
                      <a:noFill/>
                    </a:ln>
                  </pic:spPr>
                </pic:pic>
              </a:graphicData>
            </a:graphic>
          </wp:inline>
        </w:drawing>
      </w:r>
    </w:p>
    <w:p w14:paraId="193FB5F5" w14:textId="77777777" w:rsidR="004D6EAA" w:rsidRDefault="004D6EAA" w:rsidP="006906E2">
      <w:pPr>
        <w:ind w:hanging="11"/>
        <w:jc w:val="both"/>
        <w:rPr>
          <w:rFonts w:ascii="Arial" w:hAnsi="Arial" w:cs="Arial"/>
          <w:b/>
          <w:sz w:val="20"/>
          <w:szCs w:val="20"/>
          <w:lang w:val="es-ES"/>
        </w:rPr>
      </w:pPr>
    </w:p>
    <w:p w14:paraId="201FB775" w14:textId="77777777" w:rsidR="004D6EAA" w:rsidRDefault="004D6EAA" w:rsidP="004D5F56">
      <w:pPr>
        <w:jc w:val="both"/>
        <w:rPr>
          <w:rFonts w:ascii="Arial" w:hAnsi="Arial" w:cs="Arial"/>
          <w:b/>
          <w:sz w:val="20"/>
          <w:szCs w:val="20"/>
          <w:lang w:val="es-ES"/>
        </w:rPr>
      </w:pPr>
    </w:p>
    <w:p w14:paraId="7BCDBBC6" w14:textId="77777777" w:rsidR="004D6EAA" w:rsidRDefault="004D6EAA" w:rsidP="006906E2">
      <w:pPr>
        <w:ind w:hanging="11"/>
        <w:jc w:val="both"/>
        <w:rPr>
          <w:rFonts w:ascii="Arial" w:hAnsi="Arial" w:cs="Arial"/>
          <w:b/>
          <w:sz w:val="20"/>
          <w:szCs w:val="20"/>
          <w:lang w:val="es-ES"/>
        </w:rPr>
      </w:pPr>
    </w:p>
    <w:p w14:paraId="027F65E4" w14:textId="77777777" w:rsidR="004D6EAA" w:rsidRPr="004D6EAA" w:rsidRDefault="004D6EAA" w:rsidP="004D6EAA">
      <w:pPr>
        <w:jc w:val="both"/>
        <w:rPr>
          <w:rFonts w:ascii="Times" w:eastAsia="Times New Roman" w:hAnsi="Times" w:cs="Times New Roman"/>
          <w:sz w:val="20"/>
          <w:szCs w:val="20"/>
          <w:lang w:val="es-CO"/>
        </w:rPr>
      </w:pPr>
      <w:r w:rsidRPr="004D6EAA">
        <w:rPr>
          <w:rFonts w:ascii="Arial" w:eastAsia="Times New Roman" w:hAnsi="Arial" w:cs="Arial"/>
          <w:color w:val="565656"/>
          <w:sz w:val="20"/>
          <w:szCs w:val="20"/>
          <w:shd w:val="clear" w:color="auto" w:fill="FDFDFD"/>
          <w:lang w:val="es-CO"/>
        </w:rPr>
        <w:t>En lo corrido del año, la producción de concreto premezclado alcanzó los 3.656,9 miles de metros cúbicos, con una variación de 1,9% en comparación con lo registrado en el período enero – junio de 2025, en el que se produjeron 3.590,3 miles de metros cúbicos.</w:t>
      </w:r>
    </w:p>
    <w:p w14:paraId="1EA98495" w14:textId="77777777" w:rsidR="004D6EAA" w:rsidRDefault="004D6EAA" w:rsidP="006906E2">
      <w:pPr>
        <w:ind w:hanging="11"/>
        <w:jc w:val="both"/>
        <w:rPr>
          <w:rFonts w:ascii="Arial" w:hAnsi="Arial" w:cs="Arial"/>
          <w:b/>
          <w:sz w:val="20"/>
          <w:szCs w:val="20"/>
          <w:lang w:val="es-ES"/>
        </w:rPr>
      </w:pPr>
    </w:p>
    <w:p w14:paraId="614BDC80" w14:textId="77777777" w:rsidR="00191541" w:rsidRDefault="00191541" w:rsidP="006906E2">
      <w:pPr>
        <w:ind w:hanging="11"/>
        <w:jc w:val="both"/>
        <w:rPr>
          <w:rFonts w:ascii="Arial" w:hAnsi="Arial" w:cs="Arial"/>
          <w:b/>
          <w:sz w:val="20"/>
          <w:szCs w:val="20"/>
          <w:lang w:val="es-ES"/>
        </w:rPr>
      </w:pPr>
    </w:p>
    <w:p w14:paraId="41AB30A8" w14:textId="26B2436F" w:rsidR="006906E2" w:rsidRPr="001E3F24" w:rsidRDefault="004D6EAA" w:rsidP="004D6EAA">
      <w:pPr>
        <w:ind w:hanging="11"/>
        <w:jc w:val="both"/>
        <w:rPr>
          <w:rFonts w:ascii="Arial" w:hAnsi="Arial" w:cs="Arial"/>
          <w:b/>
          <w:sz w:val="20"/>
          <w:szCs w:val="20"/>
          <w:lang w:val="es-ES"/>
        </w:rPr>
      </w:pPr>
      <w:r w:rsidRPr="001E3F24">
        <w:rPr>
          <w:rFonts w:ascii="Arial" w:hAnsi="Arial" w:cs="Arial"/>
          <w:sz w:val="20"/>
          <w:szCs w:val="20"/>
          <w:lang w:val="es-ES"/>
        </w:rPr>
        <w:t>1</w:t>
      </w:r>
      <w:r w:rsidR="00876394">
        <w:rPr>
          <w:rFonts w:ascii="Arial" w:hAnsi="Arial" w:cs="Arial"/>
          <w:b/>
          <w:sz w:val="20"/>
          <w:szCs w:val="20"/>
          <w:lang w:val="es-ES"/>
        </w:rPr>
        <w:t>.2.5</w:t>
      </w:r>
      <w:r w:rsidRPr="001E3F24">
        <w:rPr>
          <w:rFonts w:ascii="Arial" w:hAnsi="Arial" w:cs="Arial"/>
          <w:b/>
          <w:sz w:val="20"/>
          <w:szCs w:val="20"/>
          <w:lang w:val="es-ES"/>
        </w:rPr>
        <w:t xml:space="preserve">. </w:t>
      </w:r>
      <w:r>
        <w:rPr>
          <w:rFonts w:ascii="Arial" w:hAnsi="Arial" w:cs="Arial"/>
          <w:b/>
          <w:sz w:val="20"/>
          <w:szCs w:val="20"/>
          <w:lang w:val="es-ES"/>
        </w:rPr>
        <w:t xml:space="preserve"> </w:t>
      </w:r>
      <w:r w:rsidR="006906E2" w:rsidRPr="001E3F24">
        <w:rPr>
          <w:rFonts w:ascii="Arial" w:hAnsi="Arial" w:cs="Arial"/>
          <w:b/>
          <w:sz w:val="20"/>
          <w:szCs w:val="20"/>
          <w:lang w:val="es-ES"/>
        </w:rPr>
        <w:t>Producción Cemento Gris</w:t>
      </w:r>
    </w:p>
    <w:p w14:paraId="5F76645D" w14:textId="77777777" w:rsidR="006906E2" w:rsidRPr="001E3F24" w:rsidRDefault="006906E2" w:rsidP="006906E2">
      <w:pPr>
        <w:ind w:hanging="11"/>
        <w:jc w:val="both"/>
        <w:rPr>
          <w:rFonts w:ascii="Arial" w:hAnsi="Arial" w:cs="Arial"/>
          <w:sz w:val="20"/>
          <w:szCs w:val="20"/>
          <w:lang w:val="es-ES"/>
        </w:rPr>
      </w:pPr>
    </w:p>
    <w:p w14:paraId="0C1C9A68" w14:textId="77777777" w:rsidR="003B79C1" w:rsidRPr="003B79C1" w:rsidRDefault="003B79C1" w:rsidP="003B79C1">
      <w:pPr>
        <w:jc w:val="both"/>
        <w:rPr>
          <w:rFonts w:ascii="Times" w:eastAsia="Times New Roman" w:hAnsi="Times" w:cs="Times New Roman"/>
          <w:sz w:val="20"/>
          <w:szCs w:val="20"/>
          <w:lang w:val="es-CO"/>
        </w:rPr>
      </w:pPr>
      <w:r w:rsidRPr="003B79C1">
        <w:rPr>
          <w:rFonts w:ascii="Arial" w:eastAsia="Times New Roman" w:hAnsi="Arial" w:cs="Arial"/>
          <w:color w:val="565656"/>
          <w:sz w:val="20"/>
          <w:szCs w:val="20"/>
          <w:shd w:val="clear" w:color="auto" w:fill="FDFDFD"/>
          <w:lang w:val="es-CO"/>
        </w:rPr>
        <w:t>En junio de 2026, la producción de cemento gris a nivel nacional fue de 1.144,1 miles de toneladas, lo que representó una variación de 4,3% con relación al mismo mes de 2025. En el mes de análisis se despacharon al mercado nacional 1.061,6 miles de toneladas de cemento gris, lo que significó un crecimiento del 8,9% frente a junio de 2025.</w:t>
      </w:r>
    </w:p>
    <w:p w14:paraId="7F8763DE" w14:textId="3B9988A9" w:rsidR="006906E2" w:rsidRPr="001E3F24" w:rsidRDefault="006906E2" w:rsidP="006906E2">
      <w:pPr>
        <w:rPr>
          <w:rFonts w:ascii="Arial" w:hAnsi="Arial" w:cs="Arial"/>
          <w:sz w:val="20"/>
          <w:szCs w:val="20"/>
          <w:lang w:val="es-ES"/>
        </w:rPr>
      </w:pPr>
      <w:r w:rsidRPr="001E3F24">
        <w:rPr>
          <w:rFonts w:ascii="Arial" w:hAnsi="Arial" w:cs="Arial"/>
          <w:sz w:val="20"/>
          <w:szCs w:val="20"/>
          <w:lang w:val="es-ES"/>
        </w:rPr>
        <w:t>.</w:t>
      </w:r>
    </w:p>
    <w:p w14:paraId="080F479E" w14:textId="191497A4" w:rsidR="006906E2" w:rsidRDefault="003B79C1" w:rsidP="003B79C1">
      <w:pPr>
        <w:jc w:val="center"/>
        <w:rPr>
          <w:rFonts w:ascii="Arial" w:hAnsi="Arial" w:cs="Arial"/>
          <w:sz w:val="20"/>
          <w:szCs w:val="20"/>
          <w:lang w:val="es-ES"/>
        </w:rPr>
      </w:pPr>
      <w:r>
        <w:rPr>
          <w:rFonts w:ascii="Arial" w:hAnsi="Arial" w:cs="Arial"/>
          <w:noProof/>
          <w:sz w:val="20"/>
          <w:szCs w:val="20"/>
          <w:lang w:val="es-ES"/>
        </w:rPr>
        <w:drawing>
          <wp:inline distT="0" distB="0" distL="0" distR="0" wp14:anchorId="6CAAD245" wp14:editId="76C63E36">
            <wp:extent cx="5470100" cy="256540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1300" cy="2565963"/>
                    </a:xfrm>
                    <a:prstGeom prst="rect">
                      <a:avLst/>
                    </a:prstGeom>
                    <a:noFill/>
                    <a:ln>
                      <a:noFill/>
                    </a:ln>
                  </pic:spPr>
                </pic:pic>
              </a:graphicData>
            </a:graphic>
          </wp:inline>
        </w:drawing>
      </w:r>
    </w:p>
    <w:p w14:paraId="067B71E0" w14:textId="77777777" w:rsidR="003B79C1" w:rsidRDefault="003B79C1" w:rsidP="006906E2">
      <w:pPr>
        <w:rPr>
          <w:rFonts w:ascii="Arial" w:hAnsi="Arial" w:cs="Arial"/>
          <w:sz w:val="20"/>
          <w:szCs w:val="20"/>
          <w:lang w:val="es-ES"/>
        </w:rPr>
      </w:pPr>
    </w:p>
    <w:p w14:paraId="48CC4410" w14:textId="77777777" w:rsidR="003B79C1" w:rsidRDefault="003B79C1" w:rsidP="006906E2">
      <w:pPr>
        <w:rPr>
          <w:rFonts w:ascii="Arial" w:hAnsi="Arial" w:cs="Arial"/>
          <w:sz w:val="20"/>
          <w:szCs w:val="20"/>
          <w:lang w:val="es-ES"/>
        </w:rPr>
      </w:pPr>
    </w:p>
    <w:p w14:paraId="43B0E070" w14:textId="77777777" w:rsidR="003B79C1" w:rsidRPr="003B79C1" w:rsidRDefault="003B79C1" w:rsidP="003B79C1">
      <w:pPr>
        <w:jc w:val="both"/>
        <w:rPr>
          <w:rFonts w:ascii="Times" w:eastAsia="Times New Roman" w:hAnsi="Times" w:cs="Times New Roman"/>
          <w:sz w:val="20"/>
          <w:szCs w:val="20"/>
          <w:lang w:val="es-CO"/>
        </w:rPr>
      </w:pPr>
      <w:r w:rsidRPr="003B79C1">
        <w:rPr>
          <w:rFonts w:ascii="Arial" w:eastAsia="Times New Roman" w:hAnsi="Arial" w:cs="Arial"/>
          <w:color w:val="565656"/>
          <w:sz w:val="20"/>
          <w:szCs w:val="20"/>
          <w:shd w:val="clear" w:color="auto" w:fill="FDFDFD"/>
          <w:lang w:val="es-CO"/>
        </w:rPr>
        <w:t>En el período enero – junio 2026 la producción de cemento gris alcanzó los 6.887,6 miles de toneladas, presentando un aumento de 4,1% con relación al mismo periodo del año anterior. Los despachos al mercado nacional acumularon 6.397,4 miles de toneladas dando como resultado una variación positiva de 5,9% con respecto al periodo enero - junio 2025.</w:t>
      </w:r>
    </w:p>
    <w:p w14:paraId="5F5C01A9" w14:textId="77777777" w:rsidR="003B79C1" w:rsidRPr="001E3F24" w:rsidRDefault="003B79C1" w:rsidP="006906E2">
      <w:pPr>
        <w:rPr>
          <w:rFonts w:ascii="Arial" w:hAnsi="Arial" w:cs="Arial"/>
          <w:sz w:val="20"/>
          <w:szCs w:val="20"/>
          <w:lang w:val="es-ES"/>
        </w:rPr>
      </w:pPr>
    </w:p>
    <w:p w14:paraId="4D3B3790" w14:textId="328F5525" w:rsidR="006906E2" w:rsidRDefault="006906E2" w:rsidP="006906E2">
      <w:pPr>
        <w:rPr>
          <w:rFonts w:ascii="Arial" w:hAnsi="Arial" w:cs="Arial"/>
          <w:sz w:val="20"/>
          <w:szCs w:val="20"/>
          <w:lang w:val="es-ES"/>
        </w:rPr>
      </w:pPr>
      <w:bookmarkStart w:id="2" w:name="tyjcwt" w:colFirst="0" w:colLast="0"/>
      <w:bookmarkEnd w:id="2"/>
    </w:p>
    <w:p w14:paraId="36571502" w14:textId="77777777" w:rsidR="00191541" w:rsidRDefault="00191541" w:rsidP="006906E2">
      <w:pPr>
        <w:rPr>
          <w:rFonts w:ascii="Arial" w:hAnsi="Arial" w:cs="Arial"/>
          <w:sz w:val="20"/>
          <w:szCs w:val="20"/>
          <w:lang w:val="es-ES"/>
        </w:rPr>
      </w:pPr>
    </w:p>
    <w:p w14:paraId="45CDC6E4" w14:textId="77777777" w:rsidR="00191541" w:rsidRDefault="00191541" w:rsidP="006906E2">
      <w:pPr>
        <w:rPr>
          <w:rFonts w:ascii="Arial" w:hAnsi="Arial" w:cs="Arial"/>
          <w:sz w:val="20"/>
          <w:szCs w:val="20"/>
          <w:lang w:val="es-ES"/>
        </w:rPr>
      </w:pPr>
    </w:p>
    <w:p w14:paraId="0253F884" w14:textId="77777777" w:rsidR="00191541" w:rsidRPr="001E3F24" w:rsidRDefault="00191541" w:rsidP="006906E2">
      <w:pPr>
        <w:rPr>
          <w:rFonts w:ascii="Arial" w:hAnsi="Arial" w:cs="Arial"/>
          <w:sz w:val="20"/>
          <w:szCs w:val="20"/>
          <w:lang w:val="es-ES"/>
        </w:rPr>
      </w:pPr>
    </w:p>
    <w:p w14:paraId="73CF6DDF" w14:textId="77777777" w:rsidR="006906E2" w:rsidRPr="001E3F24" w:rsidRDefault="006906E2" w:rsidP="001E3F24">
      <w:pPr>
        <w:numPr>
          <w:ilvl w:val="1"/>
          <w:numId w:val="19"/>
        </w:numPr>
        <w:ind w:left="0" w:firstLine="0"/>
        <w:jc w:val="both"/>
        <w:rPr>
          <w:rFonts w:ascii="Arial" w:hAnsi="Arial" w:cs="Arial"/>
          <w:b/>
          <w:sz w:val="20"/>
          <w:szCs w:val="20"/>
        </w:rPr>
      </w:pPr>
      <w:r w:rsidRPr="001E3F24">
        <w:rPr>
          <w:rFonts w:ascii="Arial" w:hAnsi="Arial" w:cs="Arial"/>
          <w:b/>
          <w:sz w:val="20"/>
          <w:szCs w:val="20"/>
        </w:rPr>
        <w:lastRenderedPageBreak/>
        <w:t>Acuerdos Internacionales</w:t>
      </w:r>
    </w:p>
    <w:p w14:paraId="77B6E6B0" w14:textId="77777777" w:rsidR="006906E2" w:rsidRPr="001E3F24" w:rsidRDefault="006906E2" w:rsidP="006906E2">
      <w:pPr>
        <w:jc w:val="both"/>
        <w:rPr>
          <w:rFonts w:ascii="Arial" w:hAnsi="Arial" w:cs="Arial"/>
          <w:b/>
          <w:sz w:val="20"/>
          <w:szCs w:val="20"/>
        </w:rPr>
      </w:pPr>
    </w:p>
    <w:p w14:paraId="3EBCF6AF" w14:textId="77777777" w:rsidR="006906E2" w:rsidRPr="001E3F24" w:rsidRDefault="006906E2" w:rsidP="006906E2">
      <w:pPr>
        <w:ind w:hanging="11"/>
        <w:jc w:val="both"/>
        <w:rPr>
          <w:rFonts w:ascii="Arial" w:hAnsi="Arial" w:cs="Arial"/>
          <w:sz w:val="20"/>
          <w:szCs w:val="20"/>
        </w:rPr>
      </w:pPr>
      <w:r w:rsidRPr="001E3F24">
        <w:rPr>
          <w:rFonts w:ascii="Arial" w:hAnsi="Arial" w:cs="Arial"/>
          <w:sz w:val="20"/>
          <w:szCs w:val="20"/>
        </w:rPr>
        <w:t>Colombia tiene suscrito Acuerdos Comerciales que se detallan en la siguiente tabla, en consecuencia, el Proceso de Contratación estará sujeto a los Acuerdos Comerciales que apliquen de tal forma que las Ofertas de bienes y servicios de dichos países, con los cuales Colombia tiene Acuerdos Comerciales vigentes y que cubren el presente Proceso de Contratación, serán tratados como Ofertas de bienes y servicios colombianos y tendrán derecho al puntaje para estimular la industria nacional.</w:t>
      </w:r>
    </w:p>
    <w:p w14:paraId="72505E14" w14:textId="77777777" w:rsidR="006906E2" w:rsidRPr="001E3F24" w:rsidRDefault="006906E2" w:rsidP="006906E2">
      <w:pPr>
        <w:ind w:hanging="11"/>
        <w:jc w:val="both"/>
        <w:rPr>
          <w:rFonts w:ascii="Arial" w:hAnsi="Arial" w:cs="Arial"/>
          <w:bCs/>
          <w:sz w:val="20"/>
          <w:szCs w:val="20"/>
        </w:rPr>
      </w:pPr>
    </w:p>
    <w:p w14:paraId="1036228D" w14:textId="77777777" w:rsidR="006906E2" w:rsidRPr="001E3F24" w:rsidRDefault="006906E2" w:rsidP="006906E2">
      <w:pPr>
        <w:ind w:hanging="11"/>
        <w:jc w:val="both"/>
        <w:rPr>
          <w:rFonts w:ascii="Arial" w:hAnsi="Arial" w:cs="Arial"/>
          <w:b/>
          <w:bCs/>
          <w:sz w:val="20"/>
          <w:szCs w:val="20"/>
        </w:rPr>
      </w:pPr>
      <w:r w:rsidRPr="001E3F24">
        <w:rPr>
          <w:rFonts w:ascii="Arial" w:hAnsi="Arial" w:cs="Arial"/>
          <w:b/>
          <w:bCs/>
          <w:sz w:val="20"/>
          <w:szCs w:val="20"/>
        </w:rPr>
        <w:t>Tabla 5. Verificación Aplicación Acuerdos Comerciales</w:t>
      </w:r>
    </w:p>
    <w:p w14:paraId="07D82350" w14:textId="77777777" w:rsidR="006906E2" w:rsidRPr="001E3F24" w:rsidRDefault="006906E2" w:rsidP="006906E2">
      <w:pPr>
        <w:ind w:hanging="11"/>
        <w:jc w:val="both"/>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
        <w:gridCol w:w="22"/>
        <w:gridCol w:w="1176"/>
        <w:gridCol w:w="995"/>
        <w:gridCol w:w="1538"/>
        <w:gridCol w:w="1450"/>
        <w:gridCol w:w="1543"/>
      </w:tblGrid>
      <w:tr w:rsidR="006906E2" w:rsidRPr="001E3F24" w14:paraId="688DF03F" w14:textId="77777777" w:rsidTr="006906E2">
        <w:trPr>
          <w:trHeight w:val="750"/>
          <w:jc w:val="center"/>
        </w:trPr>
        <w:tc>
          <w:tcPr>
            <w:tcW w:w="2248" w:type="dxa"/>
            <w:gridSpan w:val="3"/>
            <w:vMerge w:val="restart"/>
            <w:shd w:val="clear" w:color="auto" w:fill="92D050"/>
            <w:vAlign w:val="center"/>
          </w:tcPr>
          <w:p w14:paraId="09CF6E5C" w14:textId="77777777" w:rsidR="006906E2" w:rsidRPr="00D01994" w:rsidRDefault="006906E2" w:rsidP="006906E2">
            <w:pPr>
              <w:jc w:val="both"/>
              <w:rPr>
                <w:rFonts w:ascii="Arial" w:hAnsi="Arial" w:cs="Arial"/>
                <w:b/>
                <w:sz w:val="18"/>
                <w:szCs w:val="18"/>
              </w:rPr>
            </w:pPr>
            <w:r w:rsidRPr="00D01994">
              <w:rPr>
                <w:rFonts w:ascii="Arial" w:hAnsi="Arial" w:cs="Arial"/>
                <w:b/>
                <w:sz w:val="18"/>
                <w:szCs w:val="18"/>
              </w:rPr>
              <w:t>Acuerdo comercial</w:t>
            </w:r>
          </w:p>
        </w:tc>
        <w:tc>
          <w:tcPr>
            <w:tcW w:w="995" w:type="dxa"/>
            <w:shd w:val="clear" w:color="auto" w:fill="92D050"/>
            <w:vAlign w:val="center"/>
          </w:tcPr>
          <w:p w14:paraId="75C97F08" w14:textId="77777777" w:rsidR="006906E2" w:rsidRPr="00D01994" w:rsidRDefault="006906E2" w:rsidP="006906E2">
            <w:pPr>
              <w:jc w:val="center"/>
              <w:rPr>
                <w:rFonts w:ascii="Arial" w:hAnsi="Arial" w:cs="Arial"/>
                <w:b/>
                <w:sz w:val="18"/>
                <w:szCs w:val="18"/>
              </w:rPr>
            </w:pPr>
            <w:r w:rsidRPr="00D01994">
              <w:rPr>
                <w:rFonts w:ascii="Arial" w:hAnsi="Arial" w:cs="Arial"/>
                <w:b/>
                <w:sz w:val="18"/>
                <w:szCs w:val="18"/>
              </w:rPr>
              <w:t>Entidad Estatal cubierta</w:t>
            </w:r>
          </w:p>
        </w:tc>
        <w:tc>
          <w:tcPr>
            <w:tcW w:w="1538" w:type="dxa"/>
            <w:shd w:val="clear" w:color="auto" w:fill="92D050"/>
            <w:vAlign w:val="center"/>
          </w:tcPr>
          <w:p w14:paraId="4E1B5E46" w14:textId="77777777" w:rsidR="006906E2" w:rsidRPr="00D01994" w:rsidRDefault="006906E2" w:rsidP="006906E2">
            <w:pPr>
              <w:jc w:val="center"/>
              <w:rPr>
                <w:rFonts w:ascii="Arial" w:hAnsi="Arial" w:cs="Arial"/>
                <w:b/>
                <w:sz w:val="18"/>
                <w:szCs w:val="18"/>
              </w:rPr>
            </w:pPr>
            <w:r w:rsidRPr="00D01994">
              <w:rPr>
                <w:rFonts w:ascii="Arial" w:hAnsi="Arial" w:cs="Arial"/>
                <w:b/>
                <w:sz w:val="18"/>
                <w:szCs w:val="18"/>
              </w:rPr>
              <w:t>Valor del Proceso de Contratación superior al umbral del Acuerdo Comercial</w:t>
            </w:r>
          </w:p>
        </w:tc>
        <w:tc>
          <w:tcPr>
            <w:tcW w:w="1450" w:type="dxa"/>
            <w:shd w:val="clear" w:color="auto" w:fill="92D050"/>
            <w:vAlign w:val="center"/>
          </w:tcPr>
          <w:p w14:paraId="0AFC93C0" w14:textId="77777777" w:rsidR="006906E2" w:rsidRPr="00D01994" w:rsidRDefault="006906E2" w:rsidP="006906E2">
            <w:pPr>
              <w:jc w:val="center"/>
              <w:rPr>
                <w:rFonts w:ascii="Arial" w:hAnsi="Arial" w:cs="Arial"/>
                <w:b/>
                <w:sz w:val="18"/>
                <w:szCs w:val="18"/>
              </w:rPr>
            </w:pPr>
            <w:r w:rsidRPr="00D01994">
              <w:rPr>
                <w:rFonts w:ascii="Arial" w:hAnsi="Arial" w:cs="Arial"/>
                <w:b/>
                <w:sz w:val="18"/>
                <w:szCs w:val="18"/>
              </w:rPr>
              <w:t>Excepción Aplicable al Proceso de Contratación</w:t>
            </w:r>
          </w:p>
        </w:tc>
        <w:tc>
          <w:tcPr>
            <w:tcW w:w="1543" w:type="dxa"/>
            <w:shd w:val="clear" w:color="auto" w:fill="92D050"/>
            <w:vAlign w:val="center"/>
          </w:tcPr>
          <w:p w14:paraId="16BCEAF1" w14:textId="77777777" w:rsidR="006906E2" w:rsidRPr="00D01994" w:rsidRDefault="006906E2" w:rsidP="006906E2">
            <w:pPr>
              <w:jc w:val="center"/>
              <w:rPr>
                <w:rFonts w:ascii="Arial" w:hAnsi="Arial" w:cs="Arial"/>
                <w:b/>
                <w:sz w:val="18"/>
                <w:szCs w:val="18"/>
              </w:rPr>
            </w:pPr>
            <w:r w:rsidRPr="00D01994">
              <w:rPr>
                <w:rFonts w:ascii="Arial" w:hAnsi="Arial" w:cs="Arial"/>
                <w:b/>
                <w:sz w:val="18"/>
                <w:szCs w:val="18"/>
              </w:rPr>
              <w:t>Proceso de Contratación cubierto por el Acuerdo Comercial</w:t>
            </w:r>
          </w:p>
        </w:tc>
      </w:tr>
      <w:tr w:rsidR="006906E2" w:rsidRPr="001E3F24" w14:paraId="5564F00A" w14:textId="77777777" w:rsidTr="006906E2">
        <w:trPr>
          <w:trHeight w:val="167"/>
          <w:jc w:val="center"/>
        </w:trPr>
        <w:tc>
          <w:tcPr>
            <w:tcW w:w="2248" w:type="dxa"/>
            <w:gridSpan w:val="3"/>
            <w:vMerge/>
            <w:vAlign w:val="center"/>
          </w:tcPr>
          <w:p w14:paraId="284692C8" w14:textId="77777777" w:rsidR="006906E2" w:rsidRPr="00D01994" w:rsidRDefault="006906E2" w:rsidP="006906E2">
            <w:pPr>
              <w:ind w:hanging="11"/>
              <w:jc w:val="both"/>
              <w:rPr>
                <w:rFonts w:ascii="Arial" w:hAnsi="Arial" w:cs="Arial"/>
                <w:sz w:val="18"/>
                <w:szCs w:val="18"/>
              </w:rPr>
            </w:pPr>
          </w:p>
        </w:tc>
        <w:tc>
          <w:tcPr>
            <w:tcW w:w="995" w:type="dxa"/>
            <w:shd w:val="clear" w:color="auto" w:fill="92D050"/>
            <w:vAlign w:val="center"/>
          </w:tcPr>
          <w:p w14:paraId="3679B9BB" w14:textId="77777777" w:rsidR="006906E2" w:rsidRPr="00D01994" w:rsidRDefault="006906E2" w:rsidP="006906E2">
            <w:pPr>
              <w:jc w:val="center"/>
              <w:rPr>
                <w:rFonts w:ascii="Arial" w:hAnsi="Arial" w:cs="Arial"/>
                <w:b/>
                <w:sz w:val="18"/>
                <w:szCs w:val="18"/>
              </w:rPr>
            </w:pPr>
            <w:r w:rsidRPr="00D01994">
              <w:rPr>
                <w:rFonts w:ascii="Arial" w:hAnsi="Arial" w:cs="Arial"/>
                <w:b/>
                <w:sz w:val="18"/>
                <w:szCs w:val="18"/>
              </w:rPr>
              <w:t>Si/No</w:t>
            </w:r>
          </w:p>
        </w:tc>
        <w:tc>
          <w:tcPr>
            <w:tcW w:w="1538" w:type="dxa"/>
            <w:shd w:val="clear" w:color="auto" w:fill="92D050"/>
            <w:vAlign w:val="center"/>
          </w:tcPr>
          <w:p w14:paraId="76D701D0" w14:textId="77777777" w:rsidR="006906E2" w:rsidRPr="00D01994" w:rsidRDefault="006906E2" w:rsidP="006906E2">
            <w:pPr>
              <w:ind w:hanging="11"/>
              <w:jc w:val="center"/>
              <w:rPr>
                <w:rFonts w:ascii="Arial" w:hAnsi="Arial" w:cs="Arial"/>
                <w:b/>
                <w:sz w:val="18"/>
                <w:szCs w:val="18"/>
              </w:rPr>
            </w:pPr>
            <w:r w:rsidRPr="00D01994">
              <w:rPr>
                <w:rFonts w:ascii="Arial" w:hAnsi="Arial" w:cs="Arial"/>
                <w:b/>
                <w:sz w:val="18"/>
                <w:szCs w:val="18"/>
              </w:rPr>
              <w:t>Si/No</w:t>
            </w:r>
          </w:p>
        </w:tc>
        <w:tc>
          <w:tcPr>
            <w:tcW w:w="1450" w:type="dxa"/>
            <w:shd w:val="clear" w:color="auto" w:fill="92D050"/>
            <w:vAlign w:val="center"/>
          </w:tcPr>
          <w:p w14:paraId="316D8252" w14:textId="77777777" w:rsidR="006906E2" w:rsidRPr="00D01994" w:rsidRDefault="006906E2" w:rsidP="006906E2">
            <w:pPr>
              <w:ind w:hanging="11"/>
              <w:jc w:val="center"/>
              <w:rPr>
                <w:rFonts w:ascii="Arial" w:hAnsi="Arial" w:cs="Arial"/>
                <w:b/>
                <w:sz w:val="18"/>
                <w:szCs w:val="18"/>
              </w:rPr>
            </w:pPr>
            <w:r w:rsidRPr="00D01994">
              <w:rPr>
                <w:rFonts w:ascii="Arial" w:hAnsi="Arial" w:cs="Arial"/>
                <w:b/>
                <w:sz w:val="18"/>
                <w:szCs w:val="18"/>
              </w:rPr>
              <w:t>Si/No</w:t>
            </w:r>
          </w:p>
        </w:tc>
        <w:tc>
          <w:tcPr>
            <w:tcW w:w="1543" w:type="dxa"/>
            <w:shd w:val="clear" w:color="auto" w:fill="92D050"/>
            <w:vAlign w:val="center"/>
          </w:tcPr>
          <w:p w14:paraId="512D6412" w14:textId="77777777" w:rsidR="006906E2" w:rsidRPr="00D01994" w:rsidRDefault="006906E2" w:rsidP="006906E2">
            <w:pPr>
              <w:ind w:hanging="11"/>
              <w:jc w:val="center"/>
              <w:rPr>
                <w:rFonts w:ascii="Arial" w:hAnsi="Arial" w:cs="Arial"/>
                <w:b/>
                <w:sz w:val="18"/>
                <w:szCs w:val="18"/>
              </w:rPr>
            </w:pPr>
            <w:r w:rsidRPr="00D01994">
              <w:rPr>
                <w:rFonts w:ascii="Arial" w:hAnsi="Arial" w:cs="Arial"/>
                <w:b/>
                <w:sz w:val="18"/>
                <w:szCs w:val="18"/>
              </w:rPr>
              <w:t>Si/No</w:t>
            </w:r>
          </w:p>
        </w:tc>
      </w:tr>
      <w:tr w:rsidR="006906E2" w:rsidRPr="001E3F24" w14:paraId="7DC0B14A" w14:textId="77777777" w:rsidTr="006906E2">
        <w:trPr>
          <w:trHeight w:val="167"/>
          <w:jc w:val="center"/>
        </w:trPr>
        <w:tc>
          <w:tcPr>
            <w:tcW w:w="1072" w:type="dxa"/>
            <w:gridSpan w:val="2"/>
            <w:vMerge w:val="restart"/>
            <w:vAlign w:val="center"/>
          </w:tcPr>
          <w:p w14:paraId="1C597FE2"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Alianza Pacifico</w:t>
            </w:r>
          </w:p>
        </w:tc>
        <w:tc>
          <w:tcPr>
            <w:tcW w:w="1176" w:type="dxa"/>
            <w:vAlign w:val="center"/>
          </w:tcPr>
          <w:p w14:paraId="308BC92F"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Chile</w:t>
            </w:r>
          </w:p>
        </w:tc>
        <w:tc>
          <w:tcPr>
            <w:tcW w:w="995" w:type="dxa"/>
            <w:vAlign w:val="center"/>
          </w:tcPr>
          <w:p w14:paraId="7DB1DFDF"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2BE6590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3EF18A40"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5351A200"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04A95D51" w14:textId="77777777" w:rsidTr="006906E2">
        <w:trPr>
          <w:trHeight w:val="167"/>
          <w:jc w:val="center"/>
        </w:trPr>
        <w:tc>
          <w:tcPr>
            <w:tcW w:w="1072" w:type="dxa"/>
            <w:gridSpan w:val="2"/>
            <w:vMerge/>
            <w:vAlign w:val="center"/>
          </w:tcPr>
          <w:p w14:paraId="645E552C" w14:textId="77777777" w:rsidR="006906E2" w:rsidRPr="00D01994" w:rsidRDefault="006906E2" w:rsidP="006906E2">
            <w:pPr>
              <w:ind w:hanging="11"/>
              <w:jc w:val="both"/>
              <w:rPr>
                <w:rFonts w:ascii="Arial" w:hAnsi="Arial" w:cs="Arial"/>
                <w:sz w:val="18"/>
                <w:szCs w:val="18"/>
              </w:rPr>
            </w:pPr>
          </w:p>
        </w:tc>
        <w:tc>
          <w:tcPr>
            <w:tcW w:w="1176" w:type="dxa"/>
            <w:vAlign w:val="center"/>
          </w:tcPr>
          <w:p w14:paraId="11F66B67"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México</w:t>
            </w:r>
          </w:p>
        </w:tc>
        <w:tc>
          <w:tcPr>
            <w:tcW w:w="995" w:type="dxa"/>
            <w:vAlign w:val="center"/>
          </w:tcPr>
          <w:p w14:paraId="35830FE8"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vAlign w:val="center"/>
          </w:tcPr>
          <w:p w14:paraId="000607AF"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vAlign w:val="center"/>
          </w:tcPr>
          <w:p w14:paraId="0261743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vAlign w:val="center"/>
          </w:tcPr>
          <w:p w14:paraId="6FB4C2FD"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3F89DCA6" w14:textId="77777777" w:rsidTr="006906E2">
        <w:trPr>
          <w:trHeight w:val="239"/>
          <w:jc w:val="center"/>
        </w:trPr>
        <w:tc>
          <w:tcPr>
            <w:tcW w:w="1072" w:type="dxa"/>
            <w:gridSpan w:val="2"/>
            <w:vMerge/>
            <w:vAlign w:val="center"/>
          </w:tcPr>
          <w:p w14:paraId="706DA1FF" w14:textId="77777777" w:rsidR="006906E2" w:rsidRPr="00D01994" w:rsidRDefault="006906E2" w:rsidP="006906E2">
            <w:pPr>
              <w:ind w:hanging="11"/>
              <w:jc w:val="both"/>
              <w:rPr>
                <w:rFonts w:ascii="Arial" w:hAnsi="Arial" w:cs="Arial"/>
                <w:sz w:val="18"/>
                <w:szCs w:val="18"/>
              </w:rPr>
            </w:pPr>
          </w:p>
        </w:tc>
        <w:tc>
          <w:tcPr>
            <w:tcW w:w="1176" w:type="dxa"/>
            <w:vAlign w:val="center"/>
          </w:tcPr>
          <w:p w14:paraId="38ECAEF8"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Perú</w:t>
            </w:r>
          </w:p>
        </w:tc>
        <w:tc>
          <w:tcPr>
            <w:tcW w:w="995" w:type="dxa"/>
            <w:vAlign w:val="center"/>
          </w:tcPr>
          <w:p w14:paraId="6B013955"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29015888"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33AE2D8D"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3C16536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202BCE49" w14:textId="77777777" w:rsidTr="006906E2">
        <w:trPr>
          <w:trHeight w:val="221"/>
          <w:jc w:val="center"/>
        </w:trPr>
        <w:tc>
          <w:tcPr>
            <w:tcW w:w="2248" w:type="dxa"/>
            <w:gridSpan w:val="3"/>
            <w:shd w:val="clear" w:color="auto" w:fill="D9D9D9"/>
            <w:vAlign w:val="center"/>
          </w:tcPr>
          <w:p w14:paraId="26E2A46C"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Canadá</w:t>
            </w:r>
          </w:p>
        </w:tc>
        <w:tc>
          <w:tcPr>
            <w:tcW w:w="995" w:type="dxa"/>
            <w:shd w:val="clear" w:color="auto" w:fill="D9D9D9"/>
            <w:vAlign w:val="center"/>
          </w:tcPr>
          <w:p w14:paraId="5FCA8E16"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shd w:val="clear" w:color="auto" w:fill="D9D9D9"/>
            <w:vAlign w:val="center"/>
          </w:tcPr>
          <w:p w14:paraId="78B9CD70"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shd w:val="clear" w:color="auto" w:fill="D9D9D9"/>
            <w:vAlign w:val="center"/>
          </w:tcPr>
          <w:p w14:paraId="0B0B2DAA"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shd w:val="clear" w:color="auto" w:fill="D9D9D9"/>
            <w:vAlign w:val="center"/>
          </w:tcPr>
          <w:p w14:paraId="46E37C7E"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7D10E452" w14:textId="77777777" w:rsidTr="006906E2">
        <w:trPr>
          <w:trHeight w:val="221"/>
          <w:jc w:val="center"/>
        </w:trPr>
        <w:tc>
          <w:tcPr>
            <w:tcW w:w="2248" w:type="dxa"/>
            <w:gridSpan w:val="3"/>
            <w:vAlign w:val="center"/>
          </w:tcPr>
          <w:p w14:paraId="4B957832"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Chile</w:t>
            </w:r>
          </w:p>
        </w:tc>
        <w:tc>
          <w:tcPr>
            <w:tcW w:w="995" w:type="dxa"/>
            <w:vAlign w:val="center"/>
          </w:tcPr>
          <w:p w14:paraId="4031006A"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32E9ABB7"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496D50B7"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01BE5008"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347AECA8" w14:textId="77777777" w:rsidTr="006906E2">
        <w:trPr>
          <w:trHeight w:val="221"/>
          <w:jc w:val="center"/>
        </w:trPr>
        <w:tc>
          <w:tcPr>
            <w:tcW w:w="2248" w:type="dxa"/>
            <w:gridSpan w:val="3"/>
            <w:shd w:val="clear" w:color="auto" w:fill="D9D9D9"/>
            <w:vAlign w:val="center"/>
          </w:tcPr>
          <w:p w14:paraId="0C141E72"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Corea</w:t>
            </w:r>
          </w:p>
        </w:tc>
        <w:tc>
          <w:tcPr>
            <w:tcW w:w="995" w:type="dxa"/>
            <w:shd w:val="clear" w:color="auto" w:fill="D9D9D9"/>
            <w:vAlign w:val="center"/>
          </w:tcPr>
          <w:p w14:paraId="7AE0C12B"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shd w:val="clear" w:color="auto" w:fill="D9D9D9"/>
            <w:vAlign w:val="center"/>
          </w:tcPr>
          <w:p w14:paraId="1B5F92F2"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shd w:val="clear" w:color="auto" w:fill="D9D9D9"/>
            <w:vAlign w:val="center"/>
          </w:tcPr>
          <w:p w14:paraId="3C951F5D"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shd w:val="clear" w:color="auto" w:fill="D9D9D9"/>
            <w:vAlign w:val="center"/>
          </w:tcPr>
          <w:p w14:paraId="3FE0F745"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6D2463A6" w14:textId="77777777" w:rsidTr="006906E2">
        <w:trPr>
          <w:trHeight w:val="221"/>
          <w:jc w:val="center"/>
        </w:trPr>
        <w:tc>
          <w:tcPr>
            <w:tcW w:w="2248" w:type="dxa"/>
            <w:gridSpan w:val="3"/>
            <w:vAlign w:val="center"/>
          </w:tcPr>
          <w:p w14:paraId="6AD5B3A8"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Costa Rica</w:t>
            </w:r>
          </w:p>
        </w:tc>
        <w:tc>
          <w:tcPr>
            <w:tcW w:w="995" w:type="dxa"/>
            <w:vAlign w:val="center"/>
          </w:tcPr>
          <w:p w14:paraId="235A30F0"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5614393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60E488AA"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3A5BC1BE"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2E0DD6CE" w14:textId="77777777" w:rsidTr="006906E2">
        <w:trPr>
          <w:trHeight w:val="221"/>
          <w:jc w:val="center"/>
        </w:trPr>
        <w:tc>
          <w:tcPr>
            <w:tcW w:w="2248" w:type="dxa"/>
            <w:gridSpan w:val="3"/>
            <w:shd w:val="clear" w:color="auto" w:fill="D9D9D9"/>
            <w:vAlign w:val="center"/>
          </w:tcPr>
          <w:p w14:paraId="280FB80A"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Estados Unidos</w:t>
            </w:r>
          </w:p>
        </w:tc>
        <w:tc>
          <w:tcPr>
            <w:tcW w:w="995" w:type="dxa"/>
            <w:shd w:val="clear" w:color="auto" w:fill="D9D9D9"/>
            <w:vAlign w:val="center"/>
          </w:tcPr>
          <w:p w14:paraId="7E141E49"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shd w:val="clear" w:color="auto" w:fill="D9D9D9"/>
            <w:vAlign w:val="center"/>
          </w:tcPr>
          <w:p w14:paraId="64DAE1B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shd w:val="clear" w:color="auto" w:fill="D9D9D9"/>
            <w:vAlign w:val="center"/>
          </w:tcPr>
          <w:p w14:paraId="3C12D605"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shd w:val="clear" w:color="auto" w:fill="D9D9D9"/>
            <w:vAlign w:val="center"/>
          </w:tcPr>
          <w:p w14:paraId="39A946C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76A70E44" w14:textId="77777777" w:rsidTr="006906E2">
        <w:trPr>
          <w:trHeight w:val="221"/>
          <w:jc w:val="center"/>
        </w:trPr>
        <w:tc>
          <w:tcPr>
            <w:tcW w:w="2248" w:type="dxa"/>
            <w:gridSpan w:val="3"/>
            <w:vAlign w:val="center"/>
          </w:tcPr>
          <w:p w14:paraId="63F65661"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Estados AELC</w:t>
            </w:r>
          </w:p>
        </w:tc>
        <w:tc>
          <w:tcPr>
            <w:tcW w:w="995" w:type="dxa"/>
            <w:vAlign w:val="center"/>
          </w:tcPr>
          <w:p w14:paraId="7C5CB441"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0B7C2CD5"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35D0ADBD"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21A5F4A4"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5DEB38A2" w14:textId="77777777" w:rsidTr="006906E2">
        <w:trPr>
          <w:trHeight w:val="221"/>
          <w:jc w:val="center"/>
        </w:trPr>
        <w:tc>
          <w:tcPr>
            <w:tcW w:w="2248" w:type="dxa"/>
            <w:gridSpan w:val="3"/>
            <w:shd w:val="clear" w:color="auto" w:fill="D9D9D9"/>
            <w:vAlign w:val="center"/>
          </w:tcPr>
          <w:p w14:paraId="01DB4CFB"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México</w:t>
            </w:r>
          </w:p>
        </w:tc>
        <w:tc>
          <w:tcPr>
            <w:tcW w:w="995" w:type="dxa"/>
            <w:shd w:val="clear" w:color="auto" w:fill="D9D9D9"/>
            <w:vAlign w:val="center"/>
          </w:tcPr>
          <w:p w14:paraId="5524D97A"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shd w:val="clear" w:color="auto" w:fill="D9D9D9"/>
            <w:vAlign w:val="center"/>
          </w:tcPr>
          <w:p w14:paraId="01B8022E"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shd w:val="clear" w:color="auto" w:fill="D9D9D9"/>
            <w:vAlign w:val="center"/>
          </w:tcPr>
          <w:p w14:paraId="0B385590"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shd w:val="clear" w:color="auto" w:fill="D9D9D9"/>
            <w:vAlign w:val="center"/>
          </w:tcPr>
          <w:p w14:paraId="0B37274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769519A5" w14:textId="77777777" w:rsidTr="006906E2">
        <w:trPr>
          <w:trHeight w:val="167"/>
          <w:jc w:val="center"/>
        </w:trPr>
        <w:tc>
          <w:tcPr>
            <w:tcW w:w="1050" w:type="dxa"/>
            <w:vMerge w:val="restart"/>
            <w:vAlign w:val="center"/>
          </w:tcPr>
          <w:p w14:paraId="23E88BFA"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Triángulo Norte</w:t>
            </w:r>
          </w:p>
        </w:tc>
        <w:tc>
          <w:tcPr>
            <w:tcW w:w="1198" w:type="dxa"/>
            <w:gridSpan w:val="2"/>
            <w:vAlign w:val="center"/>
          </w:tcPr>
          <w:p w14:paraId="2B4EC2B3"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El Salvador</w:t>
            </w:r>
          </w:p>
        </w:tc>
        <w:tc>
          <w:tcPr>
            <w:tcW w:w="995" w:type="dxa"/>
            <w:vAlign w:val="center"/>
          </w:tcPr>
          <w:p w14:paraId="07900E72"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vAlign w:val="center"/>
          </w:tcPr>
          <w:p w14:paraId="3C86CE7B"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vAlign w:val="center"/>
          </w:tcPr>
          <w:p w14:paraId="1AAC1ED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vAlign w:val="center"/>
          </w:tcPr>
          <w:p w14:paraId="58274BD5"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7FF9FE01" w14:textId="77777777" w:rsidTr="006906E2">
        <w:trPr>
          <w:trHeight w:val="167"/>
          <w:jc w:val="center"/>
        </w:trPr>
        <w:tc>
          <w:tcPr>
            <w:tcW w:w="1050" w:type="dxa"/>
            <w:vMerge/>
            <w:vAlign w:val="center"/>
          </w:tcPr>
          <w:p w14:paraId="5105C507" w14:textId="77777777" w:rsidR="006906E2" w:rsidRPr="00D01994" w:rsidRDefault="006906E2" w:rsidP="006906E2">
            <w:pPr>
              <w:ind w:hanging="11"/>
              <w:jc w:val="both"/>
              <w:rPr>
                <w:rFonts w:ascii="Arial" w:hAnsi="Arial" w:cs="Arial"/>
                <w:sz w:val="18"/>
                <w:szCs w:val="18"/>
              </w:rPr>
            </w:pPr>
          </w:p>
        </w:tc>
        <w:tc>
          <w:tcPr>
            <w:tcW w:w="1198" w:type="dxa"/>
            <w:gridSpan w:val="2"/>
            <w:vAlign w:val="center"/>
          </w:tcPr>
          <w:p w14:paraId="65648192"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Guatemala</w:t>
            </w:r>
          </w:p>
        </w:tc>
        <w:tc>
          <w:tcPr>
            <w:tcW w:w="995" w:type="dxa"/>
            <w:vAlign w:val="center"/>
          </w:tcPr>
          <w:p w14:paraId="5BCBAAAF"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2F5FE3F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0CB8BC18"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26149DE4"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3CC52769" w14:textId="77777777" w:rsidTr="006906E2">
        <w:trPr>
          <w:trHeight w:val="167"/>
          <w:jc w:val="center"/>
        </w:trPr>
        <w:tc>
          <w:tcPr>
            <w:tcW w:w="1050" w:type="dxa"/>
            <w:vMerge/>
            <w:vAlign w:val="center"/>
          </w:tcPr>
          <w:p w14:paraId="349265D3" w14:textId="77777777" w:rsidR="006906E2" w:rsidRPr="00D01994" w:rsidRDefault="006906E2" w:rsidP="006906E2">
            <w:pPr>
              <w:ind w:hanging="11"/>
              <w:jc w:val="both"/>
              <w:rPr>
                <w:rFonts w:ascii="Arial" w:hAnsi="Arial" w:cs="Arial"/>
                <w:sz w:val="18"/>
                <w:szCs w:val="18"/>
              </w:rPr>
            </w:pPr>
          </w:p>
        </w:tc>
        <w:tc>
          <w:tcPr>
            <w:tcW w:w="1198" w:type="dxa"/>
            <w:gridSpan w:val="2"/>
            <w:vAlign w:val="center"/>
          </w:tcPr>
          <w:p w14:paraId="6F59140F"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Honduras</w:t>
            </w:r>
          </w:p>
        </w:tc>
        <w:tc>
          <w:tcPr>
            <w:tcW w:w="995" w:type="dxa"/>
            <w:vAlign w:val="center"/>
          </w:tcPr>
          <w:p w14:paraId="47637D6F"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vAlign w:val="center"/>
          </w:tcPr>
          <w:p w14:paraId="4ECFDA1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450" w:type="dxa"/>
            <w:vAlign w:val="center"/>
          </w:tcPr>
          <w:p w14:paraId="16EDE11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c>
          <w:tcPr>
            <w:tcW w:w="1543" w:type="dxa"/>
            <w:vAlign w:val="center"/>
          </w:tcPr>
          <w:p w14:paraId="3EE04508"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w:t>
            </w:r>
          </w:p>
        </w:tc>
      </w:tr>
      <w:tr w:rsidR="006906E2" w:rsidRPr="001E3F24" w14:paraId="7786943A" w14:textId="77777777" w:rsidTr="006906E2">
        <w:trPr>
          <w:trHeight w:val="221"/>
          <w:jc w:val="center"/>
        </w:trPr>
        <w:tc>
          <w:tcPr>
            <w:tcW w:w="2248" w:type="dxa"/>
            <w:gridSpan w:val="3"/>
            <w:shd w:val="clear" w:color="auto" w:fill="D9D9D9"/>
            <w:vAlign w:val="center"/>
          </w:tcPr>
          <w:p w14:paraId="7285C95F"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Unión Europea</w:t>
            </w:r>
          </w:p>
        </w:tc>
        <w:tc>
          <w:tcPr>
            <w:tcW w:w="995" w:type="dxa"/>
            <w:shd w:val="clear" w:color="auto" w:fill="D9D9D9"/>
            <w:vAlign w:val="center"/>
          </w:tcPr>
          <w:p w14:paraId="118B46BD"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shd w:val="clear" w:color="auto" w:fill="D9D9D9"/>
            <w:vAlign w:val="center"/>
          </w:tcPr>
          <w:p w14:paraId="272572A4"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shd w:val="clear" w:color="auto" w:fill="D9D9D9"/>
            <w:vAlign w:val="center"/>
          </w:tcPr>
          <w:p w14:paraId="62ABB6F9"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shd w:val="clear" w:color="auto" w:fill="D9D9D9"/>
            <w:vAlign w:val="center"/>
          </w:tcPr>
          <w:p w14:paraId="70974D8A"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0CA7F8E7" w14:textId="77777777" w:rsidTr="006906E2">
        <w:trPr>
          <w:trHeight w:val="221"/>
          <w:jc w:val="center"/>
        </w:trPr>
        <w:tc>
          <w:tcPr>
            <w:tcW w:w="2248" w:type="dxa"/>
            <w:gridSpan w:val="3"/>
            <w:vAlign w:val="center"/>
          </w:tcPr>
          <w:p w14:paraId="00F160E5"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Israel</w:t>
            </w:r>
          </w:p>
        </w:tc>
        <w:tc>
          <w:tcPr>
            <w:tcW w:w="995" w:type="dxa"/>
            <w:vAlign w:val="center"/>
          </w:tcPr>
          <w:p w14:paraId="471EF35A"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vAlign w:val="center"/>
          </w:tcPr>
          <w:p w14:paraId="096AAC73"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vAlign w:val="center"/>
          </w:tcPr>
          <w:p w14:paraId="5C66742B"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61837EE5"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5F014C22" w14:textId="77777777" w:rsidTr="006906E2">
        <w:trPr>
          <w:trHeight w:val="443"/>
          <w:jc w:val="center"/>
        </w:trPr>
        <w:tc>
          <w:tcPr>
            <w:tcW w:w="2248" w:type="dxa"/>
            <w:gridSpan w:val="3"/>
            <w:shd w:val="clear" w:color="auto" w:fill="D9D9D9"/>
            <w:vAlign w:val="center"/>
          </w:tcPr>
          <w:p w14:paraId="23046400"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Reino Unido e Irlanda del Norte</w:t>
            </w:r>
          </w:p>
        </w:tc>
        <w:tc>
          <w:tcPr>
            <w:tcW w:w="995" w:type="dxa"/>
            <w:shd w:val="clear" w:color="auto" w:fill="D9D9D9"/>
            <w:vAlign w:val="center"/>
          </w:tcPr>
          <w:p w14:paraId="7A7D22AC"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No</w:t>
            </w:r>
          </w:p>
        </w:tc>
        <w:tc>
          <w:tcPr>
            <w:tcW w:w="1538" w:type="dxa"/>
            <w:shd w:val="clear" w:color="auto" w:fill="D9D9D9"/>
            <w:vAlign w:val="center"/>
          </w:tcPr>
          <w:p w14:paraId="2DA8160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450" w:type="dxa"/>
            <w:shd w:val="clear" w:color="auto" w:fill="D9D9D9"/>
            <w:vAlign w:val="center"/>
          </w:tcPr>
          <w:p w14:paraId="2462A40D"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shd w:val="clear" w:color="auto" w:fill="D9D9D9"/>
            <w:vAlign w:val="center"/>
          </w:tcPr>
          <w:p w14:paraId="773C4A74"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r>
      <w:tr w:rsidR="006906E2" w:rsidRPr="001E3F24" w14:paraId="650687CF" w14:textId="77777777" w:rsidTr="006906E2">
        <w:trPr>
          <w:trHeight w:val="458"/>
          <w:jc w:val="center"/>
        </w:trPr>
        <w:tc>
          <w:tcPr>
            <w:tcW w:w="2248" w:type="dxa"/>
            <w:gridSpan w:val="3"/>
            <w:vAlign w:val="center"/>
          </w:tcPr>
          <w:p w14:paraId="4FD2A844" w14:textId="77777777" w:rsidR="006906E2" w:rsidRPr="00D01994" w:rsidRDefault="006906E2" w:rsidP="006906E2">
            <w:pPr>
              <w:jc w:val="both"/>
              <w:rPr>
                <w:rFonts w:ascii="Arial" w:hAnsi="Arial" w:cs="Arial"/>
                <w:sz w:val="18"/>
                <w:szCs w:val="18"/>
              </w:rPr>
            </w:pPr>
            <w:r w:rsidRPr="00D01994">
              <w:rPr>
                <w:rFonts w:ascii="Arial" w:hAnsi="Arial" w:cs="Arial"/>
                <w:sz w:val="18"/>
                <w:szCs w:val="18"/>
              </w:rPr>
              <w:t>Comunidad Andina</w:t>
            </w:r>
          </w:p>
        </w:tc>
        <w:tc>
          <w:tcPr>
            <w:tcW w:w="995" w:type="dxa"/>
            <w:vAlign w:val="center"/>
          </w:tcPr>
          <w:p w14:paraId="5F8E1277" w14:textId="77777777" w:rsidR="006906E2" w:rsidRPr="00D01994" w:rsidRDefault="006906E2" w:rsidP="006906E2">
            <w:pPr>
              <w:jc w:val="center"/>
              <w:rPr>
                <w:rFonts w:ascii="Arial" w:hAnsi="Arial" w:cs="Arial"/>
                <w:sz w:val="18"/>
                <w:szCs w:val="18"/>
              </w:rPr>
            </w:pPr>
            <w:r w:rsidRPr="00D01994">
              <w:rPr>
                <w:rFonts w:ascii="Arial" w:hAnsi="Arial" w:cs="Arial"/>
                <w:sz w:val="18"/>
                <w:szCs w:val="18"/>
              </w:rPr>
              <w:t>Si</w:t>
            </w:r>
          </w:p>
        </w:tc>
        <w:tc>
          <w:tcPr>
            <w:tcW w:w="1538" w:type="dxa"/>
            <w:vAlign w:val="center"/>
          </w:tcPr>
          <w:p w14:paraId="6867504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 incluye valores</w:t>
            </w:r>
          </w:p>
        </w:tc>
        <w:tc>
          <w:tcPr>
            <w:tcW w:w="1450" w:type="dxa"/>
            <w:vAlign w:val="center"/>
          </w:tcPr>
          <w:p w14:paraId="5E80511E"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No</w:t>
            </w:r>
          </w:p>
        </w:tc>
        <w:tc>
          <w:tcPr>
            <w:tcW w:w="1543" w:type="dxa"/>
            <w:vAlign w:val="center"/>
          </w:tcPr>
          <w:p w14:paraId="7BB4E01C" w14:textId="77777777" w:rsidR="006906E2" w:rsidRPr="00D01994" w:rsidRDefault="006906E2" w:rsidP="006906E2">
            <w:pPr>
              <w:ind w:hanging="11"/>
              <w:jc w:val="center"/>
              <w:rPr>
                <w:rFonts w:ascii="Arial" w:hAnsi="Arial" w:cs="Arial"/>
                <w:sz w:val="18"/>
                <w:szCs w:val="18"/>
              </w:rPr>
            </w:pPr>
            <w:r w:rsidRPr="00D01994">
              <w:rPr>
                <w:rFonts w:ascii="Arial" w:hAnsi="Arial" w:cs="Arial"/>
                <w:sz w:val="18"/>
                <w:szCs w:val="18"/>
              </w:rPr>
              <w:t>Si</w:t>
            </w:r>
          </w:p>
        </w:tc>
      </w:tr>
    </w:tbl>
    <w:p w14:paraId="4694F0EE" w14:textId="77777777" w:rsidR="006906E2" w:rsidRPr="001E3F24" w:rsidRDefault="006906E2" w:rsidP="006906E2">
      <w:pPr>
        <w:ind w:hanging="11"/>
        <w:jc w:val="both"/>
        <w:rPr>
          <w:rFonts w:ascii="Arial" w:hAnsi="Arial" w:cs="Arial"/>
          <w:b/>
          <w:bCs/>
          <w:sz w:val="20"/>
          <w:szCs w:val="20"/>
        </w:rPr>
      </w:pPr>
      <w:r w:rsidRPr="001E3F24">
        <w:rPr>
          <w:rFonts w:ascii="Arial" w:hAnsi="Arial" w:cs="Arial"/>
          <w:b/>
          <w:bCs/>
          <w:sz w:val="20"/>
          <w:szCs w:val="20"/>
        </w:rPr>
        <w:t>Fuente: Manual para el Manejo de los Acuerdos Comerciales  en Procesos de Contratación.</w:t>
      </w:r>
    </w:p>
    <w:p w14:paraId="5AEBC768" w14:textId="77777777" w:rsidR="006906E2" w:rsidRPr="001E3F24" w:rsidRDefault="006906E2" w:rsidP="006906E2">
      <w:pPr>
        <w:ind w:hanging="11"/>
        <w:jc w:val="both"/>
        <w:rPr>
          <w:rFonts w:ascii="Arial" w:hAnsi="Arial" w:cs="Arial"/>
          <w:bCs/>
          <w:sz w:val="20"/>
          <w:szCs w:val="20"/>
        </w:rPr>
      </w:pPr>
    </w:p>
    <w:p w14:paraId="224DBEAB" w14:textId="77777777" w:rsidR="006906E2" w:rsidRPr="001E3F24" w:rsidRDefault="006906E2" w:rsidP="006906E2">
      <w:pPr>
        <w:ind w:hanging="11"/>
        <w:jc w:val="both"/>
        <w:rPr>
          <w:rFonts w:ascii="Arial" w:hAnsi="Arial" w:cs="Arial"/>
          <w:bCs/>
          <w:sz w:val="20"/>
          <w:szCs w:val="20"/>
        </w:rPr>
      </w:pPr>
      <w:r w:rsidRPr="001E3F24">
        <w:rPr>
          <w:rFonts w:ascii="Arial" w:hAnsi="Arial" w:cs="Arial"/>
          <w:bCs/>
          <w:sz w:val="20"/>
          <w:szCs w:val="20"/>
        </w:rPr>
        <w:t>Una vez considerados los aspectos fundamentales de los capítulos de contratación pública de los acuerdos comerciales suscritos, se concluye que el presente proceso de contratación está cobijado por un acuerdo comercial con la CAN.</w:t>
      </w:r>
    </w:p>
    <w:p w14:paraId="1B987074" w14:textId="77777777" w:rsidR="006906E2" w:rsidRPr="001E3F24" w:rsidRDefault="006906E2" w:rsidP="006906E2">
      <w:pPr>
        <w:ind w:hanging="11"/>
        <w:jc w:val="both"/>
        <w:rPr>
          <w:rFonts w:ascii="Arial" w:hAnsi="Arial" w:cs="Arial"/>
          <w:sz w:val="20"/>
          <w:szCs w:val="20"/>
          <w:lang w:val="es-ES"/>
        </w:rPr>
      </w:pPr>
    </w:p>
    <w:p w14:paraId="421ECCCF" w14:textId="77777777" w:rsidR="006906E2" w:rsidRPr="001E3F24" w:rsidRDefault="006906E2" w:rsidP="006906E2">
      <w:pPr>
        <w:ind w:hanging="11"/>
        <w:jc w:val="both"/>
        <w:rPr>
          <w:rFonts w:ascii="Arial" w:hAnsi="Arial" w:cs="Arial"/>
          <w:sz w:val="20"/>
          <w:szCs w:val="20"/>
          <w:lang w:val="es-ES"/>
        </w:rPr>
      </w:pPr>
      <w:r w:rsidRPr="001E3F24">
        <w:rPr>
          <w:rFonts w:ascii="Arial" w:hAnsi="Arial" w:cs="Arial"/>
          <w:sz w:val="20"/>
          <w:szCs w:val="20"/>
          <w:lang w:val="es-ES"/>
        </w:rPr>
        <w:t>No obstante, lo anterior, no hay lugar a hacer ajustes en el cronograma del proceso licitatorio que va a llevarse a cabo, porque los acuerdos comerciales que cobijan la presente contratación no establecen plazos mínimos para la presentación de ofertas.</w:t>
      </w:r>
    </w:p>
    <w:p w14:paraId="32A403A8" w14:textId="77777777" w:rsidR="006906E2" w:rsidRPr="001E3F24" w:rsidRDefault="006906E2" w:rsidP="006906E2">
      <w:pPr>
        <w:ind w:hanging="11"/>
        <w:jc w:val="both"/>
        <w:rPr>
          <w:rFonts w:ascii="Arial" w:hAnsi="Arial" w:cs="Arial"/>
          <w:sz w:val="20"/>
          <w:szCs w:val="20"/>
          <w:lang w:val="es-ES"/>
        </w:rPr>
      </w:pPr>
    </w:p>
    <w:p w14:paraId="592D116E" w14:textId="77777777" w:rsidR="006906E2" w:rsidRPr="001E3F24" w:rsidRDefault="006906E2" w:rsidP="006906E2">
      <w:pPr>
        <w:ind w:hanging="11"/>
        <w:jc w:val="both"/>
        <w:rPr>
          <w:rFonts w:ascii="Arial" w:hAnsi="Arial" w:cs="Arial"/>
          <w:b/>
          <w:sz w:val="20"/>
          <w:szCs w:val="20"/>
          <w:lang w:val="es-ES"/>
        </w:rPr>
      </w:pPr>
      <w:r w:rsidRPr="001E3F24">
        <w:rPr>
          <w:rFonts w:ascii="Arial" w:hAnsi="Arial" w:cs="Arial"/>
          <w:b/>
          <w:sz w:val="20"/>
          <w:szCs w:val="20"/>
          <w:lang w:val="es-ES"/>
        </w:rPr>
        <w:t>1.4 Normatividad Aplicable</w:t>
      </w:r>
    </w:p>
    <w:p w14:paraId="31029B27" w14:textId="77777777" w:rsidR="006906E2" w:rsidRPr="001E3F24" w:rsidRDefault="006906E2" w:rsidP="006906E2">
      <w:pPr>
        <w:ind w:hanging="11"/>
        <w:jc w:val="both"/>
        <w:rPr>
          <w:rFonts w:ascii="Arial" w:hAnsi="Arial" w:cs="Arial"/>
          <w:b/>
          <w:sz w:val="20"/>
          <w:szCs w:val="20"/>
          <w:lang w:val="es-ES"/>
        </w:rPr>
      </w:pPr>
    </w:p>
    <w:p w14:paraId="4C06FA1D" w14:textId="77777777" w:rsidR="006906E2" w:rsidRPr="001E3F24" w:rsidRDefault="006906E2" w:rsidP="006906E2">
      <w:pPr>
        <w:ind w:hanging="11"/>
        <w:jc w:val="both"/>
        <w:rPr>
          <w:rFonts w:ascii="Arial" w:hAnsi="Arial" w:cs="Arial"/>
          <w:sz w:val="20"/>
          <w:szCs w:val="20"/>
          <w:lang w:val="es-ES"/>
        </w:rPr>
      </w:pPr>
      <w:r w:rsidRPr="001E3F24">
        <w:rPr>
          <w:rFonts w:ascii="Arial" w:hAnsi="Arial" w:cs="Arial"/>
          <w:sz w:val="20"/>
          <w:szCs w:val="20"/>
          <w:lang w:val="es-ES"/>
        </w:rPr>
        <w:t>El aspecto legal del presente proceso se estudia, bajo lo dispuesto en la siguiente normatividad:</w:t>
      </w:r>
    </w:p>
    <w:p w14:paraId="42B6074C"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80 de 1993. “Por la cual se expide el Estatuto General de Contratación de la Administración Pública, y sus decretos reglamentarios”.</w:t>
      </w:r>
    </w:p>
    <w:p w14:paraId="5C42C380"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1150 de 2007, “Por medio de la cual se introducen medidas para la eficiencia y la transparencia en la Ley 80 de 1993 y se dictan otras disposiciones generales sobre la contratación con recursos públicos”.</w:t>
      </w:r>
    </w:p>
    <w:p w14:paraId="0852FDFD"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Decreto 1082 de 2015. “Por medio del cual se expide el decreto único reglamentario del sector administrativo de Planeación Nacional”.</w:t>
      </w:r>
    </w:p>
    <w:p w14:paraId="72E68961"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816 de 2003, “por medio de la cual se apoya la industria nacional a través de la contratación pública”.</w:t>
      </w:r>
    </w:p>
    <w:p w14:paraId="11315078"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828 de 2003, “por la cual se expiden Normas para el control de la evasión del Sistema de Seguridad Social”.</w:t>
      </w:r>
    </w:p>
    <w:p w14:paraId="2BE8B362"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850 de 2003, “por la cual se reglamentan las veedurías ciudadanas”.</w:t>
      </w:r>
    </w:p>
    <w:p w14:paraId="19367B63"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1122 de 2007, “por la cual se hacen algunas modificaciones en el Sistema General de Seguridad Social en Salud y se dictan otras disposiciones”.</w:t>
      </w:r>
    </w:p>
    <w:p w14:paraId="5A285510"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lastRenderedPageBreak/>
        <w:t>Ley 1474 de 2011 “por la cual se dictan normas orientadas a fortalecer los mecanismos de prevención, investigación y sanción de actos de corrupción y la efectividad del control de la gestión pública”</w:t>
      </w:r>
    </w:p>
    <w:p w14:paraId="58542752"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 xml:space="preserve">Decreto Ley 019 de 2012 “Por el cual se dictan Normas para suprimir o reformar regulaciones, procedimientos y trámites innecesarios existentes en la Administración Pública”. </w:t>
      </w:r>
    </w:p>
    <w:p w14:paraId="2F754CD5"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1437 de 2011 “Por la cual se expide el Código de Procedimiento Administrativo y de lo Contencioso Administrativo”. En general, las Normas legales aplicables durante el proceso de selección y ejecución del contrato serán las estipuladas en el pliego de condiciones y las propias vigentes en Colombia sobre la materia.</w:t>
      </w:r>
    </w:p>
    <w:p w14:paraId="42114B44"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Decreto 791 del 22 de abril de 2014, mediante el cual se reglamenta el artículo 72 de la ley 1682 de 2013 compilado en el artículo 2.2.1.1.1.6 del Decreto 1082 de 2015.</w:t>
      </w:r>
    </w:p>
    <w:p w14:paraId="2C8138E9" w14:textId="77777777" w:rsidR="006906E2" w:rsidRPr="001E3F24" w:rsidRDefault="006906E2" w:rsidP="006906E2">
      <w:pPr>
        <w:numPr>
          <w:ilvl w:val="0"/>
          <w:numId w:val="13"/>
        </w:numPr>
        <w:ind w:left="0" w:hanging="11"/>
        <w:jc w:val="both"/>
        <w:rPr>
          <w:rFonts w:ascii="Arial" w:hAnsi="Arial" w:cs="Arial"/>
          <w:sz w:val="20"/>
          <w:szCs w:val="20"/>
          <w:lang w:val="es-ES"/>
        </w:rPr>
      </w:pPr>
      <w:r w:rsidRPr="001E3F24">
        <w:rPr>
          <w:rFonts w:ascii="Arial" w:hAnsi="Arial" w:cs="Arial"/>
          <w:sz w:val="20"/>
          <w:szCs w:val="20"/>
          <w:lang w:val="es-ES"/>
        </w:rPr>
        <w:t>Ley 1882 del 15 de enero de 2018 por la cual se adicionan, modifican y dictan disposiciones orientadas a fortalecer la contratación pública en Colombia, la ley de infraestructura y se dictan otras disposiciones.</w:t>
      </w:r>
    </w:p>
    <w:p w14:paraId="747107E0" w14:textId="77777777" w:rsidR="006906E2" w:rsidRPr="001E3F24" w:rsidRDefault="006906E2" w:rsidP="006906E2">
      <w:pPr>
        <w:ind w:hanging="11"/>
        <w:jc w:val="both"/>
        <w:rPr>
          <w:rFonts w:ascii="Arial" w:hAnsi="Arial" w:cs="Arial"/>
          <w:sz w:val="20"/>
          <w:szCs w:val="20"/>
          <w:lang w:val="es-ES"/>
        </w:rPr>
      </w:pPr>
    </w:p>
    <w:p w14:paraId="2F481649" w14:textId="77777777" w:rsidR="006906E2" w:rsidRPr="001E3F24" w:rsidRDefault="006906E2" w:rsidP="006906E2">
      <w:pPr>
        <w:ind w:hanging="11"/>
        <w:jc w:val="both"/>
        <w:rPr>
          <w:rFonts w:ascii="Arial" w:hAnsi="Arial" w:cs="Arial"/>
          <w:b/>
          <w:sz w:val="20"/>
          <w:szCs w:val="20"/>
          <w:lang w:val="es-ES"/>
        </w:rPr>
      </w:pPr>
      <w:r w:rsidRPr="001E3F24">
        <w:rPr>
          <w:rFonts w:ascii="Arial" w:hAnsi="Arial" w:cs="Arial"/>
          <w:b/>
          <w:sz w:val="20"/>
          <w:szCs w:val="20"/>
          <w:lang w:val="es-ES"/>
        </w:rPr>
        <w:t>1.4.1 Normatividad que regula la actividad económica</w:t>
      </w:r>
    </w:p>
    <w:p w14:paraId="7B8BB65F" w14:textId="77777777" w:rsidR="006906E2" w:rsidRPr="001E3F24" w:rsidRDefault="006906E2" w:rsidP="006906E2">
      <w:pPr>
        <w:ind w:hanging="11"/>
        <w:jc w:val="both"/>
        <w:rPr>
          <w:rFonts w:ascii="Arial" w:hAnsi="Arial" w:cs="Arial"/>
          <w:b/>
          <w:sz w:val="20"/>
          <w:szCs w:val="20"/>
          <w:lang w:val="es-ES"/>
        </w:rPr>
      </w:pPr>
    </w:p>
    <w:p w14:paraId="39E06222" w14:textId="77777777" w:rsidR="006906E2" w:rsidRPr="001E3F24" w:rsidRDefault="006906E2" w:rsidP="006906E2">
      <w:pPr>
        <w:ind w:hanging="11"/>
        <w:jc w:val="both"/>
        <w:rPr>
          <w:rFonts w:ascii="Arial" w:hAnsi="Arial" w:cs="Arial"/>
          <w:sz w:val="20"/>
          <w:szCs w:val="20"/>
          <w:lang w:val="es-ES"/>
        </w:rPr>
      </w:pPr>
      <w:r w:rsidRPr="001E3F24">
        <w:rPr>
          <w:rFonts w:ascii="Arial" w:hAnsi="Arial" w:cs="Arial"/>
          <w:sz w:val="20"/>
          <w:szCs w:val="20"/>
          <w:lang w:val="es-ES"/>
        </w:rPr>
        <w:t>Entre otras, la normatividad que regula la actividad de la construcción en Colombia tenemos las siguientes:</w:t>
      </w:r>
    </w:p>
    <w:p w14:paraId="7021837F" w14:textId="77777777" w:rsidR="006906E2" w:rsidRPr="001E3F24" w:rsidRDefault="006906E2" w:rsidP="006906E2">
      <w:pPr>
        <w:ind w:hanging="11"/>
        <w:jc w:val="both"/>
        <w:rPr>
          <w:rFonts w:ascii="Arial" w:hAnsi="Arial" w:cs="Arial"/>
          <w:sz w:val="20"/>
          <w:szCs w:val="20"/>
          <w:lang w:val="es-ES"/>
        </w:rPr>
      </w:pPr>
    </w:p>
    <w:p w14:paraId="50BE9479" w14:textId="77777777" w:rsidR="006906E2" w:rsidRPr="001E3F24" w:rsidRDefault="006906E2" w:rsidP="006906E2">
      <w:pPr>
        <w:ind w:hanging="11"/>
        <w:jc w:val="both"/>
        <w:rPr>
          <w:rFonts w:ascii="Arial" w:hAnsi="Arial" w:cs="Arial"/>
          <w:b/>
          <w:sz w:val="20"/>
          <w:szCs w:val="20"/>
        </w:rPr>
      </w:pPr>
      <w:r w:rsidRPr="001E3F24">
        <w:rPr>
          <w:rFonts w:ascii="Arial" w:hAnsi="Arial" w:cs="Arial"/>
          <w:b/>
          <w:sz w:val="20"/>
          <w:szCs w:val="20"/>
        </w:rPr>
        <w:t>Tabla 2. Normas Aplicables</w:t>
      </w:r>
    </w:p>
    <w:p w14:paraId="3A52D12E" w14:textId="77777777" w:rsidR="006906E2" w:rsidRPr="001E3F24" w:rsidRDefault="006906E2" w:rsidP="006906E2">
      <w:pPr>
        <w:ind w:hanging="11"/>
        <w:jc w:val="both"/>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51"/>
        <w:gridCol w:w="6045"/>
      </w:tblGrid>
      <w:tr w:rsidR="006906E2" w:rsidRPr="001E3F24" w14:paraId="41EF09A0" w14:textId="77777777" w:rsidTr="006906E2">
        <w:trPr>
          <w:jc w:val="center"/>
        </w:trPr>
        <w:tc>
          <w:tcPr>
            <w:tcW w:w="2751" w:type="dxa"/>
            <w:tcMar>
              <w:top w:w="0" w:type="dxa"/>
              <w:left w:w="108" w:type="dxa"/>
              <w:bottom w:w="0" w:type="dxa"/>
              <w:right w:w="108" w:type="dxa"/>
            </w:tcMar>
            <w:vAlign w:val="center"/>
            <w:hideMark/>
          </w:tcPr>
          <w:p w14:paraId="162FA8C8"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020 de 1951</w:t>
            </w:r>
          </w:p>
        </w:tc>
        <w:tc>
          <w:tcPr>
            <w:tcW w:w="6045" w:type="dxa"/>
            <w:tcMar>
              <w:top w:w="0" w:type="dxa"/>
              <w:left w:w="108" w:type="dxa"/>
              <w:bottom w:w="0" w:type="dxa"/>
              <w:right w:w="108" w:type="dxa"/>
            </w:tcMar>
            <w:vAlign w:val="center"/>
            <w:hideMark/>
          </w:tcPr>
          <w:p w14:paraId="3D6AB6AE"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Reglamenta los artículos 349 y 359 del Código Sustantivo de Trabajo.</w:t>
            </w:r>
          </w:p>
        </w:tc>
      </w:tr>
      <w:tr w:rsidR="006906E2" w:rsidRPr="001E3F24" w14:paraId="5987A700" w14:textId="77777777" w:rsidTr="006906E2">
        <w:trPr>
          <w:jc w:val="center"/>
        </w:trPr>
        <w:tc>
          <w:tcPr>
            <w:tcW w:w="2751" w:type="dxa"/>
            <w:tcMar>
              <w:top w:w="0" w:type="dxa"/>
              <w:left w:w="108" w:type="dxa"/>
              <w:bottom w:w="0" w:type="dxa"/>
              <w:right w:w="108" w:type="dxa"/>
            </w:tcMar>
            <w:vAlign w:val="center"/>
            <w:hideMark/>
          </w:tcPr>
          <w:p w14:paraId="0A5125DB"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Resolución No. 02413 de mayo 22 de 1979</w:t>
            </w:r>
          </w:p>
        </w:tc>
        <w:tc>
          <w:tcPr>
            <w:tcW w:w="6045" w:type="dxa"/>
            <w:tcMar>
              <w:top w:w="0" w:type="dxa"/>
              <w:left w:w="108" w:type="dxa"/>
              <w:bottom w:w="0" w:type="dxa"/>
              <w:right w:w="108" w:type="dxa"/>
            </w:tcMar>
            <w:vAlign w:val="center"/>
            <w:hideMark/>
          </w:tcPr>
          <w:p w14:paraId="6625F728"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Reglamento de higiene y seguridad para la industria de la construcción.</w:t>
            </w:r>
          </w:p>
        </w:tc>
      </w:tr>
      <w:tr w:rsidR="006906E2" w:rsidRPr="001E3F24" w14:paraId="4C5C6994" w14:textId="77777777" w:rsidTr="006906E2">
        <w:trPr>
          <w:jc w:val="center"/>
        </w:trPr>
        <w:tc>
          <w:tcPr>
            <w:tcW w:w="2751" w:type="dxa"/>
            <w:tcMar>
              <w:top w:w="0" w:type="dxa"/>
              <w:left w:w="108" w:type="dxa"/>
              <w:bottom w:w="0" w:type="dxa"/>
              <w:right w:w="108" w:type="dxa"/>
            </w:tcMar>
            <w:vAlign w:val="center"/>
            <w:hideMark/>
          </w:tcPr>
          <w:p w14:paraId="441E934D"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Resolución No. 02400 de mayo 22 de 1979</w:t>
            </w:r>
          </w:p>
        </w:tc>
        <w:tc>
          <w:tcPr>
            <w:tcW w:w="6045" w:type="dxa"/>
            <w:tcMar>
              <w:top w:w="0" w:type="dxa"/>
              <w:left w:w="108" w:type="dxa"/>
              <w:bottom w:w="0" w:type="dxa"/>
              <w:right w:w="108" w:type="dxa"/>
            </w:tcMar>
            <w:vAlign w:val="center"/>
            <w:hideMark/>
          </w:tcPr>
          <w:p w14:paraId="6405C4D1"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Normas sobre vivienda, higiene y seguridad en los establecimientos de trabajo.</w:t>
            </w:r>
          </w:p>
        </w:tc>
      </w:tr>
      <w:tr w:rsidR="006906E2" w:rsidRPr="001E3F24" w14:paraId="4D6544FD" w14:textId="77777777" w:rsidTr="006906E2">
        <w:trPr>
          <w:jc w:val="center"/>
        </w:trPr>
        <w:tc>
          <w:tcPr>
            <w:tcW w:w="2751" w:type="dxa"/>
            <w:tcMar>
              <w:top w:w="0" w:type="dxa"/>
              <w:left w:w="108" w:type="dxa"/>
              <w:bottom w:w="0" w:type="dxa"/>
              <w:right w:w="108" w:type="dxa"/>
            </w:tcMar>
            <w:vAlign w:val="center"/>
            <w:hideMark/>
          </w:tcPr>
          <w:p w14:paraId="104B42F0"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132 de enero 18 de 1984</w:t>
            </w:r>
          </w:p>
        </w:tc>
        <w:tc>
          <w:tcPr>
            <w:tcW w:w="6045" w:type="dxa"/>
            <w:tcMar>
              <w:top w:w="0" w:type="dxa"/>
              <w:left w:w="108" w:type="dxa"/>
              <w:bottom w:w="0" w:type="dxa"/>
              <w:right w:w="108" w:type="dxa"/>
            </w:tcMar>
            <w:vAlign w:val="center"/>
            <w:hideMark/>
          </w:tcPr>
          <w:p w14:paraId="3253A171"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Normas sobre presentación de informe de accidente de trabajo.</w:t>
            </w:r>
          </w:p>
        </w:tc>
      </w:tr>
      <w:tr w:rsidR="006906E2" w:rsidRPr="001E3F24" w14:paraId="1B19F69F" w14:textId="77777777" w:rsidTr="006906E2">
        <w:trPr>
          <w:jc w:val="center"/>
        </w:trPr>
        <w:tc>
          <w:tcPr>
            <w:tcW w:w="2751" w:type="dxa"/>
            <w:tcMar>
              <w:top w:w="0" w:type="dxa"/>
              <w:left w:w="108" w:type="dxa"/>
              <w:bottom w:w="0" w:type="dxa"/>
              <w:right w:w="108" w:type="dxa"/>
            </w:tcMar>
            <w:vAlign w:val="center"/>
            <w:hideMark/>
          </w:tcPr>
          <w:p w14:paraId="41148F0D"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02013 de Junio 6 de 1986</w:t>
            </w:r>
          </w:p>
        </w:tc>
        <w:tc>
          <w:tcPr>
            <w:tcW w:w="6045" w:type="dxa"/>
            <w:tcMar>
              <w:top w:w="0" w:type="dxa"/>
              <w:left w:w="108" w:type="dxa"/>
              <w:bottom w:w="0" w:type="dxa"/>
              <w:right w:w="108" w:type="dxa"/>
            </w:tcMar>
            <w:vAlign w:val="center"/>
            <w:hideMark/>
          </w:tcPr>
          <w:p w14:paraId="4CC0CA33"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Reglamento para la organización y funcionamiento de los comités, de medicina, higiene y seguridad industrial en lugares de trabajo.</w:t>
            </w:r>
          </w:p>
        </w:tc>
      </w:tr>
      <w:tr w:rsidR="006906E2" w:rsidRPr="001E3F24" w14:paraId="3DFB19A8" w14:textId="77777777" w:rsidTr="006906E2">
        <w:trPr>
          <w:jc w:val="center"/>
        </w:trPr>
        <w:tc>
          <w:tcPr>
            <w:tcW w:w="2751" w:type="dxa"/>
            <w:tcMar>
              <w:top w:w="0" w:type="dxa"/>
              <w:left w:w="108" w:type="dxa"/>
              <w:bottom w:w="0" w:type="dxa"/>
              <w:right w:w="108" w:type="dxa"/>
            </w:tcMar>
            <w:vAlign w:val="center"/>
            <w:hideMark/>
          </w:tcPr>
          <w:p w14:paraId="4E170169"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01016 de marzo 31 de 1989</w:t>
            </w:r>
          </w:p>
        </w:tc>
        <w:tc>
          <w:tcPr>
            <w:tcW w:w="6045" w:type="dxa"/>
            <w:tcMar>
              <w:top w:w="0" w:type="dxa"/>
              <w:left w:w="108" w:type="dxa"/>
              <w:bottom w:w="0" w:type="dxa"/>
              <w:right w:w="108" w:type="dxa"/>
            </w:tcMar>
            <w:vAlign w:val="center"/>
            <w:hideMark/>
          </w:tcPr>
          <w:p w14:paraId="639DF63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Reglamento de la organización, funcionamiento y forma de los programas de Salud Ocupacional.</w:t>
            </w:r>
          </w:p>
        </w:tc>
      </w:tr>
      <w:tr w:rsidR="006906E2" w:rsidRPr="001E3F24" w14:paraId="1B8F3F4D" w14:textId="77777777" w:rsidTr="006906E2">
        <w:trPr>
          <w:jc w:val="center"/>
        </w:trPr>
        <w:tc>
          <w:tcPr>
            <w:tcW w:w="2751" w:type="dxa"/>
            <w:tcMar>
              <w:top w:w="0" w:type="dxa"/>
              <w:left w:w="108" w:type="dxa"/>
              <w:bottom w:w="0" w:type="dxa"/>
              <w:right w:w="108" w:type="dxa"/>
            </w:tcMar>
            <w:vAlign w:val="center"/>
            <w:hideMark/>
          </w:tcPr>
          <w:p w14:paraId="65142A08"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13824 de octubre de 1989</w:t>
            </w:r>
          </w:p>
        </w:tc>
        <w:tc>
          <w:tcPr>
            <w:tcW w:w="6045" w:type="dxa"/>
            <w:tcMar>
              <w:top w:w="0" w:type="dxa"/>
              <w:left w:w="108" w:type="dxa"/>
              <w:bottom w:w="0" w:type="dxa"/>
              <w:right w:w="108" w:type="dxa"/>
            </w:tcMar>
            <w:vAlign w:val="center"/>
            <w:hideMark/>
          </w:tcPr>
          <w:p w14:paraId="519D533D"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Medidas de protección de salud</w:t>
            </w:r>
          </w:p>
        </w:tc>
      </w:tr>
      <w:tr w:rsidR="006906E2" w:rsidRPr="001E3F24" w14:paraId="3982EBC6" w14:textId="77777777" w:rsidTr="006906E2">
        <w:trPr>
          <w:jc w:val="center"/>
        </w:trPr>
        <w:tc>
          <w:tcPr>
            <w:tcW w:w="2751" w:type="dxa"/>
            <w:tcMar>
              <w:top w:w="0" w:type="dxa"/>
              <w:left w:w="108" w:type="dxa"/>
              <w:bottom w:w="0" w:type="dxa"/>
              <w:right w:w="108" w:type="dxa"/>
            </w:tcMar>
            <w:vAlign w:val="center"/>
            <w:hideMark/>
          </w:tcPr>
          <w:p w14:paraId="617C3547"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Resolución 001792 de 3 de mayo de 1990</w:t>
            </w:r>
          </w:p>
        </w:tc>
        <w:tc>
          <w:tcPr>
            <w:tcW w:w="6045" w:type="dxa"/>
            <w:tcMar>
              <w:top w:w="0" w:type="dxa"/>
              <w:left w:w="108" w:type="dxa"/>
              <w:bottom w:w="0" w:type="dxa"/>
              <w:right w:w="108" w:type="dxa"/>
            </w:tcMar>
            <w:vAlign w:val="center"/>
            <w:hideMark/>
          </w:tcPr>
          <w:p w14:paraId="7514C97E"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Valores límites permisibles para la exposición ocupacional al ruido.</w:t>
            </w:r>
          </w:p>
        </w:tc>
      </w:tr>
      <w:tr w:rsidR="006906E2" w:rsidRPr="001E3F24" w14:paraId="13978581" w14:textId="77777777" w:rsidTr="006906E2">
        <w:trPr>
          <w:jc w:val="center"/>
        </w:trPr>
        <w:tc>
          <w:tcPr>
            <w:tcW w:w="2751" w:type="dxa"/>
            <w:tcMar>
              <w:top w:w="0" w:type="dxa"/>
              <w:left w:w="108" w:type="dxa"/>
              <w:bottom w:w="0" w:type="dxa"/>
              <w:right w:w="108" w:type="dxa"/>
            </w:tcMar>
            <w:vAlign w:val="center"/>
            <w:hideMark/>
          </w:tcPr>
          <w:p w14:paraId="6E9BCE4A"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Resolución 09013 de 12 de julio de 1990</w:t>
            </w:r>
          </w:p>
        </w:tc>
        <w:tc>
          <w:tcPr>
            <w:tcW w:w="6045" w:type="dxa"/>
            <w:tcMar>
              <w:top w:w="0" w:type="dxa"/>
              <w:left w:w="108" w:type="dxa"/>
              <w:bottom w:w="0" w:type="dxa"/>
              <w:right w:w="108" w:type="dxa"/>
            </w:tcMar>
            <w:vAlign w:val="center"/>
            <w:hideMark/>
          </w:tcPr>
          <w:p w14:paraId="6A45D209"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Normas y procedimientos relacionados con el funcionamiento y operación de equipos de rayos X y otros emisores de radiaciones ionizantes.</w:t>
            </w:r>
          </w:p>
        </w:tc>
      </w:tr>
      <w:tr w:rsidR="006906E2" w:rsidRPr="001E3F24" w14:paraId="7157A3DB" w14:textId="77777777" w:rsidTr="006906E2">
        <w:trPr>
          <w:jc w:val="center"/>
        </w:trPr>
        <w:tc>
          <w:tcPr>
            <w:tcW w:w="2751" w:type="dxa"/>
            <w:tcMar>
              <w:top w:w="0" w:type="dxa"/>
              <w:left w:w="108" w:type="dxa"/>
              <w:bottom w:w="0" w:type="dxa"/>
              <w:right w:w="108" w:type="dxa"/>
            </w:tcMar>
            <w:vAlign w:val="center"/>
            <w:hideMark/>
          </w:tcPr>
          <w:p w14:paraId="36E95E5C"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Resolución 006398 de 20 de diciembre de 1991</w:t>
            </w:r>
          </w:p>
        </w:tc>
        <w:tc>
          <w:tcPr>
            <w:tcW w:w="6045" w:type="dxa"/>
            <w:tcMar>
              <w:top w:w="0" w:type="dxa"/>
              <w:left w:w="108" w:type="dxa"/>
              <w:bottom w:w="0" w:type="dxa"/>
              <w:right w:w="108" w:type="dxa"/>
            </w:tcMar>
            <w:vAlign w:val="center"/>
            <w:hideMark/>
          </w:tcPr>
          <w:p w14:paraId="31D5C79D"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Procedimiento en materia de salud ocupacional.</w:t>
            </w:r>
          </w:p>
        </w:tc>
      </w:tr>
      <w:tr w:rsidR="006906E2" w:rsidRPr="001E3F24" w14:paraId="53E7F126" w14:textId="77777777" w:rsidTr="006906E2">
        <w:trPr>
          <w:jc w:val="center"/>
        </w:trPr>
        <w:tc>
          <w:tcPr>
            <w:tcW w:w="2751" w:type="dxa"/>
            <w:tcMar>
              <w:top w:w="0" w:type="dxa"/>
              <w:left w:w="108" w:type="dxa"/>
              <w:bottom w:w="0" w:type="dxa"/>
              <w:right w:w="108" w:type="dxa"/>
            </w:tcMar>
            <w:vAlign w:val="center"/>
            <w:hideMark/>
          </w:tcPr>
          <w:p w14:paraId="4A35EFE2"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1075 de marzo 24 de 1992</w:t>
            </w:r>
          </w:p>
        </w:tc>
        <w:tc>
          <w:tcPr>
            <w:tcW w:w="6045" w:type="dxa"/>
            <w:tcMar>
              <w:top w:w="0" w:type="dxa"/>
              <w:left w:w="108" w:type="dxa"/>
              <w:bottom w:w="0" w:type="dxa"/>
              <w:right w:w="108" w:type="dxa"/>
            </w:tcMar>
            <w:vAlign w:val="center"/>
            <w:hideMark/>
          </w:tcPr>
          <w:p w14:paraId="12409D87"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Actividades en materia de salud ocupacional.</w:t>
            </w:r>
          </w:p>
        </w:tc>
      </w:tr>
      <w:tr w:rsidR="006906E2" w:rsidRPr="001E3F24" w14:paraId="595D57F6" w14:textId="77777777" w:rsidTr="006906E2">
        <w:trPr>
          <w:jc w:val="center"/>
        </w:trPr>
        <w:tc>
          <w:tcPr>
            <w:tcW w:w="2751" w:type="dxa"/>
            <w:tcMar>
              <w:top w:w="0" w:type="dxa"/>
              <w:left w:w="108" w:type="dxa"/>
              <w:bottom w:w="0" w:type="dxa"/>
              <w:right w:w="108" w:type="dxa"/>
            </w:tcMar>
            <w:vAlign w:val="center"/>
            <w:hideMark/>
          </w:tcPr>
          <w:p w14:paraId="041B25FC"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4050 diciembre 6 de 1994</w:t>
            </w:r>
          </w:p>
        </w:tc>
        <w:tc>
          <w:tcPr>
            <w:tcW w:w="6045" w:type="dxa"/>
            <w:tcMar>
              <w:top w:w="0" w:type="dxa"/>
              <w:left w:w="108" w:type="dxa"/>
              <w:bottom w:w="0" w:type="dxa"/>
              <w:right w:w="108" w:type="dxa"/>
            </w:tcMar>
            <w:vAlign w:val="center"/>
            <w:hideMark/>
          </w:tcPr>
          <w:p w14:paraId="208CEC98"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Reglamenta el examen de ingreso.</w:t>
            </w:r>
          </w:p>
        </w:tc>
      </w:tr>
      <w:tr w:rsidR="006906E2" w:rsidRPr="001E3F24" w14:paraId="0CCB772F" w14:textId="77777777" w:rsidTr="006906E2">
        <w:trPr>
          <w:jc w:val="center"/>
        </w:trPr>
        <w:tc>
          <w:tcPr>
            <w:tcW w:w="2751" w:type="dxa"/>
            <w:tcMar>
              <w:top w:w="0" w:type="dxa"/>
              <w:left w:w="108" w:type="dxa"/>
              <w:bottom w:w="0" w:type="dxa"/>
              <w:right w:w="108" w:type="dxa"/>
            </w:tcMar>
            <w:vAlign w:val="center"/>
            <w:hideMark/>
          </w:tcPr>
          <w:p w14:paraId="6D0462EA"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2328 de julia 15 de 1996</w:t>
            </w:r>
          </w:p>
        </w:tc>
        <w:tc>
          <w:tcPr>
            <w:tcW w:w="6045" w:type="dxa"/>
            <w:tcMar>
              <w:top w:w="0" w:type="dxa"/>
              <w:left w:w="108" w:type="dxa"/>
              <w:bottom w:w="0" w:type="dxa"/>
              <w:right w:w="108" w:type="dxa"/>
            </w:tcMar>
            <w:vAlign w:val="center"/>
            <w:hideMark/>
          </w:tcPr>
          <w:p w14:paraId="5C539016" w14:textId="77777777" w:rsidR="006906E2" w:rsidRPr="001E3F24" w:rsidRDefault="006906E2" w:rsidP="006906E2">
            <w:pPr>
              <w:jc w:val="both"/>
              <w:rPr>
                <w:rFonts w:ascii="Arial" w:hAnsi="Arial" w:cs="Arial"/>
                <w:sz w:val="20"/>
                <w:szCs w:val="20"/>
              </w:rPr>
            </w:pPr>
            <w:r w:rsidRPr="001E3F24">
              <w:rPr>
                <w:rFonts w:ascii="Arial" w:hAnsi="Arial" w:cs="Arial"/>
                <w:sz w:val="20"/>
                <w:szCs w:val="20"/>
                <w:lang w:val="es-ES"/>
              </w:rPr>
              <w:t xml:space="preserve">Se delega y reglamenta la expedición de licencias de salud ocupacional. </w:t>
            </w:r>
            <w:r w:rsidRPr="001E3F24">
              <w:rPr>
                <w:rFonts w:ascii="Arial" w:hAnsi="Arial" w:cs="Arial"/>
                <w:sz w:val="20"/>
                <w:szCs w:val="20"/>
              </w:rPr>
              <w:t>Diario Oficial 42841</w:t>
            </w:r>
          </w:p>
        </w:tc>
      </w:tr>
      <w:tr w:rsidR="006906E2" w:rsidRPr="001E3F24" w14:paraId="6021947C" w14:textId="77777777" w:rsidTr="006906E2">
        <w:trPr>
          <w:jc w:val="center"/>
        </w:trPr>
        <w:tc>
          <w:tcPr>
            <w:tcW w:w="2751" w:type="dxa"/>
            <w:tcMar>
              <w:top w:w="0" w:type="dxa"/>
              <w:left w:w="108" w:type="dxa"/>
              <w:bottom w:w="0" w:type="dxa"/>
              <w:right w:w="108" w:type="dxa"/>
            </w:tcMar>
            <w:vAlign w:val="center"/>
            <w:hideMark/>
          </w:tcPr>
          <w:p w14:paraId="74A7FBB8"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3997 de octubre 30 de 1996</w:t>
            </w:r>
          </w:p>
        </w:tc>
        <w:tc>
          <w:tcPr>
            <w:tcW w:w="6045" w:type="dxa"/>
            <w:tcMar>
              <w:top w:w="0" w:type="dxa"/>
              <w:left w:w="108" w:type="dxa"/>
              <w:bottom w:w="0" w:type="dxa"/>
              <w:right w:w="108" w:type="dxa"/>
            </w:tcMar>
            <w:vAlign w:val="center"/>
            <w:hideMark/>
          </w:tcPr>
          <w:p w14:paraId="6B70C42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Establecen actividades y procedimientos para el desarrollo de las acciones de promoción y prevención en el SGSSS.</w:t>
            </w:r>
          </w:p>
        </w:tc>
      </w:tr>
      <w:tr w:rsidR="006906E2" w:rsidRPr="001E3F24" w14:paraId="481FD6EC" w14:textId="77777777" w:rsidTr="006906E2">
        <w:trPr>
          <w:jc w:val="center"/>
        </w:trPr>
        <w:tc>
          <w:tcPr>
            <w:tcW w:w="2751" w:type="dxa"/>
            <w:tcMar>
              <w:top w:w="0" w:type="dxa"/>
              <w:left w:w="108" w:type="dxa"/>
              <w:bottom w:w="0" w:type="dxa"/>
              <w:right w:w="108" w:type="dxa"/>
            </w:tcMar>
            <w:vAlign w:val="center"/>
          </w:tcPr>
          <w:p w14:paraId="034A392F"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Ley 400 de 1.997</w:t>
            </w:r>
          </w:p>
        </w:tc>
        <w:tc>
          <w:tcPr>
            <w:tcW w:w="6045" w:type="dxa"/>
            <w:tcMar>
              <w:top w:w="0" w:type="dxa"/>
              <w:left w:w="108" w:type="dxa"/>
              <w:bottom w:w="0" w:type="dxa"/>
              <w:right w:w="108" w:type="dxa"/>
            </w:tcMar>
            <w:vAlign w:val="center"/>
          </w:tcPr>
          <w:p w14:paraId="51807546"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adoptan normas sobre construcciones sismos resistentes.</w:t>
            </w:r>
          </w:p>
        </w:tc>
      </w:tr>
      <w:tr w:rsidR="006906E2" w:rsidRPr="001E3F24" w14:paraId="1FB4B5BC" w14:textId="77777777" w:rsidTr="006906E2">
        <w:trPr>
          <w:jc w:val="center"/>
        </w:trPr>
        <w:tc>
          <w:tcPr>
            <w:tcW w:w="2751" w:type="dxa"/>
            <w:tcMar>
              <w:top w:w="0" w:type="dxa"/>
              <w:left w:w="108" w:type="dxa"/>
              <w:bottom w:w="0" w:type="dxa"/>
              <w:right w:w="108" w:type="dxa"/>
            </w:tcMar>
            <w:vAlign w:val="center"/>
            <w:hideMark/>
          </w:tcPr>
          <w:p w14:paraId="0884FA13"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4252 noviembre 12 de 1997</w:t>
            </w:r>
          </w:p>
        </w:tc>
        <w:tc>
          <w:tcPr>
            <w:tcW w:w="6045" w:type="dxa"/>
            <w:tcMar>
              <w:top w:w="0" w:type="dxa"/>
              <w:left w:w="108" w:type="dxa"/>
              <w:bottom w:w="0" w:type="dxa"/>
              <w:right w:w="108" w:type="dxa"/>
            </w:tcMar>
            <w:vAlign w:val="center"/>
            <w:hideMark/>
          </w:tcPr>
          <w:p w14:paraId="707A5250"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Normas técnicas, científicas y administrativas para los requisitos esenciales.</w:t>
            </w:r>
          </w:p>
        </w:tc>
      </w:tr>
      <w:tr w:rsidR="006906E2" w:rsidRPr="001E3F24" w14:paraId="07F35A60" w14:textId="77777777" w:rsidTr="006906E2">
        <w:trPr>
          <w:jc w:val="center"/>
        </w:trPr>
        <w:tc>
          <w:tcPr>
            <w:tcW w:w="2751" w:type="dxa"/>
            <w:tcMar>
              <w:top w:w="0" w:type="dxa"/>
              <w:left w:w="108" w:type="dxa"/>
              <w:bottom w:w="0" w:type="dxa"/>
              <w:right w:w="108" w:type="dxa"/>
            </w:tcMar>
            <w:vAlign w:val="center"/>
          </w:tcPr>
          <w:p w14:paraId="72ACABB6"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2809 de 2.000</w:t>
            </w:r>
          </w:p>
        </w:tc>
        <w:tc>
          <w:tcPr>
            <w:tcW w:w="6045" w:type="dxa"/>
            <w:tcMar>
              <w:top w:w="0" w:type="dxa"/>
              <w:left w:w="108" w:type="dxa"/>
              <w:bottom w:w="0" w:type="dxa"/>
              <w:right w:w="108" w:type="dxa"/>
            </w:tcMar>
            <w:vAlign w:val="center"/>
          </w:tcPr>
          <w:p w14:paraId="65444AB8"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modifican parcialmente los Decretos 33 de 1998 y 34 de 1999</w:t>
            </w:r>
          </w:p>
        </w:tc>
      </w:tr>
      <w:tr w:rsidR="006906E2" w:rsidRPr="001E3F24" w14:paraId="24245CA7" w14:textId="77777777" w:rsidTr="006906E2">
        <w:trPr>
          <w:jc w:val="center"/>
        </w:trPr>
        <w:tc>
          <w:tcPr>
            <w:tcW w:w="2751" w:type="dxa"/>
            <w:tcMar>
              <w:top w:w="0" w:type="dxa"/>
              <w:left w:w="108" w:type="dxa"/>
              <w:bottom w:w="0" w:type="dxa"/>
              <w:right w:w="108" w:type="dxa"/>
            </w:tcMar>
            <w:vAlign w:val="center"/>
            <w:hideMark/>
          </w:tcPr>
          <w:p w14:paraId="1DDECD13"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1592 de setiembre del 2001</w:t>
            </w:r>
          </w:p>
        </w:tc>
        <w:tc>
          <w:tcPr>
            <w:tcW w:w="6045" w:type="dxa"/>
            <w:tcMar>
              <w:top w:w="0" w:type="dxa"/>
              <w:left w:w="108" w:type="dxa"/>
              <w:bottom w:w="0" w:type="dxa"/>
              <w:right w:w="108" w:type="dxa"/>
            </w:tcMar>
            <w:vAlign w:val="center"/>
            <w:hideMark/>
          </w:tcPr>
          <w:p w14:paraId="076E0E39"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Se autoriza el uso de plaguicidas.</w:t>
            </w:r>
          </w:p>
        </w:tc>
      </w:tr>
      <w:tr w:rsidR="006906E2" w:rsidRPr="001E3F24" w14:paraId="7813FF6D" w14:textId="77777777" w:rsidTr="006906E2">
        <w:trPr>
          <w:jc w:val="center"/>
        </w:trPr>
        <w:tc>
          <w:tcPr>
            <w:tcW w:w="2751" w:type="dxa"/>
            <w:tcMar>
              <w:top w:w="0" w:type="dxa"/>
              <w:left w:w="108" w:type="dxa"/>
              <w:bottom w:w="0" w:type="dxa"/>
              <w:right w:w="108" w:type="dxa"/>
            </w:tcMar>
            <w:vAlign w:val="center"/>
            <w:hideMark/>
          </w:tcPr>
          <w:p w14:paraId="22033222"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1192 de diciembre 20 del 2001</w:t>
            </w:r>
          </w:p>
        </w:tc>
        <w:tc>
          <w:tcPr>
            <w:tcW w:w="6045" w:type="dxa"/>
            <w:tcMar>
              <w:top w:w="0" w:type="dxa"/>
              <w:left w:w="108" w:type="dxa"/>
              <w:bottom w:w="0" w:type="dxa"/>
              <w:right w:w="108" w:type="dxa"/>
            </w:tcMar>
            <w:vAlign w:val="center"/>
            <w:hideMark/>
          </w:tcPr>
          <w:p w14:paraId="6FA7166B"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Se elimina la obligatoriedad de algunas normas Técnicas Colombianas Oficiales obligatorias.</w:t>
            </w:r>
          </w:p>
        </w:tc>
      </w:tr>
      <w:tr w:rsidR="006906E2" w:rsidRPr="001E3F24" w14:paraId="2AA28C0D" w14:textId="77777777" w:rsidTr="006906E2">
        <w:trPr>
          <w:jc w:val="center"/>
        </w:trPr>
        <w:tc>
          <w:tcPr>
            <w:tcW w:w="2751" w:type="dxa"/>
            <w:tcMar>
              <w:top w:w="0" w:type="dxa"/>
              <w:left w:w="108" w:type="dxa"/>
              <w:bottom w:w="0" w:type="dxa"/>
              <w:right w:w="108" w:type="dxa"/>
            </w:tcMar>
            <w:vAlign w:val="center"/>
            <w:hideMark/>
          </w:tcPr>
          <w:p w14:paraId="323B02D7"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Resolución 1875 del 2001</w:t>
            </w:r>
          </w:p>
        </w:tc>
        <w:tc>
          <w:tcPr>
            <w:tcW w:w="6045" w:type="dxa"/>
            <w:tcMar>
              <w:top w:w="0" w:type="dxa"/>
              <w:left w:w="108" w:type="dxa"/>
              <w:bottom w:w="0" w:type="dxa"/>
              <w:right w:w="108" w:type="dxa"/>
            </w:tcMar>
            <w:vAlign w:val="center"/>
            <w:hideMark/>
          </w:tcPr>
          <w:p w14:paraId="1CE8D0E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crea el subsistema de Información de Salud Ocupacional y Riegos profesionales.</w:t>
            </w:r>
          </w:p>
        </w:tc>
      </w:tr>
      <w:tr w:rsidR="006906E2" w:rsidRPr="001E3F24" w14:paraId="4128B39F" w14:textId="77777777" w:rsidTr="006906E2">
        <w:trPr>
          <w:jc w:val="center"/>
        </w:trPr>
        <w:tc>
          <w:tcPr>
            <w:tcW w:w="2751" w:type="dxa"/>
            <w:tcMar>
              <w:top w:w="0" w:type="dxa"/>
              <w:left w:w="108" w:type="dxa"/>
              <w:bottom w:w="0" w:type="dxa"/>
              <w:right w:w="108" w:type="dxa"/>
            </w:tcMar>
            <w:vAlign w:val="center"/>
          </w:tcPr>
          <w:p w14:paraId="38E3A4AB"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Ley 1229 de 2.008</w:t>
            </w:r>
          </w:p>
        </w:tc>
        <w:tc>
          <w:tcPr>
            <w:tcW w:w="6045" w:type="dxa"/>
            <w:tcMar>
              <w:top w:w="0" w:type="dxa"/>
              <w:left w:w="108" w:type="dxa"/>
              <w:bottom w:w="0" w:type="dxa"/>
              <w:right w:w="108" w:type="dxa"/>
            </w:tcMar>
            <w:vAlign w:val="center"/>
          </w:tcPr>
          <w:p w14:paraId="1030F4B6"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 xml:space="preserve">Por la cual se modifica y adiciona la Ley 400 del 19 de agosto de </w:t>
            </w:r>
            <w:r w:rsidRPr="001E3F24">
              <w:rPr>
                <w:rFonts w:ascii="Arial" w:hAnsi="Arial" w:cs="Arial"/>
                <w:sz w:val="20"/>
                <w:szCs w:val="20"/>
                <w:lang w:val="es-ES"/>
              </w:rPr>
              <w:lastRenderedPageBreak/>
              <w:t>1997.</w:t>
            </w:r>
          </w:p>
        </w:tc>
      </w:tr>
      <w:tr w:rsidR="006906E2" w:rsidRPr="001E3F24" w14:paraId="25032B2F" w14:textId="77777777" w:rsidTr="006906E2">
        <w:trPr>
          <w:jc w:val="center"/>
        </w:trPr>
        <w:tc>
          <w:tcPr>
            <w:tcW w:w="2751" w:type="dxa"/>
            <w:tcMar>
              <w:top w:w="0" w:type="dxa"/>
              <w:left w:w="108" w:type="dxa"/>
              <w:bottom w:w="0" w:type="dxa"/>
              <w:right w:w="108" w:type="dxa"/>
            </w:tcMar>
            <w:vAlign w:val="center"/>
          </w:tcPr>
          <w:p w14:paraId="517FBBDE"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NSR-98</w:t>
            </w:r>
          </w:p>
        </w:tc>
        <w:tc>
          <w:tcPr>
            <w:tcW w:w="6045" w:type="dxa"/>
            <w:tcMar>
              <w:top w:w="0" w:type="dxa"/>
              <w:left w:w="108" w:type="dxa"/>
              <w:bottom w:w="0" w:type="dxa"/>
              <w:right w:w="108" w:type="dxa"/>
            </w:tcMar>
            <w:vAlign w:val="center"/>
          </w:tcPr>
          <w:p w14:paraId="2C571D13"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Norma Colombiana Sismo resistente (NSR-98) introduce recomendaciones y responsabilidades para los arquitectos, lo cual significa un cambio en su ejercicio profesional.</w:t>
            </w:r>
          </w:p>
        </w:tc>
      </w:tr>
      <w:tr w:rsidR="006906E2" w:rsidRPr="001E3F24" w14:paraId="62A2997F" w14:textId="77777777" w:rsidTr="006906E2">
        <w:trPr>
          <w:jc w:val="center"/>
        </w:trPr>
        <w:tc>
          <w:tcPr>
            <w:tcW w:w="2751" w:type="dxa"/>
            <w:tcMar>
              <w:top w:w="0" w:type="dxa"/>
              <w:left w:w="108" w:type="dxa"/>
              <w:bottom w:w="0" w:type="dxa"/>
              <w:right w:w="108" w:type="dxa"/>
            </w:tcMar>
            <w:vAlign w:val="center"/>
          </w:tcPr>
          <w:p w14:paraId="059C7648"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926 de 2.010</w:t>
            </w:r>
          </w:p>
        </w:tc>
        <w:tc>
          <w:tcPr>
            <w:tcW w:w="6045" w:type="dxa"/>
            <w:tcMar>
              <w:top w:w="0" w:type="dxa"/>
              <w:left w:w="108" w:type="dxa"/>
              <w:bottom w:w="0" w:type="dxa"/>
              <w:right w:w="108" w:type="dxa"/>
            </w:tcMar>
            <w:vAlign w:val="center"/>
          </w:tcPr>
          <w:p w14:paraId="5E725137"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derogó el Decreto 2809 de 2.000.</w:t>
            </w:r>
          </w:p>
        </w:tc>
      </w:tr>
      <w:tr w:rsidR="006906E2" w:rsidRPr="001E3F24" w14:paraId="1A7A5BAB" w14:textId="77777777" w:rsidTr="006906E2">
        <w:trPr>
          <w:jc w:val="center"/>
        </w:trPr>
        <w:tc>
          <w:tcPr>
            <w:tcW w:w="2751" w:type="dxa"/>
            <w:tcMar>
              <w:top w:w="0" w:type="dxa"/>
              <w:left w:w="108" w:type="dxa"/>
              <w:bottom w:w="0" w:type="dxa"/>
              <w:right w:w="108" w:type="dxa"/>
            </w:tcMar>
            <w:vAlign w:val="center"/>
          </w:tcPr>
          <w:p w14:paraId="12E79A45"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NSR-10</w:t>
            </w:r>
          </w:p>
        </w:tc>
        <w:tc>
          <w:tcPr>
            <w:tcW w:w="6045" w:type="dxa"/>
            <w:tcMar>
              <w:top w:w="0" w:type="dxa"/>
              <w:left w:w="108" w:type="dxa"/>
              <w:bottom w:w="0" w:type="dxa"/>
              <w:right w:w="108" w:type="dxa"/>
            </w:tcMar>
            <w:vAlign w:val="center"/>
          </w:tcPr>
          <w:p w14:paraId="5A160994"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Reglamento Colombiano de Construcción Sismo resistente</w:t>
            </w:r>
          </w:p>
        </w:tc>
      </w:tr>
      <w:tr w:rsidR="006906E2" w:rsidRPr="001E3F24" w14:paraId="6515CB62" w14:textId="77777777" w:rsidTr="006906E2">
        <w:trPr>
          <w:jc w:val="center"/>
        </w:trPr>
        <w:tc>
          <w:tcPr>
            <w:tcW w:w="2751" w:type="dxa"/>
            <w:tcMar>
              <w:top w:w="0" w:type="dxa"/>
              <w:left w:w="108" w:type="dxa"/>
              <w:bottom w:w="0" w:type="dxa"/>
              <w:right w:w="108" w:type="dxa"/>
            </w:tcMar>
            <w:vAlign w:val="center"/>
          </w:tcPr>
          <w:p w14:paraId="631B6DFC"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2525 de 2.010</w:t>
            </w:r>
          </w:p>
        </w:tc>
        <w:tc>
          <w:tcPr>
            <w:tcW w:w="6045" w:type="dxa"/>
            <w:tcMar>
              <w:top w:w="0" w:type="dxa"/>
              <w:left w:w="108" w:type="dxa"/>
              <w:bottom w:w="0" w:type="dxa"/>
              <w:right w:w="108" w:type="dxa"/>
            </w:tcMar>
            <w:vAlign w:val="center"/>
          </w:tcPr>
          <w:p w14:paraId="2E574599"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 xml:space="preserve">Por el cual se modifica el </w:t>
            </w:r>
            <w:hyperlink r:id="rId17" w:anchor="0" w:history="1">
              <w:r w:rsidRPr="001E3F24">
                <w:rPr>
                  <w:rFonts w:ascii="Arial" w:hAnsi="Arial" w:cs="Arial"/>
                  <w:sz w:val="20"/>
                  <w:szCs w:val="20"/>
                  <w:lang w:val="es-ES"/>
                </w:rPr>
                <w:t>Decreto 926</w:t>
              </w:r>
            </w:hyperlink>
            <w:r w:rsidRPr="001E3F24">
              <w:rPr>
                <w:rFonts w:ascii="Arial" w:hAnsi="Arial" w:cs="Arial"/>
                <w:sz w:val="20"/>
                <w:szCs w:val="20"/>
                <w:lang w:val="es-ES"/>
              </w:rPr>
              <w:t xml:space="preserve"> de 2010 y se dictan otras disposiciones.</w:t>
            </w:r>
          </w:p>
        </w:tc>
      </w:tr>
    </w:tbl>
    <w:p w14:paraId="10284F6A" w14:textId="77777777" w:rsidR="006906E2" w:rsidRPr="001E3F24" w:rsidRDefault="006906E2" w:rsidP="006906E2">
      <w:pPr>
        <w:ind w:hanging="11"/>
        <w:jc w:val="both"/>
        <w:rPr>
          <w:rFonts w:ascii="Arial" w:hAnsi="Arial" w:cs="Arial"/>
          <w:sz w:val="20"/>
          <w:szCs w:val="20"/>
          <w:lang w:val="es-ES"/>
        </w:rPr>
      </w:pPr>
    </w:p>
    <w:p w14:paraId="757B3CB1" w14:textId="77777777" w:rsidR="006906E2" w:rsidRPr="001E3F24" w:rsidRDefault="006906E2" w:rsidP="006906E2">
      <w:pPr>
        <w:ind w:hanging="11"/>
        <w:jc w:val="both"/>
        <w:rPr>
          <w:rFonts w:ascii="Arial" w:hAnsi="Arial" w:cs="Arial"/>
          <w:b/>
          <w:sz w:val="20"/>
          <w:szCs w:val="20"/>
          <w:lang w:val="es-ES"/>
        </w:rPr>
      </w:pPr>
      <w:r w:rsidRPr="001E3F24">
        <w:rPr>
          <w:rFonts w:ascii="Arial" w:hAnsi="Arial" w:cs="Arial"/>
          <w:b/>
          <w:sz w:val="20"/>
          <w:szCs w:val="20"/>
          <w:lang w:val="es-ES"/>
        </w:rPr>
        <w:t>1.4.2 Normatividad ambiental y cambios recientes en su aplicación</w:t>
      </w:r>
    </w:p>
    <w:p w14:paraId="13D4526E" w14:textId="77777777" w:rsidR="006906E2" w:rsidRPr="001E3F24" w:rsidRDefault="006906E2" w:rsidP="006906E2">
      <w:pPr>
        <w:ind w:hanging="11"/>
        <w:jc w:val="both"/>
        <w:rPr>
          <w:rFonts w:ascii="Arial" w:hAnsi="Arial" w:cs="Arial"/>
          <w:b/>
          <w:sz w:val="20"/>
          <w:szCs w:val="20"/>
          <w:lang w:val="es-ES"/>
        </w:rPr>
      </w:pPr>
    </w:p>
    <w:p w14:paraId="536B10D0" w14:textId="77777777" w:rsidR="006906E2" w:rsidRPr="001E3F24" w:rsidRDefault="006906E2" w:rsidP="006906E2">
      <w:pPr>
        <w:ind w:hanging="11"/>
        <w:jc w:val="both"/>
        <w:rPr>
          <w:rFonts w:ascii="Arial" w:hAnsi="Arial" w:cs="Arial"/>
          <w:sz w:val="20"/>
          <w:szCs w:val="20"/>
          <w:lang w:val="es-ES"/>
        </w:rPr>
      </w:pPr>
      <w:r w:rsidRPr="001E3F24">
        <w:rPr>
          <w:rFonts w:ascii="Arial" w:hAnsi="Arial" w:cs="Arial"/>
          <w:sz w:val="20"/>
          <w:szCs w:val="20"/>
          <w:lang w:val="es-ES"/>
        </w:rPr>
        <w:t>La normatividad que regula la actividad ambiental, y dentro de ella los lineamientos del sector de la construcción en aspectos ambientales, es la siguiente:</w:t>
      </w:r>
    </w:p>
    <w:p w14:paraId="4D70E702" w14:textId="77777777" w:rsidR="006906E2" w:rsidRPr="001E3F24" w:rsidRDefault="006906E2" w:rsidP="006906E2">
      <w:pPr>
        <w:ind w:hanging="11"/>
        <w:jc w:val="both"/>
        <w:rPr>
          <w:rFonts w:ascii="Arial" w:hAnsi="Arial" w:cs="Arial"/>
          <w:sz w:val="20"/>
          <w:szCs w:val="20"/>
          <w:lang w:val="es-ES"/>
        </w:rPr>
      </w:pPr>
    </w:p>
    <w:p w14:paraId="7F5B23B2" w14:textId="77777777" w:rsidR="006906E2" w:rsidRPr="001E3F24" w:rsidRDefault="006906E2" w:rsidP="006906E2">
      <w:pPr>
        <w:ind w:hanging="11"/>
        <w:jc w:val="both"/>
        <w:rPr>
          <w:rFonts w:ascii="Arial" w:hAnsi="Arial" w:cs="Arial"/>
          <w:b/>
          <w:sz w:val="20"/>
          <w:szCs w:val="20"/>
        </w:rPr>
      </w:pPr>
      <w:r w:rsidRPr="001E3F24">
        <w:rPr>
          <w:rFonts w:ascii="Arial" w:hAnsi="Arial" w:cs="Arial"/>
          <w:b/>
          <w:sz w:val="20"/>
          <w:szCs w:val="20"/>
        </w:rPr>
        <w:t>Tabla 3. Normas Ambientales</w:t>
      </w:r>
    </w:p>
    <w:p w14:paraId="66755A0C" w14:textId="77777777" w:rsidR="006906E2" w:rsidRPr="001E3F24" w:rsidRDefault="006906E2" w:rsidP="006906E2">
      <w:pPr>
        <w:ind w:hanging="11"/>
        <w:jc w:val="both"/>
        <w:rPr>
          <w:rFonts w:ascii="Arial" w:hAnsi="Arial" w:cs="Arial"/>
          <w:b/>
          <w:sz w:val="20"/>
          <w:szCs w:val="20"/>
        </w:rPr>
      </w:pPr>
    </w:p>
    <w:tbl>
      <w:tblPr>
        <w:tblW w:w="4258" w:type="pct"/>
        <w:jc w:val="center"/>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984"/>
        <w:gridCol w:w="5928"/>
      </w:tblGrid>
      <w:tr w:rsidR="006906E2" w:rsidRPr="001E3F24" w14:paraId="146A9460" w14:textId="77777777" w:rsidTr="006906E2">
        <w:trPr>
          <w:tblCellSpacing w:w="7" w:type="dxa"/>
          <w:jc w:val="center"/>
        </w:trPr>
        <w:tc>
          <w:tcPr>
            <w:tcW w:w="1241" w:type="pct"/>
            <w:vAlign w:val="center"/>
            <w:hideMark/>
          </w:tcPr>
          <w:p w14:paraId="3F0C7E43"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ley 2811 del año 1974</w:t>
            </w:r>
          </w:p>
        </w:tc>
        <w:tc>
          <w:tcPr>
            <w:tcW w:w="3735" w:type="pct"/>
            <w:hideMark/>
          </w:tcPr>
          <w:p w14:paraId="5D54AC80"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 xml:space="preserve">Código nacional de los recursos naturales renovables RNR y no renovables y de protección al medio ambiente. El ambiente es patrimonio común, el estado y los particulares deben participar en su preservación y manejo. Regula el manejo de los RNR, la defensa del ambiente y sus elementos. </w:t>
            </w:r>
          </w:p>
        </w:tc>
      </w:tr>
      <w:tr w:rsidR="006906E2" w:rsidRPr="001E3F24" w14:paraId="5D25D4B1" w14:textId="77777777" w:rsidTr="006906E2">
        <w:trPr>
          <w:tblCellSpacing w:w="7" w:type="dxa"/>
          <w:jc w:val="center"/>
        </w:trPr>
        <w:tc>
          <w:tcPr>
            <w:tcW w:w="1241" w:type="pct"/>
            <w:vAlign w:val="center"/>
            <w:hideMark/>
          </w:tcPr>
          <w:p w14:paraId="57CAF39A"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Ley 23 de 1973</w:t>
            </w:r>
          </w:p>
        </w:tc>
        <w:tc>
          <w:tcPr>
            <w:tcW w:w="3735" w:type="pct"/>
            <w:hideMark/>
          </w:tcPr>
          <w:p w14:paraId="1FF034C9"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Principios fundamentales sobre prevención y control de la contaminación del aire, agua y suelo y otorgó facultades al Presidente de la República para expedir el Código de los Recursos Naturales</w:t>
            </w:r>
          </w:p>
        </w:tc>
      </w:tr>
      <w:tr w:rsidR="006906E2" w:rsidRPr="001E3F24" w14:paraId="2E4C45CC" w14:textId="77777777" w:rsidTr="006906E2">
        <w:trPr>
          <w:tblCellSpacing w:w="7" w:type="dxa"/>
          <w:jc w:val="center"/>
        </w:trPr>
        <w:tc>
          <w:tcPr>
            <w:tcW w:w="1241" w:type="pct"/>
            <w:vAlign w:val="center"/>
          </w:tcPr>
          <w:p w14:paraId="0F5D63B2"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Constitución Política de Colombia</w:t>
            </w:r>
          </w:p>
        </w:tc>
        <w:tc>
          <w:tcPr>
            <w:tcW w:w="3735" w:type="pct"/>
          </w:tcPr>
          <w:p w14:paraId="0CC64B88"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Artículo 49, 58, 79, 80, 333 y 334.</w:t>
            </w:r>
          </w:p>
        </w:tc>
      </w:tr>
      <w:tr w:rsidR="006906E2" w:rsidRPr="001E3F24" w14:paraId="2E6E88E5" w14:textId="77777777" w:rsidTr="006906E2">
        <w:trPr>
          <w:tblCellSpacing w:w="7" w:type="dxa"/>
          <w:jc w:val="center"/>
        </w:trPr>
        <w:tc>
          <w:tcPr>
            <w:tcW w:w="1241" w:type="pct"/>
            <w:vAlign w:val="center"/>
            <w:hideMark/>
          </w:tcPr>
          <w:p w14:paraId="3F1E6F16"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Ley 99 de 1993</w:t>
            </w:r>
          </w:p>
        </w:tc>
        <w:tc>
          <w:tcPr>
            <w:tcW w:w="3735" w:type="pct"/>
            <w:hideMark/>
          </w:tcPr>
          <w:p w14:paraId="0D987FE1"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 xml:space="preserve">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 </w:t>
            </w:r>
          </w:p>
        </w:tc>
      </w:tr>
      <w:tr w:rsidR="006906E2" w:rsidRPr="001E3F24" w14:paraId="7E9BBC46" w14:textId="77777777" w:rsidTr="006906E2">
        <w:trPr>
          <w:tblCellSpacing w:w="7" w:type="dxa"/>
          <w:jc w:val="center"/>
        </w:trPr>
        <w:tc>
          <w:tcPr>
            <w:tcW w:w="1241" w:type="pct"/>
            <w:vAlign w:val="center"/>
            <w:hideMark/>
          </w:tcPr>
          <w:p w14:paraId="61868ED5"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1753 de 1994</w:t>
            </w:r>
          </w:p>
        </w:tc>
        <w:tc>
          <w:tcPr>
            <w:tcW w:w="3735" w:type="pct"/>
            <w:hideMark/>
          </w:tcPr>
          <w:p w14:paraId="022272D3"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Define la licencia ambiental LA: naturaleza, modalidad y efectos; contenido, procedimientos, requisitos y competencias para el otorgamiento de LA.</w:t>
            </w:r>
          </w:p>
        </w:tc>
      </w:tr>
      <w:tr w:rsidR="006906E2" w:rsidRPr="001E3F24" w14:paraId="1F72A8D2" w14:textId="77777777" w:rsidTr="006906E2">
        <w:trPr>
          <w:tblCellSpacing w:w="7" w:type="dxa"/>
          <w:jc w:val="center"/>
        </w:trPr>
        <w:tc>
          <w:tcPr>
            <w:tcW w:w="1241" w:type="pct"/>
            <w:vAlign w:val="center"/>
            <w:hideMark/>
          </w:tcPr>
          <w:p w14:paraId="3792CF68"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Decreto 2150 de 1995 y sus normas reglamentarias.</w:t>
            </w:r>
          </w:p>
        </w:tc>
        <w:tc>
          <w:tcPr>
            <w:tcW w:w="3735" w:type="pct"/>
            <w:hideMark/>
          </w:tcPr>
          <w:p w14:paraId="162B8AA5" w14:textId="77777777" w:rsidR="006906E2" w:rsidRPr="001E3F24" w:rsidRDefault="006906E2" w:rsidP="006906E2">
            <w:pPr>
              <w:jc w:val="both"/>
              <w:rPr>
                <w:rFonts w:ascii="Arial" w:hAnsi="Arial" w:cs="Arial"/>
                <w:sz w:val="20"/>
                <w:szCs w:val="20"/>
              </w:rPr>
            </w:pPr>
            <w:r w:rsidRPr="001E3F24">
              <w:rPr>
                <w:rFonts w:ascii="Arial" w:hAnsi="Arial" w:cs="Arial"/>
                <w:sz w:val="20"/>
                <w:szCs w:val="20"/>
                <w:lang w:val="es-ES"/>
              </w:rPr>
              <w:t xml:space="preserve">Reglamenta la licencia ambiental y otros permisos. Define los casos en que se debe presentar Diagnóstico Ambiental de Alternativas, Plan de Manejo Ambiental y Estudio de Impacto Ambiental. </w:t>
            </w:r>
            <w:r w:rsidRPr="001E3F24">
              <w:rPr>
                <w:rFonts w:ascii="Arial" w:hAnsi="Arial" w:cs="Arial"/>
                <w:sz w:val="20"/>
                <w:szCs w:val="20"/>
              </w:rPr>
              <w:t>Suprime la licencia ambiental ordinaria</w:t>
            </w:r>
          </w:p>
        </w:tc>
      </w:tr>
      <w:tr w:rsidR="006906E2" w:rsidRPr="001E3F24" w14:paraId="0AB4D56E" w14:textId="77777777" w:rsidTr="006906E2">
        <w:trPr>
          <w:tblCellSpacing w:w="7" w:type="dxa"/>
          <w:jc w:val="center"/>
        </w:trPr>
        <w:tc>
          <w:tcPr>
            <w:tcW w:w="1241" w:type="pct"/>
            <w:vAlign w:val="center"/>
            <w:hideMark/>
          </w:tcPr>
          <w:p w14:paraId="0CC341B4"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Ley 388 de 1997</w:t>
            </w:r>
          </w:p>
        </w:tc>
        <w:tc>
          <w:tcPr>
            <w:tcW w:w="3735" w:type="pct"/>
            <w:hideMark/>
          </w:tcPr>
          <w:p w14:paraId="39BC5FD2"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Ordenamiento Territorial Municipal y Distrital y Planes de Ordenamiento Territorial.</w:t>
            </w:r>
          </w:p>
        </w:tc>
      </w:tr>
      <w:tr w:rsidR="006906E2" w:rsidRPr="001E3F24" w14:paraId="159B6E0F" w14:textId="77777777" w:rsidTr="006906E2">
        <w:trPr>
          <w:tblCellSpacing w:w="7" w:type="dxa"/>
          <w:jc w:val="center"/>
        </w:trPr>
        <w:tc>
          <w:tcPr>
            <w:tcW w:w="1241" w:type="pct"/>
            <w:vAlign w:val="center"/>
            <w:hideMark/>
          </w:tcPr>
          <w:p w14:paraId="566CA424"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Ley 491 de 1999</w:t>
            </w:r>
          </w:p>
        </w:tc>
        <w:tc>
          <w:tcPr>
            <w:tcW w:w="3735" w:type="pct"/>
            <w:hideMark/>
          </w:tcPr>
          <w:p w14:paraId="20E1E859"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Define el seguro ecológico y delitos contra los recursos naturales y el ambiente y se modifica el Código Penal</w:t>
            </w:r>
          </w:p>
        </w:tc>
      </w:tr>
      <w:tr w:rsidR="006906E2" w:rsidRPr="001E3F24" w14:paraId="171EA917" w14:textId="77777777" w:rsidTr="006906E2">
        <w:trPr>
          <w:tblCellSpacing w:w="7" w:type="dxa"/>
          <w:jc w:val="center"/>
        </w:trPr>
        <w:tc>
          <w:tcPr>
            <w:tcW w:w="1241" w:type="pct"/>
            <w:vAlign w:val="center"/>
            <w:hideMark/>
          </w:tcPr>
          <w:p w14:paraId="06D9F31E"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1122 de 1999</w:t>
            </w:r>
          </w:p>
        </w:tc>
        <w:tc>
          <w:tcPr>
            <w:tcW w:w="3735" w:type="pct"/>
            <w:hideMark/>
          </w:tcPr>
          <w:p w14:paraId="72508C2E"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dictan normas para la supresión de trámites.</w:t>
            </w:r>
          </w:p>
        </w:tc>
      </w:tr>
      <w:tr w:rsidR="006906E2" w:rsidRPr="001E3F24" w14:paraId="1ED69995" w14:textId="77777777" w:rsidTr="006906E2">
        <w:trPr>
          <w:tblCellSpacing w:w="7" w:type="dxa"/>
          <w:jc w:val="center"/>
        </w:trPr>
        <w:tc>
          <w:tcPr>
            <w:tcW w:w="1241" w:type="pct"/>
            <w:vAlign w:val="center"/>
            <w:hideMark/>
          </w:tcPr>
          <w:p w14:paraId="0E498BE2"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1124 de 1999</w:t>
            </w:r>
          </w:p>
        </w:tc>
        <w:tc>
          <w:tcPr>
            <w:tcW w:w="3735" w:type="pct"/>
            <w:hideMark/>
          </w:tcPr>
          <w:p w14:paraId="36881D3E"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reestructura el Ministerio del Medio Ambiente</w:t>
            </w:r>
          </w:p>
        </w:tc>
      </w:tr>
      <w:tr w:rsidR="006906E2" w:rsidRPr="001E3F24" w14:paraId="00C390E4" w14:textId="77777777" w:rsidTr="006906E2">
        <w:trPr>
          <w:tblCellSpacing w:w="7" w:type="dxa"/>
          <w:jc w:val="center"/>
        </w:trPr>
        <w:tc>
          <w:tcPr>
            <w:tcW w:w="1241" w:type="pct"/>
            <w:vAlign w:val="center"/>
          </w:tcPr>
          <w:p w14:paraId="29CEBC9A" w14:textId="77777777" w:rsidR="006906E2" w:rsidRPr="001E3F24" w:rsidRDefault="006906E2" w:rsidP="006906E2">
            <w:pPr>
              <w:jc w:val="both"/>
              <w:rPr>
                <w:rFonts w:ascii="Arial" w:hAnsi="Arial" w:cs="Arial"/>
                <w:sz w:val="20"/>
                <w:szCs w:val="20"/>
              </w:rPr>
            </w:pPr>
            <w:r w:rsidRPr="001E3F24">
              <w:rPr>
                <w:rFonts w:ascii="Arial" w:hAnsi="Arial" w:cs="Arial"/>
                <w:sz w:val="20"/>
                <w:szCs w:val="20"/>
              </w:rPr>
              <w:t>Decreto 3573 de 2.011</w:t>
            </w:r>
          </w:p>
        </w:tc>
        <w:tc>
          <w:tcPr>
            <w:tcW w:w="3735" w:type="pct"/>
          </w:tcPr>
          <w:p w14:paraId="7B2620C1"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Por el cual se crea la Autoridad Nacional de Licencias Ambientales ANLA</w:t>
            </w:r>
          </w:p>
        </w:tc>
      </w:tr>
    </w:tbl>
    <w:p w14:paraId="699A2935" w14:textId="77777777" w:rsidR="006906E2" w:rsidRPr="001E3F24" w:rsidRDefault="006906E2" w:rsidP="006906E2">
      <w:pPr>
        <w:ind w:hanging="11"/>
        <w:jc w:val="both"/>
        <w:rPr>
          <w:rFonts w:ascii="Arial" w:hAnsi="Arial" w:cs="Arial"/>
          <w:sz w:val="20"/>
          <w:szCs w:val="20"/>
          <w:lang w:val="es-ES"/>
        </w:rPr>
      </w:pPr>
    </w:p>
    <w:p w14:paraId="5A2BC0CD" w14:textId="77777777" w:rsidR="006906E2" w:rsidRPr="001E3F24" w:rsidRDefault="006906E2" w:rsidP="006906E2">
      <w:pPr>
        <w:jc w:val="both"/>
        <w:rPr>
          <w:rFonts w:ascii="Arial" w:hAnsi="Arial" w:cs="Arial"/>
          <w:sz w:val="20"/>
          <w:szCs w:val="20"/>
          <w:lang w:val="es-ES"/>
        </w:rPr>
      </w:pPr>
    </w:p>
    <w:p w14:paraId="5B906903" w14:textId="77777777" w:rsidR="006906E2" w:rsidRPr="001E3F24" w:rsidRDefault="006906E2" w:rsidP="006906E2">
      <w:pPr>
        <w:numPr>
          <w:ilvl w:val="0"/>
          <w:numId w:val="14"/>
        </w:numPr>
        <w:ind w:left="0" w:firstLine="0"/>
        <w:jc w:val="both"/>
        <w:rPr>
          <w:rFonts w:ascii="Arial" w:hAnsi="Arial" w:cs="Arial"/>
          <w:b/>
          <w:sz w:val="20"/>
          <w:szCs w:val="20"/>
        </w:rPr>
      </w:pPr>
      <w:r w:rsidRPr="001E3F24">
        <w:rPr>
          <w:rFonts w:ascii="Arial" w:hAnsi="Arial" w:cs="Arial"/>
          <w:b/>
          <w:sz w:val="20"/>
          <w:szCs w:val="20"/>
        </w:rPr>
        <w:t>ANALISIS DE LA DEMANDA</w:t>
      </w:r>
    </w:p>
    <w:p w14:paraId="4E19918C" w14:textId="77777777" w:rsidR="006906E2" w:rsidRPr="001E3F24" w:rsidRDefault="006906E2" w:rsidP="006906E2">
      <w:pPr>
        <w:jc w:val="both"/>
        <w:rPr>
          <w:rFonts w:ascii="Arial" w:hAnsi="Arial" w:cs="Arial"/>
          <w:b/>
          <w:sz w:val="20"/>
          <w:szCs w:val="20"/>
        </w:rPr>
      </w:pPr>
    </w:p>
    <w:p w14:paraId="45F1928F" w14:textId="77777777" w:rsidR="006906E2" w:rsidRPr="001E3F24" w:rsidRDefault="006906E2" w:rsidP="006906E2">
      <w:pPr>
        <w:numPr>
          <w:ilvl w:val="1"/>
          <w:numId w:val="14"/>
        </w:numPr>
        <w:ind w:left="0" w:firstLine="0"/>
        <w:jc w:val="both"/>
        <w:rPr>
          <w:rFonts w:ascii="Arial" w:hAnsi="Arial" w:cs="Arial"/>
          <w:b/>
          <w:sz w:val="20"/>
          <w:szCs w:val="20"/>
        </w:rPr>
      </w:pPr>
      <w:r w:rsidRPr="001E3F24">
        <w:rPr>
          <w:rFonts w:ascii="Arial" w:hAnsi="Arial" w:cs="Arial"/>
          <w:b/>
          <w:sz w:val="20"/>
          <w:szCs w:val="20"/>
        </w:rPr>
        <w:t xml:space="preserve">ADQUISICIONES PREVIAS DE LA ENTIDAD </w:t>
      </w:r>
    </w:p>
    <w:p w14:paraId="5F904499" w14:textId="77777777" w:rsidR="006906E2" w:rsidRPr="001E3F24" w:rsidRDefault="006906E2" w:rsidP="006906E2">
      <w:pPr>
        <w:jc w:val="both"/>
        <w:rPr>
          <w:rFonts w:ascii="Arial" w:hAnsi="Arial" w:cs="Arial"/>
          <w:b/>
          <w:sz w:val="20"/>
          <w:szCs w:val="20"/>
        </w:rPr>
      </w:pPr>
    </w:p>
    <w:p w14:paraId="3CA49AD1" w14:textId="77777777" w:rsidR="006906E2" w:rsidRPr="001E3F24" w:rsidRDefault="006906E2" w:rsidP="006906E2">
      <w:pPr>
        <w:jc w:val="both"/>
        <w:rPr>
          <w:rFonts w:ascii="Arial" w:hAnsi="Arial" w:cs="Arial"/>
          <w:sz w:val="20"/>
          <w:szCs w:val="20"/>
          <w:lang w:val="es-ES"/>
        </w:rPr>
      </w:pPr>
      <w:r w:rsidRPr="001E3F24">
        <w:rPr>
          <w:rFonts w:ascii="Arial" w:hAnsi="Arial" w:cs="Arial"/>
          <w:sz w:val="20"/>
          <w:szCs w:val="20"/>
          <w:lang w:val="es-ES"/>
        </w:rPr>
        <w:t>Con el ánimo de identificar experiencias de contratación similares que permitan definir parámetros claves para la estructuración del presente proceso, se realizó un revisión en el Sistema Electrónico de Contratación Pública SECOP, los procesos adelantados por la Alcaldía del municipio, en procesos anteriores  en el Sector de  Agua  Y saneamiento Básico es  el siguiente:</w:t>
      </w:r>
    </w:p>
    <w:p w14:paraId="5C517C67" w14:textId="77777777" w:rsidR="006906E2" w:rsidRPr="001E3F24" w:rsidRDefault="006906E2" w:rsidP="006906E2">
      <w:pPr>
        <w:jc w:val="both"/>
        <w:rPr>
          <w:rFonts w:ascii="Arial" w:hAnsi="Arial" w:cs="Arial"/>
          <w:sz w:val="20"/>
          <w:szCs w:val="20"/>
          <w:lang w:val="es-ES"/>
        </w:rPr>
      </w:pPr>
    </w:p>
    <w:p w14:paraId="48D368AC" w14:textId="07D5AB1D" w:rsidR="00F741C8" w:rsidRPr="001E3F24" w:rsidRDefault="006906E2" w:rsidP="00CA6E95">
      <w:pPr>
        <w:rPr>
          <w:rFonts w:ascii="Arial" w:hAnsi="Arial" w:cs="Arial"/>
          <w:sz w:val="20"/>
          <w:szCs w:val="20"/>
        </w:rPr>
      </w:pPr>
      <w:r w:rsidRPr="001E3F24">
        <w:rPr>
          <w:rFonts w:ascii="Arial" w:hAnsi="Arial" w:cs="Arial"/>
          <w:noProof/>
          <w:sz w:val="20"/>
          <w:szCs w:val="20"/>
          <w:lang w:val="es-ES"/>
        </w:rPr>
        <w:drawing>
          <wp:inline distT="0" distB="0" distL="0" distR="0" wp14:anchorId="2B12326E" wp14:editId="742576F5">
            <wp:extent cx="5609590" cy="2480733"/>
            <wp:effectExtent l="0" t="0" r="3810" b="889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1495" cy="2481575"/>
                    </a:xfrm>
                    <a:prstGeom prst="rect">
                      <a:avLst/>
                    </a:prstGeom>
                    <a:noFill/>
                    <a:ln>
                      <a:noFill/>
                    </a:ln>
                  </pic:spPr>
                </pic:pic>
              </a:graphicData>
            </a:graphic>
          </wp:inline>
        </w:drawing>
      </w:r>
    </w:p>
    <w:p w14:paraId="02FDAC1F" w14:textId="77777777" w:rsidR="001E3F24" w:rsidRPr="001E3F24" w:rsidRDefault="001E3F24" w:rsidP="00D01994">
      <w:pPr>
        <w:rPr>
          <w:rFonts w:ascii="Arial" w:hAnsi="Arial" w:cs="Arial"/>
          <w:sz w:val="20"/>
          <w:szCs w:val="20"/>
        </w:rPr>
      </w:pPr>
    </w:p>
    <w:p w14:paraId="47CAC128" w14:textId="77777777" w:rsidR="001E3F24" w:rsidRPr="001E3F24" w:rsidRDefault="001E3F24" w:rsidP="001E3F24">
      <w:pPr>
        <w:ind w:hanging="11"/>
        <w:jc w:val="both"/>
        <w:rPr>
          <w:rFonts w:ascii="Arial" w:hAnsi="Arial" w:cs="Arial"/>
          <w:sz w:val="20"/>
          <w:szCs w:val="20"/>
        </w:rPr>
      </w:pPr>
    </w:p>
    <w:p w14:paraId="4860EC01" w14:textId="77777777" w:rsidR="001E3F24" w:rsidRPr="001E3F24" w:rsidRDefault="001E3F24" w:rsidP="001E3F24">
      <w:pPr>
        <w:ind w:hanging="11"/>
        <w:jc w:val="both"/>
        <w:rPr>
          <w:rFonts w:ascii="Arial" w:hAnsi="Arial" w:cs="Arial"/>
          <w:b/>
          <w:sz w:val="20"/>
          <w:szCs w:val="20"/>
          <w:lang w:val="es-ES"/>
        </w:rPr>
      </w:pPr>
      <w:r w:rsidRPr="001E3F24">
        <w:rPr>
          <w:rFonts w:ascii="Arial" w:hAnsi="Arial" w:cs="Arial"/>
          <w:b/>
          <w:sz w:val="20"/>
          <w:szCs w:val="20"/>
          <w:lang w:val="es-ES"/>
        </w:rPr>
        <w:t>2.2. ADQUISICIONES DE OTRAS ENTIDADES ESTATALES Y OTROS CONSUMIDORES DEL BIEN O SERVICIO:</w:t>
      </w:r>
    </w:p>
    <w:p w14:paraId="494ABF59" w14:textId="77777777" w:rsidR="001E3F24" w:rsidRPr="001E3F24" w:rsidRDefault="001E3F24" w:rsidP="001E3F24">
      <w:pPr>
        <w:ind w:hanging="11"/>
        <w:jc w:val="both"/>
        <w:rPr>
          <w:rFonts w:ascii="Arial" w:hAnsi="Arial" w:cs="Arial"/>
          <w:b/>
          <w:sz w:val="20"/>
          <w:szCs w:val="20"/>
          <w:lang w:val="es-ES"/>
        </w:rPr>
      </w:pPr>
    </w:p>
    <w:p w14:paraId="539BA321"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Teniendo en cuenta la recomendación dada por Colombia Compra Eficiente en el sentido de “identificar y analizar cómo han sido otros Procesos de Contratación realizados por otras Entidades Estatales, especialmente si dichos Procesos de Contratación se han desarrollado por otras Entidades Estatales.</w:t>
      </w:r>
    </w:p>
    <w:p w14:paraId="14CE151D" w14:textId="77777777" w:rsidR="001E3F24" w:rsidRPr="001E3F24" w:rsidRDefault="001E3F24" w:rsidP="001E3F24">
      <w:pPr>
        <w:ind w:hanging="11"/>
        <w:jc w:val="both"/>
        <w:rPr>
          <w:rFonts w:ascii="Arial" w:hAnsi="Arial" w:cs="Arial"/>
          <w:sz w:val="20"/>
          <w:szCs w:val="20"/>
          <w:lang w:val="es-ES"/>
        </w:rPr>
      </w:pPr>
    </w:p>
    <w:p w14:paraId="410CB122" w14:textId="77777777" w:rsidR="001E3F24" w:rsidRPr="001E3F24" w:rsidRDefault="001E3F24" w:rsidP="001E3F24">
      <w:pPr>
        <w:ind w:hanging="11"/>
        <w:jc w:val="both"/>
        <w:rPr>
          <w:rFonts w:ascii="Arial" w:hAnsi="Arial" w:cs="Arial"/>
          <w:b/>
          <w:sz w:val="20"/>
          <w:szCs w:val="20"/>
          <w:lang w:val="es-ES"/>
        </w:rPr>
      </w:pPr>
      <w:r w:rsidRPr="001E3F24">
        <w:rPr>
          <w:rFonts w:ascii="Arial" w:hAnsi="Arial" w:cs="Arial"/>
          <w:b/>
          <w:sz w:val="20"/>
          <w:szCs w:val="20"/>
          <w:lang w:val="es-ES"/>
        </w:rPr>
        <w:t>Tabla 4. Procesos de Contratación Adelantados Por Otras Entidades</w:t>
      </w:r>
    </w:p>
    <w:p w14:paraId="1EF436A7" w14:textId="77777777" w:rsidR="001E3F24" w:rsidRPr="001E3F24" w:rsidRDefault="001E3F24" w:rsidP="001E3F24">
      <w:pPr>
        <w:jc w:val="both"/>
        <w:rPr>
          <w:rFonts w:ascii="Arial" w:hAnsi="Arial" w:cs="Arial"/>
          <w:b/>
          <w:sz w:val="20"/>
          <w:szCs w:val="20"/>
          <w:lang w:val="es-ES"/>
        </w:rPr>
      </w:pPr>
    </w:p>
    <w:p w14:paraId="19E15B38" w14:textId="77777777" w:rsidR="001E3F24" w:rsidRPr="001E3F24" w:rsidRDefault="001E3F24" w:rsidP="001E3F24">
      <w:pPr>
        <w:jc w:val="both"/>
        <w:rPr>
          <w:rFonts w:ascii="Arial" w:hAnsi="Arial" w:cs="Arial"/>
          <w:b/>
          <w:sz w:val="20"/>
          <w:szCs w:val="20"/>
          <w:lang w:val="es-ES"/>
        </w:rPr>
      </w:pPr>
    </w:p>
    <w:p w14:paraId="75752FCF" w14:textId="77777777" w:rsidR="001E3F24" w:rsidRPr="001E3F24" w:rsidRDefault="001E3F24" w:rsidP="001E3F24">
      <w:pPr>
        <w:numPr>
          <w:ilvl w:val="0"/>
          <w:numId w:val="14"/>
        </w:numPr>
        <w:ind w:left="0"/>
        <w:jc w:val="both"/>
        <w:rPr>
          <w:rFonts w:ascii="Arial" w:hAnsi="Arial" w:cs="Arial"/>
          <w:b/>
          <w:sz w:val="20"/>
          <w:szCs w:val="20"/>
        </w:rPr>
      </w:pPr>
      <w:r w:rsidRPr="001E3F24">
        <w:rPr>
          <w:rFonts w:ascii="Arial" w:hAnsi="Arial" w:cs="Arial"/>
          <w:b/>
          <w:sz w:val="20"/>
          <w:szCs w:val="20"/>
        </w:rPr>
        <w:t>ANALISIS DE LA OFERTA</w:t>
      </w:r>
    </w:p>
    <w:p w14:paraId="2BB80872" w14:textId="77777777" w:rsidR="001E3F24" w:rsidRPr="001E3F24" w:rsidRDefault="001E3F24" w:rsidP="001E3F24">
      <w:pPr>
        <w:jc w:val="both"/>
        <w:rPr>
          <w:rFonts w:ascii="Arial" w:hAnsi="Arial" w:cs="Arial"/>
          <w:b/>
          <w:sz w:val="20"/>
          <w:szCs w:val="20"/>
        </w:rPr>
      </w:pPr>
    </w:p>
    <w:p w14:paraId="4E28B4C9"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Para el análisis de la oferta se tiene en cuenta el nuevo aplicativo de la plataforma de Colombia Compra eficiente, de allí se obtuvo la siguiente información para los procesos de obras civiles, incluyendo los  de prestación de servicios públicos:</w:t>
      </w:r>
    </w:p>
    <w:p w14:paraId="0AAC65C7" w14:textId="77777777" w:rsidR="001E3F24" w:rsidRPr="001E3F24" w:rsidRDefault="001E3F24" w:rsidP="001E3F24">
      <w:pPr>
        <w:ind w:hanging="11"/>
        <w:jc w:val="both"/>
        <w:rPr>
          <w:rFonts w:ascii="Arial" w:hAnsi="Arial" w:cs="Arial"/>
          <w:sz w:val="20"/>
          <w:szCs w:val="20"/>
        </w:rPr>
      </w:pPr>
    </w:p>
    <w:p w14:paraId="12C94635" w14:textId="77777777" w:rsidR="001E3F24" w:rsidRPr="001E3F24" w:rsidRDefault="001E3F24" w:rsidP="001E3F24">
      <w:pPr>
        <w:ind w:hanging="11"/>
        <w:jc w:val="both"/>
        <w:rPr>
          <w:rFonts w:ascii="Arial" w:hAnsi="Arial" w:cs="Arial"/>
          <w:b/>
          <w:sz w:val="20"/>
          <w:szCs w:val="20"/>
          <w:lang w:val="es-ES"/>
        </w:rPr>
      </w:pPr>
      <w:r w:rsidRPr="001E3F24">
        <w:rPr>
          <w:rFonts w:ascii="Arial" w:hAnsi="Arial" w:cs="Arial"/>
          <w:b/>
          <w:sz w:val="20"/>
          <w:szCs w:val="20"/>
          <w:lang w:val="es-ES"/>
        </w:rPr>
        <w:t>Fuente: Colombia Compra Eficiente</w:t>
      </w:r>
    </w:p>
    <w:p w14:paraId="4E971A99" w14:textId="77777777" w:rsidR="001E3F24" w:rsidRPr="001E3F24" w:rsidRDefault="001E3F24" w:rsidP="001E3F24">
      <w:pPr>
        <w:tabs>
          <w:tab w:val="left" w:pos="920"/>
        </w:tabs>
        <w:ind w:hanging="11"/>
        <w:jc w:val="both"/>
        <w:rPr>
          <w:rFonts w:ascii="Arial" w:hAnsi="Arial" w:cs="Arial"/>
          <w:sz w:val="20"/>
          <w:szCs w:val="20"/>
          <w:lang w:val="es-ES"/>
        </w:rPr>
      </w:pPr>
      <w:r w:rsidRPr="001E3F24">
        <w:rPr>
          <w:rFonts w:ascii="Arial" w:hAnsi="Arial" w:cs="Arial"/>
          <w:noProof/>
          <w:sz w:val="20"/>
          <w:szCs w:val="20"/>
          <w:lang w:val="es-ES"/>
        </w:rPr>
        <w:drawing>
          <wp:anchor distT="0" distB="0" distL="114300" distR="114300" simplePos="0" relativeHeight="251674624" behindDoc="0" locked="0" layoutInCell="1" allowOverlap="1" wp14:anchorId="06C5C9E2" wp14:editId="6CDE9CF2">
            <wp:simplePos x="0" y="0"/>
            <wp:positionH relativeFrom="column">
              <wp:posOffset>0</wp:posOffset>
            </wp:positionH>
            <wp:positionV relativeFrom="paragraph">
              <wp:posOffset>160655</wp:posOffset>
            </wp:positionV>
            <wp:extent cx="5079365" cy="2404110"/>
            <wp:effectExtent l="0" t="0" r="635" b="8890"/>
            <wp:wrapThrough wrapText="bothSides">
              <wp:wrapPolygon edited="0">
                <wp:start x="0" y="0"/>
                <wp:lineTo x="0" y="21452"/>
                <wp:lineTo x="21495" y="21452"/>
                <wp:lineTo x="21495" y="0"/>
                <wp:lineTo x="0" y="0"/>
              </wp:wrapPolygon>
            </wp:wrapThrough>
            <wp:docPr id="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79365" cy="2404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3F24">
        <w:rPr>
          <w:rFonts w:ascii="Arial" w:hAnsi="Arial" w:cs="Arial"/>
          <w:sz w:val="20"/>
          <w:szCs w:val="20"/>
          <w:lang w:val="es-ES"/>
        </w:rPr>
        <w:tab/>
      </w:r>
      <w:r w:rsidRPr="001E3F24">
        <w:rPr>
          <w:rFonts w:ascii="Arial" w:hAnsi="Arial" w:cs="Arial"/>
          <w:sz w:val="20"/>
          <w:szCs w:val="20"/>
          <w:lang w:val="es-ES"/>
        </w:rPr>
        <w:tab/>
      </w:r>
    </w:p>
    <w:p w14:paraId="15E43407" w14:textId="77777777" w:rsidR="001E3F24" w:rsidRPr="001E3F24" w:rsidRDefault="001E3F24" w:rsidP="001E3F24">
      <w:pPr>
        <w:tabs>
          <w:tab w:val="left" w:pos="920"/>
        </w:tabs>
        <w:ind w:hanging="11"/>
        <w:jc w:val="both"/>
        <w:rPr>
          <w:rFonts w:ascii="Arial" w:hAnsi="Arial" w:cs="Arial"/>
          <w:sz w:val="20"/>
          <w:szCs w:val="20"/>
          <w:lang w:val="es-ES"/>
        </w:rPr>
      </w:pPr>
    </w:p>
    <w:p w14:paraId="6EACBF37" w14:textId="77777777" w:rsidR="001E3F24" w:rsidRPr="001E3F24" w:rsidRDefault="001E3F24" w:rsidP="001E3F24">
      <w:pPr>
        <w:ind w:hanging="11"/>
        <w:jc w:val="both"/>
        <w:rPr>
          <w:rFonts w:ascii="Arial" w:hAnsi="Arial" w:cs="Arial"/>
          <w:sz w:val="20"/>
          <w:szCs w:val="20"/>
          <w:lang w:val="es-ES"/>
        </w:rPr>
      </w:pPr>
    </w:p>
    <w:p w14:paraId="7430968A" w14:textId="77777777" w:rsidR="001E3F24" w:rsidRPr="001E3F24" w:rsidRDefault="001E3F24" w:rsidP="001E3F24">
      <w:pPr>
        <w:ind w:hanging="11"/>
        <w:jc w:val="both"/>
        <w:rPr>
          <w:rFonts w:ascii="Arial" w:hAnsi="Arial" w:cs="Arial"/>
          <w:sz w:val="20"/>
          <w:szCs w:val="20"/>
          <w:lang w:val="es-ES"/>
        </w:rPr>
      </w:pPr>
    </w:p>
    <w:p w14:paraId="070C2C30" w14:textId="77777777" w:rsidR="001E3F24" w:rsidRPr="001E3F24" w:rsidRDefault="001E3F24" w:rsidP="001E3F24">
      <w:pPr>
        <w:ind w:hanging="11"/>
        <w:jc w:val="both"/>
        <w:rPr>
          <w:rFonts w:ascii="Arial" w:hAnsi="Arial" w:cs="Arial"/>
          <w:sz w:val="20"/>
          <w:szCs w:val="20"/>
          <w:lang w:val="es-ES"/>
        </w:rPr>
      </w:pPr>
    </w:p>
    <w:p w14:paraId="7907F13F" w14:textId="77777777" w:rsidR="001E3F24" w:rsidRPr="001E3F24" w:rsidRDefault="001E3F24" w:rsidP="001E3F24">
      <w:pPr>
        <w:ind w:hanging="11"/>
        <w:jc w:val="both"/>
        <w:rPr>
          <w:rFonts w:ascii="Arial" w:hAnsi="Arial" w:cs="Arial"/>
          <w:sz w:val="20"/>
          <w:szCs w:val="20"/>
          <w:lang w:val="es-ES"/>
        </w:rPr>
      </w:pPr>
    </w:p>
    <w:p w14:paraId="40BEE67D" w14:textId="77777777" w:rsidR="001E3F24" w:rsidRPr="001E3F24" w:rsidRDefault="001E3F24" w:rsidP="001E3F24">
      <w:pPr>
        <w:ind w:hanging="11"/>
        <w:jc w:val="both"/>
        <w:rPr>
          <w:rFonts w:ascii="Arial" w:hAnsi="Arial" w:cs="Arial"/>
          <w:sz w:val="20"/>
          <w:szCs w:val="20"/>
          <w:lang w:val="es-ES"/>
        </w:rPr>
      </w:pPr>
    </w:p>
    <w:p w14:paraId="769D12C3" w14:textId="77777777" w:rsidR="001E3F24" w:rsidRPr="001E3F24" w:rsidRDefault="001E3F24" w:rsidP="001E3F24">
      <w:pPr>
        <w:ind w:hanging="11"/>
        <w:jc w:val="both"/>
        <w:rPr>
          <w:rFonts w:ascii="Arial" w:hAnsi="Arial" w:cs="Arial"/>
          <w:sz w:val="20"/>
          <w:szCs w:val="20"/>
          <w:lang w:val="es-ES"/>
        </w:rPr>
      </w:pPr>
    </w:p>
    <w:p w14:paraId="02E5BC61" w14:textId="77777777" w:rsidR="001E3F24" w:rsidRPr="001E3F24" w:rsidRDefault="001E3F24" w:rsidP="001E3F24">
      <w:pPr>
        <w:ind w:hanging="11"/>
        <w:jc w:val="both"/>
        <w:rPr>
          <w:rFonts w:ascii="Arial" w:hAnsi="Arial" w:cs="Arial"/>
          <w:sz w:val="20"/>
          <w:szCs w:val="20"/>
          <w:lang w:val="es-ES"/>
        </w:rPr>
      </w:pPr>
    </w:p>
    <w:p w14:paraId="42787A54" w14:textId="77777777" w:rsidR="001E3F24" w:rsidRPr="001E3F24" w:rsidRDefault="001E3F24" w:rsidP="001E3F24">
      <w:pPr>
        <w:ind w:hanging="11"/>
        <w:jc w:val="both"/>
        <w:rPr>
          <w:rFonts w:ascii="Arial" w:hAnsi="Arial" w:cs="Arial"/>
          <w:sz w:val="20"/>
          <w:szCs w:val="20"/>
          <w:lang w:val="es-ES"/>
        </w:rPr>
      </w:pPr>
    </w:p>
    <w:p w14:paraId="22F9BEFD" w14:textId="77777777" w:rsidR="001E3F24" w:rsidRPr="001E3F24" w:rsidRDefault="001E3F24" w:rsidP="001E3F24">
      <w:pPr>
        <w:ind w:hanging="11"/>
        <w:jc w:val="both"/>
        <w:rPr>
          <w:rFonts w:ascii="Arial" w:hAnsi="Arial" w:cs="Arial"/>
          <w:sz w:val="20"/>
          <w:szCs w:val="20"/>
          <w:lang w:val="es-ES"/>
        </w:rPr>
      </w:pPr>
    </w:p>
    <w:p w14:paraId="6220AB8D" w14:textId="77777777" w:rsidR="001E3F24" w:rsidRPr="001E3F24" w:rsidRDefault="001E3F24" w:rsidP="001E3F24">
      <w:pPr>
        <w:ind w:hanging="11"/>
        <w:jc w:val="both"/>
        <w:rPr>
          <w:rFonts w:ascii="Arial" w:hAnsi="Arial" w:cs="Arial"/>
          <w:sz w:val="20"/>
          <w:szCs w:val="20"/>
          <w:lang w:val="es-ES"/>
        </w:rPr>
      </w:pPr>
    </w:p>
    <w:p w14:paraId="1A62308B" w14:textId="77777777" w:rsidR="001E3F24" w:rsidRPr="001E3F24" w:rsidRDefault="001E3F24" w:rsidP="001E3F24">
      <w:pPr>
        <w:ind w:hanging="11"/>
        <w:jc w:val="both"/>
        <w:rPr>
          <w:rFonts w:ascii="Arial" w:hAnsi="Arial" w:cs="Arial"/>
          <w:sz w:val="20"/>
          <w:szCs w:val="20"/>
          <w:lang w:val="es-ES"/>
        </w:rPr>
      </w:pPr>
    </w:p>
    <w:p w14:paraId="43ED02B0" w14:textId="77777777" w:rsidR="001E3F24" w:rsidRPr="001E3F24" w:rsidRDefault="001E3F24" w:rsidP="001E3F24">
      <w:pPr>
        <w:ind w:hanging="11"/>
        <w:jc w:val="both"/>
        <w:rPr>
          <w:rFonts w:ascii="Arial" w:hAnsi="Arial" w:cs="Arial"/>
          <w:sz w:val="20"/>
          <w:szCs w:val="20"/>
          <w:lang w:val="es-ES"/>
        </w:rPr>
      </w:pPr>
    </w:p>
    <w:p w14:paraId="768CEAA2" w14:textId="77777777" w:rsidR="001E3F24" w:rsidRPr="001E3F24" w:rsidRDefault="001E3F24" w:rsidP="001E3F24">
      <w:pPr>
        <w:ind w:hanging="11"/>
        <w:jc w:val="both"/>
        <w:rPr>
          <w:rFonts w:ascii="Arial" w:hAnsi="Arial" w:cs="Arial"/>
          <w:sz w:val="20"/>
          <w:szCs w:val="20"/>
          <w:lang w:val="es-ES"/>
        </w:rPr>
      </w:pPr>
    </w:p>
    <w:p w14:paraId="17123ABF" w14:textId="77777777" w:rsidR="001E3F24" w:rsidRPr="001E3F24" w:rsidRDefault="001E3F24" w:rsidP="001E3F24">
      <w:pPr>
        <w:ind w:hanging="11"/>
        <w:jc w:val="both"/>
        <w:rPr>
          <w:rFonts w:ascii="Arial" w:hAnsi="Arial" w:cs="Arial"/>
          <w:sz w:val="20"/>
          <w:szCs w:val="20"/>
          <w:lang w:val="es-ES"/>
        </w:rPr>
      </w:pPr>
    </w:p>
    <w:p w14:paraId="31646876" w14:textId="77777777" w:rsidR="001E3F24" w:rsidRPr="001E3F24" w:rsidRDefault="001E3F24" w:rsidP="001E3F24">
      <w:pPr>
        <w:ind w:hanging="11"/>
        <w:jc w:val="both"/>
        <w:rPr>
          <w:rFonts w:ascii="Arial" w:hAnsi="Arial" w:cs="Arial"/>
          <w:sz w:val="20"/>
          <w:szCs w:val="20"/>
          <w:lang w:val="es-ES"/>
        </w:rPr>
      </w:pPr>
    </w:p>
    <w:p w14:paraId="74083DBF"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 xml:space="preserve">De acuerdo a la gráfica anterior se observa que a partir del año 2020 se presenta un declive en la </w:t>
      </w:r>
      <w:r w:rsidRPr="001E3F24">
        <w:rPr>
          <w:rFonts w:ascii="Arial" w:hAnsi="Arial" w:cs="Arial"/>
          <w:sz w:val="20"/>
          <w:szCs w:val="20"/>
          <w:lang w:val="es-ES"/>
        </w:rPr>
        <w:lastRenderedPageBreak/>
        <w:t xml:space="preserve">contratación relacionada con obras de ingeniería civil que se sigue reflejando en lo corrido del año 2023. </w:t>
      </w:r>
    </w:p>
    <w:p w14:paraId="7B35C224" w14:textId="77777777" w:rsidR="001E3F24" w:rsidRPr="001E3F24" w:rsidRDefault="001E3F24" w:rsidP="001E3F24">
      <w:pPr>
        <w:ind w:hanging="11"/>
        <w:jc w:val="both"/>
        <w:rPr>
          <w:rFonts w:ascii="Arial" w:hAnsi="Arial" w:cs="Arial"/>
          <w:sz w:val="20"/>
          <w:szCs w:val="20"/>
          <w:lang w:val="es-ES"/>
        </w:rPr>
      </w:pPr>
    </w:p>
    <w:p w14:paraId="5865E5B9"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noProof/>
          <w:sz w:val="20"/>
          <w:szCs w:val="20"/>
          <w:lang w:val="es-ES"/>
        </w:rPr>
        <w:drawing>
          <wp:anchor distT="0" distB="0" distL="114300" distR="114300" simplePos="0" relativeHeight="251675648" behindDoc="0" locked="0" layoutInCell="1" allowOverlap="1" wp14:anchorId="3337D272" wp14:editId="7F9133DB">
            <wp:simplePos x="0" y="0"/>
            <wp:positionH relativeFrom="column">
              <wp:posOffset>0</wp:posOffset>
            </wp:positionH>
            <wp:positionV relativeFrom="paragraph">
              <wp:posOffset>0</wp:posOffset>
            </wp:positionV>
            <wp:extent cx="5601335" cy="2298700"/>
            <wp:effectExtent l="0" t="0" r="12065" b="12700"/>
            <wp:wrapThrough wrapText="bothSides">
              <wp:wrapPolygon edited="0">
                <wp:start x="0" y="0"/>
                <wp:lineTo x="0" y="21481"/>
                <wp:lineTo x="21549" y="21481"/>
                <wp:lineTo x="21549" y="0"/>
                <wp:lineTo x="0" y="0"/>
              </wp:wrapPolygon>
            </wp:wrapThrough>
            <wp:docPr id="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1335" cy="229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AD3C8" w14:textId="77777777" w:rsidR="001E3F24" w:rsidRPr="001E3F24" w:rsidRDefault="001E3F24" w:rsidP="001E3F24">
      <w:pPr>
        <w:ind w:hanging="11"/>
        <w:jc w:val="both"/>
        <w:rPr>
          <w:rFonts w:ascii="Arial" w:hAnsi="Arial" w:cs="Arial"/>
          <w:b/>
          <w:sz w:val="20"/>
          <w:szCs w:val="20"/>
          <w:lang w:val="es-ES"/>
        </w:rPr>
      </w:pPr>
      <w:r w:rsidRPr="001E3F24">
        <w:rPr>
          <w:rFonts w:ascii="Arial" w:hAnsi="Arial" w:cs="Arial"/>
          <w:b/>
          <w:sz w:val="20"/>
          <w:szCs w:val="20"/>
          <w:lang w:val="es-ES"/>
        </w:rPr>
        <w:t>Fuente: Colombia Compra Eficiente</w:t>
      </w:r>
    </w:p>
    <w:p w14:paraId="7E0B76DF" w14:textId="77777777" w:rsidR="001E3F24" w:rsidRPr="001E3F24" w:rsidRDefault="001E3F24" w:rsidP="001E3F24">
      <w:pPr>
        <w:ind w:hanging="11"/>
        <w:jc w:val="both"/>
        <w:rPr>
          <w:rFonts w:ascii="Arial" w:hAnsi="Arial" w:cs="Arial"/>
          <w:b/>
          <w:sz w:val="20"/>
          <w:szCs w:val="20"/>
          <w:lang w:val="es-ES"/>
        </w:rPr>
      </w:pPr>
    </w:p>
    <w:p w14:paraId="18DC3356"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 xml:space="preserve">En cuanto a las modalidades de contratación para este tipo de procesos fue la Licitación pública donde se ejecutó el mayor </w:t>
      </w:r>
      <w:proofErr w:type="spellStart"/>
      <w:r w:rsidRPr="001E3F24">
        <w:rPr>
          <w:rFonts w:ascii="Arial" w:hAnsi="Arial" w:cs="Arial"/>
          <w:sz w:val="20"/>
          <w:szCs w:val="20"/>
          <w:lang w:val="es-ES"/>
        </w:rPr>
        <w:t>numero</w:t>
      </w:r>
      <w:proofErr w:type="spellEnd"/>
      <w:r w:rsidRPr="001E3F24">
        <w:rPr>
          <w:rFonts w:ascii="Arial" w:hAnsi="Arial" w:cs="Arial"/>
          <w:sz w:val="20"/>
          <w:szCs w:val="20"/>
          <w:lang w:val="es-ES"/>
        </w:rPr>
        <w:t xml:space="preserve"> del presupuesto, seguida de la Contratación directa.</w:t>
      </w:r>
    </w:p>
    <w:p w14:paraId="52AA3A7D" w14:textId="77777777" w:rsidR="001E3F24" w:rsidRPr="001E3F24" w:rsidRDefault="001E3F24" w:rsidP="001E3F24">
      <w:pPr>
        <w:rPr>
          <w:rFonts w:ascii="Arial" w:hAnsi="Arial" w:cs="Arial"/>
          <w:sz w:val="20"/>
          <w:szCs w:val="20"/>
          <w:lang w:val="es-ES"/>
        </w:rPr>
      </w:pPr>
    </w:p>
    <w:p w14:paraId="6792BBDA" w14:textId="77777777" w:rsidR="001E3F24" w:rsidRPr="001E3F24" w:rsidRDefault="001E3F24" w:rsidP="001E3F24">
      <w:pPr>
        <w:rPr>
          <w:rFonts w:ascii="Arial" w:hAnsi="Arial" w:cs="Arial"/>
          <w:sz w:val="20"/>
          <w:szCs w:val="20"/>
          <w:lang w:val="es-ES"/>
        </w:rPr>
      </w:pPr>
    </w:p>
    <w:p w14:paraId="033D905C" w14:textId="77777777" w:rsidR="001E3F24" w:rsidRPr="001E3F24" w:rsidRDefault="001E3F24" w:rsidP="001E3F24">
      <w:pPr>
        <w:rPr>
          <w:rFonts w:ascii="Arial" w:hAnsi="Arial" w:cs="Arial"/>
          <w:sz w:val="20"/>
          <w:szCs w:val="20"/>
          <w:lang w:val="es-ES"/>
        </w:rPr>
      </w:pPr>
      <w:r w:rsidRPr="001E3F24">
        <w:rPr>
          <w:rFonts w:ascii="Arial" w:hAnsi="Arial" w:cs="Arial"/>
          <w:noProof/>
          <w:sz w:val="20"/>
          <w:szCs w:val="20"/>
          <w:lang w:val="es-ES"/>
        </w:rPr>
        <w:drawing>
          <wp:anchor distT="0" distB="0" distL="114300" distR="114300" simplePos="0" relativeHeight="251676672" behindDoc="0" locked="0" layoutInCell="1" allowOverlap="1" wp14:anchorId="007F4D9A" wp14:editId="2ED0B5EF">
            <wp:simplePos x="0" y="0"/>
            <wp:positionH relativeFrom="column">
              <wp:posOffset>0</wp:posOffset>
            </wp:positionH>
            <wp:positionV relativeFrom="paragraph">
              <wp:posOffset>0</wp:posOffset>
            </wp:positionV>
            <wp:extent cx="5609590" cy="2722245"/>
            <wp:effectExtent l="0" t="0" r="3810" b="0"/>
            <wp:wrapThrough wrapText="bothSides">
              <wp:wrapPolygon edited="0">
                <wp:start x="0" y="0"/>
                <wp:lineTo x="0" y="21363"/>
                <wp:lineTo x="21517" y="21363"/>
                <wp:lineTo x="21517" y="0"/>
                <wp:lineTo x="0" y="0"/>
              </wp:wrapPolygon>
            </wp:wrapThrough>
            <wp:docPr id="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9590" cy="2722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7DE0E" w14:textId="77777777" w:rsidR="001E3F24" w:rsidRPr="001E3F24" w:rsidRDefault="001E3F24" w:rsidP="001E3F24">
      <w:pPr>
        <w:rPr>
          <w:rFonts w:ascii="Arial" w:hAnsi="Arial" w:cs="Arial"/>
          <w:sz w:val="20"/>
          <w:szCs w:val="20"/>
          <w:lang w:val="es-ES"/>
        </w:rPr>
      </w:pPr>
      <w:r w:rsidRPr="001E3F24">
        <w:rPr>
          <w:rFonts w:ascii="Arial" w:hAnsi="Arial" w:cs="Arial"/>
          <w:sz w:val="20"/>
          <w:szCs w:val="20"/>
          <w:lang w:val="es-ES"/>
        </w:rPr>
        <w:t>En lo que tiene  que ver  por  familia,  el grupo 7214,  servicios de  construcción pesada  es  el de mayor participación, mientras que el de  servicios públicos (8310)  ocupa  el  cuarto  lugar  en importancia.</w:t>
      </w:r>
    </w:p>
    <w:p w14:paraId="536EA79D" w14:textId="77777777" w:rsidR="001E3F24" w:rsidRPr="001E3F24" w:rsidRDefault="001E3F24" w:rsidP="001E3F24">
      <w:pPr>
        <w:rPr>
          <w:rFonts w:ascii="Arial" w:hAnsi="Arial" w:cs="Arial"/>
          <w:sz w:val="20"/>
          <w:szCs w:val="20"/>
          <w:lang w:val="es-ES"/>
        </w:rPr>
      </w:pPr>
    </w:p>
    <w:p w14:paraId="57210B6C" w14:textId="77777777" w:rsidR="001E3F24" w:rsidRPr="001E3F24" w:rsidRDefault="001E3F24" w:rsidP="001E3F24">
      <w:pPr>
        <w:rPr>
          <w:rFonts w:ascii="Arial" w:hAnsi="Arial" w:cs="Arial"/>
          <w:sz w:val="20"/>
          <w:szCs w:val="20"/>
          <w:lang w:val="es-ES"/>
        </w:rPr>
      </w:pPr>
    </w:p>
    <w:p w14:paraId="29C022D3" w14:textId="77777777" w:rsidR="001E3F24" w:rsidRPr="001E3F24" w:rsidRDefault="001E3F24" w:rsidP="001E3F24">
      <w:pPr>
        <w:ind w:hanging="11"/>
        <w:jc w:val="both"/>
        <w:rPr>
          <w:rFonts w:ascii="Arial" w:hAnsi="Arial" w:cs="Arial"/>
          <w:b/>
          <w:sz w:val="20"/>
          <w:szCs w:val="20"/>
        </w:rPr>
      </w:pPr>
      <w:r w:rsidRPr="001E3F24">
        <w:rPr>
          <w:rFonts w:ascii="Arial" w:hAnsi="Arial" w:cs="Arial"/>
          <w:b/>
          <w:noProof/>
          <w:sz w:val="20"/>
          <w:szCs w:val="20"/>
          <w:lang w:val="es-ES"/>
        </w:rPr>
        <w:drawing>
          <wp:inline distT="0" distB="0" distL="0" distR="0" wp14:anchorId="17E05304" wp14:editId="13DD807B">
            <wp:extent cx="4562475" cy="19526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62475" cy="1952625"/>
                    </a:xfrm>
                    <a:prstGeom prst="rect">
                      <a:avLst/>
                    </a:prstGeom>
                    <a:noFill/>
                    <a:ln>
                      <a:noFill/>
                    </a:ln>
                  </pic:spPr>
                </pic:pic>
              </a:graphicData>
            </a:graphic>
          </wp:inline>
        </w:drawing>
      </w:r>
    </w:p>
    <w:p w14:paraId="4B04C468" w14:textId="77777777" w:rsidR="001E3F24" w:rsidRPr="001E3F24" w:rsidRDefault="001E3F24" w:rsidP="001E3F24">
      <w:pPr>
        <w:ind w:hanging="11"/>
        <w:jc w:val="both"/>
        <w:rPr>
          <w:rFonts w:ascii="Arial" w:hAnsi="Arial" w:cs="Arial"/>
          <w:b/>
          <w:sz w:val="20"/>
          <w:szCs w:val="20"/>
          <w:lang w:val="es-ES"/>
        </w:rPr>
      </w:pPr>
      <w:r w:rsidRPr="001E3F24">
        <w:rPr>
          <w:rFonts w:ascii="Arial" w:hAnsi="Arial" w:cs="Arial"/>
          <w:b/>
          <w:sz w:val="20"/>
          <w:szCs w:val="20"/>
          <w:lang w:val="es-ES"/>
        </w:rPr>
        <w:lastRenderedPageBreak/>
        <w:t>Fuente: Colombia Compra Eficiente</w:t>
      </w:r>
    </w:p>
    <w:p w14:paraId="10EF95C3" w14:textId="77777777" w:rsidR="001E3F24" w:rsidRPr="001E3F24" w:rsidRDefault="001E3F24" w:rsidP="001E3F24">
      <w:pPr>
        <w:ind w:hanging="11"/>
        <w:jc w:val="both"/>
        <w:rPr>
          <w:rFonts w:ascii="Arial" w:hAnsi="Arial" w:cs="Arial"/>
          <w:sz w:val="20"/>
          <w:szCs w:val="20"/>
          <w:lang w:val="es-ES"/>
        </w:rPr>
      </w:pPr>
    </w:p>
    <w:p w14:paraId="5251145C"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 xml:space="preserve">Respecto al análisis de proveedores para el presente proceso se puede determinar que la oferta es amplia, estos servicios pueden ser prestados tanto por personas naturales como por personas jurídicas, algunos de estos posibles oferentes son los que se observan en la gráfica anterior. De estos posibles proveedores se puede determinar que el 39,69% son empresas </w:t>
      </w:r>
      <w:proofErr w:type="spellStart"/>
      <w:r w:rsidRPr="001E3F24">
        <w:rPr>
          <w:rFonts w:ascii="Arial" w:hAnsi="Arial" w:cs="Arial"/>
          <w:sz w:val="20"/>
          <w:szCs w:val="20"/>
          <w:lang w:val="es-ES"/>
        </w:rPr>
        <w:t>mypimes</w:t>
      </w:r>
      <w:proofErr w:type="spellEnd"/>
      <w:r w:rsidRPr="001E3F24">
        <w:rPr>
          <w:rFonts w:ascii="Arial" w:hAnsi="Arial" w:cs="Arial"/>
          <w:sz w:val="20"/>
          <w:szCs w:val="20"/>
          <w:lang w:val="es-ES"/>
        </w:rPr>
        <w:t>.</w:t>
      </w:r>
    </w:p>
    <w:p w14:paraId="0B86E1F2" w14:textId="77777777" w:rsidR="001E3F24" w:rsidRPr="001E3F24" w:rsidRDefault="001E3F24" w:rsidP="001E3F24">
      <w:pPr>
        <w:ind w:hanging="11"/>
        <w:jc w:val="both"/>
        <w:rPr>
          <w:rFonts w:ascii="Arial" w:hAnsi="Arial" w:cs="Arial"/>
          <w:sz w:val="20"/>
          <w:szCs w:val="20"/>
          <w:lang w:val="es-ES"/>
        </w:rPr>
      </w:pPr>
    </w:p>
    <w:p w14:paraId="5096B031"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Se debe resaltar que todas estas empresas, personas naturales, podrían contar con experiencia, capacidad financiera, organizacional y jurídica suficiente; por lo cual las sitúan, sin perjuicio de las exigencias de la entidad dentro del proceso de selección, entre los posibles oferentes que eventualmente podrían tener la idoneidad para ejecutar el objeto.</w:t>
      </w:r>
    </w:p>
    <w:p w14:paraId="3FF2393E" w14:textId="77777777" w:rsidR="001E3F24" w:rsidRPr="001E3F24" w:rsidRDefault="001E3F24" w:rsidP="001E3F24">
      <w:pPr>
        <w:jc w:val="both"/>
        <w:rPr>
          <w:rFonts w:ascii="Arial" w:hAnsi="Arial" w:cs="Arial"/>
          <w:sz w:val="20"/>
          <w:szCs w:val="20"/>
          <w:lang w:val="es-ES"/>
        </w:rPr>
      </w:pPr>
    </w:p>
    <w:p w14:paraId="4A8AD983" w14:textId="77777777" w:rsidR="001E3F24" w:rsidRPr="001E3F24" w:rsidRDefault="001E3F24" w:rsidP="001E3F24">
      <w:pPr>
        <w:ind w:hanging="11"/>
        <w:jc w:val="both"/>
        <w:rPr>
          <w:rFonts w:ascii="Arial" w:hAnsi="Arial" w:cs="Arial"/>
          <w:sz w:val="20"/>
          <w:szCs w:val="20"/>
          <w:lang w:val="es-ES"/>
        </w:rPr>
      </w:pPr>
      <w:r w:rsidRPr="001E3F24">
        <w:rPr>
          <w:rFonts w:ascii="Arial" w:hAnsi="Arial" w:cs="Arial"/>
          <w:sz w:val="20"/>
          <w:szCs w:val="20"/>
          <w:lang w:val="es-ES"/>
        </w:rPr>
        <w:t>POTENCIALES  PROVEEDORES.</w:t>
      </w:r>
    </w:p>
    <w:p w14:paraId="4BC75633" w14:textId="77777777" w:rsidR="001E3F24" w:rsidRPr="001E3F24" w:rsidRDefault="001E3F24" w:rsidP="001E3F24">
      <w:pPr>
        <w:ind w:hanging="11"/>
        <w:jc w:val="both"/>
        <w:rPr>
          <w:rFonts w:ascii="Arial" w:hAnsi="Arial" w:cs="Arial"/>
          <w:sz w:val="20"/>
          <w:szCs w:val="20"/>
          <w:lang w:val="es-ES"/>
        </w:rPr>
      </w:pPr>
    </w:p>
    <w:p w14:paraId="3942B3AD" w14:textId="77777777" w:rsidR="001E3F24" w:rsidRPr="001E3F24" w:rsidRDefault="001E3F24" w:rsidP="001E3F24">
      <w:pPr>
        <w:jc w:val="both"/>
        <w:rPr>
          <w:rFonts w:ascii="Arial" w:hAnsi="Arial" w:cs="Arial"/>
          <w:sz w:val="20"/>
          <w:szCs w:val="20"/>
        </w:rPr>
      </w:pPr>
      <w:r w:rsidRPr="001E3F24">
        <w:rPr>
          <w:rFonts w:ascii="Arial" w:hAnsi="Arial" w:cs="Arial"/>
          <w:sz w:val="20"/>
          <w:szCs w:val="20"/>
        </w:rPr>
        <w:t>Una vez revisados los procesos relacionados con</w:t>
      </w:r>
      <w:r w:rsidRPr="001E3F24">
        <w:rPr>
          <w:rFonts w:ascii="Arial" w:eastAsia="Century Gothic" w:hAnsi="Arial" w:cs="Arial"/>
          <w:b/>
          <w:sz w:val="20"/>
          <w:szCs w:val="20"/>
        </w:rPr>
        <w:t xml:space="preserve"> CONSTRUCCION</w:t>
      </w:r>
      <w:r w:rsidRPr="001E3F24">
        <w:rPr>
          <w:rFonts w:ascii="Arial" w:hAnsi="Arial" w:cs="Arial"/>
          <w:sz w:val="20"/>
          <w:szCs w:val="20"/>
        </w:rPr>
        <w:t xml:space="preserve">, </w:t>
      </w:r>
      <w:r w:rsidRPr="001E3F24">
        <w:rPr>
          <w:rFonts w:ascii="Arial" w:eastAsia="Century Gothic" w:hAnsi="Arial" w:cs="Arial"/>
          <w:b/>
          <w:sz w:val="20"/>
          <w:szCs w:val="20"/>
        </w:rPr>
        <w:t>Sector CONSTRUCCIÓN DE OBRAS CIVILES</w:t>
      </w:r>
      <w:r w:rsidRPr="001E3F24">
        <w:rPr>
          <w:rFonts w:ascii="Arial" w:hAnsi="Arial" w:cs="Arial"/>
          <w:sz w:val="20"/>
          <w:szCs w:val="20"/>
        </w:rPr>
        <w:t xml:space="preserve"> y actividad </w:t>
      </w:r>
      <w:r w:rsidRPr="001E3F24">
        <w:rPr>
          <w:rFonts w:ascii="Arial" w:eastAsia="Century Gothic" w:hAnsi="Arial" w:cs="Arial"/>
          <w:b/>
          <w:sz w:val="20"/>
          <w:szCs w:val="20"/>
        </w:rPr>
        <w:t>Construcción De Obras De Ingeniería Civil</w:t>
      </w:r>
      <w:r w:rsidRPr="001E3F24">
        <w:rPr>
          <w:rFonts w:ascii="Arial" w:hAnsi="Arial" w:cs="Arial"/>
          <w:sz w:val="20"/>
          <w:szCs w:val="20"/>
        </w:rPr>
        <w:t xml:space="preserve">, contenidos en el portal www.colombiacompra.gov.co, se identificaron proveedores de los bienes y servicios demandados por El Municipio de Bosconia, quienes han participado como oferentes o contratistas y se detallan a continuación: </w:t>
      </w:r>
    </w:p>
    <w:p w14:paraId="4EF3C2D2" w14:textId="77777777" w:rsidR="001E3F24" w:rsidRPr="001E3F24" w:rsidRDefault="001E3F24" w:rsidP="001E3F24">
      <w:pPr>
        <w:rPr>
          <w:rFonts w:ascii="Arial" w:hAnsi="Arial" w:cs="Arial"/>
          <w:sz w:val="20"/>
          <w:szCs w:val="20"/>
        </w:rPr>
      </w:pPr>
      <w:r w:rsidRPr="001E3F24">
        <w:rPr>
          <w:rFonts w:ascii="Arial" w:hAnsi="Arial" w:cs="Arial"/>
          <w:sz w:val="20"/>
          <w:szCs w:val="20"/>
        </w:rPr>
        <w:t xml:space="preserve"> </w:t>
      </w:r>
    </w:p>
    <w:p w14:paraId="7885DD5C"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INVERSIONES JACUR &amp; CIA LTDA</w:t>
      </w:r>
    </w:p>
    <w:p w14:paraId="428A01EA"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TOMAS ESCAMILLA BALDOVINO</w:t>
      </w:r>
    </w:p>
    <w:p w14:paraId="437852A3"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YESITD CORNEJO OCHOA</w:t>
      </w:r>
    </w:p>
    <w:p w14:paraId="7A070EE1"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INVERSIONES ROKA SAS</w:t>
      </w:r>
    </w:p>
    <w:p w14:paraId="7BD2BB81"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CONSORCIO SOLAR</w:t>
      </w:r>
    </w:p>
    <w:p w14:paraId="5E70481C"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NELSON MOLINARES AMAYA</w:t>
      </w:r>
    </w:p>
    <w:p w14:paraId="148B4AF1"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UNION TEMPORAL POZOS AGUAZUL</w:t>
      </w:r>
    </w:p>
    <w:p w14:paraId="3EC6C130" w14:textId="77777777" w:rsidR="001E3F24" w:rsidRPr="001E3F24" w:rsidRDefault="001E3F24" w:rsidP="001E3F24">
      <w:pPr>
        <w:pStyle w:val="Ttulo3"/>
        <w:ind w:left="0" w:firstLine="0"/>
        <w:jc w:val="both"/>
        <w:textAlignment w:val="baseline"/>
        <w:rPr>
          <w:rFonts w:cs="Arial"/>
          <w:b w:val="0"/>
          <w:color w:val="000000" w:themeColor="text1"/>
          <w:sz w:val="20"/>
        </w:rPr>
      </w:pPr>
      <w:r w:rsidRPr="001E3F24">
        <w:rPr>
          <w:rFonts w:cs="Arial"/>
          <w:b w:val="0"/>
          <w:color w:val="000000" w:themeColor="text1"/>
          <w:sz w:val="20"/>
          <w:bdr w:val="none" w:sz="0" w:space="0" w:color="auto" w:frame="1"/>
        </w:rPr>
        <w:t>ELAWA</w:t>
      </w:r>
    </w:p>
    <w:p w14:paraId="69EE2CC5"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CARLOS ALBERTO ARMELLA CONTRERAS</w:t>
      </w:r>
    </w:p>
    <w:p w14:paraId="713875B4" w14:textId="77777777" w:rsidR="001E3F24" w:rsidRPr="001E3F24" w:rsidRDefault="001E3F24" w:rsidP="001E3F24">
      <w:pPr>
        <w:suppressAutoHyphens/>
        <w:contextualSpacing/>
        <w:rPr>
          <w:rFonts w:ascii="Arial" w:hAnsi="Arial" w:cs="Arial"/>
          <w:sz w:val="20"/>
          <w:szCs w:val="20"/>
        </w:rPr>
      </w:pPr>
      <w:r w:rsidRPr="001E3F24">
        <w:rPr>
          <w:rFonts w:ascii="Arial" w:hAnsi="Arial" w:cs="Arial"/>
          <w:sz w:val="20"/>
          <w:szCs w:val="20"/>
        </w:rPr>
        <w:t>RV CONSTRUCTORES &amp; CONSULTORES S.A.S.</w:t>
      </w:r>
    </w:p>
    <w:p w14:paraId="1E086910" w14:textId="77777777" w:rsidR="001E3F24" w:rsidRPr="001E3F24" w:rsidRDefault="001E3F24" w:rsidP="001E3F24">
      <w:pPr>
        <w:suppressAutoHyphens/>
        <w:contextualSpacing/>
        <w:rPr>
          <w:rFonts w:ascii="Arial" w:hAnsi="Arial" w:cs="Arial"/>
          <w:sz w:val="20"/>
          <w:szCs w:val="20"/>
        </w:rPr>
      </w:pPr>
      <w:r w:rsidRPr="001E3F24">
        <w:rPr>
          <w:rFonts w:ascii="Arial" w:hAnsi="Arial" w:cs="Arial"/>
          <w:sz w:val="20"/>
          <w:szCs w:val="20"/>
        </w:rPr>
        <w:t>ENUAR DE JESÚS OSPINO GÓMEZ</w:t>
      </w:r>
    </w:p>
    <w:p w14:paraId="43B3493A" w14:textId="77777777" w:rsidR="001E3F24" w:rsidRPr="001E3F24" w:rsidRDefault="001E3F24" w:rsidP="001E3F24">
      <w:pPr>
        <w:suppressAutoHyphens/>
        <w:contextualSpacing/>
        <w:rPr>
          <w:rFonts w:ascii="Arial" w:hAnsi="Arial" w:cs="Arial"/>
          <w:sz w:val="20"/>
          <w:szCs w:val="20"/>
          <w:lang w:eastAsia="ar-SA"/>
        </w:rPr>
      </w:pPr>
      <w:r w:rsidRPr="001E3F24">
        <w:rPr>
          <w:rFonts w:ascii="Arial" w:hAnsi="Arial" w:cs="Arial"/>
          <w:sz w:val="20"/>
          <w:szCs w:val="20"/>
          <w:lang w:eastAsia="ar-SA"/>
        </w:rPr>
        <w:t>NIVRAM INGENIERÍA S.A.S.</w:t>
      </w:r>
    </w:p>
    <w:p w14:paraId="500D1BAC"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GILBERTO ALEXANDER CORZO ESTRADA</w:t>
      </w:r>
    </w:p>
    <w:p w14:paraId="21EB7B04"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 xml:space="preserve">JEINER CARRASQUILLA MORALES  </w:t>
      </w:r>
    </w:p>
    <w:p w14:paraId="61DB00A6"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 xml:space="preserve">HERNAN BARRIOS CASTILLO </w:t>
      </w:r>
    </w:p>
    <w:p w14:paraId="29B4C2FD"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SERVICIOS INTEGRALES DEL CARIBE COLOMBIANO</w:t>
      </w:r>
    </w:p>
    <w:p w14:paraId="16A91FDB"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G4 GRUPO INVERSOR</w:t>
      </w:r>
    </w:p>
    <w:p w14:paraId="7137D405"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ARG LOGISTICA Y CONSTRUCCIONES S.A.S.</w:t>
      </w:r>
    </w:p>
    <w:p w14:paraId="05CDBE41" w14:textId="77777777" w:rsidR="001E3F24" w:rsidRPr="001E3F24" w:rsidRDefault="001E3F24" w:rsidP="001E3F24">
      <w:pPr>
        <w:suppressAutoHyphens/>
        <w:contextualSpacing/>
        <w:rPr>
          <w:rFonts w:ascii="Arial" w:eastAsia="Century Gothic" w:hAnsi="Arial" w:cs="Arial"/>
          <w:sz w:val="20"/>
          <w:szCs w:val="20"/>
        </w:rPr>
      </w:pPr>
      <w:r w:rsidRPr="001E3F24">
        <w:rPr>
          <w:rFonts w:ascii="Arial" w:eastAsia="Century Gothic" w:hAnsi="Arial" w:cs="Arial"/>
          <w:sz w:val="20"/>
          <w:szCs w:val="20"/>
        </w:rPr>
        <w:t xml:space="preserve">ARCA JR S.A.S. </w:t>
      </w:r>
    </w:p>
    <w:p w14:paraId="5F0DABDD" w14:textId="77777777" w:rsidR="001E3F24" w:rsidRPr="001E3F24" w:rsidRDefault="001E3F24" w:rsidP="001E3F24">
      <w:pPr>
        <w:ind w:hanging="11"/>
        <w:jc w:val="both"/>
        <w:rPr>
          <w:rFonts w:ascii="Arial" w:hAnsi="Arial" w:cs="Arial"/>
          <w:sz w:val="20"/>
          <w:szCs w:val="20"/>
          <w:lang w:val="es-ES"/>
        </w:rPr>
      </w:pPr>
    </w:p>
    <w:p w14:paraId="2A8732D9" w14:textId="77777777" w:rsidR="001E3F24" w:rsidRPr="001E3F24" w:rsidRDefault="001E3F24" w:rsidP="001E3F24">
      <w:pPr>
        <w:ind w:hanging="11"/>
        <w:jc w:val="both"/>
        <w:rPr>
          <w:rFonts w:ascii="Arial" w:hAnsi="Arial" w:cs="Arial"/>
          <w:sz w:val="20"/>
          <w:szCs w:val="20"/>
          <w:lang w:val="es-ES"/>
        </w:rPr>
      </w:pPr>
    </w:p>
    <w:p w14:paraId="1FB68873" w14:textId="77777777" w:rsidR="001E3F24" w:rsidRPr="001E3F24" w:rsidRDefault="001E3F24" w:rsidP="001E3F24">
      <w:pPr>
        <w:numPr>
          <w:ilvl w:val="0"/>
          <w:numId w:val="14"/>
        </w:numPr>
        <w:ind w:left="0" w:firstLine="0"/>
        <w:jc w:val="both"/>
        <w:rPr>
          <w:rFonts w:ascii="Arial" w:hAnsi="Arial" w:cs="Arial"/>
          <w:b/>
          <w:sz w:val="20"/>
          <w:szCs w:val="20"/>
        </w:rPr>
      </w:pPr>
      <w:r w:rsidRPr="001E3F24">
        <w:rPr>
          <w:rFonts w:ascii="Arial" w:hAnsi="Arial" w:cs="Arial"/>
          <w:b/>
          <w:sz w:val="20"/>
          <w:szCs w:val="20"/>
        </w:rPr>
        <w:t>DEFINICIÓN DE INDICADORES</w:t>
      </w:r>
    </w:p>
    <w:p w14:paraId="389D608C" w14:textId="77777777" w:rsidR="001E3F24" w:rsidRPr="001E3F24" w:rsidRDefault="001E3F24" w:rsidP="001E3F24">
      <w:pPr>
        <w:ind w:hanging="11"/>
        <w:jc w:val="both"/>
        <w:rPr>
          <w:rFonts w:ascii="Arial" w:hAnsi="Arial" w:cs="Arial"/>
          <w:b/>
          <w:sz w:val="20"/>
          <w:szCs w:val="20"/>
        </w:rPr>
      </w:pPr>
    </w:p>
    <w:p w14:paraId="4823D169" w14:textId="2F232F70" w:rsidR="00DC12D5" w:rsidRPr="001F3D18" w:rsidRDefault="001E3F24" w:rsidP="00DC12D5">
      <w:pPr>
        <w:jc w:val="both"/>
        <w:rPr>
          <w:rFonts w:ascii="Arial" w:eastAsia="Arial" w:hAnsi="Arial" w:cs="Arial"/>
          <w:sz w:val="20"/>
          <w:szCs w:val="20"/>
        </w:rPr>
      </w:pPr>
      <w:r w:rsidRPr="00DC12D5">
        <w:rPr>
          <w:rFonts w:ascii="Arial" w:hAnsi="Arial" w:cs="Arial"/>
          <w:sz w:val="20"/>
          <w:szCs w:val="20"/>
        </w:rPr>
        <w:t xml:space="preserve">Teniendo en cuenta  que  el  </w:t>
      </w:r>
      <w:proofErr w:type="spellStart"/>
      <w:r w:rsidRPr="00DC12D5">
        <w:rPr>
          <w:rFonts w:ascii="Arial" w:hAnsi="Arial" w:cs="Arial"/>
          <w:sz w:val="20"/>
          <w:szCs w:val="20"/>
        </w:rPr>
        <w:t>el</w:t>
      </w:r>
      <w:proofErr w:type="spellEnd"/>
      <w:r w:rsidRPr="00DC12D5">
        <w:rPr>
          <w:rFonts w:ascii="Arial" w:hAnsi="Arial" w:cs="Arial"/>
          <w:sz w:val="20"/>
          <w:szCs w:val="20"/>
        </w:rPr>
        <w:t xml:space="preserve">  proceso  que se pretende  adelantar  corresponde a una </w:t>
      </w:r>
      <w:r w:rsidR="00D01994" w:rsidRPr="00DC12D5">
        <w:rPr>
          <w:rFonts w:ascii="Arial" w:hAnsi="Arial" w:cs="Arial"/>
          <w:sz w:val="20"/>
          <w:szCs w:val="20"/>
        </w:rPr>
        <w:t>SELECCIÓN ABREVIADA DE MENOR CUANTIA  de</w:t>
      </w:r>
      <w:r w:rsidR="00DC12D5" w:rsidRPr="00DC12D5">
        <w:rPr>
          <w:rFonts w:ascii="Arial" w:hAnsi="Arial" w:cs="Arial"/>
          <w:sz w:val="20"/>
          <w:szCs w:val="20"/>
        </w:rPr>
        <w:t xml:space="preserve"> </w:t>
      </w:r>
      <w:r w:rsidR="00DC12D5" w:rsidRPr="00DC12D5">
        <w:rPr>
          <w:rFonts w:ascii="Arial" w:eastAsiaTheme="minorHAnsi" w:hAnsi="Arial" w:cs="Arial"/>
          <w:b/>
          <w:color w:val="4A442A" w:themeColor="background2" w:themeShade="40"/>
          <w:sz w:val="20"/>
          <w:szCs w:val="20"/>
        </w:rPr>
        <w:t>SELECCIÓN ABREVIADA DE OBRA PÚBLICA DE INFRAESTRUCTURA DE TRANSPORTE</w:t>
      </w:r>
      <w:r w:rsidR="00D01994" w:rsidRPr="00DC12D5">
        <w:rPr>
          <w:rFonts w:ascii="Arial" w:hAnsi="Arial" w:cs="Arial"/>
          <w:sz w:val="20"/>
          <w:szCs w:val="20"/>
        </w:rPr>
        <w:t xml:space="preserve">,  </w:t>
      </w:r>
      <w:r w:rsidR="00DC12D5">
        <w:rPr>
          <w:rFonts w:ascii="Arial" w:hAnsi="Arial" w:cs="Arial"/>
          <w:sz w:val="20"/>
          <w:szCs w:val="20"/>
        </w:rPr>
        <w:t xml:space="preserve">por lo que resulta obligatoria la aplicación de los </w:t>
      </w:r>
      <w:r w:rsidR="00DC12D5" w:rsidRPr="007D01E7">
        <w:rPr>
          <w:rFonts w:ascii="Arial" w:hAnsi="Arial" w:cs="Arial"/>
          <w:sz w:val="20"/>
          <w:szCs w:val="20"/>
          <w:lang w:val="es-MX"/>
        </w:rPr>
        <w:t xml:space="preserve">Documentos Tipo para </w:t>
      </w:r>
      <w:r w:rsidR="00DC12D5" w:rsidRPr="007D01E7">
        <w:rPr>
          <w:rFonts w:ascii="Arial" w:hAnsi="Arial" w:cs="Arial"/>
          <w:b/>
          <w:sz w:val="20"/>
          <w:szCs w:val="20"/>
        </w:rPr>
        <w:t xml:space="preserve">Procesos de </w:t>
      </w:r>
      <w:r w:rsidR="004435C9" w:rsidRPr="007D01E7">
        <w:rPr>
          <w:rFonts w:ascii="Arial" w:hAnsi="Arial" w:cs="Arial"/>
          <w:b/>
          <w:sz w:val="20"/>
          <w:szCs w:val="20"/>
        </w:rPr>
        <w:t>Selección</w:t>
      </w:r>
      <w:r w:rsidR="00DC12D5" w:rsidRPr="007D01E7">
        <w:rPr>
          <w:rFonts w:ascii="Arial" w:hAnsi="Arial" w:cs="Arial"/>
          <w:b/>
          <w:sz w:val="20"/>
          <w:szCs w:val="20"/>
        </w:rPr>
        <w:t xml:space="preserve"> abreviada de Menor Cuantía de Obra Pública de Infraestructura de Transporte </w:t>
      </w:r>
      <w:r w:rsidR="00DC12D5" w:rsidRPr="007D01E7">
        <w:rPr>
          <w:rFonts w:ascii="Arial" w:eastAsia="Arial" w:hAnsi="Arial" w:cs="Arial"/>
          <w:b/>
          <w:sz w:val="20"/>
          <w:szCs w:val="20"/>
        </w:rPr>
        <w:t xml:space="preserve">Código  </w:t>
      </w:r>
      <w:r w:rsidR="00DC12D5">
        <w:rPr>
          <w:rFonts w:ascii="Arial" w:eastAsia="Arial" w:hAnsi="Arial" w:cs="Arial"/>
          <w:sz w:val="20"/>
          <w:szCs w:val="20"/>
        </w:rPr>
        <w:t>CCE-EICP-GI-02</w:t>
      </w:r>
      <w:r w:rsidR="00DC12D5" w:rsidRPr="007D01E7">
        <w:rPr>
          <w:rFonts w:ascii="Arial" w:eastAsia="Arial" w:hAnsi="Arial" w:cs="Arial"/>
          <w:sz w:val="20"/>
          <w:szCs w:val="20"/>
        </w:rPr>
        <w:t xml:space="preserve">, </w:t>
      </w:r>
      <w:r w:rsidR="00191541">
        <w:rPr>
          <w:rFonts w:ascii="Arial" w:eastAsia="Arial" w:hAnsi="Arial" w:cs="Arial"/>
          <w:b/>
          <w:sz w:val="20"/>
          <w:szCs w:val="20"/>
        </w:rPr>
        <w:t>Versión No. 3</w:t>
      </w:r>
      <w:r w:rsidR="00DC12D5">
        <w:rPr>
          <w:rFonts w:ascii="Arial" w:eastAsia="Arial" w:hAnsi="Arial" w:cs="Arial"/>
          <w:b/>
          <w:sz w:val="20"/>
          <w:szCs w:val="20"/>
        </w:rPr>
        <w:t xml:space="preserve">, </w:t>
      </w:r>
      <w:r w:rsidR="00DC12D5" w:rsidRPr="00043448">
        <w:rPr>
          <w:rFonts w:ascii="Arial" w:eastAsia="Arial" w:hAnsi="Arial" w:cs="Arial"/>
          <w:sz w:val="20"/>
          <w:szCs w:val="20"/>
        </w:rPr>
        <w:t>adoptada mediante</w:t>
      </w:r>
      <w:r w:rsidR="00DC12D5">
        <w:rPr>
          <w:rFonts w:ascii="Arial" w:eastAsia="Arial" w:hAnsi="Arial" w:cs="Arial"/>
          <w:b/>
          <w:sz w:val="20"/>
          <w:szCs w:val="20"/>
        </w:rPr>
        <w:t xml:space="preserve"> </w:t>
      </w:r>
      <w:r w:rsidR="00DC12D5" w:rsidRPr="007D01E7">
        <w:rPr>
          <w:rFonts w:ascii="Arial" w:eastAsia="Arial" w:hAnsi="Arial" w:cs="Arial"/>
          <w:sz w:val="20"/>
          <w:szCs w:val="20"/>
        </w:rPr>
        <w:t xml:space="preserve"> </w:t>
      </w:r>
      <w:r w:rsidR="00DC12D5" w:rsidRPr="00043448">
        <w:rPr>
          <w:rFonts w:ascii="Arial" w:eastAsia="Arial" w:hAnsi="Arial" w:cs="Arial"/>
          <w:b/>
          <w:sz w:val="20"/>
          <w:szCs w:val="20"/>
        </w:rPr>
        <w:t xml:space="preserve">Resolución No </w:t>
      </w:r>
      <w:r w:rsidR="00DC12D5">
        <w:rPr>
          <w:rFonts w:ascii="Arial" w:eastAsia="Arial" w:hAnsi="Arial" w:cs="Arial"/>
          <w:b/>
          <w:sz w:val="20"/>
          <w:szCs w:val="20"/>
        </w:rPr>
        <w:t xml:space="preserve">463 </w:t>
      </w:r>
      <w:r w:rsidR="00DC12D5" w:rsidRPr="00191541">
        <w:rPr>
          <w:rFonts w:ascii="Arial" w:eastAsia="Arial" w:hAnsi="Arial" w:cs="Arial"/>
          <w:sz w:val="20"/>
          <w:szCs w:val="20"/>
        </w:rPr>
        <w:t xml:space="preserve">del </w:t>
      </w:r>
      <w:r w:rsidR="00191541" w:rsidRPr="00191541">
        <w:rPr>
          <w:rFonts w:ascii="Arial" w:eastAsia="Arial" w:hAnsi="Arial" w:cs="Arial"/>
          <w:sz w:val="20"/>
          <w:szCs w:val="20"/>
        </w:rPr>
        <w:t>29</w:t>
      </w:r>
      <w:r w:rsidR="00DC12D5" w:rsidRPr="007D01E7">
        <w:rPr>
          <w:rFonts w:ascii="Arial" w:eastAsia="Arial" w:hAnsi="Arial" w:cs="Arial"/>
          <w:sz w:val="20"/>
          <w:szCs w:val="20"/>
        </w:rPr>
        <w:t xml:space="preserve"> de  septiembre  de 2024</w:t>
      </w:r>
      <w:r w:rsidR="00DC12D5">
        <w:rPr>
          <w:rFonts w:ascii="Arial" w:eastAsia="Arial" w:hAnsi="Arial" w:cs="Arial"/>
          <w:sz w:val="20"/>
          <w:szCs w:val="20"/>
        </w:rPr>
        <w:t>;  esta solo</w:t>
      </w:r>
      <w:r w:rsidR="00DC12D5" w:rsidRPr="007D01E7">
        <w:rPr>
          <w:rFonts w:ascii="Arial" w:eastAsia="Arial" w:hAnsi="Arial" w:cs="Arial"/>
          <w:b/>
          <w:sz w:val="20"/>
          <w:szCs w:val="20"/>
        </w:rPr>
        <w:t xml:space="preserve">  </w:t>
      </w:r>
      <w:r w:rsidR="00DC12D5" w:rsidRPr="001F3D18">
        <w:rPr>
          <w:rFonts w:ascii="Arial" w:eastAsia="Arial" w:hAnsi="Arial" w:cs="Arial"/>
          <w:sz w:val="20"/>
          <w:szCs w:val="20"/>
        </w:rPr>
        <w:t>aplica a los procesos de selección</w:t>
      </w:r>
      <w:r w:rsidR="00DC12D5">
        <w:rPr>
          <w:rFonts w:ascii="Arial" w:eastAsia="Arial" w:hAnsi="Arial" w:cs="Arial"/>
          <w:sz w:val="20"/>
          <w:szCs w:val="20"/>
        </w:rPr>
        <w:t xml:space="preserve"> </w:t>
      </w:r>
      <w:r w:rsidR="00DC12D5" w:rsidRPr="001F3D18">
        <w:rPr>
          <w:rFonts w:ascii="Arial" w:eastAsia="Arial" w:hAnsi="Arial" w:cs="Arial"/>
          <w:sz w:val="20"/>
          <w:szCs w:val="20"/>
        </w:rPr>
        <w:t>abreviada de menor cuantía de obra pública de infraestructura de transporte, cuyo aviso de</w:t>
      </w:r>
      <w:r w:rsidR="00DC12D5">
        <w:rPr>
          <w:rFonts w:ascii="Arial" w:eastAsia="Arial" w:hAnsi="Arial" w:cs="Arial"/>
          <w:sz w:val="20"/>
          <w:szCs w:val="20"/>
        </w:rPr>
        <w:t xml:space="preserve"> </w:t>
      </w:r>
      <w:r w:rsidR="00DC12D5" w:rsidRPr="001F3D18">
        <w:rPr>
          <w:rFonts w:ascii="Arial" w:eastAsia="Arial" w:hAnsi="Arial" w:cs="Arial"/>
          <w:sz w:val="20"/>
          <w:szCs w:val="20"/>
        </w:rPr>
        <w:t>convocato</w:t>
      </w:r>
      <w:r w:rsidR="00DC12D5">
        <w:rPr>
          <w:rFonts w:ascii="Arial" w:eastAsia="Arial" w:hAnsi="Arial" w:cs="Arial"/>
          <w:sz w:val="20"/>
          <w:szCs w:val="20"/>
        </w:rPr>
        <w:t>ria se publique a partir de 3 de febrero  d</w:t>
      </w:r>
      <w:r w:rsidR="00DC12D5" w:rsidRPr="001F3D18">
        <w:rPr>
          <w:rFonts w:ascii="Arial" w:eastAsia="Arial" w:hAnsi="Arial" w:cs="Arial"/>
          <w:sz w:val="20"/>
          <w:szCs w:val="20"/>
        </w:rPr>
        <w:t>e 2025</w:t>
      </w:r>
      <w:r w:rsidR="00DC12D5" w:rsidRPr="001F3D18">
        <w:rPr>
          <w:rFonts w:ascii="Arial" w:eastAsia="Arial" w:hAnsi="Arial" w:cs="Arial"/>
          <w:b/>
          <w:sz w:val="20"/>
          <w:szCs w:val="20"/>
        </w:rPr>
        <w:t>.</w:t>
      </w:r>
    </w:p>
    <w:p w14:paraId="3B63565A" w14:textId="77777777" w:rsidR="001E3F24" w:rsidRPr="001E3F24" w:rsidRDefault="001E3F24" w:rsidP="001E3F24">
      <w:pPr>
        <w:jc w:val="both"/>
        <w:rPr>
          <w:rFonts w:ascii="Arial" w:hAnsi="Arial" w:cs="Arial"/>
          <w:color w:val="000000" w:themeColor="text1"/>
          <w:sz w:val="20"/>
          <w:szCs w:val="20"/>
          <w:lang w:val="es-ES"/>
        </w:rPr>
      </w:pPr>
    </w:p>
    <w:p w14:paraId="459E685C" w14:textId="77777777" w:rsidR="00E47B4B" w:rsidRDefault="00E47B4B" w:rsidP="00E47B4B">
      <w:pPr>
        <w:pStyle w:val="Prrafodelista"/>
        <w:numPr>
          <w:ilvl w:val="0"/>
          <w:numId w:val="20"/>
        </w:numPr>
        <w:spacing w:after="0" w:line="240" w:lineRule="auto"/>
        <w:ind w:left="284"/>
        <w:jc w:val="both"/>
        <w:rPr>
          <w:rFonts w:ascii="Arial" w:hAnsi="Arial" w:cs="Arial"/>
          <w:i/>
          <w:iCs/>
          <w:sz w:val="20"/>
          <w:szCs w:val="20"/>
          <w:lang w:val="uz-Cyrl-UZ"/>
        </w:rPr>
      </w:pPr>
      <w:r w:rsidRPr="00074C92">
        <w:rPr>
          <w:rFonts w:ascii="Arial" w:hAnsi="Arial" w:cs="Arial"/>
          <w:i/>
          <w:iCs/>
          <w:sz w:val="20"/>
          <w:szCs w:val="20"/>
          <w:lang w:val="uz-Cyrl-UZ"/>
        </w:rPr>
        <w:t>Índices de capacidad financiera y organizacionales para Mip</w:t>
      </w:r>
      <w:r>
        <w:rPr>
          <w:rFonts w:ascii="Arial" w:hAnsi="Arial" w:cs="Arial"/>
          <w:i/>
          <w:iCs/>
          <w:sz w:val="20"/>
          <w:szCs w:val="20"/>
          <w:lang w:val="uz-Cyrl-UZ"/>
        </w:rPr>
        <w:t>yme.</w:t>
      </w:r>
    </w:p>
    <w:p w14:paraId="6916615E" w14:textId="77777777" w:rsidR="00E47B4B" w:rsidRDefault="00E47B4B" w:rsidP="00E47B4B">
      <w:pPr>
        <w:jc w:val="both"/>
        <w:rPr>
          <w:rFonts w:ascii="Arial" w:hAnsi="Arial" w:cs="Arial"/>
          <w:sz w:val="20"/>
          <w:szCs w:val="20"/>
          <w:lang w:val="uz-Cyrl-UZ"/>
        </w:rPr>
      </w:pPr>
    </w:p>
    <w:p w14:paraId="1AA24C16" w14:textId="77777777" w:rsidR="00E47B4B" w:rsidRDefault="00E47B4B" w:rsidP="00E47B4B">
      <w:pPr>
        <w:jc w:val="both"/>
        <w:rPr>
          <w:rFonts w:ascii="Arial" w:hAnsi="Arial" w:cs="Arial"/>
          <w:sz w:val="20"/>
          <w:szCs w:val="20"/>
          <w:lang w:val="uz-Cyrl-UZ"/>
        </w:rPr>
      </w:pPr>
      <w:r>
        <w:rPr>
          <w:rFonts w:ascii="Arial" w:hAnsi="Arial" w:cs="Arial"/>
          <w:sz w:val="20"/>
          <w:szCs w:val="20"/>
          <w:lang w:val="uz-Cyrl-UZ"/>
        </w:rPr>
        <w:t xml:space="preserve">El Proponente persona natural o jurídica que demuestre la condición de Mipyme </w:t>
      </w:r>
      <w:r w:rsidRPr="00A9263E">
        <w:rPr>
          <w:rFonts w:ascii="Arial" w:hAnsi="Arial" w:cs="Arial"/>
          <w:sz w:val="20"/>
          <w:szCs w:val="20"/>
          <w:lang w:val="uz-Cyrl-UZ"/>
        </w:rPr>
        <w:t xml:space="preserve">de conformidad con lo previsto </w:t>
      </w:r>
      <w:r>
        <w:rPr>
          <w:rFonts w:ascii="Arial" w:hAnsi="Arial" w:cs="Arial"/>
          <w:sz w:val="20"/>
          <w:szCs w:val="20"/>
          <w:lang w:val="uz-Cyrl-UZ"/>
        </w:rPr>
        <w:t xml:space="preserve">en el </w:t>
      </w:r>
      <w:r w:rsidRPr="00F26E36">
        <w:rPr>
          <w:rFonts w:ascii="Arial" w:hAnsi="Arial" w:cs="Arial"/>
          <w:sz w:val="20"/>
          <w:szCs w:val="20"/>
          <w:lang w:val="uz-Cyrl-UZ"/>
        </w:rPr>
        <w:t>artículo</w:t>
      </w:r>
      <w:r>
        <w:rPr>
          <w:rFonts w:ascii="Arial" w:hAnsi="Arial" w:cs="Arial"/>
          <w:sz w:val="20"/>
          <w:szCs w:val="20"/>
          <w:lang w:val="uz-Cyrl-UZ"/>
        </w:rPr>
        <w:t xml:space="preserve"> 2</w:t>
      </w:r>
      <w:r w:rsidRPr="00A9263E">
        <w:rPr>
          <w:rFonts w:ascii="Arial" w:hAnsi="Arial" w:cs="Arial"/>
          <w:sz w:val="20"/>
          <w:szCs w:val="20"/>
          <w:lang w:val="uz-Cyrl-UZ"/>
        </w:rPr>
        <w:t>.2.1.2.4.2.4.</w:t>
      </w:r>
      <w:r w:rsidRPr="00F26E36">
        <w:rPr>
          <w:rFonts w:ascii="Arial" w:hAnsi="Arial" w:cs="Arial"/>
          <w:sz w:val="20"/>
          <w:szCs w:val="20"/>
          <w:lang w:val="uz-Cyrl-UZ"/>
        </w:rPr>
        <w:t xml:space="preserve"> </w:t>
      </w:r>
      <w:r w:rsidRPr="00A9263E">
        <w:rPr>
          <w:rFonts w:ascii="Arial" w:hAnsi="Arial" w:cs="Arial"/>
          <w:sz w:val="20"/>
          <w:szCs w:val="20"/>
          <w:lang w:val="uz-Cyrl-UZ"/>
        </w:rPr>
        <w:t>del Decreto 1082 de 2015,</w:t>
      </w:r>
      <w:r w:rsidRPr="008715C0">
        <w:rPr>
          <w:rFonts w:ascii="Arial" w:hAnsi="Arial" w:cs="Arial"/>
          <w:iCs/>
          <w:sz w:val="20"/>
          <w:szCs w:val="20"/>
          <w:lang w:val="es-ES"/>
        </w:rPr>
        <w:t xml:space="preserve"> </w:t>
      </w:r>
      <w:r w:rsidRPr="008F50E8">
        <w:rPr>
          <w:rFonts w:ascii="Arial" w:hAnsi="Arial" w:cs="Arial"/>
          <w:iCs/>
          <w:sz w:val="20"/>
          <w:szCs w:val="20"/>
          <w:lang w:val="es-ES"/>
        </w:rPr>
        <w:t>en concordancia con el parágrafo del artículo 2.2.1.13.2.4 del Decreto 1074 de 2015</w:t>
      </w:r>
      <w:r>
        <w:rPr>
          <w:rFonts w:ascii="Arial" w:hAnsi="Arial" w:cs="Arial"/>
          <w:sz w:val="20"/>
          <w:szCs w:val="20"/>
          <w:lang w:val="uz-Cyrl-UZ"/>
        </w:rPr>
        <w:t xml:space="preserve"> </w:t>
      </w:r>
      <w:r w:rsidRPr="00A9263E">
        <w:rPr>
          <w:rFonts w:ascii="Arial" w:hAnsi="Arial" w:cs="Arial"/>
          <w:sz w:val="20"/>
          <w:szCs w:val="20"/>
          <w:lang w:val="uz-Cyrl-UZ"/>
        </w:rPr>
        <w:t>o las normas que los modifiquen, sustituyan o complementen</w:t>
      </w:r>
      <w:r>
        <w:rPr>
          <w:rFonts w:ascii="Arial" w:hAnsi="Arial" w:cs="Arial"/>
          <w:sz w:val="20"/>
          <w:szCs w:val="20"/>
          <w:lang w:val="uz-Cyrl-UZ"/>
        </w:rPr>
        <w:t>, probará los siguientes indicadores:</w:t>
      </w:r>
    </w:p>
    <w:p w14:paraId="2003D45E" w14:textId="77777777" w:rsidR="007F7F10" w:rsidRDefault="007F7F10" w:rsidP="00E47B4B">
      <w:pPr>
        <w:jc w:val="both"/>
        <w:rPr>
          <w:rFonts w:ascii="Arial" w:hAnsi="Arial" w:cs="Arial"/>
          <w:sz w:val="20"/>
          <w:szCs w:val="20"/>
          <w:lang w:val="uz-Cyrl-UZ"/>
        </w:rPr>
      </w:pPr>
    </w:p>
    <w:tbl>
      <w:tblPr>
        <w:tblStyle w:val="Tablaconcuadrcula1"/>
        <w:tblW w:w="0" w:type="auto"/>
        <w:jc w:val="center"/>
        <w:tblLook w:val="04A0" w:firstRow="1" w:lastRow="0" w:firstColumn="1" w:lastColumn="0" w:noHBand="0" w:noVBand="1"/>
      </w:tblPr>
      <w:tblGrid>
        <w:gridCol w:w="2689"/>
        <w:gridCol w:w="2268"/>
      </w:tblGrid>
      <w:tr w:rsidR="007F7F10" w:rsidRPr="00A87913" w14:paraId="299D1097" w14:textId="77777777" w:rsidTr="00CA6381">
        <w:trPr>
          <w:trHeight w:val="20"/>
          <w:jc w:val="center"/>
        </w:trPr>
        <w:tc>
          <w:tcPr>
            <w:tcW w:w="2689" w:type="dxa"/>
            <w:shd w:val="clear" w:color="auto" w:fill="943634" w:themeFill="accent2" w:themeFillShade="BF"/>
            <w:vAlign w:val="center"/>
          </w:tcPr>
          <w:p w14:paraId="019E9F3C" w14:textId="77777777" w:rsidR="007F7F10" w:rsidRPr="00A87913" w:rsidRDefault="007F7F10" w:rsidP="00CA6381">
            <w:pPr>
              <w:ind w:left="174" w:hanging="174"/>
              <w:jc w:val="center"/>
              <w:rPr>
                <w:rFonts w:ascii="Arial" w:hAnsi="Arial" w:cs="Arial"/>
                <w:b/>
                <w:color w:val="FFFFFF" w:themeColor="background1"/>
                <w:sz w:val="18"/>
                <w:szCs w:val="18"/>
              </w:rPr>
            </w:pPr>
            <w:r w:rsidRPr="00A87913">
              <w:rPr>
                <w:rFonts w:ascii="Arial" w:hAnsi="Arial" w:cs="Arial"/>
                <w:b/>
                <w:color w:val="FFFFFF" w:themeColor="background1"/>
                <w:sz w:val="18"/>
                <w:szCs w:val="18"/>
              </w:rPr>
              <w:t>Indicador</w:t>
            </w:r>
          </w:p>
        </w:tc>
        <w:tc>
          <w:tcPr>
            <w:tcW w:w="2268" w:type="dxa"/>
            <w:shd w:val="clear" w:color="auto" w:fill="943634" w:themeFill="accent2" w:themeFillShade="BF"/>
            <w:vAlign w:val="center"/>
          </w:tcPr>
          <w:p w14:paraId="3D4F6331" w14:textId="77777777" w:rsidR="007F7F10" w:rsidRPr="00A87913" w:rsidRDefault="007F7F10" w:rsidP="00CA6381">
            <w:pPr>
              <w:ind w:left="174" w:hanging="174"/>
              <w:jc w:val="center"/>
              <w:rPr>
                <w:rFonts w:ascii="Arial" w:hAnsi="Arial" w:cs="Arial"/>
                <w:b/>
                <w:color w:val="FFFFFF" w:themeColor="background1"/>
                <w:sz w:val="18"/>
                <w:szCs w:val="18"/>
              </w:rPr>
            </w:pPr>
            <w:r w:rsidRPr="00A87913">
              <w:rPr>
                <w:rFonts w:ascii="Arial" w:hAnsi="Arial" w:cs="Arial"/>
                <w:b/>
                <w:color w:val="FFFFFF" w:themeColor="background1"/>
                <w:sz w:val="18"/>
                <w:szCs w:val="18"/>
              </w:rPr>
              <w:t>Valor concertado</w:t>
            </w:r>
          </w:p>
        </w:tc>
      </w:tr>
      <w:tr w:rsidR="007F7F10" w:rsidRPr="00A87913" w14:paraId="3F11D752" w14:textId="77777777" w:rsidTr="00CA6381">
        <w:trPr>
          <w:trHeight w:val="20"/>
          <w:jc w:val="center"/>
        </w:trPr>
        <w:tc>
          <w:tcPr>
            <w:tcW w:w="2689" w:type="dxa"/>
            <w:vAlign w:val="center"/>
          </w:tcPr>
          <w:p w14:paraId="0992423B" w14:textId="77777777" w:rsidR="007F7F10" w:rsidRPr="00A87913" w:rsidRDefault="007F7F10" w:rsidP="00CA6381">
            <w:pPr>
              <w:jc w:val="center"/>
              <w:rPr>
                <w:rFonts w:cstheme="minorHAnsi"/>
                <w:sz w:val="18"/>
                <w:szCs w:val="18"/>
              </w:rPr>
            </w:pPr>
          </w:p>
          <w:p w14:paraId="4B038EF3" w14:textId="77777777" w:rsidR="007F7F10" w:rsidRPr="00A87913" w:rsidRDefault="007F7F10" w:rsidP="00CA6381">
            <w:pPr>
              <w:jc w:val="center"/>
              <w:rPr>
                <w:rFonts w:cstheme="minorHAnsi"/>
                <w:sz w:val="18"/>
                <w:szCs w:val="18"/>
              </w:rPr>
            </w:pPr>
            <w:r w:rsidRPr="00A87913">
              <w:rPr>
                <w:rFonts w:cstheme="minorHAnsi"/>
                <w:sz w:val="18"/>
                <w:szCs w:val="18"/>
              </w:rPr>
              <w:t>Índice de liquidez</w:t>
            </w:r>
          </w:p>
        </w:tc>
        <w:tc>
          <w:tcPr>
            <w:tcW w:w="2268" w:type="dxa"/>
            <w:vAlign w:val="center"/>
          </w:tcPr>
          <w:p w14:paraId="628FDEFC" w14:textId="77777777" w:rsidR="007F7F10" w:rsidRPr="00A87913" w:rsidRDefault="007F7F10" w:rsidP="00CA6381">
            <w:pPr>
              <w:spacing w:before="240"/>
              <w:jc w:val="center"/>
              <w:rPr>
                <w:rFonts w:ascii="Arial" w:hAnsi="Arial" w:cs="Arial"/>
                <w:bCs/>
                <w:sz w:val="18"/>
                <w:szCs w:val="18"/>
              </w:rPr>
            </w:pPr>
            <m:oMath>
              <m:r>
                <m:rPr>
                  <m:sty m:val="p"/>
                </m:rPr>
                <w:rPr>
                  <w:rFonts w:ascii="Cambria Math" w:hAnsi="Cambria Math" w:cs="Arial"/>
                  <w:sz w:val="18"/>
                  <w:szCs w:val="18"/>
                </w:rPr>
                <m:t>≥</m:t>
              </m:r>
            </m:oMath>
            <w:r w:rsidRPr="00A87913">
              <w:rPr>
                <w:rFonts w:ascii="Arial" w:hAnsi="Arial" w:cs="Arial"/>
                <w:bCs/>
                <w:sz w:val="18"/>
                <w:szCs w:val="18"/>
              </w:rPr>
              <w:t>1</w:t>
            </w:r>
            <w:r>
              <w:rPr>
                <w:rFonts w:ascii="Arial" w:hAnsi="Arial" w:cs="Arial"/>
                <w:bCs/>
                <w:sz w:val="18"/>
                <w:szCs w:val="18"/>
              </w:rPr>
              <w:t>,2</w:t>
            </w:r>
          </w:p>
          <w:p w14:paraId="446A5A2A" w14:textId="77777777" w:rsidR="007F7F10" w:rsidRPr="00A87913" w:rsidRDefault="007F7F10" w:rsidP="00CA6381">
            <w:pPr>
              <w:jc w:val="center"/>
              <w:rPr>
                <w:rFonts w:cstheme="minorHAnsi"/>
                <w:bCs/>
                <w:sz w:val="18"/>
                <w:szCs w:val="18"/>
              </w:rPr>
            </w:pPr>
          </w:p>
        </w:tc>
      </w:tr>
      <w:tr w:rsidR="007F7F10" w:rsidRPr="00A87913" w14:paraId="7090A5A6" w14:textId="77777777" w:rsidTr="00CA6381">
        <w:trPr>
          <w:trHeight w:val="20"/>
          <w:jc w:val="center"/>
        </w:trPr>
        <w:tc>
          <w:tcPr>
            <w:tcW w:w="2689" w:type="dxa"/>
            <w:vAlign w:val="center"/>
          </w:tcPr>
          <w:p w14:paraId="2A7E4B5E" w14:textId="77777777" w:rsidR="007F7F10" w:rsidRPr="00A87913" w:rsidRDefault="007F7F10" w:rsidP="00CA6381">
            <w:pPr>
              <w:jc w:val="center"/>
              <w:rPr>
                <w:rFonts w:cstheme="minorHAnsi"/>
                <w:sz w:val="18"/>
                <w:szCs w:val="18"/>
              </w:rPr>
            </w:pPr>
          </w:p>
          <w:p w14:paraId="4A1E222D" w14:textId="77777777" w:rsidR="007F7F10" w:rsidRPr="00A87913" w:rsidRDefault="007F7F10" w:rsidP="00CA6381">
            <w:pPr>
              <w:jc w:val="center"/>
              <w:rPr>
                <w:rFonts w:cstheme="minorHAnsi"/>
                <w:sz w:val="18"/>
                <w:szCs w:val="18"/>
              </w:rPr>
            </w:pPr>
            <w:r w:rsidRPr="00A87913">
              <w:rPr>
                <w:rFonts w:cstheme="minorHAnsi"/>
                <w:sz w:val="18"/>
                <w:szCs w:val="18"/>
              </w:rPr>
              <w:t>Índice de endeudamiento</w:t>
            </w:r>
          </w:p>
        </w:tc>
        <w:tc>
          <w:tcPr>
            <w:tcW w:w="2268" w:type="dxa"/>
            <w:vAlign w:val="center"/>
          </w:tcPr>
          <w:p w14:paraId="0111E7B3" w14:textId="77777777" w:rsidR="007F7F10" w:rsidRPr="00A87913" w:rsidRDefault="007F7F10" w:rsidP="00CA6381">
            <w:pPr>
              <w:jc w:val="center"/>
              <w:rPr>
                <w:rFonts w:eastAsiaTheme="minorEastAsia" w:cstheme="minorHAnsi"/>
                <w:bCs/>
                <w:sz w:val="18"/>
                <w:szCs w:val="18"/>
              </w:rPr>
            </w:pPr>
          </w:p>
          <w:p w14:paraId="26F27F38" w14:textId="77777777" w:rsidR="007F7F10" w:rsidRPr="00A87913" w:rsidRDefault="007F7F10" w:rsidP="00CA6381">
            <w:pPr>
              <w:jc w:val="center"/>
              <w:rPr>
                <w:rFonts w:cstheme="minorHAnsi"/>
                <w:bCs/>
                <w:sz w:val="18"/>
                <w:szCs w:val="18"/>
              </w:rPr>
            </w:pPr>
            <m:oMathPara>
              <m:oMath>
                <m:r>
                  <m:rPr>
                    <m:sty m:val="p"/>
                  </m:rPr>
                  <w:rPr>
                    <w:rFonts w:ascii="Cambria Math" w:hAnsi="Cambria Math" w:cstheme="minorHAnsi"/>
                    <w:sz w:val="18"/>
                    <w:szCs w:val="18"/>
                  </w:rPr>
                  <m:t>≤ 0,70</m:t>
                </m:r>
              </m:oMath>
            </m:oMathPara>
          </w:p>
          <w:p w14:paraId="40073BDF" w14:textId="77777777" w:rsidR="007F7F10" w:rsidRPr="00A87913" w:rsidRDefault="007F7F10" w:rsidP="00CA6381">
            <w:pPr>
              <w:jc w:val="center"/>
              <w:rPr>
                <w:rFonts w:cstheme="minorHAnsi"/>
                <w:bCs/>
                <w:sz w:val="18"/>
                <w:szCs w:val="18"/>
              </w:rPr>
            </w:pPr>
          </w:p>
        </w:tc>
      </w:tr>
      <w:tr w:rsidR="007F7F10" w:rsidRPr="00A87913" w14:paraId="34D658C1" w14:textId="77777777" w:rsidTr="00CA6381">
        <w:trPr>
          <w:trHeight w:val="20"/>
          <w:jc w:val="center"/>
        </w:trPr>
        <w:tc>
          <w:tcPr>
            <w:tcW w:w="2689" w:type="dxa"/>
            <w:vAlign w:val="center"/>
          </w:tcPr>
          <w:p w14:paraId="782FCC55" w14:textId="77777777" w:rsidR="007F7F10" w:rsidRPr="00A87913" w:rsidRDefault="007F7F10" w:rsidP="00CA6381">
            <w:pPr>
              <w:jc w:val="center"/>
              <w:rPr>
                <w:rFonts w:cstheme="minorHAnsi"/>
                <w:sz w:val="18"/>
                <w:szCs w:val="18"/>
              </w:rPr>
            </w:pPr>
          </w:p>
          <w:p w14:paraId="5CBEE2F8" w14:textId="77777777" w:rsidR="007F7F10" w:rsidRPr="00A87913" w:rsidRDefault="007F7F10" w:rsidP="00CA6381">
            <w:pPr>
              <w:jc w:val="center"/>
              <w:rPr>
                <w:rFonts w:cstheme="minorHAnsi"/>
                <w:sz w:val="18"/>
                <w:szCs w:val="18"/>
              </w:rPr>
            </w:pPr>
            <w:r w:rsidRPr="00A87913">
              <w:rPr>
                <w:rFonts w:cstheme="minorHAnsi"/>
                <w:sz w:val="18"/>
                <w:szCs w:val="18"/>
              </w:rPr>
              <w:t>Razón de cobertura de intereses</w:t>
            </w:r>
          </w:p>
        </w:tc>
        <w:tc>
          <w:tcPr>
            <w:tcW w:w="2268" w:type="dxa"/>
            <w:vAlign w:val="center"/>
          </w:tcPr>
          <w:p w14:paraId="22163B4F" w14:textId="77777777" w:rsidR="007F7F10" w:rsidRPr="00A87913" w:rsidRDefault="007F7F10" w:rsidP="00CA6381">
            <w:pPr>
              <w:jc w:val="center"/>
              <w:rPr>
                <w:rFonts w:eastAsiaTheme="minorEastAsia" w:cstheme="minorHAnsi"/>
                <w:bCs/>
                <w:sz w:val="18"/>
                <w:szCs w:val="18"/>
              </w:rPr>
            </w:pPr>
          </w:p>
          <w:p w14:paraId="49EDF8CD" w14:textId="77777777" w:rsidR="007F7F10" w:rsidRPr="00A87913" w:rsidRDefault="007F7F10" w:rsidP="00CA6381">
            <w:pPr>
              <w:jc w:val="center"/>
              <w:rPr>
                <w:rFonts w:eastAsiaTheme="minorEastAsia" w:cstheme="minorHAnsi"/>
                <w:bCs/>
                <w:sz w:val="18"/>
                <w:szCs w:val="18"/>
              </w:rPr>
            </w:pPr>
            <m:oMathPara>
              <m:oMath>
                <m:r>
                  <m:rPr>
                    <m:sty m:val="p"/>
                  </m:rPr>
                  <w:rPr>
                    <w:rFonts w:ascii="Cambria Math" w:hAnsi="Cambria Math" w:cstheme="minorHAnsi"/>
                    <w:sz w:val="18"/>
                    <w:szCs w:val="18"/>
                  </w:rPr>
                  <m:t>≥1</m:t>
                </m:r>
              </m:oMath>
            </m:oMathPara>
          </w:p>
          <w:p w14:paraId="496EA5AA" w14:textId="77777777" w:rsidR="007F7F10" w:rsidRPr="00A87913" w:rsidRDefault="007F7F10" w:rsidP="00CA6381">
            <w:pPr>
              <w:jc w:val="center"/>
              <w:rPr>
                <w:rFonts w:cstheme="minorHAnsi"/>
                <w:bCs/>
                <w:sz w:val="18"/>
                <w:szCs w:val="18"/>
              </w:rPr>
            </w:pPr>
          </w:p>
        </w:tc>
      </w:tr>
      <w:tr w:rsidR="007F7F10" w:rsidRPr="00A87913" w14:paraId="50C6F4BC" w14:textId="77777777" w:rsidTr="00CA6381">
        <w:trPr>
          <w:trHeight w:val="20"/>
          <w:jc w:val="center"/>
        </w:trPr>
        <w:tc>
          <w:tcPr>
            <w:tcW w:w="2689" w:type="dxa"/>
            <w:vAlign w:val="center"/>
          </w:tcPr>
          <w:p w14:paraId="1E17B078" w14:textId="77777777" w:rsidR="007F7F10" w:rsidRPr="00A87913" w:rsidRDefault="007F7F10" w:rsidP="00CA6381">
            <w:pPr>
              <w:jc w:val="center"/>
              <w:rPr>
                <w:rFonts w:cstheme="minorHAnsi"/>
                <w:sz w:val="18"/>
                <w:szCs w:val="18"/>
              </w:rPr>
            </w:pPr>
          </w:p>
          <w:p w14:paraId="0DD9A298" w14:textId="77777777" w:rsidR="007F7F10" w:rsidRPr="00A87913" w:rsidRDefault="007F7F10" w:rsidP="00CA6381">
            <w:pPr>
              <w:jc w:val="center"/>
              <w:rPr>
                <w:rFonts w:cstheme="minorHAnsi"/>
                <w:sz w:val="18"/>
                <w:szCs w:val="18"/>
              </w:rPr>
            </w:pPr>
            <w:r w:rsidRPr="00A87913">
              <w:rPr>
                <w:rFonts w:cstheme="minorHAnsi"/>
                <w:sz w:val="18"/>
                <w:szCs w:val="18"/>
              </w:rPr>
              <w:t>Capital de trabajo</w:t>
            </w:r>
          </w:p>
        </w:tc>
        <w:tc>
          <w:tcPr>
            <w:tcW w:w="2268" w:type="dxa"/>
            <w:vAlign w:val="center"/>
          </w:tcPr>
          <w:p w14:paraId="713F6121" w14:textId="77777777" w:rsidR="007F7F10" w:rsidRPr="00A87913" w:rsidRDefault="007F7F10" w:rsidP="00CA6381">
            <w:pPr>
              <w:jc w:val="center"/>
              <w:rPr>
                <w:rFonts w:cstheme="minorHAnsi"/>
                <w:bCs/>
                <w:sz w:val="18"/>
                <w:szCs w:val="18"/>
              </w:rPr>
            </w:pPr>
          </w:p>
          <w:p w14:paraId="277E2CDF" w14:textId="77777777" w:rsidR="007F7F10" w:rsidRPr="00A87913" w:rsidRDefault="007F7F10" w:rsidP="00CA6381">
            <w:pPr>
              <w:jc w:val="center"/>
              <w:rPr>
                <w:rFonts w:cstheme="minorHAnsi"/>
                <w:bCs/>
                <w:sz w:val="18"/>
                <w:szCs w:val="18"/>
              </w:rPr>
            </w:pPr>
            <w:r w:rsidRPr="00A87913">
              <w:rPr>
                <w:rFonts w:cstheme="minorHAnsi"/>
                <w:bCs/>
                <w:sz w:val="18"/>
                <w:szCs w:val="18"/>
              </w:rPr>
              <w:t>Definido en los Pliegos Tipo</w:t>
            </w:r>
          </w:p>
          <w:p w14:paraId="2E8C207C" w14:textId="77777777" w:rsidR="007F7F10" w:rsidRPr="00A87913" w:rsidRDefault="007F7F10" w:rsidP="00CA6381">
            <w:pPr>
              <w:jc w:val="center"/>
              <w:rPr>
                <w:rFonts w:cstheme="minorHAnsi"/>
                <w:bCs/>
                <w:sz w:val="18"/>
                <w:szCs w:val="18"/>
              </w:rPr>
            </w:pPr>
          </w:p>
        </w:tc>
      </w:tr>
      <w:tr w:rsidR="007F7F10" w:rsidRPr="00A87913" w14:paraId="0E476067" w14:textId="77777777" w:rsidTr="00CA6381">
        <w:trPr>
          <w:trHeight w:val="20"/>
          <w:jc w:val="center"/>
        </w:trPr>
        <w:tc>
          <w:tcPr>
            <w:tcW w:w="2689" w:type="dxa"/>
            <w:vAlign w:val="center"/>
          </w:tcPr>
          <w:p w14:paraId="7BA7B945" w14:textId="77777777" w:rsidR="007F7F10" w:rsidRPr="00A87913" w:rsidRDefault="007F7F10" w:rsidP="00CA6381">
            <w:pPr>
              <w:jc w:val="center"/>
              <w:rPr>
                <w:rFonts w:cstheme="minorHAnsi"/>
                <w:sz w:val="18"/>
                <w:szCs w:val="18"/>
              </w:rPr>
            </w:pPr>
          </w:p>
          <w:p w14:paraId="6C7B7843" w14:textId="77777777" w:rsidR="007F7F10" w:rsidRPr="00A87913" w:rsidRDefault="007F7F10" w:rsidP="00CA6381">
            <w:pPr>
              <w:jc w:val="center"/>
              <w:rPr>
                <w:rFonts w:cstheme="minorHAnsi"/>
                <w:sz w:val="18"/>
                <w:szCs w:val="18"/>
              </w:rPr>
            </w:pPr>
            <w:r w:rsidRPr="00A87913">
              <w:rPr>
                <w:rFonts w:cstheme="minorHAnsi"/>
                <w:sz w:val="18"/>
                <w:szCs w:val="18"/>
              </w:rPr>
              <w:t>Rentabilidad del patrimonio</w:t>
            </w:r>
          </w:p>
        </w:tc>
        <w:tc>
          <w:tcPr>
            <w:tcW w:w="2268" w:type="dxa"/>
            <w:vAlign w:val="center"/>
          </w:tcPr>
          <w:p w14:paraId="57C18744" w14:textId="77777777" w:rsidR="007F7F10" w:rsidRPr="00A87913" w:rsidRDefault="007F7F10" w:rsidP="00CA6381">
            <w:pPr>
              <w:jc w:val="center"/>
              <w:rPr>
                <w:rFonts w:eastAsiaTheme="minorEastAsia" w:cstheme="minorHAnsi"/>
                <w:bCs/>
                <w:sz w:val="18"/>
                <w:szCs w:val="18"/>
              </w:rPr>
            </w:pPr>
          </w:p>
          <w:p w14:paraId="366F2F52" w14:textId="77777777" w:rsidR="007F7F10" w:rsidRPr="00A87913" w:rsidRDefault="007F7F10" w:rsidP="00CA6381">
            <w:pPr>
              <w:jc w:val="center"/>
              <w:rPr>
                <w:rFonts w:ascii="Arial" w:eastAsiaTheme="minorEastAsia" w:hAnsi="Arial" w:cs="Arial"/>
                <w:bCs/>
                <w:sz w:val="18"/>
                <w:szCs w:val="18"/>
              </w:rPr>
            </w:pPr>
            <m:oMath>
              <m:r>
                <m:rPr>
                  <m:sty m:val="p"/>
                </m:rPr>
                <w:rPr>
                  <w:rFonts w:ascii="Cambria Math" w:hAnsi="Cambria Math" w:cs="Arial"/>
                  <w:sz w:val="18"/>
                  <w:szCs w:val="18"/>
                </w:rPr>
                <m:t>≥0</m:t>
              </m:r>
            </m:oMath>
            <w:r>
              <w:rPr>
                <w:rFonts w:ascii="Arial" w:eastAsiaTheme="minorEastAsia" w:hAnsi="Arial" w:cs="Arial"/>
                <w:sz w:val="18"/>
                <w:szCs w:val="18"/>
              </w:rPr>
              <w:t>,02</w:t>
            </w:r>
          </w:p>
          <w:p w14:paraId="62771AAE" w14:textId="77777777" w:rsidR="007F7F10" w:rsidRPr="00A87913" w:rsidRDefault="007F7F10" w:rsidP="00CA6381">
            <w:pPr>
              <w:jc w:val="center"/>
              <w:rPr>
                <w:rFonts w:cstheme="minorHAnsi"/>
                <w:bCs/>
                <w:sz w:val="18"/>
                <w:szCs w:val="18"/>
              </w:rPr>
            </w:pPr>
          </w:p>
        </w:tc>
      </w:tr>
      <w:tr w:rsidR="007F7F10" w:rsidRPr="00A87913" w14:paraId="733C634B" w14:textId="77777777" w:rsidTr="00CA6381">
        <w:trPr>
          <w:trHeight w:val="20"/>
          <w:jc w:val="center"/>
        </w:trPr>
        <w:tc>
          <w:tcPr>
            <w:tcW w:w="2689" w:type="dxa"/>
            <w:vAlign w:val="center"/>
          </w:tcPr>
          <w:p w14:paraId="634A0511" w14:textId="77777777" w:rsidR="007F7F10" w:rsidRPr="00A87913" w:rsidRDefault="007F7F10" w:rsidP="00CA6381">
            <w:pPr>
              <w:jc w:val="center"/>
              <w:rPr>
                <w:rFonts w:cstheme="minorHAnsi"/>
                <w:sz w:val="18"/>
                <w:szCs w:val="18"/>
              </w:rPr>
            </w:pPr>
          </w:p>
          <w:p w14:paraId="29B1391D" w14:textId="77777777" w:rsidR="007F7F10" w:rsidRPr="00A87913" w:rsidRDefault="007F7F10" w:rsidP="00CA6381">
            <w:pPr>
              <w:jc w:val="center"/>
              <w:rPr>
                <w:rFonts w:cstheme="minorHAnsi"/>
                <w:sz w:val="18"/>
                <w:szCs w:val="18"/>
              </w:rPr>
            </w:pPr>
            <w:r w:rsidRPr="00A87913">
              <w:rPr>
                <w:rFonts w:cstheme="minorHAnsi"/>
                <w:sz w:val="18"/>
                <w:szCs w:val="18"/>
              </w:rPr>
              <w:t>Rentabilidad del activo</w:t>
            </w:r>
          </w:p>
        </w:tc>
        <w:tc>
          <w:tcPr>
            <w:tcW w:w="2268" w:type="dxa"/>
            <w:vAlign w:val="center"/>
          </w:tcPr>
          <w:p w14:paraId="0EE8E282" w14:textId="77777777" w:rsidR="007F7F10" w:rsidRPr="00A87913" w:rsidRDefault="007F7F10" w:rsidP="00CA6381">
            <w:pPr>
              <w:jc w:val="center"/>
              <w:rPr>
                <w:rFonts w:eastAsiaTheme="minorEastAsia" w:cstheme="minorHAnsi"/>
                <w:bCs/>
                <w:sz w:val="18"/>
                <w:szCs w:val="18"/>
              </w:rPr>
            </w:pPr>
          </w:p>
          <w:p w14:paraId="174647F5" w14:textId="77777777" w:rsidR="007F7F10" w:rsidRPr="00A87913" w:rsidRDefault="007F7F10" w:rsidP="00CA6381">
            <w:pPr>
              <w:jc w:val="center"/>
              <w:rPr>
                <w:rFonts w:eastAsiaTheme="minorEastAsia" w:cstheme="minorHAnsi"/>
                <w:bCs/>
                <w:sz w:val="18"/>
                <w:szCs w:val="18"/>
              </w:rPr>
            </w:pPr>
            <m:oMath>
              <m:r>
                <m:rPr>
                  <m:sty m:val="p"/>
                </m:rPr>
                <w:rPr>
                  <w:rFonts w:ascii="Cambria Math" w:hAnsi="Cambria Math" w:cstheme="minorHAnsi"/>
                  <w:sz w:val="18"/>
                  <w:szCs w:val="18"/>
                </w:rPr>
                <m:t>≥0</m:t>
              </m:r>
            </m:oMath>
            <w:r>
              <w:rPr>
                <w:rFonts w:eastAsiaTheme="minorEastAsia" w:cstheme="minorHAnsi"/>
                <w:sz w:val="18"/>
                <w:szCs w:val="18"/>
              </w:rPr>
              <w:t>,01</w:t>
            </w:r>
          </w:p>
          <w:p w14:paraId="7E43345A" w14:textId="77777777" w:rsidR="007F7F10" w:rsidRPr="00A87913" w:rsidRDefault="007F7F10" w:rsidP="00CA6381">
            <w:pPr>
              <w:jc w:val="center"/>
              <w:rPr>
                <w:rFonts w:cstheme="minorHAnsi"/>
                <w:bCs/>
                <w:sz w:val="18"/>
                <w:szCs w:val="18"/>
              </w:rPr>
            </w:pPr>
          </w:p>
        </w:tc>
      </w:tr>
    </w:tbl>
    <w:p w14:paraId="5F4DA1E9" w14:textId="77777777" w:rsidR="00E47B4B" w:rsidRPr="00A87913" w:rsidRDefault="00E47B4B" w:rsidP="007F7F10">
      <w:pPr>
        <w:contextualSpacing/>
        <w:rPr>
          <w:rFonts w:ascii="Arial" w:hAnsi="Arial" w:cs="Arial"/>
          <w:bCs/>
          <w:sz w:val="20"/>
          <w:szCs w:val="20"/>
          <w:lang w:val="uz-Cyrl-UZ"/>
        </w:rPr>
      </w:pPr>
    </w:p>
    <w:p w14:paraId="0E88F1E6" w14:textId="77777777" w:rsidR="00E47B4B" w:rsidRPr="00A87913" w:rsidRDefault="00E47B4B" w:rsidP="004435C9">
      <w:pPr>
        <w:spacing w:line="240" w:lineRule="atLeast"/>
        <w:ind w:left="720"/>
        <w:contextualSpacing/>
        <w:rPr>
          <w:rFonts w:cstheme="minorHAnsi"/>
          <w:b/>
          <w:sz w:val="20"/>
          <w:szCs w:val="20"/>
          <w:lang w:val="uz-Cyrl-UZ"/>
        </w:rPr>
      </w:pPr>
    </w:p>
    <w:p w14:paraId="36B4C8D1" w14:textId="77777777" w:rsidR="00E47B4B" w:rsidRPr="00567CC3" w:rsidRDefault="00E47B4B" w:rsidP="00DC12D5">
      <w:pPr>
        <w:pStyle w:val="Prrafodelista"/>
        <w:spacing w:after="0" w:line="240" w:lineRule="auto"/>
        <w:ind w:left="360"/>
        <w:jc w:val="both"/>
        <w:rPr>
          <w:rFonts w:ascii="Arial" w:hAnsi="Arial" w:cs="Arial"/>
          <w:sz w:val="20"/>
          <w:szCs w:val="20"/>
          <w:lang w:val="uz-Cyrl-UZ"/>
        </w:rPr>
      </w:pPr>
      <w:r w:rsidRPr="00567CC3">
        <w:rPr>
          <w:rFonts w:ascii="Arial" w:hAnsi="Arial" w:cs="Arial"/>
          <w:sz w:val="20"/>
          <w:szCs w:val="20"/>
          <w:lang w:val="uz-Cyrl-UZ"/>
        </w:rPr>
        <w:t xml:space="preserve">Tratándose de </w:t>
      </w:r>
      <w:r>
        <w:rPr>
          <w:rFonts w:ascii="Arial" w:hAnsi="Arial" w:cs="Arial"/>
          <w:sz w:val="20"/>
          <w:szCs w:val="20"/>
          <w:lang w:val="uz-Cyrl-UZ"/>
        </w:rPr>
        <w:t>P</w:t>
      </w:r>
      <w:r w:rsidRPr="00567CC3">
        <w:rPr>
          <w:rFonts w:ascii="Arial" w:hAnsi="Arial" w:cs="Arial"/>
          <w:sz w:val="20"/>
          <w:szCs w:val="20"/>
          <w:lang w:val="uz-Cyrl-UZ"/>
        </w:rPr>
        <w:t xml:space="preserve">roponente </w:t>
      </w:r>
      <w:r>
        <w:rPr>
          <w:rFonts w:ascii="Arial" w:hAnsi="Arial" w:cs="Arial"/>
          <w:sz w:val="20"/>
          <w:szCs w:val="20"/>
          <w:lang w:val="uz-Cyrl-UZ"/>
        </w:rPr>
        <w:t>P</w:t>
      </w:r>
      <w:r w:rsidRPr="00567CC3">
        <w:rPr>
          <w:rFonts w:ascii="Arial" w:hAnsi="Arial" w:cs="Arial"/>
          <w:sz w:val="20"/>
          <w:szCs w:val="20"/>
          <w:lang w:val="uz-Cyrl-UZ"/>
        </w:rPr>
        <w:t xml:space="preserve">lurales estos indicadores solo se aplicarán si por lo menos uno de los integrantes acredita la calidad de Mipyme de conformidad con lo previsto </w:t>
      </w:r>
      <w:r>
        <w:rPr>
          <w:rFonts w:ascii="Arial" w:hAnsi="Arial" w:cs="Arial"/>
          <w:sz w:val="20"/>
          <w:szCs w:val="20"/>
          <w:lang w:val="uz-Cyrl-UZ"/>
        </w:rPr>
        <w:t xml:space="preserve">en el </w:t>
      </w:r>
      <w:r w:rsidRPr="00567CC3">
        <w:rPr>
          <w:rFonts w:ascii="Arial" w:hAnsi="Arial" w:cs="Arial"/>
          <w:sz w:val="20"/>
          <w:szCs w:val="20"/>
          <w:lang w:val="uz-Cyrl-UZ"/>
        </w:rPr>
        <w:t>artículo 2.2.1.2.4.2.4. del Decreto 1082 de 2015, o la normas que los modifiquen, sustituyan o complementen, y tienen una participación igual o superior al diez por ciento (10</w:t>
      </w:r>
      <w:r>
        <w:rPr>
          <w:rFonts w:ascii="Arial" w:hAnsi="Arial" w:cs="Arial"/>
          <w:sz w:val="20"/>
          <w:szCs w:val="20"/>
          <w:lang w:val="uz-Cyrl-UZ"/>
        </w:rPr>
        <w:t xml:space="preserve"> </w:t>
      </w:r>
      <w:r w:rsidRPr="00567CC3">
        <w:rPr>
          <w:rFonts w:ascii="Arial" w:hAnsi="Arial" w:cs="Arial"/>
          <w:sz w:val="20"/>
          <w:szCs w:val="20"/>
          <w:lang w:val="uz-Cyrl-UZ"/>
        </w:rPr>
        <w:t>%) en el consorcio o</w:t>
      </w:r>
      <w:r>
        <w:rPr>
          <w:rFonts w:ascii="Arial" w:hAnsi="Arial" w:cs="Arial"/>
          <w:sz w:val="20"/>
          <w:szCs w:val="20"/>
          <w:lang w:val="uz-Cyrl-UZ"/>
        </w:rPr>
        <w:t xml:space="preserve"> en</w:t>
      </w:r>
      <w:r w:rsidRPr="00567CC3">
        <w:rPr>
          <w:rFonts w:ascii="Arial" w:hAnsi="Arial" w:cs="Arial"/>
          <w:sz w:val="20"/>
          <w:szCs w:val="20"/>
          <w:lang w:val="uz-Cyrl-UZ"/>
        </w:rPr>
        <w:t xml:space="preserve"> la unión temporal.</w:t>
      </w:r>
    </w:p>
    <w:p w14:paraId="5088BF9C" w14:textId="77777777" w:rsidR="00E47B4B" w:rsidRPr="00567CC3" w:rsidRDefault="00E47B4B" w:rsidP="00DC12D5">
      <w:pPr>
        <w:pStyle w:val="Prrafodelista"/>
        <w:spacing w:after="0" w:line="240" w:lineRule="auto"/>
        <w:ind w:left="360"/>
        <w:jc w:val="both"/>
        <w:rPr>
          <w:rFonts w:ascii="Arial" w:hAnsi="Arial" w:cs="Arial"/>
          <w:sz w:val="20"/>
          <w:szCs w:val="20"/>
          <w:lang w:val="uz-Cyrl-UZ"/>
        </w:rPr>
      </w:pPr>
    </w:p>
    <w:p w14:paraId="292B9AAA" w14:textId="77777777" w:rsidR="00E47B4B" w:rsidRDefault="00E47B4B" w:rsidP="00DC12D5">
      <w:pPr>
        <w:pStyle w:val="Prrafodelista"/>
        <w:spacing w:after="0" w:line="240" w:lineRule="auto"/>
        <w:ind w:left="360"/>
        <w:jc w:val="both"/>
        <w:rPr>
          <w:lang w:val="uz-Cyrl-UZ"/>
        </w:rPr>
      </w:pPr>
      <w:r w:rsidRPr="00567CC3">
        <w:rPr>
          <w:rFonts w:ascii="Arial" w:hAnsi="Arial" w:cs="Arial"/>
          <w:sz w:val="20"/>
          <w:szCs w:val="20"/>
          <w:lang w:val="uz-Cyrl-UZ"/>
        </w:rPr>
        <w:t>Para acreditar la calidad de Mipyme</w:t>
      </w:r>
      <w:r>
        <w:rPr>
          <w:rFonts w:ascii="Arial" w:hAnsi="Arial" w:cs="Arial"/>
          <w:sz w:val="20"/>
          <w:szCs w:val="20"/>
          <w:lang w:val="uz-Cyrl-UZ"/>
        </w:rPr>
        <w:t xml:space="preserve"> </w:t>
      </w:r>
      <w:r w:rsidRPr="00567CC3">
        <w:rPr>
          <w:rFonts w:ascii="Arial" w:hAnsi="Arial" w:cs="Arial"/>
          <w:sz w:val="20"/>
          <w:szCs w:val="20"/>
          <w:lang w:val="uz-Cyrl-UZ"/>
        </w:rPr>
        <w:t xml:space="preserve">el Proponente </w:t>
      </w:r>
      <w:r>
        <w:rPr>
          <w:rFonts w:ascii="Arial" w:hAnsi="Arial" w:cs="Arial"/>
          <w:sz w:val="20"/>
          <w:szCs w:val="20"/>
          <w:lang w:val="uz-Cyrl-UZ"/>
        </w:rPr>
        <w:t>entregará copia del certificado del Registro Único de Proponentes, el cual deberá encontrarse vigente y en firme al momento de su presentación</w:t>
      </w:r>
      <w:r w:rsidRPr="00567CC3">
        <w:rPr>
          <w:rFonts w:ascii="Arial" w:hAnsi="Arial" w:cs="Arial"/>
          <w:sz w:val="20"/>
          <w:szCs w:val="20"/>
          <w:lang w:val="uz-Cyrl-UZ"/>
        </w:rPr>
        <w:t>.</w:t>
      </w:r>
    </w:p>
    <w:p w14:paraId="08D9412E" w14:textId="77777777" w:rsidR="00E47B4B" w:rsidRDefault="00E47B4B" w:rsidP="00DC12D5">
      <w:pPr>
        <w:pStyle w:val="Prrafodelista"/>
        <w:spacing w:after="0" w:line="240" w:lineRule="auto"/>
        <w:ind w:left="284"/>
        <w:jc w:val="both"/>
        <w:rPr>
          <w:rFonts w:ascii="Arial" w:hAnsi="Arial" w:cs="Arial"/>
          <w:b/>
          <w:sz w:val="20"/>
          <w:szCs w:val="20"/>
          <w:lang w:val="uz-Cyrl-UZ"/>
        </w:rPr>
      </w:pPr>
    </w:p>
    <w:p w14:paraId="11A637E3" w14:textId="77777777" w:rsidR="00E47B4B" w:rsidRPr="00A86F8C" w:rsidRDefault="00E47B4B" w:rsidP="004435C9">
      <w:pPr>
        <w:pStyle w:val="Prrafodelista"/>
        <w:numPr>
          <w:ilvl w:val="0"/>
          <w:numId w:val="20"/>
        </w:numPr>
        <w:spacing w:after="0" w:line="240" w:lineRule="auto"/>
        <w:ind w:left="0" w:firstLine="0"/>
        <w:jc w:val="both"/>
        <w:rPr>
          <w:rFonts w:ascii="Arial" w:hAnsi="Arial" w:cs="Arial"/>
          <w:b/>
          <w:sz w:val="20"/>
          <w:szCs w:val="20"/>
          <w:lang w:val="uz-Cyrl-UZ"/>
        </w:rPr>
      </w:pPr>
      <w:r w:rsidRPr="00A86F8C">
        <w:rPr>
          <w:rFonts w:ascii="Arial" w:hAnsi="Arial" w:cs="Arial"/>
          <w:i/>
          <w:iCs/>
          <w:sz w:val="20"/>
          <w:szCs w:val="20"/>
          <w:lang w:val="uz-Cyrl-UZ"/>
        </w:rPr>
        <w:t xml:space="preserve">Índices de capacidad financiera y organizacionales para </w:t>
      </w:r>
      <w:r>
        <w:rPr>
          <w:rFonts w:ascii="Arial" w:hAnsi="Arial" w:cs="Arial"/>
          <w:i/>
          <w:iCs/>
          <w:sz w:val="20"/>
          <w:szCs w:val="20"/>
          <w:lang w:val="uz-Cyrl-UZ"/>
        </w:rPr>
        <w:t>los demás Proponentes</w:t>
      </w:r>
    </w:p>
    <w:p w14:paraId="30BABF74" w14:textId="77777777" w:rsidR="00E47B4B" w:rsidRPr="00CC1CC4" w:rsidRDefault="00E47B4B" w:rsidP="00DC12D5">
      <w:pPr>
        <w:jc w:val="both"/>
        <w:rPr>
          <w:rFonts w:ascii="Arial" w:hAnsi="Arial" w:cs="Arial"/>
          <w:b/>
          <w:bCs/>
          <w:sz w:val="20"/>
          <w:szCs w:val="20"/>
          <w:lang w:val="uz-Cyrl-UZ"/>
        </w:rPr>
      </w:pPr>
    </w:p>
    <w:p w14:paraId="074FA3A1" w14:textId="77777777" w:rsidR="00E47B4B" w:rsidRPr="00CC1CC4" w:rsidRDefault="00E47B4B" w:rsidP="00DC12D5">
      <w:pPr>
        <w:pStyle w:val="Prrafodelista"/>
        <w:spacing w:after="0" w:line="240" w:lineRule="auto"/>
        <w:ind w:left="284"/>
        <w:jc w:val="both"/>
        <w:rPr>
          <w:rFonts w:ascii="Arial" w:hAnsi="Arial" w:cs="Arial"/>
          <w:sz w:val="20"/>
          <w:szCs w:val="20"/>
          <w:lang w:val="uz-Cyrl-UZ"/>
        </w:rPr>
      </w:pPr>
      <w:r w:rsidRPr="00CC1CC4">
        <w:rPr>
          <w:rFonts w:ascii="Arial" w:hAnsi="Arial" w:cs="Arial"/>
          <w:sz w:val="20"/>
          <w:szCs w:val="20"/>
          <w:lang w:val="uz-Cyrl-UZ"/>
        </w:rPr>
        <w:t xml:space="preserve">Los Proponentes que </w:t>
      </w:r>
      <w:r w:rsidRPr="00CC1CC4">
        <w:rPr>
          <w:rFonts w:ascii="Arial" w:hAnsi="Arial" w:cs="Arial"/>
          <w:b/>
          <w:bCs/>
          <w:sz w:val="20"/>
          <w:szCs w:val="20"/>
          <w:u w:val="single"/>
          <w:lang w:val="uz-Cyrl-UZ"/>
        </w:rPr>
        <w:t>NO</w:t>
      </w:r>
      <w:r w:rsidRPr="00CC1CC4">
        <w:rPr>
          <w:rFonts w:ascii="Arial" w:hAnsi="Arial" w:cs="Arial"/>
          <w:sz w:val="20"/>
          <w:szCs w:val="20"/>
          <w:lang w:val="uz-Cyrl-UZ"/>
        </w:rPr>
        <w:t xml:space="preserve"> </w:t>
      </w:r>
      <w:r>
        <w:rPr>
          <w:rFonts w:ascii="Arial" w:hAnsi="Arial" w:cs="Arial"/>
          <w:sz w:val="20"/>
          <w:szCs w:val="20"/>
          <w:lang w:val="uz-Cyrl-UZ"/>
        </w:rPr>
        <w:t xml:space="preserve">demuestren </w:t>
      </w:r>
      <w:r w:rsidRPr="00CC1CC4">
        <w:rPr>
          <w:rFonts w:ascii="Arial" w:hAnsi="Arial" w:cs="Arial"/>
          <w:sz w:val="20"/>
          <w:szCs w:val="20"/>
          <w:lang w:val="uz-Cyrl-UZ"/>
        </w:rPr>
        <w:t xml:space="preserve">la condición de Mipyme de conformidad con lo </w:t>
      </w:r>
      <w:r>
        <w:rPr>
          <w:rFonts w:ascii="Arial" w:hAnsi="Arial" w:cs="Arial"/>
          <w:sz w:val="20"/>
          <w:szCs w:val="20"/>
          <w:lang w:val="uz-Cyrl-UZ"/>
        </w:rPr>
        <w:t xml:space="preserve">en el artículo </w:t>
      </w:r>
      <w:r w:rsidRPr="00CC1CC4">
        <w:rPr>
          <w:rFonts w:ascii="Arial" w:hAnsi="Arial" w:cs="Arial"/>
          <w:sz w:val="20"/>
          <w:szCs w:val="20"/>
          <w:lang w:val="uz-Cyrl-UZ"/>
        </w:rPr>
        <w:t>2.2.1.2.4.2.4. del Decreto 1082 de 2015,</w:t>
      </w:r>
      <w:r w:rsidRPr="008715C0">
        <w:rPr>
          <w:rFonts w:ascii="Arial" w:hAnsi="Arial" w:cs="Arial"/>
          <w:iCs/>
          <w:sz w:val="20"/>
          <w:szCs w:val="20"/>
          <w:lang w:val="es-ES"/>
        </w:rPr>
        <w:t xml:space="preserve"> </w:t>
      </w:r>
      <w:r w:rsidRPr="008F50E8">
        <w:rPr>
          <w:rFonts w:ascii="Arial" w:hAnsi="Arial" w:cs="Arial"/>
          <w:iCs/>
          <w:sz w:val="20"/>
          <w:szCs w:val="20"/>
          <w:lang w:val="es-ES"/>
        </w:rPr>
        <w:t xml:space="preserve">en concordancia con el parágrafo del artículo 2.2.1.13.2.4 del Decreto 1074 de 2015 </w:t>
      </w:r>
      <w:r w:rsidRPr="00CC1CC4">
        <w:rPr>
          <w:rFonts w:ascii="Arial" w:hAnsi="Arial" w:cs="Arial"/>
          <w:sz w:val="20"/>
          <w:szCs w:val="20"/>
          <w:lang w:val="uz-Cyrl-UZ"/>
        </w:rPr>
        <w:t>o las normas que los modifiquen, sustituyan o complementen, acreditará</w:t>
      </w:r>
      <w:r>
        <w:rPr>
          <w:rFonts w:ascii="Arial" w:hAnsi="Arial" w:cs="Arial"/>
          <w:sz w:val="20"/>
          <w:szCs w:val="20"/>
          <w:lang w:val="uz-Cyrl-UZ"/>
        </w:rPr>
        <w:t>n</w:t>
      </w:r>
      <w:r w:rsidRPr="00CC1CC4">
        <w:rPr>
          <w:rFonts w:ascii="Arial" w:hAnsi="Arial" w:cs="Arial"/>
          <w:sz w:val="20"/>
          <w:szCs w:val="20"/>
          <w:lang w:val="uz-Cyrl-UZ"/>
        </w:rPr>
        <w:t xml:space="preserve"> los siguientes indicadores:</w:t>
      </w:r>
    </w:p>
    <w:p w14:paraId="15450CD7" w14:textId="77777777" w:rsidR="00E47B4B" w:rsidRDefault="00E47B4B" w:rsidP="00DC12D5">
      <w:pPr>
        <w:pStyle w:val="Prrafodelista"/>
        <w:spacing w:after="0" w:line="240" w:lineRule="auto"/>
        <w:ind w:left="284"/>
        <w:jc w:val="both"/>
        <w:rPr>
          <w:rFonts w:ascii="Arial" w:hAnsi="Arial" w:cs="Arial"/>
          <w:b/>
          <w:bCs/>
          <w:sz w:val="20"/>
          <w:szCs w:val="20"/>
          <w:lang w:val="uz-Cyrl-UZ"/>
        </w:rPr>
      </w:pPr>
    </w:p>
    <w:tbl>
      <w:tblPr>
        <w:tblStyle w:val="Tablaconcuadrcula1"/>
        <w:tblW w:w="0" w:type="auto"/>
        <w:jc w:val="center"/>
        <w:tblLook w:val="04A0" w:firstRow="1" w:lastRow="0" w:firstColumn="1" w:lastColumn="0" w:noHBand="0" w:noVBand="1"/>
      </w:tblPr>
      <w:tblGrid>
        <w:gridCol w:w="2689"/>
        <w:gridCol w:w="2268"/>
      </w:tblGrid>
      <w:tr w:rsidR="007F7F10" w:rsidRPr="00A87913" w14:paraId="2B34D0DC" w14:textId="77777777" w:rsidTr="00CA6381">
        <w:trPr>
          <w:trHeight w:val="20"/>
          <w:tblHeader/>
          <w:jc w:val="center"/>
        </w:trPr>
        <w:tc>
          <w:tcPr>
            <w:tcW w:w="2689" w:type="dxa"/>
            <w:shd w:val="clear" w:color="auto" w:fill="943634" w:themeFill="accent2" w:themeFillShade="BF"/>
            <w:vAlign w:val="center"/>
          </w:tcPr>
          <w:p w14:paraId="506FE0F3" w14:textId="77777777" w:rsidR="007F7F10" w:rsidRPr="00A87913" w:rsidRDefault="007F7F10" w:rsidP="00CA6381">
            <w:pPr>
              <w:ind w:left="174" w:hanging="174"/>
              <w:jc w:val="center"/>
              <w:rPr>
                <w:rFonts w:ascii="Arial" w:hAnsi="Arial" w:cs="Arial"/>
                <w:b/>
                <w:color w:val="FFFFFF" w:themeColor="background1"/>
                <w:sz w:val="20"/>
                <w:szCs w:val="20"/>
              </w:rPr>
            </w:pPr>
            <w:r w:rsidRPr="00A87913">
              <w:rPr>
                <w:rFonts w:ascii="Arial" w:hAnsi="Arial" w:cs="Arial"/>
                <w:b/>
                <w:color w:val="FFFFFF" w:themeColor="background1"/>
                <w:sz w:val="20"/>
                <w:szCs w:val="20"/>
              </w:rPr>
              <w:t>Indicador</w:t>
            </w:r>
          </w:p>
        </w:tc>
        <w:tc>
          <w:tcPr>
            <w:tcW w:w="2268" w:type="dxa"/>
            <w:shd w:val="clear" w:color="auto" w:fill="943634" w:themeFill="accent2" w:themeFillShade="BF"/>
            <w:vAlign w:val="center"/>
          </w:tcPr>
          <w:p w14:paraId="6F159CFF" w14:textId="77777777" w:rsidR="007F7F10" w:rsidRPr="00A87913" w:rsidRDefault="007F7F10" w:rsidP="00CA6381">
            <w:pPr>
              <w:ind w:left="174" w:hanging="174"/>
              <w:jc w:val="center"/>
              <w:rPr>
                <w:rFonts w:ascii="Arial" w:hAnsi="Arial" w:cs="Arial"/>
                <w:b/>
                <w:color w:val="FFFFFF" w:themeColor="background1"/>
                <w:sz w:val="20"/>
                <w:szCs w:val="20"/>
              </w:rPr>
            </w:pPr>
            <w:r w:rsidRPr="00A87913">
              <w:rPr>
                <w:rFonts w:ascii="Arial" w:hAnsi="Arial" w:cs="Arial"/>
                <w:b/>
                <w:color w:val="FFFFFF" w:themeColor="background1"/>
                <w:sz w:val="20"/>
                <w:szCs w:val="20"/>
              </w:rPr>
              <w:t>Valor concertado</w:t>
            </w:r>
          </w:p>
        </w:tc>
      </w:tr>
      <w:tr w:rsidR="007F7F10" w:rsidRPr="00A87913" w14:paraId="1FCBF7E0" w14:textId="77777777" w:rsidTr="00CA6381">
        <w:trPr>
          <w:trHeight w:val="20"/>
          <w:jc w:val="center"/>
        </w:trPr>
        <w:tc>
          <w:tcPr>
            <w:tcW w:w="2689" w:type="dxa"/>
            <w:vAlign w:val="center"/>
          </w:tcPr>
          <w:p w14:paraId="243D42E4" w14:textId="77777777" w:rsidR="007F7F10" w:rsidRPr="00A87913" w:rsidRDefault="007F7F10" w:rsidP="00CA6381">
            <w:pPr>
              <w:jc w:val="center"/>
              <w:rPr>
                <w:rFonts w:ascii="Arial" w:hAnsi="Arial" w:cs="Arial"/>
                <w:sz w:val="18"/>
                <w:szCs w:val="18"/>
              </w:rPr>
            </w:pPr>
          </w:p>
          <w:p w14:paraId="5D3BFCCB" w14:textId="77777777" w:rsidR="007F7F10" w:rsidRPr="00A87913" w:rsidRDefault="007F7F10" w:rsidP="00CA6381">
            <w:pPr>
              <w:jc w:val="center"/>
              <w:rPr>
                <w:rFonts w:ascii="Arial" w:hAnsi="Arial" w:cs="Arial"/>
                <w:sz w:val="18"/>
                <w:szCs w:val="18"/>
              </w:rPr>
            </w:pPr>
            <w:r w:rsidRPr="00A87913">
              <w:rPr>
                <w:rFonts w:ascii="Arial" w:hAnsi="Arial" w:cs="Arial"/>
                <w:sz w:val="18"/>
                <w:szCs w:val="18"/>
              </w:rPr>
              <w:t>Índice de liquidez</w:t>
            </w:r>
          </w:p>
        </w:tc>
        <w:tc>
          <w:tcPr>
            <w:tcW w:w="2268" w:type="dxa"/>
            <w:vAlign w:val="center"/>
          </w:tcPr>
          <w:p w14:paraId="615DDB06" w14:textId="77777777" w:rsidR="007F7F10" w:rsidRPr="00A87913" w:rsidRDefault="007F7F10" w:rsidP="00CA6381">
            <w:pPr>
              <w:spacing w:before="240"/>
              <w:jc w:val="center"/>
              <w:rPr>
                <w:rFonts w:ascii="Arial" w:hAnsi="Arial" w:cs="Arial"/>
                <w:bCs/>
                <w:sz w:val="18"/>
                <w:szCs w:val="18"/>
              </w:rPr>
            </w:pPr>
            <m:oMath>
              <m:r>
                <m:rPr>
                  <m:sty m:val="p"/>
                </m:rPr>
                <w:rPr>
                  <w:rFonts w:ascii="Cambria Math" w:hAnsi="Cambria Math" w:cs="Arial"/>
                  <w:sz w:val="18"/>
                  <w:szCs w:val="18"/>
                </w:rPr>
                <m:t>≥</m:t>
              </m:r>
            </m:oMath>
            <w:r w:rsidRPr="00A87913">
              <w:rPr>
                <w:rFonts w:ascii="Arial" w:hAnsi="Arial" w:cs="Arial"/>
                <w:bCs/>
                <w:sz w:val="18"/>
                <w:szCs w:val="18"/>
              </w:rPr>
              <w:t>1,</w:t>
            </w:r>
            <w:r>
              <w:rPr>
                <w:rFonts w:ascii="Arial" w:hAnsi="Arial" w:cs="Arial"/>
                <w:bCs/>
                <w:sz w:val="18"/>
                <w:szCs w:val="18"/>
              </w:rPr>
              <w:t>3</w:t>
            </w:r>
          </w:p>
          <w:p w14:paraId="68A868DE" w14:textId="77777777" w:rsidR="007F7F10" w:rsidRPr="00A87913" w:rsidRDefault="007F7F10" w:rsidP="00CA6381">
            <w:pPr>
              <w:jc w:val="center"/>
              <w:rPr>
                <w:rFonts w:ascii="Arial" w:hAnsi="Arial" w:cs="Arial"/>
                <w:bCs/>
                <w:sz w:val="18"/>
                <w:szCs w:val="18"/>
              </w:rPr>
            </w:pPr>
          </w:p>
        </w:tc>
      </w:tr>
      <w:tr w:rsidR="007F7F10" w:rsidRPr="00A87913" w14:paraId="5B0D8E7D" w14:textId="77777777" w:rsidTr="00CA6381">
        <w:trPr>
          <w:trHeight w:val="20"/>
          <w:jc w:val="center"/>
        </w:trPr>
        <w:tc>
          <w:tcPr>
            <w:tcW w:w="2689" w:type="dxa"/>
            <w:vAlign w:val="center"/>
          </w:tcPr>
          <w:p w14:paraId="6EF0FD13" w14:textId="77777777" w:rsidR="007F7F10" w:rsidRPr="00A87913" w:rsidRDefault="007F7F10" w:rsidP="00CA6381">
            <w:pPr>
              <w:jc w:val="center"/>
              <w:rPr>
                <w:rFonts w:ascii="Arial" w:hAnsi="Arial" w:cs="Arial"/>
                <w:sz w:val="18"/>
                <w:szCs w:val="18"/>
              </w:rPr>
            </w:pPr>
          </w:p>
          <w:p w14:paraId="2E29C4A7" w14:textId="77777777" w:rsidR="007F7F10" w:rsidRPr="00A87913" w:rsidRDefault="007F7F10" w:rsidP="00CA6381">
            <w:pPr>
              <w:jc w:val="center"/>
              <w:rPr>
                <w:rFonts w:ascii="Arial" w:hAnsi="Arial" w:cs="Arial"/>
                <w:sz w:val="18"/>
                <w:szCs w:val="18"/>
              </w:rPr>
            </w:pPr>
            <w:r w:rsidRPr="00A87913">
              <w:rPr>
                <w:rFonts w:ascii="Arial" w:hAnsi="Arial" w:cs="Arial"/>
                <w:sz w:val="18"/>
                <w:szCs w:val="18"/>
              </w:rPr>
              <w:t>Índice de endeudamiento</w:t>
            </w:r>
          </w:p>
        </w:tc>
        <w:tc>
          <w:tcPr>
            <w:tcW w:w="2268" w:type="dxa"/>
            <w:vAlign w:val="center"/>
          </w:tcPr>
          <w:p w14:paraId="136A1329" w14:textId="77777777" w:rsidR="007F7F10" w:rsidRPr="00A87913" w:rsidRDefault="007F7F10" w:rsidP="00CA6381">
            <w:pPr>
              <w:jc w:val="center"/>
              <w:rPr>
                <w:rFonts w:ascii="Arial" w:eastAsiaTheme="minorEastAsia" w:hAnsi="Arial" w:cs="Arial"/>
                <w:bCs/>
                <w:sz w:val="18"/>
                <w:szCs w:val="18"/>
              </w:rPr>
            </w:pPr>
          </w:p>
          <w:p w14:paraId="676DD339" w14:textId="77777777" w:rsidR="007F7F10" w:rsidRPr="00A87913" w:rsidRDefault="007F7F10" w:rsidP="00CA6381">
            <w:pPr>
              <w:jc w:val="center"/>
              <w:rPr>
                <w:rFonts w:ascii="Arial" w:hAnsi="Arial" w:cs="Arial"/>
                <w:bCs/>
                <w:sz w:val="18"/>
                <w:szCs w:val="18"/>
              </w:rPr>
            </w:pPr>
            <m:oMathPara>
              <m:oMath>
                <m:r>
                  <m:rPr>
                    <m:sty m:val="p"/>
                  </m:rPr>
                  <w:rPr>
                    <w:rFonts w:ascii="Cambria Math" w:hAnsi="Cambria Math" w:cs="Arial"/>
                    <w:sz w:val="18"/>
                    <w:szCs w:val="18"/>
                  </w:rPr>
                  <m:t>≤ 0,70</m:t>
                </m:r>
              </m:oMath>
            </m:oMathPara>
          </w:p>
          <w:p w14:paraId="7B4D2EE9" w14:textId="77777777" w:rsidR="007F7F10" w:rsidRPr="00A87913" w:rsidRDefault="007F7F10" w:rsidP="00CA6381">
            <w:pPr>
              <w:jc w:val="center"/>
              <w:rPr>
                <w:rFonts w:ascii="Arial" w:hAnsi="Arial" w:cs="Arial"/>
                <w:bCs/>
                <w:sz w:val="18"/>
                <w:szCs w:val="18"/>
              </w:rPr>
            </w:pPr>
          </w:p>
        </w:tc>
      </w:tr>
      <w:tr w:rsidR="007F7F10" w:rsidRPr="00A87913" w14:paraId="6585AD68" w14:textId="77777777" w:rsidTr="00CA6381">
        <w:trPr>
          <w:trHeight w:val="20"/>
          <w:jc w:val="center"/>
        </w:trPr>
        <w:tc>
          <w:tcPr>
            <w:tcW w:w="2689" w:type="dxa"/>
            <w:vAlign w:val="center"/>
          </w:tcPr>
          <w:p w14:paraId="32203657" w14:textId="77777777" w:rsidR="007F7F10" w:rsidRPr="00A87913" w:rsidRDefault="007F7F10" w:rsidP="00CA6381">
            <w:pPr>
              <w:jc w:val="center"/>
              <w:rPr>
                <w:rFonts w:ascii="Arial" w:hAnsi="Arial" w:cs="Arial"/>
                <w:sz w:val="18"/>
                <w:szCs w:val="18"/>
              </w:rPr>
            </w:pPr>
          </w:p>
          <w:p w14:paraId="18D174C9" w14:textId="77777777" w:rsidR="007F7F10" w:rsidRPr="00A87913" w:rsidRDefault="007F7F10" w:rsidP="00CA6381">
            <w:pPr>
              <w:jc w:val="center"/>
              <w:rPr>
                <w:rFonts w:ascii="Arial" w:hAnsi="Arial" w:cs="Arial"/>
                <w:sz w:val="18"/>
                <w:szCs w:val="18"/>
              </w:rPr>
            </w:pPr>
            <w:r w:rsidRPr="00A87913">
              <w:rPr>
                <w:rFonts w:ascii="Arial" w:hAnsi="Arial" w:cs="Arial"/>
                <w:sz w:val="18"/>
                <w:szCs w:val="18"/>
              </w:rPr>
              <w:t>Razón de cobertura de intereses</w:t>
            </w:r>
          </w:p>
        </w:tc>
        <w:tc>
          <w:tcPr>
            <w:tcW w:w="2268" w:type="dxa"/>
            <w:vAlign w:val="center"/>
          </w:tcPr>
          <w:p w14:paraId="3679F9F1" w14:textId="77777777" w:rsidR="007F7F10" w:rsidRPr="00A87913" w:rsidRDefault="007F7F10" w:rsidP="00CA6381">
            <w:pPr>
              <w:jc w:val="center"/>
              <w:rPr>
                <w:rFonts w:ascii="Arial" w:eastAsiaTheme="minorEastAsia" w:hAnsi="Arial" w:cs="Arial"/>
                <w:bCs/>
                <w:sz w:val="18"/>
                <w:szCs w:val="18"/>
              </w:rPr>
            </w:pPr>
          </w:p>
          <w:p w14:paraId="007671DD" w14:textId="77777777" w:rsidR="007F7F10" w:rsidRPr="00A87913" w:rsidRDefault="007F7F10" w:rsidP="00CA6381">
            <w:pPr>
              <w:jc w:val="center"/>
              <w:rPr>
                <w:rFonts w:ascii="Arial" w:eastAsiaTheme="minorEastAsia" w:hAnsi="Arial" w:cs="Arial"/>
                <w:bCs/>
                <w:sz w:val="18"/>
                <w:szCs w:val="18"/>
              </w:rPr>
            </w:pPr>
            <m:oMathPara>
              <m:oMath>
                <m:r>
                  <m:rPr>
                    <m:sty m:val="p"/>
                  </m:rPr>
                  <w:rPr>
                    <w:rFonts w:ascii="Cambria Math" w:hAnsi="Cambria Math" w:cs="Arial"/>
                    <w:sz w:val="18"/>
                    <w:szCs w:val="18"/>
                  </w:rPr>
                  <m:t>≥1</m:t>
                </m:r>
              </m:oMath>
            </m:oMathPara>
          </w:p>
          <w:p w14:paraId="5AFAE08F" w14:textId="77777777" w:rsidR="007F7F10" w:rsidRPr="00A87913" w:rsidRDefault="007F7F10" w:rsidP="00CA6381">
            <w:pPr>
              <w:jc w:val="center"/>
              <w:rPr>
                <w:rFonts w:ascii="Arial" w:hAnsi="Arial" w:cs="Arial"/>
                <w:bCs/>
                <w:sz w:val="18"/>
                <w:szCs w:val="18"/>
              </w:rPr>
            </w:pPr>
          </w:p>
        </w:tc>
      </w:tr>
      <w:tr w:rsidR="007F7F10" w:rsidRPr="00A87913" w14:paraId="2658D33F" w14:textId="77777777" w:rsidTr="00CA6381">
        <w:trPr>
          <w:trHeight w:val="20"/>
          <w:jc w:val="center"/>
        </w:trPr>
        <w:tc>
          <w:tcPr>
            <w:tcW w:w="2689" w:type="dxa"/>
            <w:vAlign w:val="center"/>
          </w:tcPr>
          <w:p w14:paraId="545A63D1" w14:textId="77777777" w:rsidR="007F7F10" w:rsidRPr="00A87913" w:rsidRDefault="007F7F10" w:rsidP="00CA6381">
            <w:pPr>
              <w:jc w:val="center"/>
              <w:rPr>
                <w:rFonts w:ascii="Arial" w:hAnsi="Arial" w:cs="Arial"/>
                <w:sz w:val="18"/>
                <w:szCs w:val="18"/>
              </w:rPr>
            </w:pPr>
          </w:p>
          <w:p w14:paraId="2AB43E7D" w14:textId="77777777" w:rsidR="007F7F10" w:rsidRPr="00A87913" w:rsidRDefault="007F7F10" w:rsidP="00CA6381">
            <w:pPr>
              <w:jc w:val="center"/>
              <w:rPr>
                <w:rFonts w:ascii="Arial" w:hAnsi="Arial" w:cs="Arial"/>
                <w:sz w:val="18"/>
                <w:szCs w:val="18"/>
              </w:rPr>
            </w:pPr>
            <w:r w:rsidRPr="00A87913">
              <w:rPr>
                <w:rFonts w:ascii="Arial" w:hAnsi="Arial" w:cs="Arial"/>
                <w:sz w:val="18"/>
                <w:szCs w:val="18"/>
              </w:rPr>
              <w:t>Capital de trabajo</w:t>
            </w:r>
          </w:p>
        </w:tc>
        <w:tc>
          <w:tcPr>
            <w:tcW w:w="2268" w:type="dxa"/>
            <w:vAlign w:val="center"/>
          </w:tcPr>
          <w:p w14:paraId="5FCE1B06" w14:textId="77777777" w:rsidR="007F7F10" w:rsidRPr="00A87913" w:rsidRDefault="007F7F10" w:rsidP="00CA6381">
            <w:pPr>
              <w:jc w:val="center"/>
              <w:rPr>
                <w:rFonts w:ascii="Arial" w:hAnsi="Arial" w:cs="Arial"/>
                <w:bCs/>
                <w:sz w:val="18"/>
                <w:szCs w:val="18"/>
              </w:rPr>
            </w:pPr>
          </w:p>
          <w:p w14:paraId="00EF9850" w14:textId="77777777" w:rsidR="007F7F10" w:rsidRPr="00A87913" w:rsidRDefault="007F7F10" w:rsidP="00CA6381">
            <w:pPr>
              <w:jc w:val="center"/>
              <w:rPr>
                <w:rFonts w:ascii="Arial" w:hAnsi="Arial" w:cs="Arial"/>
                <w:bCs/>
                <w:sz w:val="18"/>
                <w:szCs w:val="18"/>
              </w:rPr>
            </w:pPr>
            <w:r w:rsidRPr="00A87913">
              <w:rPr>
                <w:rFonts w:ascii="Arial" w:hAnsi="Arial" w:cs="Arial"/>
                <w:bCs/>
                <w:sz w:val="18"/>
                <w:szCs w:val="18"/>
              </w:rPr>
              <w:t>Definido en los Pliegos Tipo</w:t>
            </w:r>
          </w:p>
          <w:p w14:paraId="02B2F475" w14:textId="77777777" w:rsidR="007F7F10" w:rsidRPr="00A87913" w:rsidRDefault="007F7F10" w:rsidP="00CA6381">
            <w:pPr>
              <w:jc w:val="center"/>
              <w:rPr>
                <w:rFonts w:ascii="Arial" w:hAnsi="Arial" w:cs="Arial"/>
                <w:bCs/>
                <w:sz w:val="18"/>
                <w:szCs w:val="18"/>
              </w:rPr>
            </w:pPr>
          </w:p>
        </w:tc>
      </w:tr>
      <w:tr w:rsidR="007F7F10" w:rsidRPr="00A87913" w14:paraId="7AE4ED40" w14:textId="77777777" w:rsidTr="00CA6381">
        <w:trPr>
          <w:trHeight w:val="20"/>
          <w:jc w:val="center"/>
        </w:trPr>
        <w:tc>
          <w:tcPr>
            <w:tcW w:w="2689" w:type="dxa"/>
            <w:vAlign w:val="center"/>
          </w:tcPr>
          <w:p w14:paraId="38ACD357" w14:textId="77777777" w:rsidR="007F7F10" w:rsidRPr="00A87913" w:rsidRDefault="007F7F10" w:rsidP="00CA6381">
            <w:pPr>
              <w:jc w:val="center"/>
              <w:rPr>
                <w:rFonts w:ascii="Arial" w:hAnsi="Arial" w:cs="Arial"/>
                <w:sz w:val="18"/>
                <w:szCs w:val="18"/>
              </w:rPr>
            </w:pPr>
          </w:p>
          <w:p w14:paraId="59348BAE" w14:textId="77777777" w:rsidR="007F7F10" w:rsidRPr="00A87913" w:rsidRDefault="007F7F10" w:rsidP="00CA6381">
            <w:pPr>
              <w:jc w:val="center"/>
              <w:rPr>
                <w:rFonts w:ascii="Arial" w:hAnsi="Arial" w:cs="Arial"/>
                <w:sz w:val="18"/>
                <w:szCs w:val="18"/>
              </w:rPr>
            </w:pPr>
            <w:r w:rsidRPr="00A87913">
              <w:rPr>
                <w:rFonts w:ascii="Arial" w:hAnsi="Arial" w:cs="Arial"/>
                <w:sz w:val="18"/>
                <w:szCs w:val="18"/>
              </w:rPr>
              <w:t>Rentabilidad del patrimonio</w:t>
            </w:r>
          </w:p>
        </w:tc>
        <w:tc>
          <w:tcPr>
            <w:tcW w:w="2268" w:type="dxa"/>
            <w:vAlign w:val="center"/>
          </w:tcPr>
          <w:p w14:paraId="4FDF76EA" w14:textId="77777777" w:rsidR="007F7F10" w:rsidRPr="00A87913" w:rsidRDefault="007F7F10" w:rsidP="00CA6381">
            <w:pPr>
              <w:jc w:val="center"/>
              <w:rPr>
                <w:rFonts w:ascii="Arial" w:eastAsiaTheme="minorEastAsia" w:hAnsi="Arial" w:cs="Arial"/>
                <w:bCs/>
                <w:sz w:val="18"/>
                <w:szCs w:val="18"/>
              </w:rPr>
            </w:pPr>
          </w:p>
          <w:p w14:paraId="4AE1CDA4" w14:textId="77777777" w:rsidR="007F7F10" w:rsidRPr="00A87913" w:rsidRDefault="007F7F10" w:rsidP="00CA6381">
            <w:pPr>
              <w:jc w:val="center"/>
              <w:rPr>
                <w:rFonts w:ascii="Arial" w:eastAsiaTheme="minorEastAsia" w:hAnsi="Arial" w:cs="Arial"/>
                <w:bCs/>
                <w:sz w:val="18"/>
                <w:szCs w:val="18"/>
              </w:rPr>
            </w:pPr>
            <m:oMathPara>
              <m:oMath>
                <m:r>
                  <m:rPr>
                    <m:sty m:val="p"/>
                  </m:rPr>
                  <w:rPr>
                    <w:rFonts w:ascii="Cambria Math" w:hAnsi="Cambria Math" w:cs="Arial"/>
                    <w:sz w:val="18"/>
                    <w:szCs w:val="18"/>
                  </w:rPr>
                  <m:t>≥0</m:t>
                </m:r>
                <m:r>
                  <w:rPr>
                    <w:rFonts w:ascii="Cambria Math" w:eastAsiaTheme="minorEastAsia" w:hAnsi="Cambria Math" w:cs="Arial"/>
                    <w:sz w:val="18"/>
                    <w:szCs w:val="18"/>
                  </w:rPr>
                  <m:t>,04</m:t>
                </m:r>
              </m:oMath>
            </m:oMathPara>
          </w:p>
          <w:p w14:paraId="539AF63A" w14:textId="77777777" w:rsidR="007F7F10" w:rsidRPr="00A87913" w:rsidRDefault="007F7F10" w:rsidP="00CA6381">
            <w:pPr>
              <w:jc w:val="center"/>
              <w:rPr>
                <w:rFonts w:ascii="Arial" w:hAnsi="Arial" w:cs="Arial"/>
                <w:bCs/>
                <w:sz w:val="18"/>
                <w:szCs w:val="18"/>
              </w:rPr>
            </w:pPr>
          </w:p>
        </w:tc>
      </w:tr>
      <w:tr w:rsidR="007F7F10" w:rsidRPr="00A87913" w14:paraId="392B9FF5" w14:textId="77777777" w:rsidTr="00CA6381">
        <w:trPr>
          <w:trHeight w:val="20"/>
          <w:jc w:val="center"/>
        </w:trPr>
        <w:tc>
          <w:tcPr>
            <w:tcW w:w="2689" w:type="dxa"/>
            <w:vAlign w:val="center"/>
          </w:tcPr>
          <w:p w14:paraId="3B6EBCD1" w14:textId="77777777" w:rsidR="007F7F10" w:rsidRPr="00A87913" w:rsidRDefault="007F7F10" w:rsidP="00CA6381">
            <w:pPr>
              <w:jc w:val="center"/>
              <w:rPr>
                <w:rFonts w:ascii="Arial" w:hAnsi="Arial" w:cs="Arial"/>
                <w:sz w:val="18"/>
                <w:szCs w:val="18"/>
              </w:rPr>
            </w:pPr>
          </w:p>
          <w:p w14:paraId="224E6E7A" w14:textId="77777777" w:rsidR="007F7F10" w:rsidRPr="00A87913" w:rsidRDefault="007F7F10" w:rsidP="00CA6381">
            <w:pPr>
              <w:jc w:val="center"/>
              <w:rPr>
                <w:rFonts w:ascii="Arial" w:hAnsi="Arial" w:cs="Arial"/>
                <w:sz w:val="18"/>
                <w:szCs w:val="18"/>
              </w:rPr>
            </w:pPr>
            <w:r w:rsidRPr="00A87913">
              <w:rPr>
                <w:rFonts w:ascii="Arial" w:hAnsi="Arial" w:cs="Arial"/>
                <w:sz w:val="18"/>
                <w:szCs w:val="18"/>
              </w:rPr>
              <w:t>Rentabilidad del activo</w:t>
            </w:r>
          </w:p>
        </w:tc>
        <w:tc>
          <w:tcPr>
            <w:tcW w:w="2268" w:type="dxa"/>
            <w:vAlign w:val="center"/>
          </w:tcPr>
          <w:p w14:paraId="35F0FBEA" w14:textId="77777777" w:rsidR="007F7F10" w:rsidRPr="00A87913" w:rsidRDefault="007F7F10" w:rsidP="00CA6381">
            <w:pPr>
              <w:jc w:val="center"/>
              <w:rPr>
                <w:rFonts w:ascii="Arial" w:eastAsiaTheme="minorEastAsia" w:hAnsi="Arial" w:cs="Arial"/>
                <w:bCs/>
                <w:sz w:val="18"/>
                <w:szCs w:val="18"/>
              </w:rPr>
            </w:pPr>
          </w:p>
          <w:p w14:paraId="78FCFF52" w14:textId="77777777" w:rsidR="007F7F10" w:rsidRPr="00A87913" w:rsidRDefault="007F7F10" w:rsidP="00CA6381">
            <w:pPr>
              <w:jc w:val="center"/>
              <w:rPr>
                <w:rFonts w:ascii="Arial" w:eastAsiaTheme="minorEastAsia" w:hAnsi="Arial" w:cs="Arial"/>
                <w:bCs/>
                <w:sz w:val="18"/>
                <w:szCs w:val="18"/>
              </w:rPr>
            </w:pPr>
            <m:oMathPara>
              <m:oMath>
                <m:r>
                  <m:rPr>
                    <m:sty m:val="p"/>
                  </m:rPr>
                  <w:rPr>
                    <w:rFonts w:ascii="Cambria Math" w:hAnsi="Cambria Math" w:cs="Arial"/>
                    <w:sz w:val="18"/>
                    <w:szCs w:val="18"/>
                  </w:rPr>
                  <m:t>≥0,02</m:t>
                </m:r>
              </m:oMath>
            </m:oMathPara>
          </w:p>
          <w:p w14:paraId="1CDBD94A" w14:textId="77777777" w:rsidR="007F7F10" w:rsidRPr="00A87913" w:rsidRDefault="007F7F10" w:rsidP="00CA6381">
            <w:pPr>
              <w:jc w:val="center"/>
              <w:rPr>
                <w:rFonts w:ascii="Arial" w:hAnsi="Arial" w:cs="Arial"/>
                <w:bCs/>
                <w:sz w:val="18"/>
                <w:szCs w:val="18"/>
              </w:rPr>
            </w:pPr>
          </w:p>
        </w:tc>
      </w:tr>
    </w:tbl>
    <w:p w14:paraId="22A192FC" w14:textId="77777777" w:rsidR="001E3F24" w:rsidRPr="001E3F24" w:rsidRDefault="001E3F24" w:rsidP="00DC12D5">
      <w:pPr>
        <w:jc w:val="both"/>
        <w:rPr>
          <w:rFonts w:ascii="Arial" w:hAnsi="Arial" w:cs="Arial"/>
          <w:b/>
          <w:sz w:val="20"/>
          <w:szCs w:val="20"/>
          <w:lang w:val="uz-Cyrl-UZ"/>
        </w:rPr>
      </w:pPr>
    </w:p>
    <w:p w14:paraId="7CB6A9F4" w14:textId="77777777" w:rsidR="001E3F24" w:rsidRPr="001E3F24" w:rsidRDefault="001E3F24" w:rsidP="001E3F24">
      <w:pPr>
        <w:ind w:hanging="11"/>
        <w:jc w:val="both"/>
        <w:rPr>
          <w:rFonts w:ascii="Arial" w:hAnsi="Arial" w:cs="Arial"/>
          <w:b/>
          <w:sz w:val="20"/>
          <w:szCs w:val="20"/>
        </w:rPr>
      </w:pPr>
      <w:r w:rsidRPr="001E3F24">
        <w:rPr>
          <w:rFonts w:ascii="Arial" w:hAnsi="Arial" w:cs="Arial"/>
          <w:b/>
          <w:sz w:val="20"/>
          <w:szCs w:val="20"/>
        </w:rPr>
        <w:t>Fuentes:</w:t>
      </w:r>
    </w:p>
    <w:p w14:paraId="06A2F326" w14:textId="77777777" w:rsidR="001E3F24" w:rsidRPr="001E3F24" w:rsidRDefault="001E3F24" w:rsidP="001E3F24">
      <w:pPr>
        <w:numPr>
          <w:ilvl w:val="0"/>
          <w:numId w:val="16"/>
        </w:numPr>
        <w:ind w:left="0" w:hanging="11"/>
        <w:jc w:val="both"/>
        <w:rPr>
          <w:rFonts w:ascii="Arial" w:hAnsi="Arial" w:cs="Arial"/>
          <w:sz w:val="20"/>
          <w:szCs w:val="20"/>
          <w:lang w:val="es-ES"/>
        </w:rPr>
      </w:pPr>
      <w:r w:rsidRPr="001E3F24">
        <w:rPr>
          <w:rFonts w:ascii="Arial" w:hAnsi="Arial" w:cs="Arial"/>
          <w:sz w:val="20"/>
          <w:szCs w:val="20"/>
          <w:lang w:val="es-ES"/>
        </w:rPr>
        <w:t xml:space="preserve">Banco de la República: </w:t>
      </w:r>
      <w:hyperlink r:id="rId23" w:history="1">
        <w:r w:rsidRPr="001E3F24">
          <w:rPr>
            <w:rFonts w:ascii="Arial" w:hAnsi="Arial" w:cs="Arial"/>
            <w:sz w:val="20"/>
            <w:szCs w:val="20"/>
            <w:lang w:val="es-ES"/>
          </w:rPr>
          <w:t>http://www.banrep.gov.co/</w:t>
        </w:r>
      </w:hyperlink>
    </w:p>
    <w:p w14:paraId="3456B5DF" w14:textId="77777777" w:rsidR="001E3F24" w:rsidRPr="001E3F24" w:rsidRDefault="001E3F24" w:rsidP="001E3F24">
      <w:pPr>
        <w:numPr>
          <w:ilvl w:val="0"/>
          <w:numId w:val="16"/>
        </w:numPr>
        <w:ind w:left="0" w:hanging="11"/>
        <w:jc w:val="both"/>
        <w:rPr>
          <w:rFonts w:ascii="Arial" w:hAnsi="Arial" w:cs="Arial"/>
          <w:sz w:val="20"/>
          <w:szCs w:val="20"/>
          <w:lang w:val="es-ES"/>
        </w:rPr>
      </w:pPr>
      <w:r w:rsidRPr="001E3F24">
        <w:rPr>
          <w:rFonts w:ascii="Arial" w:hAnsi="Arial" w:cs="Arial"/>
          <w:sz w:val="20"/>
          <w:szCs w:val="20"/>
          <w:lang w:val="es-ES"/>
        </w:rPr>
        <w:t xml:space="preserve">Cámara de Comercio de Valledupar: </w:t>
      </w:r>
      <w:hyperlink r:id="rId24" w:history="1">
        <w:r w:rsidRPr="001E3F24">
          <w:rPr>
            <w:rFonts w:ascii="Arial" w:hAnsi="Arial" w:cs="Arial"/>
            <w:sz w:val="20"/>
            <w:szCs w:val="20"/>
            <w:lang w:val="es-ES"/>
          </w:rPr>
          <w:t>https://ccvalledupar.org.co/</w:t>
        </w:r>
      </w:hyperlink>
    </w:p>
    <w:p w14:paraId="7D8C0745" w14:textId="77777777" w:rsidR="001E3F24" w:rsidRPr="001E3F24" w:rsidRDefault="001E3F24" w:rsidP="001E3F24">
      <w:pPr>
        <w:numPr>
          <w:ilvl w:val="0"/>
          <w:numId w:val="16"/>
        </w:numPr>
        <w:ind w:left="0" w:hanging="11"/>
        <w:jc w:val="both"/>
        <w:rPr>
          <w:rFonts w:ascii="Arial" w:hAnsi="Arial" w:cs="Arial"/>
          <w:sz w:val="20"/>
          <w:szCs w:val="20"/>
          <w:lang w:val="en-US"/>
        </w:rPr>
      </w:pPr>
      <w:r w:rsidRPr="001E3F24">
        <w:rPr>
          <w:rFonts w:ascii="Arial" w:hAnsi="Arial" w:cs="Arial"/>
          <w:sz w:val="20"/>
          <w:szCs w:val="20"/>
          <w:lang w:val="en-US"/>
        </w:rPr>
        <w:t xml:space="preserve">DANE: </w:t>
      </w:r>
      <w:hyperlink r:id="rId25" w:history="1">
        <w:r w:rsidRPr="001E3F24">
          <w:rPr>
            <w:rFonts w:ascii="Arial" w:hAnsi="Arial" w:cs="Arial"/>
            <w:sz w:val="20"/>
            <w:szCs w:val="20"/>
            <w:lang w:val="en-US"/>
          </w:rPr>
          <w:t>http://www.dane.gov.co/</w:t>
        </w:r>
      </w:hyperlink>
    </w:p>
    <w:p w14:paraId="7FFFEB68" w14:textId="77777777" w:rsidR="001E3F24" w:rsidRPr="001E3F24" w:rsidRDefault="001E3F24" w:rsidP="001E3F24">
      <w:pPr>
        <w:numPr>
          <w:ilvl w:val="0"/>
          <w:numId w:val="16"/>
        </w:numPr>
        <w:ind w:left="0" w:hanging="11"/>
        <w:jc w:val="both"/>
        <w:rPr>
          <w:rFonts w:ascii="Arial" w:hAnsi="Arial" w:cs="Arial"/>
          <w:sz w:val="20"/>
          <w:szCs w:val="20"/>
          <w:lang w:val="es-ES"/>
        </w:rPr>
      </w:pPr>
      <w:r w:rsidRPr="001E3F24">
        <w:rPr>
          <w:rFonts w:ascii="Arial" w:hAnsi="Arial" w:cs="Arial"/>
          <w:sz w:val="20"/>
          <w:szCs w:val="20"/>
          <w:lang w:val="es-ES"/>
        </w:rPr>
        <w:t xml:space="preserve">Departamento Nacional de Planeación-DNP: </w:t>
      </w:r>
      <w:hyperlink r:id="rId26" w:history="1">
        <w:r w:rsidRPr="001E3F24">
          <w:rPr>
            <w:rFonts w:ascii="Arial" w:hAnsi="Arial" w:cs="Arial"/>
            <w:sz w:val="20"/>
            <w:szCs w:val="20"/>
            <w:lang w:val="es-ES"/>
          </w:rPr>
          <w:t>www.dnp.gov.co</w:t>
        </w:r>
      </w:hyperlink>
    </w:p>
    <w:p w14:paraId="17F6F30A" w14:textId="77777777" w:rsidR="001E3F24" w:rsidRPr="001E3F24" w:rsidRDefault="001E3F24" w:rsidP="001E3F24">
      <w:pPr>
        <w:numPr>
          <w:ilvl w:val="0"/>
          <w:numId w:val="16"/>
        </w:numPr>
        <w:ind w:left="0" w:hanging="11"/>
        <w:jc w:val="both"/>
        <w:rPr>
          <w:rFonts w:ascii="Arial" w:hAnsi="Arial" w:cs="Arial"/>
          <w:sz w:val="20"/>
          <w:szCs w:val="20"/>
        </w:rPr>
      </w:pPr>
      <w:r w:rsidRPr="001E3F24">
        <w:rPr>
          <w:rFonts w:ascii="Arial" w:hAnsi="Arial" w:cs="Arial"/>
          <w:sz w:val="20"/>
          <w:szCs w:val="20"/>
        </w:rPr>
        <w:t xml:space="preserve">SECOP: </w:t>
      </w:r>
      <w:hyperlink r:id="rId27" w:history="1">
        <w:r w:rsidRPr="001E3F24">
          <w:rPr>
            <w:rFonts w:ascii="Arial" w:hAnsi="Arial" w:cs="Arial"/>
            <w:sz w:val="20"/>
            <w:szCs w:val="20"/>
          </w:rPr>
          <w:t>www.colombiacompra.gov.co</w:t>
        </w:r>
      </w:hyperlink>
    </w:p>
    <w:p w14:paraId="7A791172" w14:textId="77777777" w:rsidR="001E3F24" w:rsidRPr="001E3F24" w:rsidRDefault="001E3F24" w:rsidP="001E3F24">
      <w:pPr>
        <w:suppressAutoHyphens/>
        <w:jc w:val="both"/>
        <w:rPr>
          <w:rFonts w:ascii="Arial" w:eastAsia="DejaVu Sans" w:hAnsi="Arial" w:cs="Arial"/>
          <w:vanish/>
          <w:kern w:val="1"/>
          <w:sz w:val="20"/>
          <w:szCs w:val="20"/>
          <w:lang w:eastAsia="zh-CN"/>
        </w:rPr>
      </w:pPr>
    </w:p>
    <w:p w14:paraId="119F2925" w14:textId="77777777" w:rsidR="001E3F24" w:rsidRPr="001E3F24" w:rsidRDefault="001E3F24" w:rsidP="001E3F24">
      <w:pPr>
        <w:suppressAutoHyphens/>
        <w:jc w:val="both"/>
        <w:rPr>
          <w:rFonts w:ascii="Arial" w:eastAsia="DejaVu Sans" w:hAnsi="Arial" w:cs="Arial"/>
          <w:vanish/>
          <w:kern w:val="1"/>
          <w:sz w:val="20"/>
          <w:szCs w:val="20"/>
          <w:lang w:eastAsia="zh-CN"/>
        </w:rPr>
      </w:pPr>
    </w:p>
    <w:p w14:paraId="21FA251E" w14:textId="77777777" w:rsidR="001E3F24" w:rsidRPr="001E3F24" w:rsidRDefault="001E3F24" w:rsidP="001E3F24">
      <w:pPr>
        <w:suppressAutoHyphens/>
        <w:jc w:val="both"/>
        <w:rPr>
          <w:rFonts w:ascii="Arial" w:eastAsia="DejaVu Sans" w:hAnsi="Arial" w:cs="Arial"/>
          <w:kern w:val="1"/>
          <w:sz w:val="20"/>
          <w:szCs w:val="20"/>
          <w:lang w:eastAsia="zh-CN"/>
        </w:rPr>
      </w:pPr>
    </w:p>
    <w:p w14:paraId="146EBDFA" w14:textId="6A002CEB" w:rsidR="001E3F24" w:rsidRDefault="00772342" w:rsidP="001E3F24">
      <w:pPr>
        <w:jc w:val="both"/>
        <w:rPr>
          <w:rFonts w:ascii="Arial" w:hAnsi="Arial" w:cs="Arial"/>
          <w:sz w:val="20"/>
          <w:szCs w:val="20"/>
        </w:rPr>
      </w:pPr>
      <w:r>
        <w:rPr>
          <w:rFonts w:ascii="Arial" w:hAnsi="Arial" w:cs="Arial"/>
          <w:sz w:val="20"/>
          <w:szCs w:val="20"/>
        </w:rPr>
        <w:t>Bosconia, C</w:t>
      </w:r>
      <w:r w:rsidR="00CA241A">
        <w:rPr>
          <w:rFonts w:ascii="Arial" w:hAnsi="Arial" w:cs="Arial"/>
          <w:sz w:val="20"/>
          <w:szCs w:val="20"/>
        </w:rPr>
        <w:t>esar</w:t>
      </w:r>
      <w:r w:rsidR="00327A52">
        <w:rPr>
          <w:rFonts w:ascii="Arial" w:hAnsi="Arial" w:cs="Arial"/>
          <w:sz w:val="20"/>
          <w:szCs w:val="20"/>
        </w:rPr>
        <w:t>. Octubre de 2026</w:t>
      </w:r>
    </w:p>
    <w:p w14:paraId="4EBDAA9F" w14:textId="77777777" w:rsidR="00327A52" w:rsidRDefault="00327A52" w:rsidP="001E3F24">
      <w:pPr>
        <w:jc w:val="both"/>
        <w:rPr>
          <w:rFonts w:ascii="Arial" w:hAnsi="Arial" w:cs="Arial"/>
          <w:sz w:val="20"/>
          <w:szCs w:val="20"/>
        </w:rPr>
      </w:pPr>
    </w:p>
    <w:p w14:paraId="1A7702C4" w14:textId="77777777" w:rsidR="00327A52" w:rsidRPr="001E3F24" w:rsidRDefault="00327A52" w:rsidP="001E3F24">
      <w:pPr>
        <w:jc w:val="both"/>
        <w:rPr>
          <w:rFonts w:ascii="Arial" w:hAnsi="Arial" w:cs="Arial"/>
          <w:sz w:val="20"/>
          <w:szCs w:val="20"/>
        </w:rPr>
      </w:pPr>
    </w:p>
    <w:p w14:paraId="3F958A6F" w14:textId="6DD661AB" w:rsidR="001E3F24" w:rsidRPr="001E3F24" w:rsidRDefault="001E3F24" w:rsidP="001E3F24">
      <w:pPr>
        <w:tabs>
          <w:tab w:val="left" w:pos="1440"/>
        </w:tabs>
        <w:jc w:val="both"/>
        <w:rPr>
          <w:rFonts w:ascii="Arial" w:hAnsi="Arial" w:cs="Arial"/>
          <w:b/>
          <w:sz w:val="20"/>
          <w:szCs w:val="20"/>
        </w:rPr>
      </w:pPr>
    </w:p>
    <w:p w14:paraId="66ECA475" w14:textId="62B1C64F" w:rsidR="001E3F24" w:rsidRPr="001E3F24" w:rsidRDefault="001E3F24" w:rsidP="001E3F24">
      <w:pPr>
        <w:jc w:val="center"/>
        <w:rPr>
          <w:rFonts w:ascii="Arial" w:hAnsi="Arial" w:cs="Arial"/>
          <w:sz w:val="20"/>
          <w:szCs w:val="20"/>
        </w:rPr>
      </w:pPr>
      <w:r w:rsidRPr="001E3F24">
        <w:rPr>
          <w:rFonts w:ascii="Arial" w:hAnsi="Arial" w:cs="Arial"/>
          <w:sz w:val="20"/>
          <w:szCs w:val="20"/>
        </w:rPr>
        <w:t>__</w:t>
      </w:r>
    </w:p>
    <w:p w14:paraId="1F6DF812" w14:textId="77777777" w:rsidR="001E3F24" w:rsidRPr="001E3F24" w:rsidRDefault="001E3F24" w:rsidP="001E3F24">
      <w:pPr>
        <w:adjustRightInd w:val="0"/>
        <w:jc w:val="center"/>
        <w:rPr>
          <w:rFonts w:ascii="Arial" w:hAnsi="Arial" w:cs="Arial"/>
          <w:sz w:val="20"/>
          <w:szCs w:val="20"/>
        </w:rPr>
      </w:pPr>
      <w:r w:rsidRPr="001E3F24">
        <w:rPr>
          <w:rFonts w:ascii="Arial" w:hAnsi="Arial" w:cs="Arial"/>
          <w:b/>
          <w:color w:val="141215"/>
          <w:sz w:val="20"/>
          <w:szCs w:val="20"/>
        </w:rPr>
        <w:t>NELSON ANDRES ACEVEDO GOMEZ</w:t>
      </w:r>
      <w:r w:rsidRPr="001E3F24">
        <w:rPr>
          <w:rFonts w:ascii="Arial" w:hAnsi="Arial" w:cs="Arial"/>
          <w:sz w:val="20"/>
          <w:szCs w:val="20"/>
        </w:rPr>
        <w:t xml:space="preserve"> </w:t>
      </w:r>
    </w:p>
    <w:p w14:paraId="58D27CAA" w14:textId="77777777" w:rsidR="001E3F24" w:rsidRPr="001E3F24" w:rsidRDefault="001E3F24" w:rsidP="001E3F24">
      <w:pPr>
        <w:adjustRightInd w:val="0"/>
        <w:jc w:val="center"/>
        <w:rPr>
          <w:rFonts w:ascii="Arial" w:hAnsi="Arial" w:cs="Arial"/>
          <w:sz w:val="20"/>
          <w:szCs w:val="20"/>
        </w:rPr>
      </w:pPr>
      <w:proofErr w:type="spellStart"/>
      <w:r w:rsidRPr="001E3F24">
        <w:rPr>
          <w:rFonts w:ascii="Arial" w:hAnsi="Arial" w:cs="Arial"/>
          <w:sz w:val="20"/>
          <w:szCs w:val="20"/>
        </w:rPr>
        <w:t>Secretarío</w:t>
      </w:r>
      <w:proofErr w:type="spellEnd"/>
      <w:r w:rsidRPr="001E3F24">
        <w:rPr>
          <w:rFonts w:ascii="Arial" w:hAnsi="Arial" w:cs="Arial"/>
          <w:sz w:val="20"/>
          <w:szCs w:val="20"/>
        </w:rPr>
        <w:t xml:space="preserve"> de Planeación y Desarrollo Sostenible</w:t>
      </w:r>
    </w:p>
    <w:p w14:paraId="2E1A8200" w14:textId="1277F171" w:rsidR="00D53A37" w:rsidRPr="004435C9" w:rsidRDefault="001E3F24" w:rsidP="004435C9">
      <w:pPr>
        <w:jc w:val="center"/>
        <w:rPr>
          <w:rFonts w:ascii="Arial" w:hAnsi="Arial" w:cs="Arial"/>
          <w:sz w:val="20"/>
          <w:szCs w:val="20"/>
        </w:rPr>
      </w:pPr>
      <w:r w:rsidRPr="001E3F24">
        <w:rPr>
          <w:rFonts w:ascii="Arial" w:hAnsi="Arial" w:cs="Arial"/>
          <w:color w:val="000000" w:themeColor="text1"/>
          <w:sz w:val="20"/>
          <w:szCs w:val="20"/>
        </w:rPr>
        <w:t>Municipio de  Bosconia – Cesar</w:t>
      </w:r>
    </w:p>
    <w:sectPr w:rsidR="00D53A37" w:rsidRPr="004435C9" w:rsidSect="00E23458">
      <w:headerReference w:type="default" r:id="rId28"/>
      <w:footerReference w:type="default" r:id="rId29"/>
      <w:pgSz w:w="12242" w:h="20163"/>
      <w:pgMar w:top="1418" w:right="1134" w:bottom="2835" w:left="1985" w:header="284" w:footer="22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D8B0D" w14:textId="77777777" w:rsidR="00C57848" w:rsidRDefault="00C57848" w:rsidP="00223800">
      <w:r>
        <w:separator/>
      </w:r>
    </w:p>
  </w:endnote>
  <w:endnote w:type="continuationSeparator" w:id="0">
    <w:p w14:paraId="07CDA0E8" w14:textId="77777777" w:rsidR="00C57848" w:rsidRDefault="00C57848" w:rsidP="00223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jaVu Sans">
    <w:altName w:val="Arial"/>
    <w:charset w:val="00"/>
    <w:family w:val="swiss"/>
    <w:pitch w:val="variable"/>
    <w:sig w:usb0="00000000" w:usb1="5200F5FF" w:usb2="0A242021"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1" w:rightFromText="141" w:vertAnchor="text" w:horzAnchor="page" w:tblpXSpec="center" w:tblpY="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5"/>
      <w:gridCol w:w="4694"/>
    </w:tblGrid>
    <w:tr w:rsidR="004D5F56" w:rsidRPr="00C20CC6" w14:paraId="77BAA6AF" w14:textId="77777777" w:rsidTr="00E30A22">
      <w:tc>
        <w:tcPr>
          <w:tcW w:w="2487" w:type="pct"/>
        </w:tcPr>
        <w:p w14:paraId="689179EE" w14:textId="5BD416B4" w:rsidR="004D5F56" w:rsidRPr="00C06459" w:rsidRDefault="004D5F56" w:rsidP="00C06459">
          <w:pPr>
            <w:pStyle w:val="Piedepgina"/>
            <w:tabs>
              <w:tab w:val="clear" w:pos="4252"/>
              <w:tab w:val="clear" w:pos="8504"/>
            </w:tabs>
            <w:rPr>
              <w:rFonts w:ascii="Arial" w:hAnsi="Arial"/>
              <w:sz w:val="16"/>
              <w:szCs w:val="16"/>
            </w:rPr>
          </w:pPr>
          <w:r>
            <w:rPr>
              <w:rFonts w:ascii="Arial" w:hAnsi="Arial"/>
              <w:sz w:val="16"/>
              <w:szCs w:val="16"/>
            </w:rPr>
            <w:t xml:space="preserve"> </w:t>
          </w:r>
          <w:r w:rsidRPr="00C06459">
            <w:rPr>
              <w:rFonts w:ascii="Arial" w:hAnsi="Arial"/>
              <w:sz w:val="16"/>
              <w:szCs w:val="16"/>
            </w:rPr>
            <w:t xml:space="preserve"> </w:t>
          </w:r>
        </w:p>
      </w:tc>
      <w:tc>
        <w:tcPr>
          <w:tcW w:w="2513" w:type="pct"/>
        </w:tcPr>
        <w:p w14:paraId="2FFF7F12" w14:textId="7B7A00E5" w:rsidR="004D5F56" w:rsidRPr="00C20CC6" w:rsidRDefault="004D5F56" w:rsidP="00B54E6D">
          <w:pPr>
            <w:pStyle w:val="Piedepgina"/>
            <w:tabs>
              <w:tab w:val="clear" w:pos="4252"/>
              <w:tab w:val="clear" w:pos="8504"/>
            </w:tabs>
            <w:jc w:val="right"/>
            <w:rPr>
              <w:rFonts w:ascii="Arial" w:hAnsi="Arial"/>
              <w:sz w:val="16"/>
            </w:rPr>
          </w:pPr>
          <w:r>
            <w:rPr>
              <w:rFonts w:ascii="Arial" w:hAnsi="Arial"/>
              <w:sz w:val="16"/>
            </w:rPr>
            <w:t xml:space="preserve"> </w:t>
          </w:r>
        </w:p>
      </w:tc>
    </w:tr>
  </w:tbl>
  <w:p w14:paraId="306B06AA" w14:textId="77777777" w:rsidR="004D5F56" w:rsidRPr="00B1783C" w:rsidRDefault="004D5F56" w:rsidP="00A606EE">
    <w:pPr>
      <w:pStyle w:val="Piedepgina"/>
      <w:jc w:val="center"/>
      <w:rPr>
        <w:rFonts w:ascii="Tahoma" w:hAnsi="Tahoma" w:cs="Tahoma"/>
        <w:sz w:val="14"/>
        <w:szCs w:val="14"/>
      </w:rPr>
    </w:pPr>
    <w:r w:rsidRPr="00B1783C">
      <w:rPr>
        <w:rFonts w:ascii="Tahoma" w:hAnsi="Tahoma" w:cs="Tahoma"/>
        <w:sz w:val="14"/>
        <w:szCs w:val="14"/>
      </w:rPr>
      <w:t xml:space="preserve">CARRERA 22 No. 12-36-TELEFAX 5779071-5778275 </w:t>
    </w:r>
  </w:p>
  <w:p w14:paraId="14EB6A4C" w14:textId="77777777" w:rsidR="004D5F56" w:rsidRPr="00B1783C" w:rsidRDefault="004D5F56" w:rsidP="00A606EE">
    <w:pPr>
      <w:pStyle w:val="Piedepgina"/>
      <w:jc w:val="center"/>
      <w:rPr>
        <w:rFonts w:ascii="Tahoma" w:hAnsi="Tahoma" w:cs="Tahoma"/>
        <w:sz w:val="14"/>
        <w:szCs w:val="14"/>
      </w:rPr>
    </w:pPr>
    <w:r w:rsidRPr="00B1783C">
      <w:rPr>
        <w:rFonts w:ascii="Tahoma" w:hAnsi="Tahoma" w:cs="Tahoma"/>
        <w:sz w:val="14"/>
        <w:szCs w:val="14"/>
      </w:rPr>
      <w:t xml:space="preserve">Celular 313-5150704  - 321-6902654  </w:t>
    </w:r>
    <w:hyperlink r:id="rId1" w:history="1">
      <w:r w:rsidRPr="00B1783C">
        <w:rPr>
          <w:rStyle w:val="Hipervnculo"/>
          <w:rFonts w:ascii="Tahoma" w:hAnsi="Tahoma" w:cs="Tahoma"/>
          <w:sz w:val="14"/>
          <w:szCs w:val="14"/>
        </w:rPr>
        <w:t>alcaldiabosconia@hotmail.com</w:t>
      </w:r>
    </w:hyperlink>
    <w:r w:rsidRPr="00B1783C">
      <w:rPr>
        <w:rFonts w:ascii="Tahoma" w:hAnsi="Tahoma" w:cs="Tahoma"/>
        <w:sz w:val="14"/>
        <w:szCs w:val="14"/>
      </w:rPr>
      <w:t xml:space="preserve">  </w:t>
    </w:r>
    <w:r>
      <w:rPr>
        <w:rFonts w:ascii="Tahoma" w:hAnsi="Tahoma" w:cs="Tahoma"/>
        <w:sz w:val="14"/>
        <w:szCs w:val="14"/>
      </w:rPr>
      <w:t>código</w:t>
    </w:r>
    <w:r w:rsidRPr="00B1783C">
      <w:rPr>
        <w:rFonts w:ascii="Tahoma" w:hAnsi="Tahoma" w:cs="Tahoma"/>
        <w:sz w:val="14"/>
        <w:szCs w:val="14"/>
      </w:rPr>
      <w:t xml:space="preserve"> pos</w:t>
    </w:r>
    <w:r>
      <w:rPr>
        <w:rFonts w:ascii="Tahoma" w:hAnsi="Tahoma" w:cs="Tahoma"/>
        <w:sz w:val="14"/>
        <w:szCs w:val="14"/>
      </w:rPr>
      <w:t>tal</w:t>
    </w:r>
    <w:r w:rsidRPr="00B1783C">
      <w:rPr>
        <w:rFonts w:ascii="Tahoma" w:hAnsi="Tahoma" w:cs="Tahoma"/>
        <w:sz w:val="14"/>
        <w:szCs w:val="14"/>
      </w:rPr>
      <w:t xml:space="preserve"> 201020</w:t>
    </w:r>
  </w:p>
  <w:p w14:paraId="4E997CE9" w14:textId="77777777" w:rsidR="004D5F56" w:rsidRPr="00412116" w:rsidRDefault="004D5F56" w:rsidP="00C20CC6">
    <w:pPr>
      <w:pStyle w:val="Piedepgina"/>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0CD00" w14:textId="77777777" w:rsidR="00C57848" w:rsidRDefault="00C57848" w:rsidP="00223800">
      <w:r>
        <w:separator/>
      </w:r>
    </w:p>
  </w:footnote>
  <w:footnote w:type="continuationSeparator" w:id="0">
    <w:p w14:paraId="720F80C8" w14:textId="77777777" w:rsidR="00C57848" w:rsidRDefault="00C57848" w:rsidP="00223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900A5" w14:textId="49AB9405" w:rsidR="004D5F56" w:rsidRDefault="004D5F56" w:rsidP="005C6134">
    <w:pPr>
      <w:pStyle w:val="Encabezado"/>
      <w:jc w:val="right"/>
      <w:rPr>
        <w:rFonts w:ascii="Arial" w:hAnsi="Arial" w:cs="Arial"/>
        <w:b/>
        <w:sz w:val="16"/>
        <w:szCs w:val="20"/>
      </w:rPr>
    </w:pPr>
  </w:p>
  <w:tbl>
    <w:tblPr>
      <w:tblStyle w:val="Tablaconcuadrcula"/>
      <w:tblW w:w="4697" w:type="pct"/>
      <w:tblInd w:w="250" w:type="dxa"/>
      <w:tblBorders>
        <w:insideH w:val="none" w:sz="0" w:space="0" w:color="auto"/>
        <w:insideV w:val="none" w:sz="0" w:space="0" w:color="auto"/>
      </w:tblBorders>
      <w:tblLook w:val="04A0" w:firstRow="1" w:lastRow="0" w:firstColumn="1" w:lastColumn="0" w:noHBand="0" w:noVBand="1"/>
    </w:tblPr>
    <w:tblGrid>
      <w:gridCol w:w="1223"/>
      <w:gridCol w:w="7550"/>
    </w:tblGrid>
    <w:tr w:rsidR="004D5F56" w14:paraId="58D243A0" w14:textId="77777777" w:rsidTr="00E23458">
      <w:tc>
        <w:tcPr>
          <w:tcW w:w="697" w:type="pct"/>
        </w:tcPr>
        <w:p w14:paraId="309BCF13" w14:textId="6E6CDDD5" w:rsidR="004D5F56" w:rsidRDefault="004D5F56" w:rsidP="005C6134">
          <w:pPr>
            <w:pStyle w:val="Encabezado"/>
            <w:jc w:val="right"/>
            <w:rPr>
              <w:b/>
              <w:color w:val="141215"/>
            </w:rPr>
          </w:pPr>
          <w:r>
            <w:rPr>
              <w:noProof/>
              <w:lang w:val="es-ES"/>
            </w:rPr>
            <w:drawing>
              <wp:anchor distT="0" distB="0" distL="114300" distR="114300" simplePos="0" relativeHeight="251663360" behindDoc="1" locked="0" layoutInCell="1" allowOverlap="1" wp14:anchorId="61871BDB" wp14:editId="0B5B3B1B">
                <wp:simplePos x="0" y="0"/>
                <wp:positionH relativeFrom="column">
                  <wp:posOffset>43180</wp:posOffset>
                </wp:positionH>
                <wp:positionV relativeFrom="paragraph">
                  <wp:posOffset>125730</wp:posOffset>
                </wp:positionV>
                <wp:extent cx="1677848" cy="68964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848" cy="689641"/>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141215"/>
            </w:rPr>
            <w:t xml:space="preserve"> </w:t>
          </w:r>
        </w:p>
        <w:p w14:paraId="6463DE8C" w14:textId="77777777" w:rsidR="004D5F56" w:rsidRDefault="004D5F56" w:rsidP="005C6134">
          <w:pPr>
            <w:pStyle w:val="Encabezado"/>
            <w:jc w:val="right"/>
            <w:rPr>
              <w:b/>
              <w:color w:val="141215"/>
            </w:rPr>
          </w:pPr>
        </w:p>
        <w:p w14:paraId="16AA6CF8" w14:textId="6BF50E00" w:rsidR="004D5F56" w:rsidRDefault="004D5F56" w:rsidP="005C6134">
          <w:pPr>
            <w:pStyle w:val="Encabezado"/>
            <w:jc w:val="right"/>
            <w:rPr>
              <w:rFonts w:ascii="Arial" w:hAnsi="Arial" w:cs="Arial"/>
              <w:b/>
              <w:sz w:val="16"/>
              <w:szCs w:val="20"/>
            </w:rPr>
          </w:pPr>
        </w:p>
      </w:tc>
      <w:tc>
        <w:tcPr>
          <w:tcW w:w="4303" w:type="pct"/>
        </w:tcPr>
        <w:p w14:paraId="23233452" w14:textId="77777777" w:rsidR="004D5F56" w:rsidRDefault="004D5F56" w:rsidP="00623B60">
          <w:pPr>
            <w:pStyle w:val="Encabezado"/>
            <w:jc w:val="right"/>
            <w:rPr>
              <w:rFonts w:ascii="Arial" w:hAnsi="Arial" w:cs="Arial"/>
              <w:b/>
              <w:sz w:val="16"/>
              <w:szCs w:val="20"/>
            </w:rPr>
          </w:pPr>
        </w:p>
        <w:p w14:paraId="745D1ADF" w14:textId="45BCE981" w:rsidR="004D5F56" w:rsidRPr="00E23458" w:rsidRDefault="004D5F56" w:rsidP="00E23458">
          <w:pPr>
            <w:pStyle w:val="Encabezado"/>
            <w:jc w:val="center"/>
            <w:rPr>
              <w:sz w:val="18"/>
              <w:szCs w:val="18"/>
            </w:rPr>
          </w:pPr>
          <w:r>
            <w:rPr>
              <w:rFonts w:ascii="Arial Narrow" w:hAnsi="Arial Narrow" w:cs="Tahoma"/>
              <w:b/>
              <w:noProof/>
              <w:sz w:val="16"/>
              <w:szCs w:val="16"/>
              <w:lang w:val="es-ES"/>
            </w:rPr>
            <w:drawing>
              <wp:anchor distT="0" distB="0" distL="114300" distR="114300" simplePos="0" relativeHeight="251664384" behindDoc="0" locked="0" layoutInCell="1" allowOverlap="1" wp14:anchorId="026CC285" wp14:editId="7B56E11C">
                <wp:simplePos x="0" y="0"/>
                <wp:positionH relativeFrom="column">
                  <wp:posOffset>3869055</wp:posOffset>
                </wp:positionH>
                <wp:positionV relativeFrom="paragraph">
                  <wp:posOffset>-5715</wp:posOffset>
                </wp:positionV>
                <wp:extent cx="558800" cy="660400"/>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3458">
            <w:rPr>
              <w:sz w:val="18"/>
              <w:szCs w:val="18"/>
            </w:rPr>
            <w:t>DEPARTAMENTO DEL CESAR</w:t>
          </w:r>
        </w:p>
        <w:p w14:paraId="32DCC04B" w14:textId="775954D5" w:rsidR="004D5F56" w:rsidRPr="00E23458" w:rsidRDefault="004D5F56" w:rsidP="00E23458">
          <w:pPr>
            <w:pStyle w:val="Encabezado"/>
            <w:jc w:val="center"/>
            <w:rPr>
              <w:noProof/>
              <w:sz w:val="18"/>
              <w:szCs w:val="18"/>
              <w:lang w:val="es-CO" w:eastAsia="es-CO"/>
            </w:rPr>
          </w:pPr>
          <w:r>
            <w:rPr>
              <w:sz w:val="18"/>
              <w:szCs w:val="18"/>
            </w:rPr>
            <w:t>ALCALDIA MUNICIPIO DE BOSCONIA</w:t>
          </w:r>
        </w:p>
        <w:p w14:paraId="4FFEF248" w14:textId="45F727D8" w:rsidR="004D5F56" w:rsidRDefault="004D5F56" w:rsidP="00A606EE">
          <w:pPr>
            <w:rPr>
              <w:sz w:val="14"/>
              <w:szCs w:val="16"/>
            </w:rPr>
          </w:pPr>
          <w:r>
            <w:rPr>
              <w:sz w:val="14"/>
              <w:szCs w:val="16"/>
            </w:rPr>
            <w:t xml:space="preserve">                                                                                                 NIT 892301130-8</w:t>
          </w:r>
        </w:p>
        <w:p w14:paraId="5E9914D8" w14:textId="77777777" w:rsidR="004D5F56" w:rsidRDefault="004D5F56" w:rsidP="00E23458">
          <w:pPr>
            <w:pStyle w:val="Encabezado"/>
            <w:rPr>
              <w:rFonts w:ascii="Arial" w:hAnsi="Arial" w:cs="Arial"/>
              <w:b/>
              <w:sz w:val="16"/>
              <w:szCs w:val="20"/>
            </w:rPr>
          </w:pPr>
        </w:p>
        <w:p w14:paraId="189AF98B" w14:textId="77777777" w:rsidR="004D5F56" w:rsidRPr="00EE18CC" w:rsidRDefault="004D5F56" w:rsidP="00E23458">
          <w:pPr>
            <w:pStyle w:val="Encabezado"/>
            <w:jc w:val="center"/>
            <w:rPr>
              <w:rFonts w:ascii="Arial" w:hAnsi="Arial" w:cs="Arial"/>
              <w:b/>
              <w:sz w:val="16"/>
              <w:szCs w:val="20"/>
            </w:rPr>
          </w:pPr>
          <w:r>
            <w:rPr>
              <w:rFonts w:ascii="Arial" w:hAnsi="Arial" w:cs="Arial"/>
              <w:b/>
              <w:sz w:val="16"/>
              <w:szCs w:val="20"/>
            </w:rPr>
            <w:t>Proceso Gestión de la Contratación</w:t>
          </w:r>
        </w:p>
        <w:p w14:paraId="7698A3D6" w14:textId="2A6F9EB2" w:rsidR="004D5F56" w:rsidRPr="00D53A37" w:rsidRDefault="004D5F56" w:rsidP="00B53E8E">
          <w:pPr>
            <w:pStyle w:val="Encabezado"/>
            <w:jc w:val="center"/>
            <w:rPr>
              <w:rFonts w:ascii="Arial" w:hAnsi="Arial" w:cs="Arial"/>
              <w:b/>
              <w:sz w:val="16"/>
              <w:szCs w:val="20"/>
            </w:rPr>
          </w:pPr>
          <w:r w:rsidRPr="00C06459">
            <w:rPr>
              <w:rFonts w:ascii="Arial" w:hAnsi="Arial" w:cs="Arial"/>
              <w:sz w:val="16"/>
              <w:szCs w:val="16"/>
            </w:rPr>
            <w:t xml:space="preserve">MODELO DE ANÁLISIS DEL SECTOR </w:t>
          </w:r>
          <w:r>
            <w:rPr>
              <w:rFonts w:ascii="Arial" w:hAnsi="Arial" w:cs="Arial"/>
              <w:sz w:val="16"/>
              <w:szCs w:val="16"/>
            </w:rPr>
            <w:t xml:space="preserve"> </w:t>
          </w:r>
        </w:p>
      </w:tc>
    </w:tr>
  </w:tbl>
  <w:p w14:paraId="157926C5" w14:textId="77777777" w:rsidR="004D5F56" w:rsidRDefault="004D5F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83791"/>
    <w:multiLevelType w:val="multilevel"/>
    <w:tmpl w:val="EFFC2B18"/>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 w15:restartNumberingAfterBreak="0">
    <w:nsid w:val="039C2266"/>
    <w:multiLevelType w:val="multilevel"/>
    <w:tmpl w:val="D75EABC0"/>
    <w:lvl w:ilvl="0">
      <w:start w:val="4"/>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Zero"/>
      <w:lvlText w:val="%1.%2.%3.%4.%5.%6.%7.%8.%9."/>
      <w:lvlJc w:val="left"/>
      <w:pPr>
        <w:ind w:left="2160" w:hanging="2160"/>
      </w:pPr>
      <w:rPr>
        <w:rFonts w:hint="default"/>
      </w:rPr>
    </w:lvl>
  </w:abstractNum>
  <w:abstractNum w:abstractNumId="3" w15:restartNumberingAfterBreak="0">
    <w:nsid w:val="05442E85"/>
    <w:multiLevelType w:val="multilevel"/>
    <w:tmpl w:val="CBD674A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023361"/>
    <w:multiLevelType w:val="multilevel"/>
    <w:tmpl w:val="A2B0A8B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9B6292"/>
    <w:multiLevelType w:val="hybridMultilevel"/>
    <w:tmpl w:val="84D44C8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595A03"/>
    <w:multiLevelType w:val="multilevel"/>
    <w:tmpl w:val="E87EDE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4324F8"/>
    <w:multiLevelType w:val="hybridMultilevel"/>
    <w:tmpl w:val="FA10E5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E223E6"/>
    <w:multiLevelType w:val="hybridMultilevel"/>
    <w:tmpl w:val="BC36D7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CB296E"/>
    <w:multiLevelType w:val="hybridMultilevel"/>
    <w:tmpl w:val="DCA65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337785"/>
    <w:multiLevelType w:val="multilevel"/>
    <w:tmpl w:val="9BFED07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263E1E"/>
    <w:multiLevelType w:val="hybridMultilevel"/>
    <w:tmpl w:val="C95C7C7E"/>
    <w:lvl w:ilvl="0" w:tplc="6D90B504">
      <w:start w:val="1"/>
      <w:numFmt w:val="decimal"/>
      <w:lvlText w:val="%1."/>
      <w:lvlJc w:val="left"/>
      <w:pPr>
        <w:ind w:left="1080" w:hanging="360"/>
      </w:pPr>
      <w:rPr>
        <w:rFonts w:hint="default"/>
        <w:b/>
        <w:i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EA170C1"/>
    <w:multiLevelType w:val="multilevel"/>
    <w:tmpl w:val="FE465AE8"/>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Zero"/>
      <w:lvlText w:val="%1.%2.%3.%4.%5.%6.%7.%8.%9."/>
      <w:lvlJc w:val="left"/>
      <w:pPr>
        <w:ind w:left="2160" w:hanging="2160"/>
      </w:pPr>
      <w:rPr>
        <w:rFonts w:hint="default"/>
      </w:rPr>
    </w:lvl>
  </w:abstractNum>
  <w:abstractNum w:abstractNumId="13" w15:restartNumberingAfterBreak="0">
    <w:nsid w:val="533010A3"/>
    <w:multiLevelType w:val="hybridMultilevel"/>
    <w:tmpl w:val="C6CC0B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6475E7"/>
    <w:multiLevelType w:val="multilevel"/>
    <w:tmpl w:val="EA92AA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637D4F"/>
    <w:multiLevelType w:val="multilevel"/>
    <w:tmpl w:val="15E41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16" w15:restartNumberingAfterBreak="0">
    <w:nsid w:val="61960AA7"/>
    <w:multiLevelType w:val="multilevel"/>
    <w:tmpl w:val="521419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4107794"/>
    <w:multiLevelType w:val="hybridMultilevel"/>
    <w:tmpl w:val="98F691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755BD4"/>
    <w:multiLevelType w:val="hybridMultilevel"/>
    <w:tmpl w:val="C666ABE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E67A5A"/>
    <w:multiLevelType w:val="multilevel"/>
    <w:tmpl w:val="585C3F70"/>
    <w:lvl w:ilvl="0">
      <w:start w:val="2"/>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num w:numId="1" w16cid:durableId="62415537">
    <w:abstractNumId w:val="16"/>
  </w:num>
  <w:num w:numId="2" w16cid:durableId="2012246795">
    <w:abstractNumId w:val="5"/>
  </w:num>
  <w:num w:numId="3" w16cid:durableId="1401366446">
    <w:abstractNumId w:val="18"/>
  </w:num>
  <w:num w:numId="4" w16cid:durableId="838542953">
    <w:abstractNumId w:val="8"/>
  </w:num>
  <w:num w:numId="5" w16cid:durableId="852305931">
    <w:abstractNumId w:val="10"/>
  </w:num>
  <w:num w:numId="6" w16cid:durableId="1381590137">
    <w:abstractNumId w:val="14"/>
  </w:num>
  <w:num w:numId="7" w16cid:durableId="1532838701">
    <w:abstractNumId w:val="0"/>
  </w:num>
  <w:num w:numId="8" w16cid:durableId="31998870">
    <w:abstractNumId w:val="12"/>
  </w:num>
  <w:num w:numId="9" w16cid:durableId="1886717358">
    <w:abstractNumId w:val="2"/>
  </w:num>
  <w:num w:numId="10" w16cid:durableId="2111654469">
    <w:abstractNumId w:val="13"/>
  </w:num>
  <w:num w:numId="11" w16cid:durableId="710499937">
    <w:abstractNumId w:val="4"/>
  </w:num>
  <w:num w:numId="12" w16cid:durableId="1916551948">
    <w:abstractNumId w:val="7"/>
  </w:num>
  <w:num w:numId="13" w16cid:durableId="542450110">
    <w:abstractNumId w:val="9"/>
  </w:num>
  <w:num w:numId="14" w16cid:durableId="1524857122">
    <w:abstractNumId w:val="3"/>
  </w:num>
  <w:num w:numId="15" w16cid:durableId="986590640">
    <w:abstractNumId w:val="6"/>
  </w:num>
  <w:num w:numId="16" w16cid:durableId="685981120">
    <w:abstractNumId w:val="17"/>
  </w:num>
  <w:num w:numId="17" w16cid:durableId="907955444">
    <w:abstractNumId w:val="15"/>
  </w:num>
  <w:num w:numId="18" w16cid:durableId="822504452">
    <w:abstractNumId w:val="19"/>
  </w:num>
  <w:num w:numId="19" w16cid:durableId="832843271">
    <w:abstractNumId w:val="1"/>
  </w:num>
  <w:num w:numId="20" w16cid:durableId="14935960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800"/>
    <w:rsid w:val="0005254D"/>
    <w:rsid w:val="000E49DE"/>
    <w:rsid w:val="00117135"/>
    <w:rsid w:val="00122158"/>
    <w:rsid w:val="00126208"/>
    <w:rsid w:val="0012786D"/>
    <w:rsid w:val="00191541"/>
    <w:rsid w:val="001C53BB"/>
    <w:rsid w:val="001E3F24"/>
    <w:rsid w:val="002046A5"/>
    <w:rsid w:val="00211924"/>
    <w:rsid w:val="002151E2"/>
    <w:rsid w:val="00223800"/>
    <w:rsid w:val="00255031"/>
    <w:rsid w:val="002C19A9"/>
    <w:rsid w:val="002C1FC8"/>
    <w:rsid w:val="00303AD5"/>
    <w:rsid w:val="00327A52"/>
    <w:rsid w:val="00343CEB"/>
    <w:rsid w:val="00393EB2"/>
    <w:rsid w:val="003B44A0"/>
    <w:rsid w:val="003B79C1"/>
    <w:rsid w:val="003E3259"/>
    <w:rsid w:val="00412116"/>
    <w:rsid w:val="00414AA6"/>
    <w:rsid w:val="004435C9"/>
    <w:rsid w:val="00447631"/>
    <w:rsid w:val="004630BD"/>
    <w:rsid w:val="00484534"/>
    <w:rsid w:val="004D5F56"/>
    <w:rsid w:val="004D6EAA"/>
    <w:rsid w:val="00501601"/>
    <w:rsid w:val="00501F3C"/>
    <w:rsid w:val="005A0D97"/>
    <w:rsid w:val="005A365F"/>
    <w:rsid w:val="005B4C32"/>
    <w:rsid w:val="005C6134"/>
    <w:rsid w:val="005D03EB"/>
    <w:rsid w:val="00623B60"/>
    <w:rsid w:val="00630963"/>
    <w:rsid w:val="006906E2"/>
    <w:rsid w:val="007134F5"/>
    <w:rsid w:val="00734242"/>
    <w:rsid w:val="007647D2"/>
    <w:rsid w:val="0076671F"/>
    <w:rsid w:val="00772342"/>
    <w:rsid w:val="0079022D"/>
    <w:rsid w:val="007A157B"/>
    <w:rsid w:val="007B766B"/>
    <w:rsid w:val="007F6EFE"/>
    <w:rsid w:val="007F7F10"/>
    <w:rsid w:val="008662C6"/>
    <w:rsid w:val="00876394"/>
    <w:rsid w:val="00885555"/>
    <w:rsid w:val="00896D0E"/>
    <w:rsid w:val="008971BB"/>
    <w:rsid w:val="008B05F2"/>
    <w:rsid w:val="008E45A7"/>
    <w:rsid w:val="00913CC1"/>
    <w:rsid w:val="0093050C"/>
    <w:rsid w:val="009308DA"/>
    <w:rsid w:val="009F7B31"/>
    <w:rsid w:val="00A4795D"/>
    <w:rsid w:val="00A606EE"/>
    <w:rsid w:val="00AB150F"/>
    <w:rsid w:val="00AC4ED3"/>
    <w:rsid w:val="00B52C12"/>
    <w:rsid w:val="00B53E8E"/>
    <w:rsid w:val="00B54E6D"/>
    <w:rsid w:val="00BD07D4"/>
    <w:rsid w:val="00C06459"/>
    <w:rsid w:val="00C166DD"/>
    <w:rsid w:val="00C20CC6"/>
    <w:rsid w:val="00C57848"/>
    <w:rsid w:val="00C6392A"/>
    <w:rsid w:val="00C64CE7"/>
    <w:rsid w:val="00C850A5"/>
    <w:rsid w:val="00C972D2"/>
    <w:rsid w:val="00CA241A"/>
    <w:rsid w:val="00CA6E95"/>
    <w:rsid w:val="00CB4CA4"/>
    <w:rsid w:val="00D01994"/>
    <w:rsid w:val="00D53A37"/>
    <w:rsid w:val="00DC12D5"/>
    <w:rsid w:val="00DD043E"/>
    <w:rsid w:val="00E23458"/>
    <w:rsid w:val="00E245CD"/>
    <w:rsid w:val="00E30A22"/>
    <w:rsid w:val="00E47B4B"/>
    <w:rsid w:val="00E51D51"/>
    <w:rsid w:val="00EA182B"/>
    <w:rsid w:val="00EB69A7"/>
    <w:rsid w:val="00ED0627"/>
    <w:rsid w:val="00EE18CC"/>
    <w:rsid w:val="00F124F4"/>
    <w:rsid w:val="00F40758"/>
    <w:rsid w:val="00F73FA5"/>
    <w:rsid w:val="00F741C8"/>
    <w:rsid w:val="00FC33EE"/>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319CCE"/>
  <w15:docId w15:val="{0EC7B3B7-B2DB-4BBD-AA66-CB7107FD8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54D"/>
  </w:style>
  <w:style w:type="paragraph" w:styleId="Ttulo1">
    <w:name w:val="heading 1"/>
    <w:aliases w:val="Edgar 1,MT1,título 1"/>
    <w:basedOn w:val="Normal"/>
    <w:link w:val="Ttulo1Car"/>
    <w:qFormat/>
    <w:rsid w:val="001E3F24"/>
    <w:pPr>
      <w:widowControl w:val="0"/>
      <w:autoSpaceDE w:val="0"/>
      <w:autoSpaceDN w:val="0"/>
      <w:ind w:left="442"/>
      <w:outlineLvl w:val="0"/>
    </w:pPr>
    <w:rPr>
      <w:rFonts w:ascii="Arial" w:eastAsia="Arial" w:hAnsi="Arial" w:cs="Arial"/>
      <w:b/>
      <w:bCs/>
      <w:sz w:val="22"/>
      <w:szCs w:val="22"/>
      <w:lang w:val="es-CO" w:eastAsia="en-US"/>
    </w:rPr>
  </w:style>
  <w:style w:type="paragraph" w:styleId="Ttulo2">
    <w:name w:val="heading 2"/>
    <w:basedOn w:val="Normal"/>
    <w:next w:val="Normal"/>
    <w:link w:val="Ttulo2Car"/>
    <w:uiPriority w:val="9"/>
    <w:semiHidden/>
    <w:unhideWhenUsed/>
    <w:qFormat/>
    <w:rsid w:val="004D6EA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Sous-titre (3)"/>
    <w:basedOn w:val="Normal"/>
    <w:next w:val="Normal"/>
    <w:link w:val="Ttulo3Car"/>
    <w:uiPriority w:val="9"/>
    <w:qFormat/>
    <w:rsid w:val="001E3F24"/>
    <w:pPr>
      <w:keepNext/>
      <w:tabs>
        <w:tab w:val="num" w:pos="900"/>
      </w:tabs>
      <w:ind w:left="900" w:right="-91" w:hanging="720"/>
      <w:outlineLvl w:val="2"/>
    </w:pPr>
    <w:rPr>
      <w:rFonts w:ascii="Arial" w:eastAsia="Times New Roman" w:hAnsi="Arial" w:cs="Times New Roman"/>
      <w:b/>
      <w:color w:val="000000"/>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nhideWhenUsed/>
    <w:rsid w:val="00223800"/>
    <w:pPr>
      <w:tabs>
        <w:tab w:val="center" w:pos="4252"/>
        <w:tab w:val="right" w:pos="8504"/>
      </w:tabs>
    </w:pPr>
  </w:style>
  <w:style w:type="character" w:customStyle="1" w:styleId="PiedepginaCar">
    <w:name w:val="Pie de página Car"/>
    <w:basedOn w:val="Fuentedeprrafopredeter"/>
    <w:link w:val="Piedepgina"/>
    <w:rsid w:val="00223800"/>
  </w:style>
  <w:style w:type="table" w:styleId="Tablaconcuadrcula">
    <w:name w:val="Table Grid"/>
    <w:basedOn w:val="Tablanormal"/>
    <w:uiPriority w:val="59"/>
    <w:qFormat/>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C06459"/>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Sombreado vistoso - Énfasis 31,Fotografía,Párrafo de lista1,Bullet List,FooterText,numbered,Paragraphe de liste1,lp1,Scitum normal,HOJA,Bolita,Párrafo de lista4,BOLADEF,Párrafo de lista3,Párrafo de lista21,BOLA,Nivel 1 OS,List Paragraph"/>
    <w:basedOn w:val="Normal"/>
    <w:link w:val="PrrafodelistaCar"/>
    <w:uiPriority w:val="34"/>
    <w:qFormat/>
    <w:rsid w:val="00C06459"/>
    <w:pPr>
      <w:spacing w:after="200" w:line="276" w:lineRule="auto"/>
      <w:ind w:left="720"/>
      <w:contextualSpacing/>
    </w:pPr>
    <w:rPr>
      <w:rFonts w:eastAsiaTheme="minorHAnsi"/>
      <w:sz w:val="22"/>
      <w:szCs w:val="22"/>
      <w:lang w:val="es-CO" w:eastAsia="en-US"/>
    </w:rPr>
  </w:style>
  <w:style w:type="paragraph" w:customStyle="1" w:styleId="Default">
    <w:name w:val="Default"/>
    <w:link w:val="DefaultCar"/>
    <w:rsid w:val="00C06459"/>
    <w:pPr>
      <w:autoSpaceDE w:val="0"/>
      <w:autoSpaceDN w:val="0"/>
      <w:adjustRightInd w:val="0"/>
    </w:pPr>
    <w:rPr>
      <w:rFonts w:ascii="Arial" w:eastAsiaTheme="minorHAnsi" w:hAnsi="Arial" w:cs="Arial"/>
      <w:color w:val="000000"/>
      <w:lang w:val="es-ES" w:eastAsia="en-US"/>
    </w:rPr>
  </w:style>
  <w:style w:type="character" w:styleId="Fuerte">
    <w:name w:val="Strong"/>
    <w:basedOn w:val="Fuentedeprrafopredeter"/>
    <w:uiPriority w:val="22"/>
    <w:qFormat/>
    <w:rsid w:val="00122158"/>
    <w:rPr>
      <w:b/>
      <w:bCs/>
    </w:rPr>
  </w:style>
  <w:style w:type="character" w:styleId="Hipervnculo">
    <w:name w:val="Hyperlink"/>
    <w:uiPriority w:val="99"/>
    <w:rsid w:val="00E23458"/>
    <w:rPr>
      <w:color w:val="0000FF"/>
      <w:u w:val="single"/>
    </w:rPr>
  </w:style>
  <w:style w:type="character" w:customStyle="1" w:styleId="PrrafodelistaCar">
    <w:name w:val="Párrafo de lista Car"/>
    <w:aliases w:val="Sombreado vistoso - Énfasis 31 Car,Fotografía Car,Párrafo de lista1 Car,Bullet List Car,FooterText Car,numbered Car,Paragraphe de liste1 Car,lp1 Car,Scitum normal Car,HOJA Car,Bolita Car,Párrafo de lista4 Car,BOLADEF Car,BOLA Car"/>
    <w:link w:val="Prrafodelista"/>
    <w:uiPriority w:val="34"/>
    <w:qFormat/>
    <w:locked/>
    <w:rsid w:val="00CA6E95"/>
    <w:rPr>
      <w:rFonts w:eastAsiaTheme="minorHAnsi"/>
      <w:sz w:val="22"/>
      <w:szCs w:val="22"/>
      <w:lang w:val="es-CO" w:eastAsia="en-US"/>
    </w:rPr>
  </w:style>
  <w:style w:type="character" w:customStyle="1" w:styleId="DefaultCar">
    <w:name w:val="Default Car"/>
    <w:link w:val="Default"/>
    <w:locked/>
    <w:rsid w:val="00CA6E95"/>
    <w:rPr>
      <w:rFonts w:ascii="Arial" w:eastAsiaTheme="minorHAnsi" w:hAnsi="Arial" w:cs="Arial"/>
      <w:color w:val="000000"/>
      <w:lang w:val="es-ES" w:eastAsia="en-US"/>
    </w:rPr>
  </w:style>
  <w:style w:type="paragraph" w:styleId="Textodeglobo">
    <w:name w:val="Balloon Text"/>
    <w:basedOn w:val="Normal"/>
    <w:link w:val="TextodegloboCar"/>
    <w:uiPriority w:val="99"/>
    <w:semiHidden/>
    <w:unhideWhenUsed/>
    <w:rsid w:val="007F6EF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F6EFE"/>
    <w:rPr>
      <w:rFonts w:ascii="Lucida Grande" w:hAnsi="Lucida Grande" w:cs="Lucida Grande"/>
      <w:sz w:val="18"/>
      <w:szCs w:val="18"/>
    </w:rPr>
  </w:style>
  <w:style w:type="paragraph" w:styleId="NormalWeb">
    <w:name w:val="Normal (Web)"/>
    <w:basedOn w:val="Normal"/>
    <w:uiPriority w:val="99"/>
    <w:semiHidden/>
    <w:unhideWhenUsed/>
    <w:rsid w:val="00303AD5"/>
    <w:pPr>
      <w:spacing w:before="100" w:beforeAutospacing="1" w:after="100" w:afterAutospacing="1"/>
    </w:pPr>
    <w:rPr>
      <w:rFonts w:ascii="Times" w:hAnsi="Times" w:cs="Times New Roman"/>
      <w:sz w:val="20"/>
      <w:szCs w:val="20"/>
      <w:lang w:val="es-CO"/>
    </w:rPr>
  </w:style>
  <w:style w:type="character" w:customStyle="1" w:styleId="Ttulo1Car">
    <w:name w:val="Título 1 Car"/>
    <w:aliases w:val="Edgar 1 Car,MT1 Car,título 1 Car"/>
    <w:basedOn w:val="Fuentedeprrafopredeter"/>
    <w:link w:val="Ttulo1"/>
    <w:rsid w:val="001E3F24"/>
    <w:rPr>
      <w:rFonts w:ascii="Arial" w:eastAsia="Arial" w:hAnsi="Arial" w:cs="Arial"/>
      <w:b/>
      <w:bCs/>
      <w:sz w:val="22"/>
      <w:szCs w:val="22"/>
      <w:lang w:val="es-CO" w:eastAsia="en-US"/>
    </w:rPr>
  </w:style>
  <w:style w:type="character" w:customStyle="1" w:styleId="Ttulo3Car">
    <w:name w:val="Título 3 Car"/>
    <w:aliases w:val="Edgar 3 Car,Sous-titre (3) Car"/>
    <w:basedOn w:val="Fuentedeprrafopredeter"/>
    <w:link w:val="Ttulo3"/>
    <w:uiPriority w:val="9"/>
    <w:rsid w:val="001E3F24"/>
    <w:rPr>
      <w:rFonts w:ascii="Arial" w:eastAsia="Times New Roman" w:hAnsi="Arial" w:cs="Times New Roman"/>
      <w:b/>
      <w:color w:val="000000"/>
      <w:sz w:val="22"/>
      <w:szCs w:val="20"/>
      <w:lang w:val="es-CO"/>
    </w:rPr>
  </w:style>
  <w:style w:type="table" w:customStyle="1" w:styleId="Tablaconcuadrcula1">
    <w:name w:val="Tabla con cuadrícula1"/>
    <w:basedOn w:val="Tablanormal"/>
    <w:next w:val="Tablaconcuadrcula"/>
    <w:uiPriority w:val="59"/>
    <w:rsid w:val="00E47B4B"/>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4D6EA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50814">
      <w:bodyDiv w:val="1"/>
      <w:marLeft w:val="0"/>
      <w:marRight w:val="0"/>
      <w:marTop w:val="0"/>
      <w:marBottom w:val="0"/>
      <w:divBdr>
        <w:top w:val="none" w:sz="0" w:space="0" w:color="auto"/>
        <w:left w:val="none" w:sz="0" w:space="0" w:color="auto"/>
        <w:bottom w:val="none" w:sz="0" w:space="0" w:color="auto"/>
        <w:right w:val="none" w:sz="0" w:space="0" w:color="auto"/>
      </w:divBdr>
    </w:div>
    <w:div w:id="249312291">
      <w:bodyDiv w:val="1"/>
      <w:marLeft w:val="0"/>
      <w:marRight w:val="0"/>
      <w:marTop w:val="0"/>
      <w:marBottom w:val="0"/>
      <w:divBdr>
        <w:top w:val="none" w:sz="0" w:space="0" w:color="auto"/>
        <w:left w:val="none" w:sz="0" w:space="0" w:color="auto"/>
        <w:bottom w:val="none" w:sz="0" w:space="0" w:color="auto"/>
        <w:right w:val="none" w:sz="0" w:space="0" w:color="auto"/>
      </w:divBdr>
    </w:div>
    <w:div w:id="286816670">
      <w:bodyDiv w:val="1"/>
      <w:marLeft w:val="0"/>
      <w:marRight w:val="0"/>
      <w:marTop w:val="0"/>
      <w:marBottom w:val="0"/>
      <w:divBdr>
        <w:top w:val="none" w:sz="0" w:space="0" w:color="auto"/>
        <w:left w:val="none" w:sz="0" w:space="0" w:color="auto"/>
        <w:bottom w:val="none" w:sz="0" w:space="0" w:color="auto"/>
        <w:right w:val="none" w:sz="0" w:space="0" w:color="auto"/>
      </w:divBdr>
    </w:div>
    <w:div w:id="414597452">
      <w:bodyDiv w:val="1"/>
      <w:marLeft w:val="0"/>
      <w:marRight w:val="0"/>
      <w:marTop w:val="0"/>
      <w:marBottom w:val="0"/>
      <w:divBdr>
        <w:top w:val="none" w:sz="0" w:space="0" w:color="auto"/>
        <w:left w:val="none" w:sz="0" w:space="0" w:color="auto"/>
        <w:bottom w:val="none" w:sz="0" w:space="0" w:color="auto"/>
        <w:right w:val="none" w:sz="0" w:space="0" w:color="auto"/>
      </w:divBdr>
    </w:div>
    <w:div w:id="483200437">
      <w:bodyDiv w:val="1"/>
      <w:marLeft w:val="0"/>
      <w:marRight w:val="0"/>
      <w:marTop w:val="0"/>
      <w:marBottom w:val="0"/>
      <w:divBdr>
        <w:top w:val="none" w:sz="0" w:space="0" w:color="auto"/>
        <w:left w:val="none" w:sz="0" w:space="0" w:color="auto"/>
        <w:bottom w:val="none" w:sz="0" w:space="0" w:color="auto"/>
        <w:right w:val="none" w:sz="0" w:space="0" w:color="auto"/>
      </w:divBdr>
    </w:div>
    <w:div w:id="563182686">
      <w:bodyDiv w:val="1"/>
      <w:marLeft w:val="0"/>
      <w:marRight w:val="0"/>
      <w:marTop w:val="0"/>
      <w:marBottom w:val="0"/>
      <w:divBdr>
        <w:top w:val="none" w:sz="0" w:space="0" w:color="auto"/>
        <w:left w:val="none" w:sz="0" w:space="0" w:color="auto"/>
        <w:bottom w:val="none" w:sz="0" w:space="0" w:color="auto"/>
        <w:right w:val="none" w:sz="0" w:space="0" w:color="auto"/>
      </w:divBdr>
    </w:div>
    <w:div w:id="647561346">
      <w:bodyDiv w:val="1"/>
      <w:marLeft w:val="0"/>
      <w:marRight w:val="0"/>
      <w:marTop w:val="0"/>
      <w:marBottom w:val="0"/>
      <w:divBdr>
        <w:top w:val="none" w:sz="0" w:space="0" w:color="auto"/>
        <w:left w:val="none" w:sz="0" w:space="0" w:color="auto"/>
        <w:bottom w:val="none" w:sz="0" w:space="0" w:color="auto"/>
        <w:right w:val="none" w:sz="0" w:space="0" w:color="auto"/>
      </w:divBdr>
    </w:div>
    <w:div w:id="701445451">
      <w:bodyDiv w:val="1"/>
      <w:marLeft w:val="0"/>
      <w:marRight w:val="0"/>
      <w:marTop w:val="0"/>
      <w:marBottom w:val="0"/>
      <w:divBdr>
        <w:top w:val="none" w:sz="0" w:space="0" w:color="auto"/>
        <w:left w:val="none" w:sz="0" w:space="0" w:color="auto"/>
        <w:bottom w:val="none" w:sz="0" w:space="0" w:color="auto"/>
        <w:right w:val="none" w:sz="0" w:space="0" w:color="auto"/>
      </w:divBdr>
    </w:div>
    <w:div w:id="853029585">
      <w:bodyDiv w:val="1"/>
      <w:marLeft w:val="0"/>
      <w:marRight w:val="0"/>
      <w:marTop w:val="0"/>
      <w:marBottom w:val="0"/>
      <w:divBdr>
        <w:top w:val="none" w:sz="0" w:space="0" w:color="auto"/>
        <w:left w:val="none" w:sz="0" w:space="0" w:color="auto"/>
        <w:bottom w:val="none" w:sz="0" w:space="0" w:color="auto"/>
        <w:right w:val="none" w:sz="0" w:space="0" w:color="auto"/>
      </w:divBdr>
    </w:div>
    <w:div w:id="1039622230">
      <w:bodyDiv w:val="1"/>
      <w:marLeft w:val="0"/>
      <w:marRight w:val="0"/>
      <w:marTop w:val="0"/>
      <w:marBottom w:val="0"/>
      <w:divBdr>
        <w:top w:val="none" w:sz="0" w:space="0" w:color="auto"/>
        <w:left w:val="none" w:sz="0" w:space="0" w:color="auto"/>
        <w:bottom w:val="none" w:sz="0" w:space="0" w:color="auto"/>
        <w:right w:val="none" w:sz="0" w:space="0" w:color="auto"/>
      </w:divBdr>
    </w:div>
    <w:div w:id="1054045376">
      <w:bodyDiv w:val="1"/>
      <w:marLeft w:val="0"/>
      <w:marRight w:val="0"/>
      <w:marTop w:val="0"/>
      <w:marBottom w:val="0"/>
      <w:divBdr>
        <w:top w:val="none" w:sz="0" w:space="0" w:color="auto"/>
        <w:left w:val="none" w:sz="0" w:space="0" w:color="auto"/>
        <w:bottom w:val="none" w:sz="0" w:space="0" w:color="auto"/>
        <w:right w:val="none" w:sz="0" w:space="0" w:color="auto"/>
      </w:divBdr>
    </w:div>
    <w:div w:id="1247231603">
      <w:bodyDiv w:val="1"/>
      <w:marLeft w:val="0"/>
      <w:marRight w:val="0"/>
      <w:marTop w:val="0"/>
      <w:marBottom w:val="0"/>
      <w:divBdr>
        <w:top w:val="none" w:sz="0" w:space="0" w:color="auto"/>
        <w:left w:val="none" w:sz="0" w:space="0" w:color="auto"/>
        <w:bottom w:val="none" w:sz="0" w:space="0" w:color="auto"/>
        <w:right w:val="none" w:sz="0" w:space="0" w:color="auto"/>
      </w:divBdr>
    </w:div>
    <w:div w:id="1290820324">
      <w:bodyDiv w:val="1"/>
      <w:marLeft w:val="0"/>
      <w:marRight w:val="0"/>
      <w:marTop w:val="0"/>
      <w:marBottom w:val="0"/>
      <w:divBdr>
        <w:top w:val="none" w:sz="0" w:space="0" w:color="auto"/>
        <w:left w:val="none" w:sz="0" w:space="0" w:color="auto"/>
        <w:bottom w:val="none" w:sz="0" w:space="0" w:color="auto"/>
        <w:right w:val="none" w:sz="0" w:space="0" w:color="auto"/>
      </w:divBdr>
    </w:div>
    <w:div w:id="1559705137">
      <w:bodyDiv w:val="1"/>
      <w:marLeft w:val="0"/>
      <w:marRight w:val="0"/>
      <w:marTop w:val="0"/>
      <w:marBottom w:val="0"/>
      <w:divBdr>
        <w:top w:val="none" w:sz="0" w:space="0" w:color="auto"/>
        <w:left w:val="none" w:sz="0" w:space="0" w:color="auto"/>
        <w:bottom w:val="none" w:sz="0" w:space="0" w:color="auto"/>
        <w:right w:val="none" w:sz="0" w:space="0" w:color="auto"/>
      </w:divBdr>
    </w:div>
    <w:div w:id="1636255474">
      <w:bodyDiv w:val="1"/>
      <w:marLeft w:val="0"/>
      <w:marRight w:val="0"/>
      <w:marTop w:val="0"/>
      <w:marBottom w:val="0"/>
      <w:divBdr>
        <w:top w:val="none" w:sz="0" w:space="0" w:color="auto"/>
        <w:left w:val="none" w:sz="0" w:space="0" w:color="auto"/>
        <w:bottom w:val="none" w:sz="0" w:space="0" w:color="auto"/>
        <w:right w:val="none" w:sz="0" w:space="0" w:color="auto"/>
      </w:divBdr>
    </w:div>
    <w:div w:id="1774208457">
      <w:bodyDiv w:val="1"/>
      <w:marLeft w:val="0"/>
      <w:marRight w:val="0"/>
      <w:marTop w:val="0"/>
      <w:marBottom w:val="0"/>
      <w:divBdr>
        <w:top w:val="none" w:sz="0" w:space="0" w:color="auto"/>
        <w:left w:val="none" w:sz="0" w:space="0" w:color="auto"/>
        <w:bottom w:val="none" w:sz="0" w:space="0" w:color="auto"/>
        <w:right w:val="none" w:sz="0" w:space="0" w:color="auto"/>
      </w:divBdr>
    </w:div>
    <w:div w:id="1796291292">
      <w:bodyDiv w:val="1"/>
      <w:marLeft w:val="0"/>
      <w:marRight w:val="0"/>
      <w:marTop w:val="0"/>
      <w:marBottom w:val="0"/>
      <w:divBdr>
        <w:top w:val="none" w:sz="0" w:space="0" w:color="auto"/>
        <w:left w:val="none" w:sz="0" w:space="0" w:color="auto"/>
        <w:bottom w:val="none" w:sz="0" w:space="0" w:color="auto"/>
        <w:right w:val="none" w:sz="0" w:space="0" w:color="auto"/>
      </w:divBdr>
    </w:div>
    <w:div w:id="1870141045">
      <w:bodyDiv w:val="1"/>
      <w:marLeft w:val="0"/>
      <w:marRight w:val="0"/>
      <w:marTop w:val="0"/>
      <w:marBottom w:val="0"/>
      <w:divBdr>
        <w:top w:val="none" w:sz="0" w:space="0" w:color="auto"/>
        <w:left w:val="none" w:sz="0" w:space="0" w:color="auto"/>
        <w:bottom w:val="none" w:sz="0" w:space="0" w:color="auto"/>
        <w:right w:val="none" w:sz="0" w:space="0" w:color="auto"/>
      </w:divBdr>
    </w:div>
    <w:div w:id="20181187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hyperlink" Target="http://www.dnp.gov.co"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alcaldiabogota.gov.co/sisjur/normas/Norma1.jsp?i=39255" TargetMode="External"/><Relationship Id="rId25" Type="http://schemas.openxmlformats.org/officeDocument/2006/relationships/hyperlink" Target="http://www.dane.gov.co/"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cvalledupar.org.co/"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banrep.gov.co/" TargetMode="External"/><Relationship Id="rId28"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www.colombiacompra.gov.co"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lcaldiabosconia@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6.emf"/><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5A3E5-57DA-024F-8A1A-66206C3E6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4753</Words>
  <Characters>26145</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David Marrugo Simancas</cp:lastModifiedBy>
  <cp:revision>21</cp:revision>
  <dcterms:created xsi:type="dcterms:W3CDTF">2024-06-17T15:17:00Z</dcterms:created>
  <dcterms:modified xsi:type="dcterms:W3CDTF">2026-10-21T21:31:00Z</dcterms:modified>
</cp:coreProperties>
</file>