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46344" w:rsidRPr="00C14360" w:rsidRDefault="00646344" w:rsidP="00646344">
      <w:pPr>
        <w:rPr>
          <w:rFonts w:ascii="Verdana" w:hAnsi="Verdana"/>
          <w:sz w:val="22"/>
        </w:rPr>
      </w:pPr>
      <w:r w:rsidRPr="00C14360">
        <w:rPr>
          <w:rFonts w:ascii="Verdana" w:hAnsi="Verdana"/>
          <w:sz w:val="22"/>
        </w:rPr>
        <w:t xml:space="preserve">PE-SAMC-156-2026 </w:t>
      </w:r>
    </w:p>
    <w:p w:rsidR="00646344" w:rsidRPr="00C14360" w:rsidRDefault="00646344" w:rsidP="00646344">
      <w:pPr>
        <w:rPr>
          <w:rFonts w:ascii="Verdana" w:hAnsi="Verdana"/>
          <w:sz w:val="22"/>
        </w:rPr>
      </w:pPr>
    </w:p>
    <w:p w:rsidR="00646344" w:rsidRPr="00C14360" w:rsidRDefault="00646344" w:rsidP="00646344">
      <w:pPr>
        <w:jc w:val="right"/>
        <w:rPr>
          <w:rFonts w:ascii="Verdana" w:hAnsi="Verdana"/>
          <w:b/>
          <w:bCs/>
          <w:sz w:val="22"/>
          <w:lang w:val="es-ES"/>
        </w:rPr>
      </w:pPr>
    </w:p>
    <w:p w:rsidR="00646344" w:rsidRPr="00C14360" w:rsidRDefault="00646344" w:rsidP="00646344">
      <w:pPr>
        <w:pStyle w:val="Ttulo"/>
        <w:rPr>
          <w:rFonts w:ascii="Verdana" w:hAnsi="Verdana"/>
          <w:sz w:val="22"/>
          <w:lang w:val="es-ES"/>
        </w:rPr>
      </w:pPr>
      <w:r w:rsidRPr="00C14360">
        <w:rPr>
          <w:rFonts w:ascii="Verdana" w:hAnsi="Verdana"/>
          <w:sz w:val="22"/>
          <w:lang w:val="es-ES"/>
        </w:rPr>
        <w:t>ANEXO 1 — ANEXO TÉCNICO</w:t>
      </w:r>
      <w:r w:rsidR="00EB591F" w:rsidRPr="00C14360">
        <w:rPr>
          <w:rFonts w:ascii="Verdana" w:hAnsi="Verdana"/>
          <w:sz w:val="22"/>
          <w:lang w:val="es-ES"/>
        </w:rPr>
        <w:t xml:space="preserve"> </w:t>
      </w:r>
    </w:p>
    <w:p w:rsidR="00646344" w:rsidRPr="00C14360" w:rsidRDefault="00646344" w:rsidP="00646344">
      <w:pPr>
        <w:rPr>
          <w:rFonts w:ascii="Verdana" w:hAnsi="Verdana"/>
          <w:sz w:val="22"/>
          <w:lang w:val="es-ES"/>
        </w:rPr>
      </w:pPr>
    </w:p>
    <w:p w:rsidR="00142C3C" w:rsidRPr="00C14360" w:rsidRDefault="00142C3C" w:rsidP="00646344">
      <w:pPr>
        <w:rPr>
          <w:rFonts w:ascii="Verdana" w:hAnsi="Verdana"/>
          <w:sz w:val="22"/>
        </w:rPr>
      </w:pPr>
    </w:p>
    <w:p w:rsidR="00B84AD1" w:rsidRPr="00C14360" w:rsidRDefault="00B84AD1" w:rsidP="00B84AD1">
      <w:pPr>
        <w:rPr>
          <w:rFonts w:ascii="Verdana" w:hAnsi="Verdana"/>
          <w:sz w:val="22"/>
        </w:rPr>
      </w:pPr>
    </w:p>
    <w:p w:rsidR="000D7027" w:rsidRPr="00C14360" w:rsidRDefault="000D7027" w:rsidP="00646344">
      <w:pPr>
        <w:rPr>
          <w:rFonts w:ascii="Verdana" w:hAnsi="Verdana"/>
          <w:sz w:val="22"/>
        </w:rPr>
      </w:pPr>
    </w:p>
    <w:p w:rsidR="00646344" w:rsidRPr="00C14360" w:rsidRDefault="00646344" w:rsidP="00646344">
      <w:pPr>
        <w:jc w:val="center"/>
        <w:rPr>
          <w:rFonts w:ascii="Verdana" w:hAnsi="Verdana"/>
          <w:b/>
          <w:sz w:val="22"/>
        </w:rPr>
      </w:pPr>
      <w:r w:rsidRPr="00C14360">
        <w:rPr>
          <w:rFonts w:ascii="Verdana" w:hAnsi="Verdana"/>
          <w:b/>
          <w:sz w:val="22"/>
        </w:rPr>
        <w:t>ADECUACIÓN, REMODELACIÓN Y MEJORAS DE INFRAESTRUCTURA FÍSICA, ELÉCTRICA Y DE VOZ Y DATOS DEL PISO 3 EDIFICIO PERSONERÍA DE PEREIRA</w:t>
      </w:r>
    </w:p>
    <w:p w:rsidR="00142C3C" w:rsidRPr="00C14360" w:rsidRDefault="00142C3C" w:rsidP="00142C3C">
      <w:pPr>
        <w:rPr>
          <w:rFonts w:ascii="Verdana" w:hAnsi="Verdana"/>
          <w:sz w:val="22"/>
        </w:rPr>
      </w:pPr>
    </w:p>
    <w:p w:rsidR="00646344" w:rsidRPr="00C14360" w:rsidRDefault="00646344" w:rsidP="00646344">
      <w:pPr>
        <w:pStyle w:val="Ttulo1"/>
        <w:rPr>
          <w:rFonts w:ascii="Verdana" w:hAnsi="Verdana"/>
          <w:sz w:val="22"/>
          <w:szCs w:val="22"/>
        </w:rPr>
      </w:pPr>
      <w:r w:rsidRPr="00C14360">
        <w:rPr>
          <w:rFonts w:ascii="Verdana" w:hAnsi="Verdana"/>
          <w:sz w:val="22"/>
          <w:szCs w:val="22"/>
        </w:rPr>
        <w:t>Descripción del proyecto</w:t>
      </w:r>
    </w:p>
    <w:p w:rsidR="00646344" w:rsidRPr="00C14360" w:rsidRDefault="00646344" w:rsidP="00646344">
      <w:pPr>
        <w:rPr>
          <w:rFonts w:ascii="Verdana" w:hAnsi="Verdana"/>
          <w:sz w:val="22"/>
        </w:rPr>
      </w:pPr>
    </w:p>
    <w:p w:rsidR="0011776A" w:rsidRPr="00C14360" w:rsidRDefault="00646344" w:rsidP="00646344">
      <w:pPr>
        <w:rPr>
          <w:rFonts w:ascii="Verdana" w:hAnsi="Verdana"/>
          <w:sz w:val="22"/>
        </w:rPr>
      </w:pPr>
      <w:r w:rsidRPr="00C14360">
        <w:rPr>
          <w:rFonts w:ascii="Verdana" w:hAnsi="Verdana"/>
          <w:sz w:val="22"/>
        </w:rPr>
        <w:t>La Personería Municipal de Pereira desarrolla sus funciones en la sede ubicada en la Calle 25 No. 7-48, Unidad Administrativa El Lago, zona urbana de Pereira (Risaralda), donde ocupa los pisos tercero y cuarto, entregados por el Municipio de Pereira mediante contrato de comodato del 17 de enero de 2024 por cinco (5) años, que contempla la posibilidad de efectuar las mejoras necesarias para el adecuado funcionamiento del inmueble.</w:t>
      </w:r>
    </w:p>
    <w:p w:rsidR="0011776A" w:rsidRPr="00C14360" w:rsidRDefault="0011776A" w:rsidP="00646344">
      <w:pPr>
        <w:rPr>
          <w:rFonts w:ascii="Verdana" w:hAnsi="Verdana"/>
          <w:sz w:val="22"/>
        </w:rPr>
      </w:pPr>
    </w:p>
    <w:p w:rsidR="00646344" w:rsidRPr="00C14360" w:rsidRDefault="00646344" w:rsidP="00646344">
      <w:pPr>
        <w:rPr>
          <w:rFonts w:ascii="Verdana" w:hAnsi="Verdana"/>
          <w:sz w:val="22"/>
        </w:rPr>
      </w:pPr>
      <w:r w:rsidRPr="00C14360">
        <w:rPr>
          <w:rFonts w:ascii="Verdana" w:hAnsi="Verdana"/>
          <w:sz w:val="22"/>
        </w:rPr>
        <w:t>El proyecto interviene el piso 3 de la sede (área de referencia de 264,5 m²) para reparar los daños no estructurales que causó el sismo del 10 de agosto de 2026 y adecuar sus componentes físicos, eléctricos y de voz y datos, con el fin de restablecer la atención al público, habilitar las áreas de la Oficina del Centro de Conciliación y Solución de Conflictos creada mediante el Acuerdo No. 18 de 2026 del Concejo Municipal de Pereira y mejorar las condiciones de organización y almacenamiento documental (Ley 594 de 2000). La intervención comprende la ejecución coordinada de obras, suministros, transporte, instalación, mano de obra, equipos y herramientas conforme al presupuesto oficial 2026.</w:t>
      </w:r>
    </w:p>
    <w:p w:rsidR="00646344" w:rsidRPr="00C14360" w:rsidRDefault="00646344" w:rsidP="00646344">
      <w:pPr>
        <w:rPr>
          <w:rFonts w:ascii="Verdana" w:hAnsi="Verdana"/>
          <w:sz w:val="22"/>
        </w:rPr>
      </w:pPr>
    </w:p>
    <w:p w:rsidR="00646344" w:rsidRPr="00C14360" w:rsidRDefault="00C35D5C" w:rsidP="00646344">
      <w:pPr>
        <w:pStyle w:val="Ttulo1"/>
        <w:rPr>
          <w:rFonts w:ascii="Verdana" w:hAnsi="Verdana"/>
          <w:sz w:val="22"/>
          <w:szCs w:val="22"/>
        </w:rPr>
      </w:pPr>
      <w:r w:rsidRPr="00C14360">
        <w:rPr>
          <w:rFonts w:ascii="Verdana" w:hAnsi="Verdana"/>
          <w:sz w:val="22"/>
          <w:szCs w:val="22"/>
        </w:rPr>
        <w:t>D</w:t>
      </w:r>
      <w:r w:rsidR="00646344" w:rsidRPr="00C14360">
        <w:rPr>
          <w:rFonts w:ascii="Verdana" w:hAnsi="Verdana"/>
          <w:sz w:val="22"/>
          <w:szCs w:val="22"/>
        </w:rPr>
        <w:t>escripción de las condiciones actuales a intervenir</w:t>
      </w:r>
    </w:p>
    <w:p w:rsidR="00646344" w:rsidRPr="00C14360" w:rsidRDefault="00646344" w:rsidP="00646344">
      <w:pPr>
        <w:rPr>
          <w:rFonts w:ascii="Verdana" w:hAnsi="Verdana"/>
          <w:sz w:val="22"/>
        </w:rPr>
      </w:pPr>
    </w:p>
    <w:p w:rsidR="0081719E" w:rsidRPr="00C14360" w:rsidRDefault="00646344" w:rsidP="00646344">
      <w:pPr>
        <w:rPr>
          <w:rFonts w:ascii="Verdana" w:hAnsi="Verdana"/>
          <w:sz w:val="22"/>
        </w:rPr>
      </w:pPr>
      <w:r w:rsidRPr="00C14360">
        <w:rPr>
          <w:rFonts w:ascii="Verdana" w:hAnsi="Verdana"/>
          <w:sz w:val="22"/>
        </w:rPr>
        <w:t>Según el informe técnico de inspección elaborado después del sismo del 10 de agosto de 2026 (magnitud 7,4 Mw), el tercer piso presentó daños en elementos no estructurales: agrietamiento de muros divisorios en mampostería no confinada, desprendimiento del pañete de la cara inferior de la placa y fisuras en el cielo raso. El mismo informe señala que las afectaciones observadas no comprometen el comportamiento de la estructura principal del edificio. Como consecuencia, el tercer piso se encuentra fuera de servicio y la Personería concentra su operación y la atención al público en el cuarto piso.</w:t>
      </w:r>
    </w:p>
    <w:p w:rsidR="0081719E" w:rsidRPr="00C14360" w:rsidRDefault="0081719E" w:rsidP="00646344">
      <w:pPr>
        <w:rPr>
          <w:rFonts w:ascii="Verdana" w:hAnsi="Verdana"/>
          <w:sz w:val="22"/>
        </w:rPr>
      </w:pPr>
    </w:p>
    <w:p w:rsidR="00646344" w:rsidRPr="00C14360" w:rsidRDefault="0081719E" w:rsidP="00646344">
      <w:pPr>
        <w:rPr>
          <w:rFonts w:ascii="Verdana" w:hAnsi="Verdana"/>
          <w:sz w:val="22"/>
        </w:rPr>
      </w:pPr>
      <w:r w:rsidRPr="00C14360">
        <w:rPr>
          <w:rFonts w:ascii="Verdana" w:hAnsi="Verdana"/>
          <w:sz w:val="22"/>
        </w:rPr>
        <w:lastRenderedPageBreak/>
        <w:t>La Entidad entregará al Contratista el informe técnico de inspección visual post-sismo de los pisos 3 y 4 (octubre de 2026), el informe de control de verticalidad del edificio (22 de agosto de 2026) y los planos y diseños que integren formalmente el Proceso de Contratación.</w:t>
      </w:r>
      <w:r>
        <w:rPr>
          <w:b/>
          <w:color w:val="C00000"/>
          <w:highlight w:val="yellow"/>
        </w:rPr>
        <w:t xml:space="preserve"> </w:t>
      </w:r>
    </w:p>
    <w:p w:rsidR="00646344" w:rsidRPr="00C14360" w:rsidRDefault="00646344" w:rsidP="00646344">
      <w:pPr>
        <w:rPr>
          <w:rFonts w:ascii="Verdana" w:hAnsi="Verdana"/>
          <w:sz w:val="22"/>
        </w:rPr>
      </w:pPr>
    </w:p>
    <w:p w:rsidR="00DD01B5" w:rsidRPr="00C14360" w:rsidRDefault="00DD01B5" w:rsidP="00646344">
      <w:pPr>
        <w:rPr>
          <w:rFonts w:ascii="Verdana" w:hAnsi="Verdana"/>
          <w:sz w:val="22"/>
        </w:rPr>
      </w:pPr>
      <w:r w:rsidRPr="00C14360">
        <w:rPr>
          <w:rFonts w:ascii="Verdana" w:hAnsi="Verdana"/>
          <w:sz w:val="22"/>
        </w:rPr>
        <w:t>El alcance de la reparación se limita a elementos no estructurales y acabados: reposición de los muros divisorios afectados con muros en estructura liviana de placa de fibrocemento con junta de separación respecto de la estructura (NSR-10, capítulo A.9), resane de la cara inferior de la placa con mortero modificado en las zonas con pañete desprendido o suelto, resane de fisuras del cielo raso y retiro y disposición final de sobrantes (capítulo 6 del presupuesto). No hacen parte del alcance intervenciones sobre columnas, vigas, nudos o placas de la estructura portante.</w:t>
      </w:r>
    </w:p>
    <w:p w:rsidR="00374952" w:rsidRPr="00C14360" w:rsidRDefault="00374952" w:rsidP="00646344">
      <w:pPr>
        <w:rPr>
          <w:rFonts w:ascii="Verdana" w:hAnsi="Verdana"/>
          <w:sz w:val="22"/>
        </w:rPr>
      </w:pPr>
    </w:p>
    <w:p w:rsidR="00646344" w:rsidRPr="00C14360" w:rsidRDefault="00646344" w:rsidP="00646344">
      <w:pPr>
        <w:pStyle w:val="Ttulo2"/>
        <w:rPr>
          <w:rFonts w:ascii="Verdana" w:hAnsi="Verdana"/>
          <w:sz w:val="22"/>
          <w:szCs w:val="22"/>
        </w:rPr>
      </w:pPr>
      <w:r w:rsidRPr="00C14360">
        <w:rPr>
          <w:rFonts w:ascii="Verdana" w:hAnsi="Verdana"/>
          <w:sz w:val="22"/>
          <w:szCs w:val="22"/>
        </w:rPr>
        <w:t xml:space="preserve">Localización </w:t>
      </w:r>
    </w:p>
    <w:p w:rsidR="00646344" w:rsidRPr="00C14360" w:rsidRDefault="00646344" w:rsidP="00646344">
      <w:pPr>
        <w:rPr>
          <w:rFonts w:ascii="Verdana" w:hAnsi="Verdana"/>
          <w:sz w:val="22"/>
        </w:rPr>
      </w:pPr>
    </w:p>
    <w:p w:rsidR="00646344" w:rsidRDefault="00646344" w:rsidP="00646344">
      <w:pPr>
        <w:jc w:val="center"/>
        <w:rPr>
          <w:b/>
          <w:color w:val="C00000"/>
        </w:rPr>
      </w:pPr>
      <w:r w:rsidRPr="00C14360">
        <w:rPr>
          <w:rFonts w:ascii="Verdana" w:hAnsi="Verdana"/>
          <w:sz w:val="22"/>
        </w:rPr>
        <w:t>El proyecto se localiza en el piso 3 del edificio de la Unidad Administrativa El Lago, Calle 25 No. 7-48, zona urbana del municipio de Pereira (Risaralda).</w:t>
      </w:r>
      <w:r>
        <w:rPr>
          <w:b/>
          <w:color w:val="C00000"/>
          <w:highlight w:val="yellow"/>
        </w:rPr>
        <w:t xml:space="preserve"> </w:t>
      </w:r>
    </w:p>
    <w:p w:rsidR="008A3F5D" w:rsidRPr="00C14360" w:rsidRDefault="008A3F5D" w:rsidP="00646344">
      <w:pPr>
        <w:jc w:val="center"/>
        <w:rPr>
          <w:rFonts w:ascii="Verdana" w:hAnsi="Verdana"/>
          <w:sz w:val="22"/>
        </w:rPr>
      </w:pPr>
    </w:p>
    <w:p w:rsidR="00646344" w:rsidRPr="00C14360" w:rsidRDefault="00646344" w:rsidP="00646344">
      <w:pPr>
        <w:jc w:val="center"/>
        <w:rPr>
          <w:rFonts w:ascii="Verdana" w:hAnsi="Verdana"/>
          <w:sz w:val="22"/>
        </w:rPr>
      </w:pPr>
      <w:r w:rsidRPr="00C14360">
        <w:rPr>
          <w:rFonts w:ascii="Verdana" w:hAnsi="Verdana"/>
          <w:sz w:val="22"/>
        </w:rPr>
        <w:t>Figura 1.1. Localización del proyecto – Unidad Administrativa El Lago, Pereira.</w:t>
      </w:r>
    </w:p>
    <w:p w:rsidR="00646344" w:rsidRPr="00C14360" w:rsidRDefault="00646344" w:rsidP="00646344">
      <w:pPr>
        <w:jc w:val="center"/>
        <w:rPr>
          <w:rFonts w:ascii="Verdana" w:hAnsi="Verdana"/>
          <w:sz w:val="22"/>
        </w:rPr>
      </w:pPr>
    </w:p>
    <w:p w:rsidR="00646344" w:rsidRPr="00C14360" w:rsidRDefault="00CF369B" w:rsidP="00A0364A">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rsidR="00A0364A" w:rsidRPr="00C14360" w:rsidRDefault="00A0364A" w:rsidP="00A0364A">
      <w:pPr>
        <w:rPr>
          <w:rFonts w:ascii="Verdana" w:hAnsi="Verdana"/>
          <w:sz w:val="22"/>
        </w:rPr>
      </w:pPr>
    </w:p>
    <w:p w:rsidR="00A0364A" w:rsidRPr="00C14360" w:rsidRDefault="00A0364A" w:rsidP="00A0364A">
      <w:pPr>
        <w:rPr>
          <w:rFonts w:ascii="Verdana" w:hAnsi="Verdana"/>
          <w:sz w:val="22"/>
        </w:rPr>
      </w:pPr>
      <w:r w:rsidRPr="00C14360">
        <w:rPr>
          <w:rFonts w:ascii="Verdana" w:hAnsi="Verdana"/>
          <w:sz w:val="22"/>
        </w:rPr>
        <w:t xml:space="preserve">Las actividades u obras a ejecutar son las siguientes: </w:t>
      </w:r>
    </w:p>
    <w:p w:rsidR="00374952" w:rsidRPr="00C14360" w:rsidRDefault="00374952" w:rsidP="00A0364A">
      <w:pPr>
        <w:rPr>
          <w:rFonts w:ascii="Verdana" w:hAnsi="Verdana"/>
          <w:sz w:val="22"/>
        </w:rPr>
      </w:pPr>
    </w:p>
    <w:p w:rsidR="00A0364A" w:rsidRPr="00C14360" w:rsidRDefault="00A0364A" w:rsidP="00A0364A">
      <w:pPr>
        <w:rPr>
          <w:rFonts w:ascii="Verdana" w:hAnsi="Verdana"/>
          <w:sz w:val="22"/>
        </w:rPr>
      </w:pPr>
      <w:r w:rsidRPr="00C14360">
        <w:rPr>
          <w:rFonts w:ascii="Verdana" w:hAnsi="Verdana"/>
          <w:sz w:val="22"/>
        </w:rPr>
        <w:t>Capítulo 1 – Desmonte: localización y replanteo, desmonte de puertas y divisiones, aseo de obra.</w:t>
      </w:r>
    </w:p>
    <w:p w:rsidR="00A0364A" w:rsidRPr="00C14360" w:rsidRDefault="00A0364A" w:rsidP="00A0364A">
      <w:pPr>
        <w:rPr>
          <w:rFonts w:ascii="Verdana" w:hAnsi="Verdana"/>
          <w:sz w:val="22"/>
        </w:rPr>
      </w:pPr>
      <w:r w:rsidRPr="00C14360">
        <w:rPr>
          <w:rFonts w:ascii="Verdana" w:hAnsi="Verdana"/>
          <w:sz w:val="22"/>
        </w:rPr>
        <w:t>Capítulo 2 – Pisos: nivelación de superficie, piso vinílico antideslizante de tráfico alto, bocapuertas en granito y guardaescobas.</w:t>
      </w:r>
    </w:p>
    <w:p w:rsidR="00A0364A" w:rsidRPr="00C14360" w:rsidRDefault="00A0364A" w:rsidP="00A0364A">
      <w:pPr>
        <w:rPr>
          <w:rFonts w:ascii="Verdana" w:hAnsi="Verdana"/>
          <w:sz w:val="22"/>
        </w:rPr>
      </w:pPr>
      <w:r w:rsidRPr="00C14360">
        <w:rPr>
          <w:rFonts w:ascii="Verdana" w:hAnsi="Verdana"/>
          <w:sz w:val="22"/>
        </w:rPr>
        <w:t>Capítulo 3 – Acabados: lámina WPC, listones de madera, persianas, reinstalación de panelería, estuco y pintura de muros y cielo raso, pintura de estructura metálica, puertas batientes en vidrio templado y archivo rodante metálico.</w:t>
      </w:r>
    </w:p>
    <w:p w:rsidR="00A0364A" w:rsidRPr="00C14360" w:rsidRDefault="00A0364A" w:rsidP="00A0364A">
      <w:pPr>
        <w:rPr>
          <w:rFonts w:ascii="Verdana" w:hAnsi="Verdana"/>
          <w:sz w:val="22"/>
        </w:rPr>
      </w:pPr>
      <w:r w:rsidRPr="00C14360">
        <w:rPr>
          <w:rFonts w:ascii="Verdana" w:hAnsi="Verdana"/>
          <w:sz w:val="22"/>
        </w:rPr>
        <w:t>Capítulo 4 – Instalación eléctrica: salidas de tomacorriente, interruptores e iluminación, acometida libre de halógenos y luminarias LED.</w:t>
      </w:r>
    </w:p>
    <w:p w:rsidR="00A0364A" w:rsidRPr="00C14360" w:rsidRDefault="00A0364A" w:rsidP="00A0364A">
      <w:pPr>
        <w:rPr>
          <w:rFonts w:ascii="Verdana" w:hAnsi="Verdana"/>
          <w:sz w:val="22"/>
        </w:rPr>
      </w:pPr>
      <w:r w:rsidRPr="00C14360">
        <w:rPr>
          <w:rFonts w:ascii="Verdana" w:hAnsi="Verdana"/>
          <w:sz w:val="22"/>
        </w:rPr>
        <w:t>Capítulo 5 – Cableado estructurado: switches, acometida y puntos de red regulada, bandeja portacables, canaleta metálica, puntos de datos categoría 6A y tablero trifásico.</w:t>
      </w:r>
    </w:p>
    <w:p w:rsidR="00A0364A" w:rsidRPr="00C14360" w:rsidRDefault="00A0364A" w:rsidP="00A0364A">
      <w:pPr>
        <w:rPr>
          <w:rFonts w:ascii="Verdana" w:hAnsi="Verdana"/>
          <w:sz w:val="22"/>
        </w:rPr>
      </w:pPr>
      <w:r w:rsidRPr="00C14360">
        <w:rPr>
          <w:rFonts w:ascii="Verdana" w:hAnsi="Verdana"/>
          <w:sz w:val="22"/>
        </w:rPr>
        <w:t>Capítulo 6 – Reparación de daños del sismo: muro en estructura liviana con placa de fibrocemento, tratamiento de juntas, junta de separación perimetral, resane de placa, resane de fisuras de cielo raso y retiro de sobrantes.</w:t>
      </w:r>
    </w:p>
    <w:p w:rsidR="00A0364A" w:rsidRPr="00C14360" w:rsidRDefault="00A0364A" w:rsidP="00A0364A">
      <w:pPr>
        <w:rPr>
          <w:rFonts w:ascii="Verdana" w:hAnsi="Verdana"/>
          <w:sz w:val="22"/>
        </w:rPr>
      </w:pPr>
      <w:r w:rsidRPr="00C14360">
        <w:rPr>
          <w:rFonts w:ascii="Verdana" w:hAnsi="Verdana"/>
          <w:sz w:val="22"/>
        </w:rPr>
        <w:t>Capítulo 7 – Suministros: sillas ergonómicas, mesa de juntas y grommet de conexiones.</w:t>
      </w:r>
    </w:p>
    <w:p w:rsidR="00646344" w:rsidRPr="00C14360" w:rsidRDefault="00646344" w:rsidP="00646344">
      <w:pPr>
        <w:rPr>
          <w:rFonts w:ascii="Verdana" w:hAnsi="Verdana"/>
          <w:sz w:val="22"/>
        </w:rPr>
      </w:pPr>
    </w:p>
    <w:p w:rsidR="003A42BA" w:rsidRPr="00C14360" w:rsidRDefault="003A42BA" w:rsidP="4B8AB082">
      <w:pPr>
        <w:rPr>
          <w:rFonts w:ascii="Verdana" w:hAnsi="Verdana"/>
          <w:sz w:val="22"/>
        </w:rPr>
      </w:pPr>
      <w:r w:rsidRPr="00C14360">
        <w:rPr>
          <w:rFonts w:ascii="Verdana" w:hAnsi="Verdana"/>
          <w:sz w:val="22"/>
        </w:rPr>
        <w:lastRenderedPageBreak/>
        <w:t>Las cantidades, unidades y descripción de cada ítem son las del Formulario 1 – Presupuesto Oficial. Ninguna discrepancia documental autoriza cambios unilaterales de cantidad, especificación, precio, plazo o alcance.</w:t>
      </w:r>
    </w:p>
    <w:p w:rsidR="001918FE" w:rsidRPr="00C14360" w:rsidRDefault="001918FE" w:rsidP="00646344">
      <w:pPr>
        <w:rPr>
          <w:rFonts w:ascii="Verdana" w:hAnsi="Verdana"/>
          <w:sz w:val="22"/>
        </w:rPr>
      </w:pPr>
    </w:p>
    <w:p w:rsidR="009712D3" w:rsidRPr="00C14360" w:rsidRDefault="009712D3" w:rsidP="00925DDB">
      <w:pPr>
        <w:pStyle w:val="Ttulo2"/>
        <w:rPr>
          <w:rFonts w:ascii="Verdana" w:hAnsi="Verdana"/>
          <w:sz w:val="22"/>
          <w:szCs w:val="22"/>
        </w:rPr>
      </w:pPr>
      <w:r w:rsidRPr="00C14360">
        <w:rPr>
          <w:rFonts w:ascii="Verdana" w:hAnsi="Verdana"/>
          <w:sz w:val="22"/>
          <w:szCs w:val="22"/>
        </w:rPr>
        <w:t>Fases y etapas del proyecto</w:t>
      </w:r>
    </w:p>
    <w:p w:rsidR="006F0CA6" w:rsidRPr="00C14360" w:rsidRDefault="006F0CA6" w:rsidP="00633EEA">
      <w:pPr>
        <w:rPr>
          <w:rFonts w:ascii="Verdana" w:hAnsi="Verdana"/>
          <w:sz w:val="22"/>
        </w:rPr>
      </w:pPr>
    </w:p>
    <w:p w:rsidR="009712D3" w:rsidRPr="00C14360" w:rsidRDefault="009712D3" w:rsidP="009712D3">
      <w:pPr>
        <w:rPr>
          <w:rFonts w:ascii="Verdana" w:hAnsi="Verdana"/>
          <w:sz w:val="22"/>
        </w:rPr>
      </w:pPr>
      <w:r w:rsidRPr="00C14360">
        <w:rPr>
          <w:rFonts w:ascii="Verdana" w:hAnsi="Verdana"/>
          <w:sz w:val="22"/>
        </w:rPr>
        <w:t>El proyecto se ejecuta en una sola etapa de treinta (30) días calendario. Las actividades del capítulo 6 (reparación de daños del sismo) preceden a los acabados de los mismos espacios: el estuco y la pintura del cielo raso (ítem 3.6) se ejecutan sobre todo el cielo raso al terminar el capítulo 6, y el estuco y la pintura de muros (ítem 3.5) incluyen las dos caras del muro liviano después del tratamiento de juntas (ítem 6.2). La localización de rieles y anclajes del archivo rodante (ítem 3.9) se sujeta al concepto sobre la capacidad de carga de la placa que entregará la Supervisión antes de la instalación.</w:t>
      </w:r>
    </w:p>
    <w:p w:rsidR="00925DDB" w:rsidRPr="00C14360" w:rsidRDefault="00925DDB" w:rsidP="00646344">
      <w:pPr>
        <w:rPr>
          <w:rFonts w:ascii="Verdana" w:hAnsi="Verdana"/>
          <w:sz w:val="22"/>
        </w:rPr>
      </w:pPr>
    </w:p>
    <w:p w:rsidR="00BF5B37" w:rsidRPr="00C14360" w:rsidRDefault="00BF5B37" w:rsidP="00BD08C0">
      <w:pPr>
        <w:pStyle w:val="Prrafodelista"/>
        <w:numPr>
          <w:ilvl w:val="0"/>
          <w:numId w:val="4"/>
        </w:numPr>
        <w:spacing w:after="160" w:line="259" w:lineRule="auto"/>
        <w:rPr>
          <w:rFonts w:ascii="Verdana" w:eastAsia="Arial" w:hAnsi="Verdana" w:cs="Arial"/>
          <w:color w:val="000000" w:themeColor="text1"/>
          <w:sz w:val="22"/>
        </w:rPr>
      </w:pPr>
      <w:r w:rsidRPr="00C14360">
        <w:rPr>
          <w:rFonts w:ascii="Verdana" w:eastAsia="Arial" w:hAnsi="Verdana" w:cs="Arial"/>
          <w:b/>
          <w:bCs/>
          <w:color w:val="000000" w:themeColor="text1"/>
          <w:sz w:val="22"/>
        </w:rPr>
        <w:t xml:space="preserve">Ítems de pago: </w:t>
      </w:r>
    </w:p>
    <w:p w:rsidR="00BF5B37" w:rsidRPr="00C14360" w:rsidRDefault="00BF5B37" w:rsidP="00BD08C0">
      <w:pPr>
        <w:spacing w:after="160"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Cada actividad se medirá en la unidad indicada en el presupuesto oficial y sobre cantidades efectivamente ejecutadas, verificadas y recibidas a satisfacción. El precio unitario comprende los materiales, mano de obra, equipos, herramientas, transporte, accesorios, fijaciones, desperdicios normales, pruebas, protección, limpieza y operaciones inherentes a la correcta terminación del ítem, salvo partidas expresamente independientes.</w:t>
      </w:r>
    </w:p>
    <w:p w:rsidR="00925DDB" w:rsidRPr="00C14360" w:rsidRDefault="00CF369B" w:rsidP="00925DDB">
      <w:pPr>
        <w:pStyle w:val="Ttulo1"/>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rsidR="00925DDB" w:rsidRPr="00C14360" w:rsidRDefault="00925DDB" w:rsidP="00925DDB">
      <w:pPr>
        <w:rPr>
          <w:rFonts w:ascii="Verdana" w:hAnsi="Verdana"/>
          <w:sz w:val="22"/>
        </w:rPr>
      </w:pPr>
    </w:p>
    <w:p w:rsidR="00925DDB" w:rsidRPr="00C14360" w:rsidRDefault="00925DDB" w:rsidP="00925DDB">
      <w:pPr>
        <w:rPr>
          <w:rFonts w:ascii="Verdana" w:hAnsi="Verdana"/>
          <w:sz w:val="22"/>
        </w:rPr>
      </w:pPr>
      <w:r w:rsidRPr="00C14360">
        <w:rPr>
          <w:rFonts w:ascii="Verdana" w:hAnsi="Verdana"/>
          <w:sz w:val="22"/>
        </w:rPr>
        <w:t xml:space="preserve">El plazo previsto para la ejecución de las actividades que se deriven del </w:t>
      </w:r>
      <w:r w:rsidR="00510130" w:rsidRPr="00C14360">
        <w:rPr>
          <w:rFonts w:ascii="Verdana" w:hAnsi="Verdana"/>
          <w:sz w:val="22"/>
        </w:rPr>
        <w:t>P</w:t>
      </w:r>
      <w:r w:rsidRPr="00C14360">
        <w:rPr>
          <w:rFonts w:ascii="Verdana" w:hAnsi="Verdana"/>
          <w:sz w:val="22"/>
        </w:rPr>
        <w:t xml:space="preserve">roceso </w:t>
      </w:r>
      <w:r w:rsidR="00510130" w:rsidRPr="00C14360">
        <w:rPr>
          <w:rFonts w:ascii="Verdana" w:hAnsi="Verdana"/>
          <w:sz w:val="22"/>
        </w:rPr>
        <w:t xml:space="preserve">de Contratación </w:t>
      </w:r>
      <w:r w:rsidRPr="00C14360">
        <w:rPr>
          <w:rFonts w:ascii="Verdana" w:hAnsi="Verdana"/>
          <w:sz w:val="22"/>
        </w:rPr>
        <w:t xml:space="preserve">es el establecido en la sección 1.1. del </w:t>
      </w:r>
      <w:r w:rsidR="7812FA41" w:rsidRPr="00C14360">
        <w:rPr>
          <w:rFonts w:ascii="Verdana" w:hAnsi="Verdana"/>
          <w:sz w:val="22"/>
        </w:rPr>
        <w:t>P</w:t>
      </w:r>
      <w:r w:rsidRPr="00C14360">
        <w:rPr>
          <w:rFonts w:ascii="Verdana" w:hAnsi="Verdana"/>
          <w:sz w:val="22"/>
        </w:rPr>
        <w:t xml:space="preserve">liego de </w:t>
      </w:r>
      <w:r w:rsidR="63ABA39D" w:rsidRPr="00C14360">
        <w:rPr>
          <w:rFonts w:ascii="Verdana" w:hAnsi="Verdana"/>
          <w:sz w:val="22"/>
        </w:rPr>
        <w:t>C</w:t>
      </w:r>
      <w:r w:rsidRPr="00C14360">
        <w:rPr>
          <w:rFonts w:ascii="Verdana" w:hAnsi="Verdana"/>
          <w:sz w:val="22"/>
        </w:rPr>
        <w:t xml:space="preserve">ondiciones, el cual se contará en la forma prevista en el Anexo </w:t>
      </w:r>
      <w:r w:rsidR="002239D5" w:rsidRPr="00C14360">
        <w:rPr>
          <w:rFonts w:ascii="Verdana" w:hAnsi="Verdana"/>
          <w:sz w:val="22"/>
        </w:rPr>
        <w:t>4</w:t>
      </w:r>
      <w:r w:rsidRPr="00C14360">
        <w:rPr>
          <w:rFonts w:ascii="Verdana" w:hAnsi="Verdana"/>
          <w:sz w:val="22"/>
        </w:rPr>
        <w:t xml:space="preserve"> – Minuta del Contrato. </w:t>
      </w:r>
    </w:p>
    <w:p w:rsidR="00925DDB" w:rsidRPr="00C14360" w:rsidRDefault="00925DDB" w:rsidP="00925DDB">
      <w:pPr>
        <w:rPr>
          <w:rFonts w:ascii="Verdana" w:hAnsi="Verdana"/>
          <w:sz w:val="22"/>
        </w:rPr>
      </w:pPr>
    </w:p>
    <w:p w:rsidR="00925DDB" w:rsidRPr="00C14360" w:rsidRDefault="00925DDB" w:rsidP="00925DDB">
      <w:pPr>
        <w:rPr>
          <w:rFonts w:ascii="Verdana" w:hAnsi="Verdana"/>
          <w:sz w:val="22"/>
        </w:rPr>
      </w:pPr>
      <w:r w:rsidRPr="00C14360">
        <w:rPr>
          <w:rFonts w:ascii="Verdana" w:hAnsi="Verdana"/>
          <w:sz w:val="22"/>
        </w:rPr>
        <w:t>El plazo no se divide en etapas. La ejecución se coordina con la Supervisión en frentes y horarios que no interfieran con la operación institucional, pues la Personería continúa atendiendo al público en el cuarto piso.</w:t>
      </w:r>
    </w:p>
    <w:p w:rsidR="00925DDB" w:rsidRPr="00C14360" w:rsidRDefault="00925DDB" w:rsidP="00925DDB">
      <w:pPr>
        <w:rPr>
          <w:rFonts w:ascii="Verdana" w:hAnsi="Verdana"/>
          <w:sz w:val="22"/>
        </w:rPr>
      </w:pPr>
    </w:p>
    <w:p w:rsidR="00925DDB" w:rsidRPr="00C14360" w:rsidRDefault="00CF369B" w:rsidP="00850B16">
      <w:pPr>
        <w:pStyle w:val="Ttulo1"/>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rsidR="00850B16" w:rsidRPr="00C14360" w:rsidRDefault="00850B16" w:rsidP="00850B16">
      <w:pPr>
        <w:rPr>
          <w:rFonts w:ascii="Verdana" w:hAnsi="Verdana"/>
          <w:sz w:val="22"/>
        </w:rPr>
      </w:pPr>
    </w:p>
    <w:p w:rsidR="00925DDB" w:rsidRPr="00C14360" w:rsidRDefault="00850B16" w:rsidP="00925DDB">
      <w:pPr>
        <w:rPr>
          <w:rFonts w:ascii="Verdana" w:hAnsi="Verdana"/>
          <w:sz w:val="22"/>
        </w:rPr>
      </w:pPr>
      <w:r w:rsidRPr="00C14360">
        <w:rPr>
          <w:rFonts w:ascii="Verdana" w:hAnsi="Verdana"/>
          <w:sz w:val="22"/>
        </w:rPr>
        <w:t>El Contrato se paga por el sistema de precios unitarios, mediante actas parciales de avance de obra según las cantidades efectivamente ejecutadas, verificadas y recibidas a satisfacción por la Supervisión, hasta el cien por ciento (100 %) del valor del Contrato, en la forma establecida en el Pliego de Condiciones y en la Minuta del Contrato.</w:t>
      </w:r>
    </w:p>
    <w:p w:rsidR="00850B16" w:rsidRPr="00C14360" w:rsidRDefault="00850B16" w:rsidP="00925DDB">
      <w:pPr>
        <w:rPr>
          <w:rFonts w:ascii="Verdana" w:hAnsi="Verdana"/>
          <w:sz w:val="22"/>
        </w:rPr>
      </w:pPr>
    </w:p>
    <w:p w:rsidR="0E0C2C7F" w:rsidRPr="00C14360" w:rsidRDefault="0E0C2C7F" w:rsidP="00BD08C0">
      <w:pPr>
        <w:spacing w:after="160" w:line="259" w:lineRule="auto"/>
        <w:rPr>
          <w:rFonts w:ascii="Verdana" w:eastAsia="Arial" w:hAnsi="Verdana" w:cs="Arial"/>
          <w:color w:val="000000" w:themeColor="text1"/>
          <w:sz w:val="22"/>
        </w:rPr>
      </w:pPr>
      <w:r w:rsidRPr="00C14360">
        <w:rPr>
          <w:rFonts w:ascii="Verdana" w:eastAsia="Arial" w:hAnsi="Verdana" w:cs="Arial"/>
          <w:color w:val="000000" w:themeColor="text1"/>
          <w:sz w:val="22"/>
        </w:rPr>
        <w:lastRenderedPageBreak/>
        <w:t>No se pacta anticipo ni pago anticipado: el plazo de treinta (30) días calendario, la cuantía y la forma de pago por actas parciales no lo hacen necesario, conforme a los estudios previos.</w:t>
      </w:r>
    </w:p>
    <w:p w:rsidR="2D7BE78F" w:rsidRPr="00C14360" w:rsidRDefault="2D7BE78F">
      <w:pPr>
        <w:rPr>
          <w:rFonts w:ascii="Verdana" w:hAnsi="Verdana"/>
          <w:sz w:val="22"/>
        </w:rPr>
      </w:pPr>
    </w:p>
    <w:p w:rsidR="00850B16" w:rsidRPr="00C14360" w:rsidRDefault="00CF369B" w:rsidP="00850B16">
      <w:pPr>
        <w:pStyle w:val="Ttulo1"/>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rsidR="00850B16" w:rsidRPr="00C14360" w:rsidRDefault="00850B16" w:rsidP="00850B16">
      <w:pPr>
        <w:rPr>
          <w:rFonts w:ascii="Verdana" w:hAnsi="Verdana"/>
          <w:sz w:val="22"/>
        </w:rPr>
      </w:pPr>
    </w:p>
    <w:p w:rsidR="00850B16" w:rsidRPr="00C14360" w:rsidRDefault="00850B16" w:rsidP="00850B16">
      <w:pPr>
        <w:rPr>
          <w:rFonts w:ascii="Verdana" w:hAnsi="Verdana"/>
          <w:sz w:val="22"/>
        </w:rPr>
      </w:pPr>
    </w:p>
    <w:p w:rsidR="00784E9D" w:rsidRPr="00C14360" w:rsidRDefault="00473820" w:rsidP="00850B16">
      <w:pPr>
        <w:rPr>
          <w:rFonts w:ascii="Verdana" w:hAnsi="Verdana"/>
          <w:sz w:val="22"/>
        </w:rPr>
      </w:pPr>
      <w:r w:rsidRPr="00C14360">
        <w:rPr>
          <w:rFonts w:ascii="Verdana" w:hAnsi="Verdana"/>
          <w:sz w:val="22"/>
        </w:rPr>
        <w:t>Verificación previa en sitio de medidas, niveles, interferencias y condiciones existentes.</w:t>
      </w:r>
    </w:p>
    <w:p w:rsidR="00784E9D" w:rsidRPr="00C14360" w:rsidRDefault="00473820" w:rsidP="00850B16">
      <w:pPr>
        <w:rPr>
          <w:rFonts w:ascii="Verdana" w:hAnsi="Verdana"/>
          <w:sz w:val="22"/>
        </w:rPr>
      </w:pPr>
      <w:r w:rsidRPr="00C14360">
        <w:rPr>
          <w:rFonts w:ascii="Verdana" w:hAnsi="Verdana"/>
          <w:sz w:val="22"/>
        </w:rPr>
        <w:t>Protección de elementos que permanezcan y reparación a cargo del contratista de daños imputables a la ejecución.</w:t>
      </w:r>
    </w:p>
    <w:p w:rsidR="00784E9D" w:rsidRPr="00C14360" w:rsidRDefault="00473820" w:rsidP="00850B16">
      <w:pPr>
        <w:rPr>
          <w:rFonts w:ascii="Verdana" w:hAnsi="Verdana"/>
          <w:sz w:val="22"/>
        </w:rPr>
      </w:pPr>
      <w:r w:rsidRPr="00C14360">
        <w:rPr>
          <w:rFonts w:ascii="Verdana" w:hAnsi="Verdana"/>
          <w:sz w:val="22"/>
        </w:rPr>
        <w:t>Materiales nuevos en partidas de suministro y elementos existentes únicamente donde se indique reinstalación.</w:t>
      </w:r>
    </w:p>
    <w:p w:rsidR="00784E9D" w:rsidRPr="00C14360" w:rsidRDefault="00473820" w:rsidP="00850B16">
      <w:pPr>
        <w:rPr>
          <w:rFonts w:ascii="Verdana" w:hAnsi="Verdana"/>
          <w:sz w:val="22"/>
        </w:rPr>
      </w:pPr>
      <w:r w:rsidRPr="00C14360">
        <w:rPr>
          <w:rFonts w:ascii="Verdana" w:hAnsi="Verdana"/>
          <w:sz w:val="22"/>
        </w:rPr>
        <w:t>Presentación de fichas técnicas, catálogos o muestras cuando sean requeridos antes de la instalación masiva.</w:t>
      </w:r>
    </w:p>
    <w:p w:rsidR="00784E9D" w:rsidRPr="00C14360" w:rsidRDefault="00473820" w:rsidP="00850B16">
      <w:pPr>
        <w:rPr>
          <w:rFonts w:ascii="Verdana" w:hAnsi="Verdana"/>
          <w:sz w:val="22"/>
        </w:rPr>
      </w:pPr>
      <w:r w:rsidRPr="00C14360">
        <w:rPr>
          <w:rFonts w:ascii="Verdana" w:hAnsi="Verdana"/>
          <w:sz w:val="22"/>
        </w:rPr>
        <w:t>Coordinación previa con la Supervisión de actividades que afecten la operación institucional.</w:t>
      </w:r>
    </w:p>
    <w:p w:rsidR="00784E9D" w:rsidRPr="00C14360" w:rsidRDefault="00473820" w:rsidP="00850B16">
      <w:pPr>
        <w:rPr>
          <w:rFonts w:ascii="Verdana" w:hAnsi="Verdana"/>
          <w:sz w:val="22"/>
        </w:rPr>
      </w:pPr>
      <w:r w:rsidRPr="00C14360">
        <w:rPr>
          <w:rFonts w:ascii="Verdana" w:hAnsi="Verdana"/>
          <w:sz w:val="22"/>
        </w:rPr>
        <w:t>Manejo de residuos, orden, señalización, EPP y cumplimiento del SG-SST aplicable.</w:t>
      </w:r>
    </w:p>
    <w:p w:rsidR="00784E9D" w:rsidRPr="00C14360" w:rsidRDefault="00473820" w:rsidP="00850B16">
      <w:pPr>
        <w:rPr>
          <w:rFonts w:ascii="Verdana" w:hAnsi="Verdana"/>
          <w:sz w:val="22"/>
        </w:rPr>
      </w:pPr>
      <w:r w:rsidRPr="00C14360">
        <w:rPr>
          <w:rFonts w:ascii="Verdana" w:hAnsi="Verdana"/>
          <w:sz w:val="22"/>
        </w:rPr>
        <w:t>Ninguna discrepancia documental autoriza cambios unilaterales de cantidad, especificación, precio, plazo o alcance.</w:t>
      </w:r>
    </w:p>
    <w:p w:rsidR="00784E9D" w:rsidRPr="00C14360" w:rsidRDefault="00784E9D" w:rsidP="00850B16">
      <w:pPr>
        <w:rPr>
          <w:rFonts w:ascii="Verdana" w:hAnsi="Verdana"/>
          <w:sz w:val="22"/>
        </w:rPr>
      </w:pPr>
    </w:p>
    <w:p w:rsidR="00921EEB" w:rsidRPr="00C14360" w:rsidRDefault="00784E9D" w:rsidP="00850B16">
      <w:pPr>
        <w:rPr>
          <w:rFonts w:ascii="Verdana" w:hAnsi="Verdana"/>
          <w:sz w:val="22"/>
        </w:rPr>
      </w:pPr>
      <w:r w:rsidRPr="00C14360">
        <w:rPr>
          <w:rFonts w:ascii="Verdana" w:hAnsi="Verdana"/>
          <w:sz w:val="22"/>
        </w:rPr>
        <w:t>Aplicar SG-SST, señalización, EPP y controles para actividades de riesgo conforme a la normativa vigente.</w:t>
      </w:r>
    </w:p>
    <w:p w:rsidR="00921EEB" w:rsidRPr="00C14360" w:rsidRDefault="00784E9D" w:rsidP="00850B16">
      <w:pPr>
        <w:rPr>
          <w:rFonts w:ascii="Verdana" w:hAnsi="Verdana"/>
          <w:sz w:val="22"/>
        </w:rPr>
      </w:pPr>
      <w:r w:rsidRPr="00C14360">
        <w:rPr>
          <w:rFonts w:ascii="Verdana" w:hAnsi="Verdana"/>
          <w:sz w:val="22"/>
        </w:rPr>
        <w:t>Gestionar RCD y demás residuos generados y mantener soportes cuando proceda.</w:t>
      </w:r>
    </w:p>
    <w:p w:rsidR="00921EEB" w:rsidRPr="00C14360" w:rsidRDefault="00784E9D" w:rsidP="00850B16">
      <w:pPr>
        <w:rPr>
          <w:rFonts w:ascii="Verdana" w:hAnsi="Verdana"/>
          <w:sz w:val="22"/>
        </w:rPr>
      </w:pPr>
      <w:r w:rsidRPr="00C14360">
        <w:rPr>
          <w:rFonts w:ascii="Verdana" w:hAnsi="Verdana"/>
          <w:sz w:val="22"/>
        </w:rPr>
        <w:t>Controlar polvo, ruido y afectaciones a áreas ocupadas de la sede.</w:t>
      </w:r>
    </w:p>
    <w:p w:rsidR="00921EEB" w:rsidRPr="00C14360" w:rsidRDefault="00784E9D" w:rsidP="00850B16">
      <w:pPr>
        <w:rPr>
          <w:rFonts w:ascii="Verdana" w:hAnsi="Verdana"/>
          <w:sz w:val="22"/>
        </w:rPr>
      </w:pPr>
      <w:r w:rsidRPr="00C14360">
        <w:rPr>
          <w:rFonts w:ascii="Verdana" w:hAnsi="Verdana"/>
          <w:sz w:val="22"/>
        </w:rPr>
        <w:t>Mantener zonas de circulación y evacuación libres de obstrucciones.</w:t>
      </w:r>
    </w:p>
    <w:p w:rsidR="00921EEB" w:rsidRPr="00C14360" w:rsidRDefault="00784E9D" w:rsidP="00850B16">
      <w:pPr>
        <w:rPr>
          <w:rFonts w:ascii="Verdana" w:hAnsi="Verdana"/>
          <w:sz w:val="22"/>
        </w:rPr>
      </w:pPr>
      <w:r w:rsidRPr="00C14360">
        <w:rPr>
          <w:rFonts w:ascii="Verdana" w:hAnsi="Verdana"/>
          <w:sz w:val="22"/>
        </w:rPr>
        <w:t>No acopiar escombro sobre la losa en cantidad superior a 0,5 m³ por cada 10 m² y retirarlo a medida que se genere.</w:t>
      </w:r>
    </w:p>
    <w:p w:rsidR="00921EEB" w:rsidRPr="00C14360" w:rsidRDefault="00784E9D" w:rsidP="00850B16">
      <w:pPr>
        <w:rPr>
          <w:rFonts w:ascii="Verdana" w:hAnsi="Verdana"/>
          <w:sz w:val="22"/>
        </w:rPr>
      </w:pPr>
      <w:r w:rsidRPr="00C14360">
        <w:rPr>
          <w:rFonts w:ascii="Verdana" w:hAnsi="Verdana"/>
          <w:sz w:val="22"/>
        </w:rPr>
        <w:t>Ante una réplica o un nuevo sismo, suspender las actividades, evacuar al personal según el plan de emergencias del SG-SST y reanudar solo después de la inspección conjunta del piso con la Supervisión, con registro en la bitácora.</w:t>
      </w:r>
    </w:p>
    <w:p w:rsidR="00921EEB" w:rsidRPr="00C14360" w:rsidRDefault="00784E9D" w:rsidP="00850B16">
      <w:pPr>
        <w:rPr>
          <w:rFonts w:ascii="Verdana" w:hAnsi="Verdana"/>
          <w:sz w:val="22"/>
        </w:rPr>
      </w:pPr>
      <w:r w:rsidRPr="00C14360">
        <w:rPr>
          <w:rFonts w:ascii="Verdana" w:hAnsi="Verdana"/>
          <w:sz w:val="22"/>
        </w:rPr>
        <w:t>Coordinar con la Supervisión y con la administración del edificio el uso del ascensor y de las escaleras, el ingreso de materiales y la salida de escombros, porque la Personería sigue atendiendo al público en el cuarto piso.</w:t>
      </w:r>
    </w:p>
    <w:p w:rsidR="00850B16" w:rsidRPr="00C14360" w:rsidRDefault="00850B16" w:rsidP="00850B16">
      <w:pPr>
        <w:rPr>
          <w:rFonts w:ascii="Verdana" w:hAnsi="Verdana"/>
          <w:sz w:val="22"/>
        </w:rPr>
      </w:pPr>
    </w:p>
    <w:p w:rsidR="00850B16" w:rsidRPr="00C14360" w:rsidRDefault="00850B16" w:rsidP="00850B16">
      <w:pPr>
        <w:pStyle w:val="Ttulo2"/>
        <w:rPr>
          <w:rFonts w:ascii="Verdana" w:hAnsi="Verdana"/>
          <w:sz w:val="22"/>
          <w:szCs w:val="22"/>
        </w:rPr>
      </w:pPr>
      <w:r w:rsidRPr="00C14360">
        <w:rPr>
          <w:rFonts w:ascii="Verdana" w:hAnsi="Verdana"/>
          <w:sz w:val="22"/>
          <w:szCs w:val="22"/>
        </w:rPr>
        <w:t>Especificaciones técnicas</w:t>
      </w:r>
    </w:p>
    <w:p w:rsidR="002668FF" w:rsidRPr="00C14360" w:rsidRDefault="002668FF" w:rsidP="002668FF">
      <w:pPr>
        <w:rPr>
          <w:rFonts w:ascii="Verdana" w:hAnsi="Verdana"/>
          <w:b/>
          <w:bCs/>
          <w:sz w:val="22"/>
        </w:rPr>
      </w:pPr>
    </w:p>
    <w:p w:rsidR="00850B16" w:rsidRPr="00C14360" w:rsidRDefault="00850B16" w:rsidP="00850B16">
      <w:pPr>
        <w:rPr>
          <w:rFonts w:ascii="Verdana" w:hAnsi="Verdana"/>
          <w:sz w:val="22"/>
        </w:rPr>
      </w:pPr>
    </w:p>
    <w:p w:rsidR="00850B16" w:rsidRPr="00C14360" w:rsidRDefault="00850B16" w:rsidP="00850B16">
      <w:pPr>
        <w:rPr>
          <w:rFonts w:ascii="Verdana" w:hAnsi="Verdana"/>
          <w:sz w:val="22"/>
        </w:rPr>
      </w:pPr>
      <w:r w:rsidRPr="00C14360">
        <w:rPr>
          <w:rFonts w:ascii="Verdana" w:hAnsi="Verdana"/>
          <w:sz w:val="22"/>
        </w:rPr>
        <w:t>Las especificaciones técnicas particulares de cada ítem son las siguientes:</w:t>
      </w:r>
    </w:p>
    <w:tbl>
      <w:tblPr>
        <w:tblW w:w="98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689"/>
        <w:gridCol w:w="2324"/>
        <w:gridCol w:w="759"/>
        <w:gridCol w:w="901"/>
        <w:gridCol w:w="2890"/>
        <w:gridCol w:w="2237"/>
      </w:tblGrid>
      <w:tr w:rsidR="00A95510">
        <w:trPr>
          <w:tblHeader/>
        </w:trPr>
        <w:tc>
          <w:tcPr>
            <w:tcW w:w="700" w:type="dxa"/>
            <w:shd w:val="clear" w:color="auto" w:fill="D9D9D9"/>
          </w:tcPr>
          <w:p w:rsidR="00A95510" w:rsidRDefault="00E84F12">
            <w:r>
              <w:rPr>
                <w:rFonts w:ascii="Arial" w:hAnsi="Arial"/>
                <w:b/>
                <w:sz w:val="16"/>
                <w:szCs w:val="16"/>
              </w:rPr>
              <w:lastRenderedPageBreak/>
              <w:t>Ítem</w:t>
            </w:r>
          </w:p>
        </w:tc>
        <w:tc>
          <w:tcPr>
            <w:tcW w:w="2400" w:type="dxa"/>
            <w:shd w:val="clear" w:color="auto" w:fill="D9D9D9"/>
          </w:tcPr>
          <w:p w:rsidR="00A95510" w:rsidRDefault="00E84F12">
            <w:r>
              <w:rPr>
                <w:rFonts w:ascii="Arial" w:hAnsi="Arial"/>
                <w:b/>
                <w:sz w:val="16"/>
                <w:szCs w:val="16"/>
              </w:rPr>
              <w:t>Descripción</w:t>
            </w:r>
          </w:p>
        </w:tc>
        <w:tc>
          <w:tcPr>
            <w:tcW w:w="600" w:type="dxa"/>
            <w:shd w:val="clear" w:color="auto" w:fill="D9D9D9"/>
          </w:tcPr>
          <w:p w:rsidR="00A95510" w:rsidRDefault="00E84F12">
            <w:r>
              <w:rPr>
                <w:rFonts w:ascii="Arial" w:hAnsi="Arial"/>
                <w:b/>
                <w:sz w:val="16"/>
                <w:szCs w:val="16"/>
              </w:rPr>
              <w:t>Unidad</w:t>
            </w:r>
          </w:p>
        </w:tc>
        <w:tc>
          <w:tcPr>
            <w:tcW w:w="800" w:type="dxa"/>
            <w:shd w:val="clear" w:color="auto" w:fill="D9D9D9"/>
          </w:tcPr>
          <w:p w:rsidR="00A95510" w:rsidRDefault="00E84F12">
            <w:r>
              <w:rPr>
                <w:rFonts w:ascii="Arial" w:hAnsi="Arial"/>
                <w:b/>
                <w:sz w:val="16"/>
                <w:szCs w:val="16"/>
              </w:rPr>
              <w:t>Cantidad</w:t>
            </w:r>
          </w:p>
        </w:tc>
        <w:tc>
          <w:tcPr>
            <w:tcW w:w="3000" w:type="dxa"/>
            <w:shd w:val="clear" w:color="auto" w:fill="D9D9D9"/>
          </w:tcPr>
          <w:p w:rsidR="00A95510" w:rsidRDefault="00E84F12">
            <w:r>
              <w:rPr>
                <w:rFonts w:ascii="Arial" w:hAnsi="Arial"/>
                <w:b/>
                <w:sz w:val="16"/>
                <w:szCs w:val="16"/>
              </w:rPr>
              <w:t>Alcance técnico mínimo</w:t>
            </w:r>
          </w:p>
        </w:tc>
        <w:tc>
          <w:tcPr>
            <w:tcW w:w="2300" w:type="dxa"/>
            <w:shd w:val="clear" w:color="auto" w:fill="D9D9D9"/>
          </w:tcPr>
          <w:p w:rsidR="00A95510" w:rsidRDefault="00E84F12">
            <w:r>
              <w:rPr>
                <w:rFonts w:ascii="Arial" w:hAnsi="Arial"/>
                <w:b/>
                <w:sz w:val="16"/>
                <w:szCs w:val="16"/>
              </w:rPr>
              <w:t>Criterio de recibo</w:t>
            </w:r>
          </w:p>
        </w:tc>
      </w:tr>
      <w:tr w:rsidR="00A95510">
        <w:tc>
          <w:tcPr>
            <w:tcW w:w="700" w:type="dxa"/>
          </w:tcPr>
          <w:p w:rsidR="00A95510" w:rsidRDefault="00E84F12">
            <w:r>
              <w:rPr>
                <w:rFonts w:ascii="Arial" w:hAnsi="Arial"/>
                <w:sz w:val="16"/>
                <w:szCs w:val="16"/>
              </w:rPr>
              <w:t>1.1</w:t>
            </w:r>
          </w:p>
        </w:tc>
        <w:tc>
          <w:tcPr>
            <w:tcW w:w="2400" w:type="dxa"/>
          </w:tcPr>
          <w:p w:rsidR="00A95510" w:rsidRDefault="00E84F12">
            <w:r>
              <w:rPr>
                <w:rFonts w:ascii="Arial" w:hAnsi="Arial"/>
                <w:sz w:val="16"/>
                <w:szCs w:val="16"/>
              </w:rPr>
              <w:t>Localización y replanteo</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264,5</w:t>
            </w:r>
          </w:p>
        </w:tc>
        <w:tc>
          <w:tcPr>
            <w:tcW w:w="3000" w:type="dxa"/>
          </w:tcPr>
          <w:p w:rsidR="00A95510" w:rsidRDefault="00E84F12">
            <w:r>
              <w:rPr>
                <w:rFonts w:ascii="Arial" w:hAnsi="Arial"/>
                <w:sz w:val="16"/>
                <w:szCs w:val="16"/>
              </w:rPr>
              <w:t>Medición, trazado y verificación del área, ejes, niveles, dimensiones e interferencias.</w:t>
            </w:r>
          </w:p>
        </w:tc>
        <w:tc>
          <w:tcPr>
            <w:tcW w:w="2300" w:type="dxa"/>
          </w:tcPr>
          <w:p w:rsidR="00A95510" w:rsidRDefault="00E84F12">
            <w:r>
              <w:rPr>
                <w:rFonts w:ascii="Arial" w:hAnsi="Arial"/>
                <w:sz w:val="16"/>
                <w:szCs w:val="16"/>
              </w:rPr>
              <w:t>Área replanteada y novedades registradas.</w:t>
            </w:r>
          </w:p>
        </w:tc>
      </w:tr>
      <w:tr w:rsidR="00A95510">
        <w:tc>
          <w:tcPr>
            <w:tcW w:w="700" w:type="dxa"/>
          </w:tcPr>
          <w:p w:rsidR="00A95510" w:rsidRDefault="00E84F12">
            <w:r>
              <w:rPr>
                <w:rFonts w:ascii="Arial" w:hAnsi="Arial"/>
                <w:sz w:val="16"/>
                <w:szCs w:val="16"/>
              </w:rPr>
              <w:t>1.2</w:t>
            </w:r>
          </w:p>
        </w:tc>
        <w:tc>
          <w:tcPr>
            <w:tcW w:w="2400" w:type="dxa"/>
          </w:tcPr>
          <w:p w:rsidR="00A95510" w:rsidRDefault="00E84F12">
            <w:r>
              <w:rPr>
                <w:rFonts w:ascii="Arial" w:hAnsi="Arial"/>
                <w:sz w:val="16"/>
                <w:szCs w:val="16"/>
              </w:rPr>
              <w:t>Desmonte de puertas metálicas o de madera, incluye marco</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15</w:t>
            </w:r>
          </w:p>
        </w:tc>
        <w:tc>
          <w:tcPr>
            <w:tcW w:w="3000" w:type="dxa"/>
          </w:tcPr>
          <w:p w:rsidR="00A95510" w:rsidRDefault="00E84F12">
            <w:r>
              <w:rPr>
                <w:rFonts w:ascii="Arial" w:hAnsi="Arial"/>
                <w:sz w:val="16"/>
                <w:szCs w:val="16"/>
              </w:rPr>
              <w:t>Retiro controlado de hojas, marcos, herrajes y accesorios; protección y disposición donde indique la Supervisión.</w:t>
            </w:r>
          </w:p>
        </w:tc>
        <w:tc>
          <w:tcPr>
            <w:tcW w:w="2300" w:type="dxa"/>
          </w:tcPr>
          <w:p w:rsidR="00A95510" w:rsidRDefault="00E84F12">
            <w:r>
              <w:rPr>
                <w:rFonts w:ascii="Arial" w:hAnsi="Arial"/>
                <w:sz w:val="16"/>
                <w:szCs w:val="16"/>
              </w:rPr>
              <w:t>Zona despejada sin daños indebidos.</w:t>
            </w:r>
          </w:p>
        </w:tc>
      </w:tr>
      <w:tr w:rsidR="00A95510">
        <w:tc>
          <w:tcPr>
            <w:tcW w:w="700" w:type="dxa"/>
          </w:tcPr>
          <w:p w:rsidR="00A95510" w:rsidRDefault="00E84F12">
            <w:r>
              <w:rPr>
                <w:rFonts w:ascii="Arial" w:hAnsi="Arial"/>
                <w:sz w:val="16"/>
                <w:szCs w:val="16"/>
              </w:rPr>
              <w:t>1.3</w:t>
            </w:r>
          </w:p>
        </w:tc>
        <w:tc>
          <w:tcPr>
            <w:tcW w:w="2400" w:type="dxa"/>
          </w:tcPr>
          <w:p w:rsidR="00A95510" w:rsidRDefault="00E84F12">
            <w:r>
              <w:rPr>
                <w:rFonts w:ascii="Arial" w:hAnsi="Arial"/>
                <w:sz w:val="16"/>
                <w:szCs w:val="16"/>
              </w:rPr>
              <w:t>Desmonte de división metálica o vidrio templado</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124</w:t>
            </w:r>
          </w:p>
        </w:tc>
        <w:tc>
          <w:tcPr>
            <w:tcW w:w="3000" w:type="dxa"/>
          </w:tcPr>
          <w:p w:rsidR="00A95510" w:rsidRDefault="00E84F12">
            <w:r>
              <w:rPr>
                <w:rFonts w:ascii="Arial" w:hAnsi="Arial"/>
                <w:sz w:val="16"/>
                <w:szCs w:val="16"/>
              </w:rPr>
              <w:t>Retiro técnico de divisiones, perfilería, vidrio y fijaciones; protección de piezas reutilizables.</w:t>
            </w:r>
          </w:p>
        </w:tc>
        <w:tc>
          <w:tcPr>
            <w:tcW w:w="2300" w:type="dxa"/>
          </w:tcPr>
          <w:p w:rsidR="00A95510" w:rsidRDefault="00E84F12">
            <w:r>
              <w:rPr>
                <w:rFonts w:ascii="Arial" w:hAnsi="Arial"/>
                <w:sz w:val="16"/>
                <w:szCs w:val="16"/>
              </w:rPr>
              <w:t>Desmonte seguro y área liberada.</w:t>
            </w:r>
          </w:p>
        </w:tc>
      </w:tr>
      <w:tr w:rsidR="00A95510">
        <w:tc>
          <w:tcPr>
            <w:tcW w:w="700" w:type="dxa"/>
          </w:tcPr>
          <w:p w:rsidR="00A95510" w:rsidRDefault="00E84F12">
            <w:r>
              <w:rPr>
                <w:rFonts w:ascii="Arial" w:hAnsi="Arial"/>
                <w:sz w:val="16"/>
                <w:szCs w:val="16"/>
              </w:rPr>
              <w:t>1.4</w:t>
            </w:r>
          </w:p>
        </w:tc>
        <w:tc>
          <w:tcPr>
            <w:tcW w:w="2400" w:type="dxa"/>
          </w:tcPr>
          <w:p w:rsidR="00A95510" w:rsidRDefault="00E84F12">
            <w:r>
              <w:rPr>
                <w:rFonts w:ascii="Arial" w:hAnsi="Arial"/>
                <w:sz w:val="16"/>
                <w:szCs w:val="16"/>
              </w:rPr>
              <w:t>Aseo de obra</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232</w:t>
            </w:r>
          </w:p>
        </w:tc>
        <w:tc>
          <w:tcPr>
            <w:tcW w:w="3000" w:type="dxa"/>
          </w:tcPr>
          <w:p w:rsidR="00A95510" w:rsidRDefault="00E84F12">
            <w:r>
              <w:rPr>
                <w:rFonts w:ascii="Arial" w:hAnsi="Arial"/>
                <w:sz w:val="16"/>
                <w:szCs w:val="16"/>
              </w:rPr>
              <w:t>Recolección, retiro de residuos y limpieza de frentes durante la ejecución y al cierre. Incluye los frentes del capítulo 6.</w:t>
            </w:r>
          </w:p>
        </w:tc>
        <w:tc>
          <w:tcPr>
            <w:tcW w:w="2300" w:type="dxa"/>
          </w:tcPr>
          <w:p w:rsidR="00A95510" w:rsidRDefault="00E84F12">
            <w:r>
              <w:rPr>
                <w:rFonts w:ascii="Arial" w:hAnsi="Arial"/>
                <w:sz w:val="16"/>
                <w:szCs w:val="16"/>
              </w:rPr>
              <w:t>Área limpia y segura.</w:t>
            </w:r>
          </w:p>
        </w:tc>
      </w:tr>
      <w:tr w:rsidR="00A95510">
        <w:tc>
          <w:tcPr>
            <w:tcW w:w="700" w:type="dxa"/>
          </w:tcPr>
          <w:p w:rsidR="00A95510" w:rsidRDefault="00E84F12">
            <w:r>
              <w:rPr>
                <w:rFonts w:ascii="Arial" w:hAnsi="Arial"/>
                <w:sz w:val="16"/>
                <w:szCs w:val="16"/>
              </w:rPr>
              <w:t>2.1</w:t>
            </w:r>
          </w:p>
        </w:tc>
        <w:tc>
          <w:tcPr>
            <w:tcW w:w="2400" w:type="dxa"/>
          </w:tcPr>
          <w:p w:rsidR="00A95510" w:rsidRDefault="00E84F12">
            <w:r>
              <w:rPr>
                <w:rFonts w:ascii="Arial" w:hAnsi="Arial"/>
                <w:sz w:val="16"/>
                <w:szCs w:val="16"/>
              </w:rPr>
              <w:t>Nivelación de superficie</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137,5</w:t>
            </w:r>
          </w:p>
        </w:tc>
        <w:tc>
          <w:tcPr>
            <w:tcW w:w="3000" w:type="dxa"/>
          </w:tcPr>
          <w:p w:rsidR="00A95510" w:rsidRDefault="00E84F12">
            <w:r>
              <w:rPr>
                <w:rFonts w:ascii="Arial" w:hAnsi="Arial"/>
                <w:sz w:val="16"/>
                <w:szCs w:val="16"/>
              </w:rPr>
              <w:t>Preparación y corrección de irregularidades con material compatible con el acabado final.</w:t>
            </w:r>
          </w:p>
        </w:tc>
        <w:tc>
          <w:tcPr>
            <w:tcW w:w="2300" w:type="dxa"/>
          </w:tcPr>
          <w:p w:rsidR="00A95510" w:rsidRDefault="00E84F12">
            <w:r>
              <w:rPr>
                <w:rFonts w:ascii="Arial" w:hAnsi="Arial"/>
                <w:sz w:val="16"/>
                <w:szCs w:val="16"/>
              </w:rPr>
              <w:t>Base firme, seca, estable y apta.</w:t>
            </w:r>
          </w:p>
        </w:tc>
      </w:tr>
      <w:tr w:rsidR="00A95510">
        <w:tc>
          <w:tcPr>
            <w:tcW w:w="700" w:type="dxa"/>
          </w:tcPr>
          <w:p w:rsidR="00A95510" w:rsidRDefault="00E84F12">
            <w:r>
              <w:rPr>
                <w:rFonts w:ascii="Arial" w:hAnsi="Arial"/>
                <w:sz w:val="16"/>
                <w:szCs w:val="16"/>
              </w:rPr>
              <w:t>2.2</w:t>
            </w:r>
          </w:p>
        </w:tc>
        <w:tc>
          <w:tcPr>
            <w:tcW w:w="2400" w:type="dxa"/>
          </w:tcPr>
          <w:p w:rsidR="00A95510" w:rsidRDefault="00E84F12">
            <w:r>
              <w:rPr>
                <w:rFonts w:ascii="Arial" w:hAnsi="Arial"/>
                <w:sz w:val="16"/>
                <w:szCs w:val="16"/>
              </w:rPr>
              <w:t>Piso vinílico antideslizante tráfico alto e=4 mm, aprox. 18 x 122 cm</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264,5</w:t>
            </w:r>
          </w:p>
        </w:tc>
        <w:tc>
          <w:tcPr>
            <w:tcW w:w="3000" w:type="dxa"/>
          </w:tcPr>
          <w:p w:rsidR="00A95510" w:rsidRDefault="00E84F12">
            <w:r>
              <w:rPr>
                <w:rFonts w:ascii="Arial" w:hAnsi="Arial"/>
                <w:sz w:val="16"/>
                <w:szCs w:val="16"/>
              </w:rPr>
              <w:t>Suministro e instalación completa, incluidos cortes, sistema de unión o adhesivo compatible y remates.</w:t>
            </w:r>
          </w:p>
        </w:tc>
        <w:tc>
          <w:tcPr>
            <w:tcW w:w="2300" w:type="dxa"/>
          </w:tcPr>
          <w:p w:rsidR="00A95510" w:rsidRDefault="00E84F12">
            <w:r>
              <w:rPr>
                <w:rFonts w:ascii="Arial" w:hAnsi="Arial"/>
                <w:sz w:val="16"/>
                <w:szCs w:val="16"/>
              </w:rPr>
              <w:t>Piso uniforme, firme, sin levantamientos ni juntas defectuosas.</w:t>
            </w:r>
          </w:p>
        </w:tc>
      </w:tr>
      <w:tr w:rsidR="00A95510">
        <w:tc>
          <w:tcPr>
            <w:tcW w:w="700" w:type="dxa"/>
          </w:tcPr>
          <w:p w:rsidR="00A95510" w:rsidRDefault="00E84F12">
            <w:r>
              <w:rPr>
                <w:rFonts w:ascii="Arial" w:hAnsi="Arial"/>
                <w:sz w:val="16"/>
                <w:szCs w:val="16"/>
              </w:rPr>
              <w:t>2.3</w:t>
            </w:r>
          </w:p>
        </w:tc>
        <w:tc>
          <w:tcPr>
            <w:tcW w:w="2400" w:type="dxa"/>
          </w:tcPr>
          <w:p w:rsidR="00A95510" w:rsidRDefault="00E84F12">
            <w:r>
              <w:rPr>
                <w:rFonts w:ascii="Arial" w:hAnsi="Arial"/>
                <w:sz w:val="16"/>
                <w:szCs w:val="16"/>
              </w:rPr>
              <w:t>Bocapuerta granito pulido, dilataciones bronce a=0,15 m</w:t>
            </w:r>
          </w:p>
        </w:tc>
        <w:tc>
          <w:tcPr>
            <w:tcW w:w="600" w:type="dxa"/>
          </w:tcPr>
          <w:p w:rsidR="00A95510" w:rsidRDefault="00E84F12">
            <w:r>
              <w:rPr>
                <w:rFonts w:ascii="Arial" w:hAnsi="Arial"/>
                <w:sz w:val="16"/>
                <w:szCs w:val="16"/>
              </w:rPr>
              <w:t>M</w:t>
            </w:r>
          </w:p>
        </w:tc>
        <w:tc>
          <w:tcPr>
            <w:tcW w:w="800" w:type="dxa"/>
          </w:tcPr>
          <w:p w:rsidR="00A95510" w:rsidRDefault="00E84F12">
            <w:r>
              <w:rPr>
                <w:rFonts w:ascii="Arial" w:hAnsi="Arial"/>
                <w:sz w:val="16"/>
                <w:szCs w:val="16"/>
              </w:rPr>
              <w:t>10</w:t>
            </w:r>
          </w:p>
        </w:tc>
        <w:tc>
          <w:tcPr>
            <w:tcW w:w="3000" w:type="dxa"/>
          </w:tcPr>
          <w:p w:rsidR="00A95510" w:rsidRDefault="00E84F12">
            <w:r>
              <w:rPr>
                <w:rFonts w:ascii="Arial" w:hAnsi="Arial"/>
                <w:sz w:val="16"/>
                <w:szCs w:val="16"/>
              </w:rPr>
              <w:t>Construcción de transición en granito pulido de 15 cm con dilataciones de bronce.</w:t>
            </w:r>
          </w:p>
        </w:tc>
        <w:tc>
          <w:tcPr>
            <w:tcW w:w="2300" w:type="dxa"/>
          </w:tcPr>
          <w:p w:rsidR="00A95510" w:rsidRDefault="00E84F12">
            <w:r>
              <w:rPr>
                <w:rFonts w:ascii="Arial" w:hAnsi="Arial"/>
                <w:sz w:val="16"/>
                <w:szCs w:val="16"/>
              </w:rPr>
              <w:t>Alineada, estable y sin aristas peligrosas.</w:t>
            </w:r>
          </w:p>
        </w:tc>
      </w:tr>
      <w:tr w:rsidR="00A95510">
        <w:tc>
          <w:tcPr>
            <w:tcW w:w="700" w:type="dxa"/>
          </w:tcPr>
          <w:p w:rsidR="00A95510" w:rsidRDefault="00E84F12">
            <w:r>
              <w:rPr>
                <w:rFonts w:ascii="Arial" w:hAnsi="Arial"/>
                <w:sz w:val="16"/>
                <w:szCs w:val="16"/>
              </w:rPr>
              <w:t>2.4</w:t>
            </w:r>
          </w:p>
        </w:tc>
        <w:tc>
          <w:tcPr>
            <w:tcW w:w="2400" w:type="dxa"/>
          </w:tcPr>
          <w:p w:rsidR="00A95510" w:rsidRDefault="00E84F12">
            <w:r>
              <w:rPr>
                <w:rFonts w:ascii="Arial" w:hAnsi="Arial"/>
                <w:sz w:val="16"/>
                <w:szCs w:val="16"/>
              </w:rPr>
              <w:t>Guardaescoba vinilo click h aprox. 8 cm</w:t>
            </w:r>
          </w:p>
        </w:tc>
        <w:tc>
          <w:tcPr>
            <w:tcW w:w="600" w:type="dxa"/>
          </w:tcPr>
          <w:p w:rsidR="00A95510" w:rsidRDefault="00E84F12">
            <w:r>
              <w:rPr>
                <w:rFonts w:ascii="Arial" w:hAnsi="Arial"/>
                <w:sz w:val="16"/>
                <w:szCs w:val="16"/>
              </w:rPr>
              <w:t>ML</w:t>
            </w:r>
          </w:p>
        </w:tc>
        <w:tc>
          <w:tcPr>
            <w:tcW w:w="800" w:type="dxa"/>
          </w:tcPr>
          <w:p w:rsidR="00A95510" w:rsidRDefault="00E84F12">
            <w:r>
              <w:rPr>
                <w:rFonts w:ascii="Arial" w:hAnsi="Arial"/>
                <w:sz w:val="16"/>
                <w:szCs w:val="16"/>
              </w:rPr>
              <w:t>219,3</w:t>
            </w:r>
          </w:p>
        </w:tc>
        <w:tc>
          <w:tcPr>
            <w:tcW w:w="3000" w:type="dxa"/>
          </w:tcPr>
          <w:p w:rsidR="00A95510" w:rsidRDefault="00E84F12">
            <w:r>
              <w:rPr>
                <w:rFonts w:ascii="Arial" w:hAnsi="Arial"/>
                <w:sz w:val="16"/>
                <w:szCs w:val="16"/>
              </w:rPr>
              <w:t>Suministro e instalación con accesorios, uniones, esquinas, cortes y fijación.</w:t>
            </w:r>
          </w:p>
        </w:tc>
        <w:tc>
          <w:tcPr>
            <w:tcW w:w="2300" w:type="dxa"/>
          </w:tcPr>
          <w:p w:rsidR="00A95510" w:rsidRDefault="00E84F12">
            <w:r>
              <w:rPr>
                <w:rFonts w:ascii="Arial" w:hAnsi="Arial"/>
                <w:sz w:val="16"/>
                <w:szCs w:val="16"/>
              </w:rPr>
              <w:t>Continuidad y fijación firme.</w:t>
            </w:r>
          </w:p>
        </w:tc>
      </w:tr>
      <w:tr w:rsidR="00A95510">
        <w:tc>
          <w:tcPr>
            <w:tcW w:w="700" w:type="dxa"/>
          </w:tcPr>
          <w:p w:rsidR="00A95510" w:rsidRDefault="00E84F12">
            <w:r>
              <w:rPr>
                <w:rFonts w:ascii="Arial" w:hAnsi="Arial"/>
                <w:sz w:val="16"/>
                <w:szCs w:val="16"/>
              </w:rPr>
              <w:t>3.1</w:t>
            </w:r>
          </w:p>
        </w:tc>
        <w:tc>
          <w:tcPr>
            <w:tcW w:w="2400" w:type="dxa"/>
          </w:tcPr>
          <w:p w:rsidR="00A95510" w:rsidRDefault="00E84F12">
            <w:r>
              <w:rPr>
                <w:rFonts w:ascii="Arial" w:hAnsi="Arial"/>
                <w:sz w:val="16"/>
                <w:szCs w:val="16"/>
              </w:rPr>
              <w:t>Lámina WPC 2,90 x 0,16 x 0,023 m</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80</w:t>
            </w:r>
          </w:p>
        </w:tc>
        <w:tc>
          <w:tcPr>
            <w:tcW w:w="3000" w:type="dxa"/>
          </w:tcPr>
          <w:p w:rsidR="00A95510" w:rsidRDefault="00E84F12">
            <w:r>
              <w:rPr>
                <w:rFonts w:ascii="Arial" w:hAnsi="Arial"/>
                <w:sz w:val="16"/>
                <w:szCs w:val="16"/>
              </w:rPr>
              <w:t>Suministro e instalación con accesorios, cortes y fijaciones compatibles.</w:t>
            </w:r>
          </w:p>
        </w:tc>
        <w:tc>
          <w:tcPr>
            <w:tcW w:w="2300" w:type="dxa"/>
          </w:tcPr>
          <w:p w:rsidR="00A95510" w:rsidRDefault="00E84F12">
            <w:r>
              <w:rPr>
                <w:rFonts w:ascii="Arial" w:hAnsi="Arial"/>
                <w:sz w:val="16"/>
                <w:szCs w:val="16"/>
              </w:rPr>
              <w:t>Aplomada, alineada y sin deformaciones.</w:t>
            </w:r>
          </w:p>
        </w:tc>
      </w:tr>
      <w:tr w:rsidR="00A95510">
        <w:tc>
          <w:tcPr>
            <w:tcW w:w="700" w:type="dxa"/>
          </w:tcPr>
          <w:p w:rsidR="00A95510" w:rsidRDefault="00E84F12">
            <w:r>
              <w:rPr>
                <w:rFonts w:ascii="Arial" w:hAnsi="Arial"/>
                <w:sz w:val="16"/>
                <w:szCs w:val="16"/>
              </w:rPr>
              <w:t>3.2</w:t>
            </w:r>
          </w:p>
        </w:tc>
        <w:tc>
          <w:tcPr>
            <w:tcW w:w="2400" w:type="dxa"/>
          </w:tcPr>
          <w:p w:rsidR="00A95510" w:rsidRDefault="00E84F12">
            <w:r>
              <w:rPr>
                <w:rFonts w:ascii="Arial" w:hAnsi="Arial"/>
                <w:sz w:val="16"/>
                <w:szCs w:val="16"/>
              </w:rPr>
              <w:t>Listones de madera</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4</w:t>
            </w:r>
          </w:p>
        </w:tc>
        <w:tc>
          <w:tcPr>
            <w:tcW w:w="3000" w:type="dxa"/>
          </w:tcPr>
          <w:p w:rsidR="00A95510" w:rsidRDefault="00E84F12">
            <w:r>
              <w:rPr>
                <w:rFonts w:ascii="Arial" w:hAnsi="Arial"/>
                <w:sz w:val="16"/>
                <w:szCs w:val="16"/>
              </w:rPr>
              <w:t>Suministro e instalación según especificación técnica, incluidos accesorios, fijación y acabado.</w:t>
            </w:r>
          </w:p>
        </w:tc>
        <w:tc>
          <w:tcPr>
            <w:tcW w:w="2300" w:type="dxa"/>
          </w:tcPr>
          <w:p w:rsidR="00A95510" w:rsidRDefault="00E84F12">
            <w:r>
              <w:rPr>
                <w:rFonts w:ascii="Arial" w:hAnsi="Arial"/>
                <w:sz w:val="16"/>
                <w:szCs w:val="16"/>
              </w:rPr>
              <w:t>Piezas estables, alineadas y con acabado uniforme.</w:t>
            </w:r>
          </w:p>
        </w:tc>
      </w:tr>
      <w:tr w:rsidR="00A95510">
        <w:tc>
          <w:tcPr>
            <w:tcW w:w="700" w:type="dxa"/>
          </w:tcPr>
          <w:p w:rsidR="00A95510" w:rsidRDefault="00E84F12">
            <w:r>
              <w:rPr>
                <w:rFonts w:ascii="Arial" w:hAnsi="Arial"/>
                <w:sz w:val="16"/>
                <w:szCs w:val="16"/>
              </w:rPr>
              <w:t>3.3</w:t>
            </w:r>
          </w:p>
        </w:tc>
        <w:tc>
          <w:tcPr>
            <w:tcW w:w="2400" w:type="dxa"/>
          </w:tcPr>
          <w:p w:rsidR="00A95510" w:rsidRDefault="00E84F12">
            <w:r>
              <w:rPr>
                <w:rFonts w:ascii="Arial" w:hAnsi="Arial"/>
                <w:sz w:val="16"/>
                <w:szCs w:val="16"/>
              </w:rPr>
              <w:t>Persiana enrollable blackout 130 x 200 cm blanca</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21</w:t>
            </w:r>
          </w:p>
        </w:tc>
        <w:tc>
          <w:tcPr>
            <w:tcW w:w="3000" w:type="dxa"/>
          </w:tcPr>
          <w:p w:rsidR="00A95510" w:rsidRDefault="00E84F12">
            <w:r>
              <w:rPr>
                <w:rFonts w:ascii="Arial" w:hAnsi="Arial"/>
                <w:sz w:val="16"/>
                <w:szCs w:val="16"/>
              </w:rPr>
              <w:t>Suministro e instalación, soportes, mecanismo y fijaciones; verificar medidas en sitio.</w:t>
            </w:r>
          </w:p>
        </w:tc>
        <w:tc>
          <w:tcPr>
            <w:tcW w:w="2300" w:type="dxa"/>
          </w:tcPr>
          <w:p w:rsidR="00A95510" w:rsidRDefault="00E84F12">
            <w:r>
              <w:rPr>
                <w:rFonts w:ascii="Arial" w:hAnsi="Arial"/>
                <w:sz w:val="16"/>
                <w:szCs w:val="16"/>
              </w:rPr>
              <w:t>Accionamiento suave y alineación correcta.</w:t>
            </w:r>
          </w:p>
        </w:tc>
      </w:tr>
      <w:tr w:rsidR="00A95510">
        <w:tc>
          <w:tcPr>
            <w:tcW w:w="700" w:type="dxa"/>
          </w:tcPr>
          <w:p w:rsidR="00A95510" w:rsidRDefault="00E84F12">
            <w:r>
              <w:rPr>
                <w:rFonts w:ascii="Arial" w:hAnsi="Arial"/>
                <w:sz w:val="16"/>
                <w:szCs w:val="16"/>
              </w:rPr>
              <w:t>3.4</w:t>
            </w:r>
          </w:p>
        </w:tc>
        <w:tc>
          <w:tcPr>
            <w:tcW w:w="2400" w:type="dxa"/>
          </w:tcPr>
          <w:p w:rsidR="00A95510" w:rsidRDefault="00E84F12">
            <w:r>
              <w:rPr>
                <w:rFonts w:ascii="Arial" w:hAnsi="Arial"/>
                <w:sz w:val="16"/>
                <w:szCs w:val="16"/>
              </w:rPr>
              <w:t>Reinstalación panelería existente en lámina</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60</w:t>
            </w:r>
          </w:p>
        </w:tc>
        <w:tc>
          <w:tcPr>
            <w:tcW w:w="3000" w:type="dxa"/>
          </w:tcPr>
          <w:p w:rsidR="00A95510" w:rsidRDefault="00E84F12">
            <w:r>
              <w:rPr>
                <w:rFonts w:ascii="Arial" w:hAnsi="Arial"/>
                <w:sz w:val="16"/>
                <w:szCs w:val="16"/>
              </w:rPr>
              <w:t>Reinstalación con marco en lámina cuando corresponda, resane, anticorrosivo y pintura de estructura, puertas y marcos a dos caras y dos manos, más accesorios.</w:t>
            </w:r>
          </w:p>
        </w:tc>
        <w:tc>
          <w:tcPr>
            <w:tcW w:w="2300" w:type="dxa"/>
          </w:tcPr>
          <w:p w:rsidR="00A95510" w:rsidRDefault="00E84F12">
            <w:r>
              <w:rPr>
                <w:rFonts w:ascii="Arial" w:hAnsi="Arial"/>
                <w:sz w:val="16"/>
                <w:szCs w:val="16"/>
              </w:rPr>
              <w:t>Módulos firmes, nivelados, aplomados y acabado homogéneo.</w:t>
            </w:r>
          </w:p>
        </w:tc>
      </w:tr>
      <w:tr w:rsidR="00A95510">
        <w:tc>
          <w:tcPr>
            <w:tcW w:w="700" w:type="dxa"/>
          </w:tcPr>
          <w:p w:rsidR="00A95510" w:rsidRDefault="00E84F12">
            <w:r>
              <w:rPr>
                <w:rFonts w:ascii="Arial" w:hAnsi="Arial"/>
                <w:sz w:val="16"/>
                <w:szCs w:val="16"/>
              </w:rPr>
              <w:t>3.5</w:t>
            </w:r>
          </w:p>
        </w:tc>
        <w:tc>
          <w:tcPr>
            <w:tcW w:w="2400" w:type="dxa"/>
          </w:tcPr>
          <w:p w:rsidR="00A95510" w:rsidRDefault="00E84F12">
            <w:r>
              <w:rPr>
                <w:rFonts w:ascii="Arial" w:hAnsi="Arial"/>
                <w:sz w:val="16"/>
                <w:szCs w:val="16"/>
              </w:rPr>
              <w:t>Estuco y pintura vinilo tipo I muros, 3 capas</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212</w:t>
            </w:r>
          </w:p>
        </w:tc>
        <w:tc>
          <w:tcPr>
            <w:tcW w:w="3000" w:type="dxa"/>
          </w:tcPr>
          <w:p w:rsidR="00A95510" w:rsidRDefault="00E84F12">
            <w:r>
              <w:rPr>
                <w:rFonts w:ascii="Arial" w:hAnsi="Arial"/>
                <w:sz w:val="16"/>
                <w:szCs w:val="16"/>
              </w:rPr>
              <w:t>Preparación, resane, estuco, lijado y pintura en tres capas. Incluye las dos caras del muro nuevo en estructura liviana (ítem 6.1), después del tratamiento de juntas (ítem 6.2).</w:t>
            </w:r>
          </w:p>
        </w:tc>
        <w:tc>
          <w:tcPr>
            <w:tcW w:w="2300" w:type="dxa"/>
          </w:tcPr>
          <w:p w:rsidR="00A95510" w:rsidRDefault="00E84F12">
            <w:r>
              <w:rPr>
                <w:rFonts w:ascii="Arial" w:hAnsi="Arial"/>
                <w:sz w:val="16"/>
                <w:szCs w:val="16"/>
              </w:rPr>
              <w:t>Cubrimiento y color uniformes.</w:t>
            </w:r>
          </w:p>
        </w:tc>
      </w:tr>
      <w:tr w:rsidR="00A95510">
        <w:tc>
          <w:tcPr>
            <w:tcW w:w="700" w:type="dxa"/>
          </w:tcPr>
          <w:p w:rsidR="00A95510" w:rsidRDefault="00E84F12">
            <w:r>
              <w:rPr>
                <w:rFonts w:ascii="Arial" w:hAnsi="Arial"/>
                <w:sz w:val="16"/>
                <w:szCs w:val="16"/>
              </w:rPr>
              <w:t>3.6</w:t>
            </w:r>
          </w:p>
        </w:tc>
        <w:tc>
          <w:tcPr>
            <w:tcW w:w="2400" w:type="dxa"/>
          </w:tcPr>
          <w:p w:rsidR="00A95510" w:rsidRDefault="00E84F12">
            <w:r>
              <w:rPr>
                <w:rFonts w:ascii="Arial" w:hAnsi="Arial"/>
                <w:sz w:val="16"/>
                <w:szCs w:val="16"/>
              </w:rPr>
              <w:t>Estuco y pintura cielo raso vinilo tipo II, 3 capas</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264,5</w:t>
            </w:r>
          </w:p>
        </w:tc>
        <w:tc>
          <w:tcPr>
            <w:tcW w:w="3000" w:type="dxa"/>
          </w:tcPr>
          <w:p w:rsidR="00A95510" w:rsidRDefault="00E84F12">
            <w:r>
              <w:rPr>
                <w:rFonts w:ascii="Arial" w:hAnsi="Arial"/>
                <w:sz w:val="16"/>
                <w:szCs w:val="16"/>
              </w:rPr>
              <w:t>Preparación, resane, estuco y pintura en tres capas. Incluye el estuco sobre el mortero de reparación de la placa (ítem 6.4) y el acabado de las fisuras resanadas (ítem 6.5). Se ejecuta sobre todo el cielo raso al terminar las actividades del capítulo 6, para que el tono quede homogéneo.</w:t>
            </w:r>
          </w:p>
        </w:tc>
        <w:tc>
          <w:tcPr>
            <w:tcW w:w="2300" w:type="dxa"/>
          </w:tcPr>
          <w:p w:rsidR="00A95510" w:rsidRDefault="00E84F12">
            <w:r>
              <w:rPr>
                <w:rFonts w:ascii="Arial" w:hAnsi="Arial"/>
                <w:sz w:val="16"/>
                <w:szCs w:val="16"/>
              </w:rPr>
              <w:t>Acabado continuo y limpio.</w:t>
            </w:r>
          </w:p>
        </w:tc>
      </w:tr>
      <w:tr w:rsidR="00A95510">
        <w:tc>
          <w:tcPr>
            <w:tcW w:w="700" w:type="dxa"/>
          </w:tcPr>
          <w:p w:rsidR="00A95510" w:rsidRDefault="00E84F12">
            <w:r>
              <w:rPr>
                <w:rFonts w:ascii="Arial" w:hAnsi="Arial"/>
                <w:sz w:val="16"/>
                <w:szCs w:val="16"/>
              </w:rPr>
              <w:t>3.7</w:t>
            </w:r>
          </w:p>
        </w:tc>
        <w:tc>
          <w:tcPr>
            <w:tcW w:w="2400" w:type="dxa"/>
          </w:tcPr>
          <w:p w:rsidR="00A95510" w:rsidRDefault="00E84F12">
            <w:r>
              <w:rPr>
                <w:rFonts w:ascii="Arial" w:hAnsi="Arial"/>
                <w:sz w:val="16"/>
                <w:szCs w:val="16"/>
              </w:rPr>
              <w:t>Pintura esmalte estructura metálica, 2 capas</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254</w:t>
            </w:r>
          </w:p>
        </w:tc>
        <w:tc>
          <w:tcPr>
            <w:tcW w:w="3000" w:type="dxa"/>
          </w:tcPr>
          <w:p w:rsidR="00A95510" w:rsidRDefault="00E84F12">
            <w:r>
              <w:rPr>
                <w:rFonts w:ascii="Arial" w:hAnsi="Arial"/>
                <w:sz w:val="16"/>
                <w:szCs w:val="16"/>
              </w:rPr>
              <w:t>Preparación de superficie y esmalte a dos capas; protección anticorrosiva según condición del sustrato.</w:t>
            </w:r>
          </w:p>
        </w:tc>
        <w:tc>
          <w:tcPr>
            <w:tcW w:w="2300" w:type="dxa"/>
          </w:tcPr>
          <w:p w:rsidR="00A95510" w:rsidRDefault="00E84F12">
            <w:r>
              <w:rPr>
                <w:rFonts w:ascii="Arial" w:hAnsi="Arial"/>
                <w:sz w:val="16"/>
                <w:szCs w:val="16"/>
              </w:rPr>
              <w:t>Cubrimiento uniforme y adherente.</w:t>
            </w:r>
          </w:p>
        </w:tc>
      </w:tr>
      <w:tr w:rsidR="00A95510">
        <w:tc>
          <w:tcPr>
            <w:tcW w:w="700" w:type="dxa"/>
          </w:tcPr>
          <w:p w:rsidR="00A95510" w:rsidRDefault="00E84F12">
            <w:r>
              <w:rPr>
                <w:rFonts w:ascii="Arial" w:hAnsi="Arial"/>
                <w:sz w:val="16"/>
                <w:szCs w:val="16"/>
              </w:rPr>
              <w:t>3.8</w:t>
            </w:r>
          </w:p>
        </w:tc>
        <w:tc>
          <w:tcPr>
            <w:tcW w:w="2400" w:type="dxa"/>
          </w:tcPr>
          <w:p w:rsidR="00A95510" w:rsidRDefault="00E84F12">
            <w:r>
              <w:rPr>
                <w:rFonts w:ascii="Arial" w:hAnsi="Arial"/>
                <w:sz w:val="16"/>
                <w:szCs w:val="16"/>
              </w:rPr>
              <w:t>Puerta batiente vidrio templado 10 mm, dos alas</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4</w:t>
            </w:r>
          </w:p>
        </w:tc>
        <w:tc>
          <w:tcPr>
            <w:tcW w:w="3000" w:type="dxa"/>
          </w:tcPr>
          <w:p w:rsidR="00A95510" w:rsidRDefault="00E84F12">
            <w:r>
              <w:rPr>
                <w:rFonts w:ascii="Arial" w:hAnsi="Arial"/>
                <w:sz w:val="16"/>
                <w:szCs w:val="16"/>
              </w:rPr>
              <w:t>Incluye herrajes de acero inoxidable, cerradura, falleba y cierrepuertas conforme a descripción presupuestal. Medida de referencia registrada: ancho 1800 mm y alto 2135 mm; verificar vano antes de fabricar.</w:t>
            </w:r>
          </w:p>
        </w:tc>
        <w:tc>
          <w:tcPr>
            <w:tcW w:w="2300" w:type="dxa"/>
          </w:tcPr>
          <w:p w:rsidR="00A95510" w:rsidRDefault="00E84F12">
            <w:r>
              <w:rPr>
                <w:rFonts w:ascii="Arial" w:hAnsi="Arial"/>
                <w:sz w:val="16"/>
                <w:szCs w:val="16"/>
              </w:rPr>
              <w:t>Vidrios y herrajes firmes; apertura, cierre y cerradura funcionales.</w:t>
            </w:r>
          </w:p>
        </w:tc>
      </w:tr>
      <w:tr w:rsidR="00A95510">
        <w:tc>
          <w:tcPr>
            <w:tcW w:w="700" w:type="dxa"/>
          </w:tcPr>
          <w:p w:rsidR="00A95510" w:rsidRDefault="00E84F12">
            <w:r>
              <w:rPr>
                <w:rFonts w:ascii="Arial" w:hAnsi="Arial"/>
                <w:sz w:val="16"/>
                <w:szCs w:val="16"/>
              </w:rPr>
              <w:lastRenderedPageBreak/>
              <w:t>3.9</w:t>
            </w:r>
          </w:p>
        </w:tc>
        <w:tc>
          <w:tcPr>
            <w:tcW w:w="2400" w:type="dxa"/>
          </w:tcPr>
          <w:p w:rsidR="00A95510" w:rsidRDefault="00E84F12">
            <w:r>
              <w:rPr>
                <w:rFonts w:ascii="Arial" w:hAnsi="Arial"/>
                <w:sz w:val="16"/>
                <w:szCs w:val="16"/>
              </w:rPr>
              <w:t>Archivo rodante metálico doble faz, estantería ajustable, base móvil y rieles</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44,77</w:t>
            </w:r>
          </w:p>
        </w:tc>
        <w:tc>
          <w:tcPr>
            <w:tcW w:w="3000" w:type="dxa"/>
          </w:tcPr>
          <w:p w:rsidR="00A95510" w:rsidRDefault="00E84F12">
            <w:r>
              <w:rPr>
                <w:rFonts w:ascii="Arial" w:hAnsi="Arial"/>
                <w:sz w:val="16"/>
                <w:szCs w:val="16"/>
              </w:rPr>
              <w:t>Sistema integral; referencia dimensional presupuestal 2,4 m x 2,0 m x 1,2 m. Incluye levantamiento, suministro, rieles, anclajes, nivelación y puesta en operación. La localización de rieles y anclajes se sujeta al concepto sobre la capacidad de carga de la placa en la zona prevista, que la Supervisión entregará antes de la instalación; los rieles no se instalan sin ese concepto.</w:t>
            </w:r>
          </w:p>
        </w:tc>
        <w:tc>
          <w:tcPr>
            <w:tcW w:w="2300" w:type="dxa"/>
          </w:tcPr>
          <w:p w:rsidR="00A95510" w:rsidRDefault="00E84F12">
            <w:r>
              <w:rPr>
                <w:rFonts w:ascii="Arial" w:hAnsi="Arial"/>
                <w:sz w:val="16"/>
                <w:szCs w:val="16"/>
              </w:rPr>
              <w:t>Desplazamiento estable, rieles nivelados, estanterías firmes; manual y garantía.</w:t>
            </w:r>
          </w:p>
        </w:tc>
      </w:tr>
      <w:tr w:rsidR="00A95510">
        <w:tc>
          <w:tcPr>
            <w:tcW w:w="700" w:type="dxa"/>
          </w:tcPr>
          <w:p w:rsidR="00A95510" w:rsidRDefault="00E84F12">
            <w:r>
              <w:rPr>
                <w:rFonts w:ascii="Arial" w:hAnsi="Arial"/>
                <w:sz w:val="16"/>
                <w:szCs w:val="16"/>
              </w:rPr>
              <w:t>4.1</w:t>
            </w:r>
          </w:p>
        </w:tc>
        <w:tc>
          <w:tcPr>
            <w:tcW w:w="2400" w:type="dxa"/>
          </w:tcPr>
          <w:p w:rsidR="00A95510" w:rsidRDefault="00E84F12">
            <w:r>
              <w:rPr>
                <w:rFonts w:ascii="Arial" w:hAnsi="Arial"/>
                <w:sz w:val="16"/>
                <w:szCs w:val="16"/>
              </w:rPr>
              <w:t>Salida tomacorriente doble polo a tierra Cu #12 THHN, PVC 3/4, prom. 6 m</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24</w:t>
            </w:r>
          </w:p>
        </w:tc>
        <w:tc>
          <w:tcPr>
            <w:tcW w:w="3000" w:type="dxa"/>
          </w:tcPr>
          <w:p w:rsidR="00A95510" w:rsidRDefault="00E84F12">
            <w:r>
              <w:rPr>
                <w:rFonts w:ascii="Arial" w:hAnsi="Arial"/>
                <w:sz w:val="16"/>
                <w:szCs w:val="16"/>
              </w:rPr>
              <w:t>Salida completa con aparato, cajas, conductores, canalización, accesorios, fijaciones y conexión.</w:t>
            </w:r>
          </w:p>
        </w:tc>
        <w:tc>
          <w:tcPr>
            <w:tcW w:w="2300" w:type="dxa"/>
          </w:tcPr>
          <w:p w:rsidR="00A95510" w:rsidRDefault="00E84F12">
            <w:r>
              <w:rPr>
                <w:rFonts w:ascii="Arial" w:hAnsi="Arial"/>
                <w:sz w:val="16"/>
                <w:szCs w:val="16"/>
              </w:rPr>
              <w:t>Continuidad, polaridad y tierra verificadas.</w:t>
            </w:r>
          </w:p>
        </w:tc>
      </w:tr>
      <w:tr w:rsidR="00A95510">
        <w:tc>
          <w:tcPr>
            <w:tcW w:w="700" w:type="dxa"/>
          </w:tcPr>
          <w:p w:rsidR="00A95510" w:rsidRDefault="00E84F12">
            <w:r>
              <w:rPr>
                <w:rFonts w:ascii="Arial" w:hAnsi="Arial"/>
                <w:sz w:val="16"/>
                <w:szCs w:val="16"/>
              </w:rPr>
              <w:t>4.2</w:t>
            </w:r>
          </w:p>
        </w:tc>
        <w:tc>
          <w:tcPr>
            <w:tcW w:w="2400" w:type="dxa"/>
          </w:tcPr>
          <w:p w:rsidR="00A95510" w:rsidRDefault="00E84F12">
            <w:r>
              <w:rPr>
                <w:rFonts w:ascii="Arial" w:hAnsi="Arial"/>
                <w:sz w:val="16"/>
                <w:szCs w:val="16"/>
              </w:rPr>
              <w:t>Acometida cobre libre halógenos 1#12 F + 1#12 N + 1#12 T</w:t>
            </w:r>
          </w:p>
        </w:tc>
        <w:tc>
          <w:tcPr>
            <w:tcW w:w="600" w:type="dxa"/>
          </w:tcPr>
          <w:p w:rsidR="00A95510" w:rsidRDefault="00E84F12">
            <w:r>
              <w:rPr>
                <w:rFonts w:ascii="Arial" w:hAnsi="Arial"/>
                <w:sz w:val="16"/>
                <w:szCs w:val="16"/>
              </w:rPr>
              <w:t>M</w:t>
            </w:r>
          </w:p>
        </w:tc>
        <w:tc>
          <w:tcPr>
            <w:tcW w:w="800" w:type="dxa"/>
          </w:tcPr>
          <w:p w:rsidR="00A95510" w:rsidRDefault="00E84F12">
            <w:r>
              <w:rPr>
                <w:rFonts w:ascii="Arial" w:hAnsi="Arial"/>
                <w:sz w:val="16"/>
                <w:szCs w:val="16"/>
              </w:rPr>
              <w:t>86</w:t>
            </w:r>
          </w:p>
        </w:tc>
        <w:tc>
          <w:tcPr>
            <w:tcW w:w="3000" w:type="dxa"/>
          </w:tcPr>
          <w:p w:rsidR="00A95510" w:rsidRDefault="00E84F12">
            <w:r>
              <w:rPr>
                <w:rFonts w:ascii="Arial" w:hAnsi="Arial"/>
                <w:sz w:val="16"/>
                <w:szCs w:val="16"/>
              </w:rPr>
              <w:t>Suministro e instalación de conductores, tendido, identificación y conexiones.</w:t>
            </w:r>
          </w:p>
        </w:tc>
        <w:tc>
          <w:tcPr>
            <w:tcW w:w="2300" w:type="dxa"/>
          </w:tcPr>
          <w:p w:rsidR="00A95510" w:rsidRDefault="00E84F12">
            <w:r>
              <w:rPr>
                <w:rFonts w:ascii="Arial" w:hAnsi="Arial"/>
                <w:sz w:val="16"/>
                <w:szCs w:val="16"/>
              </w:rPr>
              <w:t>Continuidad, aislamiento e identificación verificadas.</w:t>
            </w:r>
          </w:p>
        </w:tc>
      </w:tr>
      <w:tr w:rsidR="00A95510">
        <w:tc>
          <w:tcPr>
            <w:tcW w:w="700" w:type="dxa"/>
          </w:tcPr>
          <w:p w:rsidR="00A95510" w:rsidRDefault="00E84F12">
            <w:r>
              <w:rPr>
                <w:rFonts w:ascii="Arial" w:hAnsi="Arial"/>
                <w:sz w:val="16"/>
                <w:szCs w:val="16"/>
              </w:rPr>
              <w:t>4.3</w:t>
            </w:r>
          </w:p>
        </w:tc>
        <w:tc>
          <w:tcPr>
            <w:tcW w:w="2400" w:type="dxa"/>
          </w:tcPr>
          <w:p w:rsidR="00A95510" w:rsidRDefault="00E84F12">
            <w:r>
              <w:rPr>
                <w:rFonts w:ascii="Arial" w:hAnsi="Arial"/>
                <w:sz w:val="16"/>
                <w:szCs w:val="16"/>
              </w:rPr>
              <w:t>Interruptor sencillo</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3</w:t>
            </w:r>
          </w:p>
        </w:tc>
        <w:tc>
          <w:tcPr>
            <w:tcW w:w="3000" w:type="dxa"/>
          </w:tcPr>
          <w:p w:rsidR="00A95510" w:rsidRDefault="00E84F12">
            <w:r>
              <w:rPr>
                <w:rFonts w:ascii="Arial" w:hAnsi="Arial"/>
                <w:sz w:val="16"/>
                <w:szCs w:val="16"/>
              </w:rPr>
              <w:t>Aparato, Cu #12 THHN libre halógenos, PVC 3/4, longitud promedio 4,5 m y accesorios.</w:t>
            </w:r>
          </w:p>
        </w:tc>
        <w:tc>
          <w:tcPr>
            <w:tcW w:w="2300" w:type="dxa"/>
          </w:tcPr>
          <w:p w:rsidR="00A95510" w:rsidRDefault="00E84F12">
            <w:r>
              <w:rPr>
                <w:rFonts w:ascii="Arial" w:hAnsi="Arial"/>
                <w:sz w:val="16"/>
                <w:szCs w:val="16"/>
              </w:rPr>
              <w:t>Mando correcto y firme.</w:t>
            </w:r>
          </w:p>
        </w:tc>
      </w:tr>
      <w:tr w:rsidR="00A95510">
        <w:tc>
          <w:tcPr>
            <w:tcW w:w="700" w:type="dxa"/>
          </w:tcPr>
          <w:p w:rsidR="00A95510" w:rsidRDefault="00E84F12">
            <w:r>
              <w:rPr>
                <w:rFonts w:ascii="Arial" w:hAnsi="Arial"/>
                <w:sz w:val="16"/>
                <w:szCs w:val="16"/>
              </w:rPr>
              <w:t>4.4</w:t>
            </w:r>
          </w:p>
        </w:tc>
        <w:tc>
          <w:tcPr>
            <w:tcW w:w="2400" w:type="dxa"/>
          </w:tcPr>
          <w:p w:rsidR="00A95510" w:rsidRDefault="00E84F12">
            <w:r>
              <w:rPr>
                <w:rFonts w:ascii="Arial" w:hAnsi="Arial"/>
                <w:sz w:val="16"/>
                <w:szCs w:val="16"/>
              </w:rPr>
              <w:t>Interruptor doble</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6</w:t>
            </w:r>
          </w:p>
        </w:tc>
        <w:tc>
          <w:tcPr>
            <w:tcW w:w="3000" w:type="dxa"/>
          </w:tcPr>
          <w:p w:rsidR="00A95510" w:rsidRDefault="00E84F12">
            <w:r>
              <w:rPr>
                <w:rFonts w:ascii="Arial" w:hAnsi="Arial"/>
                <w:sz w:val="16"/>
                <w:szCs w:val="16"/>
              </w:rPr>
              <w:t>Salida completa según presupuesto.</w:t>
            </w:r>
          </w:p>
        </w:tc>
        <w:tc>
          <w:tcPr>
            <w:tcW w:w="2300" w:type="dxa"/>
          </w:tcPr>
          <w:p w:rsidR="00A95510" w:rsidRDefault="00E84F12">
            <w:r>
              <w:rPr>
                <w:rFonts w:ascii="Arial" w:hAnsi="Arial"/>
                <w:sz w:val="16"/>
                <w:szCs w:val="16"/>
              </w:rPr>
              <w:t>Dos mandos funcionales.</w:t>
            </w:r>
          </w:p>
        </w:tc>
      </w:tr>
      <w:tr w:rsidR="00A95510">
        <w:tc>
          <w:tcPr>
            <w:tcW w:w="700" w:type="dxa"/>
          </w:tcPr>
          <w:p w:rsidR="00A95510" w:rsidRDefault="00E84F12">
            <w:r>
              <w:rPr>
                <w:rFonts w:ascii="Arial" w:hAnsi="Arial"/>
                <w:sz w:val="16"/>
                <w:szCs w:val="16"/>
              </w:rPr>
              <w:t>4.5</w:t>
            </w:r>
          </w:p>
        </w:tc>
        <w:tc>
          <w:tcPr>
            <w:tcW w:w="2400" w:type="dxa"/>
          </w:tcPr>
          <w:p w:rsidR="00A95510" w:rsidRDefault="00E84F12">
            <w:r>
              <w:rPr>
                <w:rFonts w:ascii="Arial" w:hAnsi="Arial"/>
                <w:sz w:val="16"/>
                <w:szCs w:val="16"/>
              </w:rPr>
              <w:t>Interruptor doble conmutable</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2</w:t>
            </w:r>
          </w:p>
        </w:tc>
        <w:tc>
          <w:tcPr>
            <w:tcW w:w="3000" w:type="dxa"/>
          </w:tcPr>
          <w:p w:rsidR="00A95510" w:rsidRDefault="00E84F12">
            <w:r>
              <w:rPr>
                <w:rFonts w:ascii="Arial" w:hAnsi="Arial"/>
                <w:sz w:val="16"/>
                <w:szCs w:val="16"/>
              </w:rPr>
              <w:t>Salida completa según presupuesto.</w:t>
            </w:r>
          </w:p>
        </w:tc>
        <w:tc>
          <w:tcPr>
            <w:tcW w:w="2300" w:type="dxa"/>
          </w:tcPr>
          <w:p w:rsidR="00A95510" w:rsidRDefault="00E84F12">
            <w:r>
              <w:rPr>
                <w:rFonts w:ascii="Arial" w:hAnsi="Arial"/>
                <w:sz w:val="16"/>
                <w:szCs w:val="16"/>
              </w:rPr>
              <w:t>Conmutación funcional.</w:t>
            </w:r>
          </w:p>
        </w:tc>
      </w:tr>
      <w:tr w:rsidR="00A95510">
        <w:tc>
          <w:tcPr>
            <w:tcW w:w="700" w:type="dxa"/>
          </w:tcPr>
          <w:p w:rsidR="00A95510" w:rsidRDefault="00E84F12">
            <w:r>
              <w:rPr>
                <w:rFonts w:ascii="Arial" w:hAnsi="Arial"/>
                <w:sz w:val="16"/>
                <w:szCs w:val="16"/>
              </w:rPr>
              <w:t>4.6</w:t>
            </w:r>
          </w:p>
        </w:tc>
        <w:tc>
          <w:tcPr>
            <w:tcW w:w="2400" w:type="dxa"/>
          </w:tcPr>
          <w:p w:rsidR="00A95510" w:rsidRDefault="00E84F12">
            <w:r>
              <w:rPr>
                <w:rFonts w:ascii="Arial" w:hAnsi="Arial"/>
                <w:sz w:val="16"/>
                <w:szCs w:val="16"/>
              </w:rPr>
              <w:t>Interruptor triple</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3</w:t>
            </w:r>
          </w:p>
        </w:tc>
        <w:tc>
          <w:tcPr>
            <w:tcW w:w="3000" w:type="dxa"/>
          </w:tcPr>
          <w:p w:rsidR="00A95510" w:rsidRDefault="00E84F12">
            <w:r>
              <w:rPr>
                <w:rFonts w:ascii="Arial" w:hAnsi="Arial"/>
                <w:sz w:val="16"/>
                <w:szCs w:val="16"/>
              </w:rPr>
              <w:t>Salida completa según presupuesto.</w:t>
            </w:r>
          </w:p>
        </w:tc>
        <w:tc>
          <w:tcPr>
            <w:tcW w:w="2300" w:type="dxa"/>
          </w:tcPr>
          <w:p w:rsidR="00A95510" w:rsidRDefault="00E84F12">
            <w:r>
              <w:rPr>
                <w:rFonts w:ascii="Arial" w:hAnsi="Arial"/>
                <w:sz w:val="16"/>
                <w:szCs w:val="16"/>
              </w:rPr>
              <w:t>Tres mandos funcionales.</w:t>
            </w:r>
          </w:p>
        </w:tc>
      </w:tr>
      <w:tr w:rsidR="00A95510">
        <w:tc>
          <w:tcPr>
            <w:tcW w:w="700" w:type="dxa"/>
          </w:tcPr>
          <w:p w:rsidR="00A95510" w:rsidRDefault="00E84F12">
            <w:r>
              <w:rPr>
                <w:rFonts w:ascii="Arial" w:hAnsi="Arial"/>
                <w:sz w:val="16"/>
                <w:szCs w:val="16"/>
              </w:rPr>
              <w:t>4.7</w:t>
            </w:r>
          </w:p>
        </w:tc>
        <w:tc>
          <w:tcPr>
            <w:tcW w:w="2400" w:type="dxa"/>
          </w:tcPr>
          <w:p w:rsidR="00A95510" w:rsidRDefault="00E84F12">
            <w:r>
              <w:rPr>
                <w:rFonts w:ascii="Arial" w:hAnsi="Arial"/>
                <w:sz w:val="16"/>
                <w:szCs w:val="16"/>
              </w:rPr>
              <w:t>Salida de iluminación</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38</w:t>
            </w:r>
          </w:p>
        </w:tc>
        <w:tc>
          <w:tcPr>
            <w:tcW w:w="3000" w:type="dxa"/>
          </w:tcPr>
          <w:p w:rsidR="00A95510" w:rsidRDefault="00E84F12">
            <w:r>
              <w:rPr>
                <w:rFonts w:ascii="Arial" w:hAnsi="Arial"/>
                <w:sz w:val="16"/>
                <w:szCs w:val="16"/>
              </w:rPr>
              <w:t>Cu #12 THHN libre halógenos, PVC 3/4, longitud promedio 6 m, accesorios y fijaciones.</w:t>
            </w:r>
          </w:p>
        </w:tc>
        <w:tc>
          <w:tcPr>
            <w:tcW w:w="2300" w:type="dxa"/>
          </w:tcPr>
          <w:p w:rsidR="00A95510" w:rsidRDefault="00E84F12">
            <w:r>
              <w:rPr>
                <w:rFonts w:ascii="Arial" w:hAnsi="Arial"/>
                <w:sz w:val="16"/>
                <w:szCs w:val="16"/>
              </w:rPr>
              <w:t>Continuidad, aislamiento y mando verificados.</w:t>
            </w:r>
          </w:p>
        </w:tc>
      </w:tr>
      <w:tr w:rsidR="00A95510">
        <w:tc>
          <w:tcPr>
            <w:tcW w:w="700" w:type="dxa"/>
          </w:tcPr>
          <w:p w:rsidR="00A95510" w:rsidRDefault="00E84F12">
            <w:r>
              <w:rPr>
                <w:rFonts w:ascii="Arial" w:hAnsi="Arial"/>
                <w:sz w:val="16"/>
                <w:szCs w:val="16"/>
              </w:rPr>
              <w:t>4.8</w:t>
            </w:r>
          </w:p>
        </w:tc>
        <w:tc>
          <w:tcPr>
            <w:tcW w:w="2400" w:type="dxa"/>
          </w:tcPr>
          <w:p w:rsidR="00A95510" w:rsidRDefault="00E84F12">
            <w:r>
              <w:rPr>
                <w:rFonts w:ascii="Arial" w:hAnsi="Arial"/>
                <w:sz w:val="16"/>
                <w:szCs w:val="16"/>
              </w:rPr>
              <w:t>Panel LED sobreponer 60 x 60, 48 W blanco</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7</w:t>
            </w:r>
          </w:p>
        </w:tc>
        <w:tc>
          <w:tcPr>
            <w:tcW w:w="3000" w:type="dxa"/>
          </w:tcPr>
          <w:p w:rsidR="00A95510" w:rsidRDefault="00E84F12">
            <w:r>
              <w:rPr>
                <w:rFonts w:ascii="Arial" w:hAnsi="Arial"/>
                <w:sz w:val="16"/>
                <w:szCs w:val="16"/>
              </w:rPr>
              <w:t>Suministro, transporte, accesorios, conexión e instalación; Halux o similar según presupuesto.</w:t>
            </w:r>
          </w:p>
        </w:tc>
        <w:tc>
          <w:tcPr>
            <w:tcW w:w="2300" w:type="dxa"/>
          </w:tcPr>
          <w:p w:rsidR="00A95510" w:rsidRDefault="00E84F12">
            <w:r>
              <w:rPr>
                <w:rFonts w:ascii="Arial" w:hAnsi="Arial"/>
                <w:sz w:val="16"/>
                <w:szCs w:val="16"/>
              </w:rPr>
              <w:t>Encendido estable y fijación segura.</w:t>
            </w:r>
          </w:p>
        </w:tc>
      </w:tr>
      <w:tr w:rsidR="00A95510">
        <w:tc>
          <w:tcPr>
            <w:tcW w:w="700" w:type="dxa"/>
          </w:tcPr>
          <w:p w:rsidR="00A95510" w:rsidRDefault="00E84F12">
            <w:r>
              <w:rPr>
                <w:rFonts w:ascii="Arial" w:hAnsi="Arial"/>
                <w:sz w:val="16"/>
                <w:szCs w:val="16"/>
              </w:rPr>
              <w:t>4.9</w:t>
            </w:r>
          </w:p>
        </w:tc>
        <w:tc>
          <w:tcPr>
            <w:tcW w:w="2400" w:type="dxa"/>
          </w:tcPr>
          <w:p w:rsidR="00A95510" w:rsidRDefault="00E84F12">
            <w:r>
              <w:rPr>
                <w:rFonts w:ascii="Arial" w:hAnsi="Arial"/>
                <w:sz w:val="16"/>
                <w:szCs w:val="16"/>
              </w:rPr>
              <w:t>Panel LED sobreponer 60 x 30, 24 W blanco</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10</w:t>
            </w:r>
          </w:p>
        </w:tc>
        <w:tc>
          <w:tcPr>
            <w:tcW w:w="3000" w:type="dxa"/>
          </w:tcPr>
          <w:p w:rsidR="00A95510" w:rsidRDefault="00E84F12">
            <w:r>
              <w:rPr>
                <w:rFonts w:ascii="Arial" w:hAnsi="Arial"/>
                <w:sz w:val="16"/>
                <w:szCs w:val="16"/>
              </w:rPr>
              <w:t>Suministro, accesorios, conexión e instalación; Halux o similar.</w:t>
            </w:r>
          </w:p>
        </w:tc>
        <w:tc>
          <w:tcPr>
            <w:tcW w:w="2300" w:type="dxa"/>
          </w:tcPr>
          <w:p w:rsidR="00A95510" w:rsidRDefault="00E84F12">
            <w:r>
              <w:rPr>
                <w:rFonts w:ascii="Arial" w:hAnsi="Arial"/>
                <w:sz w:val="16"/>
                <w:szCs w:val="16"/>
              </w:rPr>
              <w:t>Funcionamiento y fijación aprobados.</w:t>
            </w:r>
          </w:p>
        </w:tc>
      </w:tr>
      <w:tr w:rsidR="00A95510">
        <w:tc>
          <w:tcPr>
            <w:tcW w:w="700" w:type="dxa"/>
          </w:tcPr>
          <w:p w:rsidR="00A95510" w:rsidRDefault="00E84F12">
            <w:r>
              <w:rPr>
                <w:rFonts w:ascii="Arial" w:hAnsi="Arial"/>
                <w:sz w:val="16"/>
                <w:szCs w:val="16"/>
              </w:rPr>
              <w:t>4.10</w:t>
            </w:r>
          </w:p>
        </w:tc>
        <w:tc>
          <w:tcPr>
            <w:tcW w:w="2400" w:type="dxa"/>
          </w:tcPr>
          <w:p w:rsidR="00A95510" w:rsidRDefault="00E84F12">
            <w:r>
              <w:rPr>
                <w:rFonts w:ascii="Arial" w:hAnsi="Arial"/>
                <w:sz w:val="16"/>
                <w:szCs w:val="16"/>
              </w:rPr>
              <w:t>Panel LED sobreponer 120 x 30, 48 W</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9</w:t>
            </w:r>
          </w:p>
        </w:tc>
        <w:tc>
          <w:tcPr>
            <w:tcW w:w="3000" w:type="dxa"/>
          </w:tcPr>
          <w:p w:rsidR="00A95510" w:rsidRDefault="00E84F12">
            <w:r>
              <w:rPr>
                <w:rFonts w:ascii="Arial" w:hAnsi="Arial"/>
                <w:sz w:val="16"/>
                <w:szCs w:val="16"/>
              </w:rPr>
              <w:t>Suministro, accesorios, conexión e instalación.</w:t>
            </w:r>
          </w:p>
        </w:tc>
        <w:tc>
          <w:tcPr>
            <w:tcW w:w="2300" w:type="dxa"/>
          </w:tcPr>
          <w:p w:rsidR="00A95510" w:rsidRDefault="00E84F12">
            <w:r>
              <w:rPr>
                <w:rFonts w:ascii="Arial" w:hAnsi="Arial"/>
                <w:sz w:val="16"/>
                <w:szCs w:val="16"/>
              </w:rPr>
              <w:t>Funcionamiento y alineación aprobados.</w:t>
            </w:r>
          </w:p>
        </w:tc>
      </w:tr>
      <w:tr w:rsidR="00A95510">
        <w:tc>
          <w:tcPr>
            <w:tcW w:w="700" w:type="dxa"/>
          </w:tcPr>
          <w:p w:rsidR="00A95510" w:rsidRDefault="00E84F12">
            <w:r>
              <w:rPr>
                <w:rFonts w:ascii="Arial" w:hAnsi="Arial"/>
                <w:sz w:val="16"/>
                <w:szCs w:val="16"/>
              </w:rPr>
              <w:t>4.11</w:t>
            </w:r>
          </w:p>
        </w:tc>
        <w:tc>
          <w:tcPr>
            <w:tcW w:w="2400" w:type="dxa"/>
          </w:tcPr>
          <w:p w:rsidR="00A95510" w:rsidRDefault="00E84F12">
            <w:r>
              <w:rPr>
                <w:rFonts w:ascii="Arial" w:hAnsi="Arial"/>
                <w:sz w:val="16"/>
                <w:szCs w:val="16"/>
              </w:rPr>
              <w:t>Lámpara lineal LED descolgar negra 17 W 120 x 5 cm</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12</w:t>
            </w:r>
          </w:p>
        </w:tc>
        <w:tc>
          <w:tcPr>
            <w:tcW w:w="3000" w:type="dxa"/>
          </w:tcPr>
          <w:p w:rsidR="00A95510" w:rsidRDefault="00E84F12">
            <w:r>
              <w:rPr>
                <w:rFonts w:ascii="Arial" w:hAnsi="Arial"/>
                <w:sz w:val="16"/>
                <w:szCs w:val="16"/>
              </w:rPr>
              <w:t>Suministro, suspensión, nivelación, accesorios y conexión.</w:t>
            </w:r>
          </w:p>
        </w:tc>
        <w:tc>
          <w:tcPr>
            <w:tcW w:w="2300" w:type="dxa"/>
          </w:tcPr>
          <w:p w:rsidR="00A95510" w:rsidRDefault="00E84F12">
            <w:r>
              <w:rPr>
                <w:rFonts w:ascii="Arial" w:hAnsi="Arial"/>
                <w:sz w:val="16"/>
                <w:szCs w:val="16"/>
              </w:rPr>
              <w:t>Suspensión segura, nivel y funcionamiento.</w:t>
            </w:r>
          </w:p>
        </w:tc>
      </w:tr>
      <w:tr w:rsidR="00A95510">
        <w:tc>
          <w:tcPr>
            <w:tcW w:w="700" w:type="dxa"/>
          </w:tcPr>
          <w:p w:rsidR="00A95510" w:rsidRDefault="00E84F12">
            <w:r>
              <w:rPr>
                <w:rFonts w:ascii="Arial" w:hAnsi="Arial"/>
                <w:sz w:val="16"/>
                <w:szCs w:val="16"/>
              </w:rPr>
              <w:t>4.12</w:t>
            </w:r>
          </w:p>
        </w:tc>
        <w:tc>
          <w:tcPr>
            <w:tcW w:w="2400" w:type="dxa"/>
          </w:tcPr>
          <w:p w:rsidR="00A95510" w:rsidRDefault="00E84F12">
            <w:r>
              <w:rPr>
                <w:rFonts w:ascii="Arial" w:hAnsi="Arial"/>
                <w:sz w:val="16"/>
                <w:szCs w:val="16"/>
              </w:rPr>
              <w:t>Aplique pared Ojo de Lupa alto brillo</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4</w:t>
            </w:r>
          </w:p>
        </w:tc>
        <w:tc>
          <w:tcPr>
            <w:tcW w:w="3000" w:type="dxa"/>
          </w:tcPr>
          <w:p w:rsidR="00A95510" w:rsidRDefault="00E84F12">
            <w:r>
              <w:rPr>
                <w:rFonts w:ascii="Arial" w:hAnsi="Arial"/>
                <w:sz w:val="16"/>
                <w:szCs w:val="16"/>
              </w:rPr>
              <w:t>Suministro, fijación, accesorios y conexión.</w:t>
            </w:r>
          </w:p>
        </w:tc>
        <w:tc>
          <w:tcPr>
            <w:tcW w:w="2300" w:type="dxa"/>
          </w:tcPr>
          <w:p w:rsidR="00A95510" w:rsidRDefault="00E84F12">
            <w:r>
              <w:rPr>
                <w:rFonts w:ascii="Arial" w:hAnsi="Arial"/>
                <w:sz w:val="16"/>
                <w:szCs w:val="16"/>
              </w:rPr>
              <w:t>Fijación y encendido correctos.</w:t>
            </w:r>
          </w:p>
        </w:tc>
      </w:tr>
      <w:tr w:rsidR="00A95510">
        <w:tc>
          <w:tcPr>
            <w:tcW w:w="700" w:type="dxa"/>
          </w:tcPr>
          <w:p w:rsidR="00A95510" w:rsidRDefault="00E84F12">
            <w:r>
              <w:rPr>
                <w:rFonts w:ascii="Arial" w:hAnsi="Arial"/>
                <w:sz w:val="16"/>
                <w:szCs w:val="16"/>
              </w:rPr>
              <w:t>5.1</w:t>
            </w:r>
          </w:p>
        </w:tc>
        <w:tc>
          <w:tcPr>
            <w:tcW w:w="2400" w:type="dxa"/>
          </w:tcPr>
          <w:p w:rsidR="00A95510" w:rsidRDefault="00E84F12">
            <w:r>
              <w:rPr>
                <w:rFonts w:ascii="Arial" w:hAnsi="Arial"/>
                <w:sz w:val="16"/>
                <w:szCs w:val="16"/>
              </w:rPr>
              <w:t>Switch 24 puertos 10/100/1000, 2 puertos SFP</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2</w:t>
            </w:r>
          </w:p>
        </w:tc>
        <w:tc>
          <w:tcPr>
            <w:tcW w:w="3000" w:type="dxa"/>
          </w:tcPr>
          <w:p w:rsidR="00A95510" w:rsidRDefault="00E84F12">
            <w:r>
              <w:rPr>
                <w:rFonts w:ascii="Arial" w:hAnsi="Arial"/>
                <w:sz w:val="16"/>
                <w:szCs w:val="16"/>
              </w:rPr>
              <w:t>Suministro, instalación en el gabinete o rack de comunicaciones que indique la Supervisión, configuración básica, etiquetado y conexión de los puntos. Incluye ficha técnica y garantía.</w:t>
            </w:r>
          </w:p>
        </w:tc>
        <w:tc>
          <w:tcPr>
            <w:tcW w:w="2300" w:type="dxa"/>
          </w:tcPr>
          <w:p w:rsidR="00A95510" w:rsidRDefault="00E84F12">
            <w:r>
              <w:rPr>
                <w:rFonts w:ascii="Arial" w:hAnsi="Arial"/>
                <w:sz w:val="16"/>
                <w:szCs w:val="16"/>
              </w:rPr>
              <w:t>Equipo operando, puertos probados y configuración entregada.</w:t>
            </w:r>
          </w:p>
        </w:tc>
      </w:tr>
      <w:tr w:rsidR="00A95510">
        <w:tc>
          <w:tcPr>
            <w:tcW w:w="700" w:type="dxa"/>
          </w:tcPr>
          <w:p w:rsidR="00A95510" w:rsidRDefault="00E84F12">
            <w:r>
              <w:rPr>
                <w:rFonts w:ascii="Arial" w:hAnsi="Arial"/>
                <w:sz w:val="16"/>
                <w:szCs w:val="16"/>
              </w:rPr>
              <w:t>5.2</w:t>
            </w:r>
          </w:p>
        </w:tc>
        <w:tc>
          <w:tcPr>
            <w:tcW w:w="2400" w:type="dxa"/>
          </w:tcPr>
          <w:p w:rsidR="00A95510" w:rsidRDefault="00E84F12">
            <w:r>
              <w:rPr>
                <w:rFonts w:ascii="Arial" w:hAnsi="Arial"/>
                <w:sz w:val="16"/>
                <w:szCs w:val="16"/>
              </w:rPr>
              <w:t>Acometida para red regulada libre de halógenos 1N°12 (F) + 1N°12 (N) + 1N°12 (T)</w:t>
            </w:r>
          </w:p>
        </w:tc>
        <w:tc>
          <w:tcPr>
            <w:tcW w:w="600" w:type="dxa"/>
          </w:tcPr>
          <w:p w:rsidR="00A95510" w:rsidRDefault="00E84F12">
            <w:r>
              <w:rPr>
                <w:rFonts w:ascii="Arial" w:hAnsi="Arial"/>
                <w:sz w:val="16"/>
                <w:szCs w:val="16"/>
              </w:rPr>
              <w:t>M</w:t>
            </w:r>
          </w:p>
        </w:tc>
        <w:tc>
          <w:tcPr>
            <w:tcW w:w="800" w:type="dxa"/>
          </w:tcPr>
          <w:p w:rsidR="00A95510" w:rsidRDefault="00E84F12">
            <w:r>
              <w:rPr>
                <w:rFonts w:ascii="Arial" w:hAnsi="Arial"/>
                <w:sz w:val="16"/>
                <w:szCs w:val="16"/>
              </w:rPr>
              <w:t>105</w:t>
            </w:r>
          </w:p>
        </w:tc>
        <w:tc>
          <w:tcPr>
            <w:tcW w:w="3000" w:type="dxa"/>
          </w:tcPr>
          <w:p w:rsidR="00A95510" w:rsidRDefault="00E84F12">
            <w:r>
              <w:rPr>
                <w:rFonts w:ascii="Arial" w:hAnsi="Arial"/>
                <w:sz w:val="16"/>
                <w:szCs w:val="16"/>
              </w:rPr>
              <w:t>Suministro, tendido e identificación de conductores desde el tablero de circuitos regulados hasta las salidas de red regulada.</w:t>
            </w:r>
          </w:p>
        </w:tc>
        <w:tc>
          <w:tcPr>
            <w:tcW w:w="2300" w:type="dxa"/>
          </w:tcPr>
          <w:p w:rsidR="00A95510" w:rsidRDefault="00E84F12">
            <w:r>
              <w:rPr>
                <w:rFonts w:ascii="Arial" w:hAnsi="Arial"/>
                <w:sz w:val="16"/>
                <w:szCs w:val="16"/>
              </w:rPr>
              <w:t>Continuidad, aislamiento e identificación verificados.</w:t>
            </w:r>
          </w:p>
        </w:tc>
      </w:tr>
      <w:tr w:rsidR="00A95510">
        <w:tc>
          <w:tcPr>
            <w:tcW w:w="700" w:type="dxa"/>
          </w:tcPr>
          <w:p w:rsidR="00A95510" w:rsidRDefault="00E84F12">
            <w:r>
              <w:rPr>
                <w:rFonts w:ascii="Arial" w:hAnsi="Arial"/>
                <w:sz w:val="16"/>
                <w:szCs w:val="16"/>
              </w:rPr>
              <w:t>5.3</w:t>
            </w:r>
          </w:p>
        </w:tc>
        <w:tc>
          <w:tcPr>
            <w:tcW w:w="2400" w:type="dxa"/>
          </w:tcPr>
          <w:p w:rsidR="00A95510" w:rsidRDefault="00E84F12">
            <w:r>
              <w:rPr>
                <w:rFonts w:ascii="Arial" w:hAnsi="Arial"/>
                <w:sz w:val="16"/>
                <w:szCs w:val="16"/>
              </w:rPr>
              <w:t>Bandeja portacables tipo malla 60 x 300 mm, tramos de 3 m</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3</w:t>
            </w:r>
          </w:p>
        </w:tc>
        <w:tc>
          <w:tcPr>
            <w:tcW w:w="3000" w:type="dxa"/>
          </w:tcPr>
          <w:p w:rsidR="00A95510" w:rsidRDefault="00E84F12">
            <w:r>
              <w:rPr>
                <w:rFonts w:ascii="Arial" w:hAnsi="Arial"/>
                <w:sz w:val="16"/>
                <w:szCs w:val="16"/>
              </w:rPr>
              <w:t>Suministro e instalación con soportes, uniones, accesorios y conexión equipotencial a tierra.</w:t>
            </w:r>
          </w:p>
        </w:tc>
        <w:tc>
          <w:tcPr>
            <w:tcW w:w="2300" w:type="dxa"/>
          </w:tcPr>
          <w:p w:rsidR="00A95510" w:rsidRDefault="00E84F12">
            <w:r>
              <w:rPr>
                <w:rFonts w:ascii="Arial" w:hAnsi="Arial"/>
                <w:sz w:val="16"/>
                <w:szCs w:val="16"/>
              </w:rPr>
              <w:t>Bandeja nivelada, firme y conectada a tierra.</w:t>
            </w:r>
          </w:p>
        </w:tc>
      </w:tr>
      <w:tr w:rsidR="00A95510">
        <w:tc>
          <w:tcPr>
            <w:tcW w:w="700" w:type="dxa"/>
          </w:tcPr>
          <w:p w:rsidR="00A95510" w:rsidRDefault="00E84F12">
            <w:r>
              <w:rPr>
                <w:rFonts w:ascii="Arial" w:hAnsi="Arial"/>
                <w:sz w:val="16"/>
                <w:szCs w:val="16"/>
              </w:rPr>
              <w:t>5.4</w:t>
            </w:r>
          </w:p>
        </w:tc>
        <w:tc>
          <w:tcPr>
            <w:tcW w:w="2400" w:type="dxa"/>
          </w:tcPr>
          <w:p w:rsidR="00A95510" w:rsidRDefault="00E84F12">
            <w:r>
              <w:rPr>
                <w:rFonts w:ascii="Arial" w:hAnsi="Arial"/>
                <w:sz w:val="16"/>
                <w:szCs w:val="16"/>
              </w:rPr>
              <w:t>Canaleta metálica 20 x 5 cm con división, calibre 22, con tapa</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31</w:t>
            </w:r>
          </w:p>
        </w:tc>
        <w:tc>
          <w:tcPr>
            <w:tcW w:w="3000" w:type="dxa"/>
          </w:tcPr>
          <w:p w:rsidR="00A95510" w:rsidRDefault="00E84F12">
            <w:r>
              <w:rPr>
                <w:rFonts w:ascii="Arial" w:hAnsi="Arial"/>
                <w:sz w:val="16"/>
                <w:szCs w:val="16"/>
              </w:rPr>
              <w:t>Suministro e instalación atornillada, con división entre datos y energía, accesorios y remates.</w:t>
            </w:r>
          </w:p>
        </w:tc>
        <w:tc>
          <w:tcPr>
            <w:tcW w:w="2300" w:type="dxa"/>
          </w:tcPr>
          <w:p w:rsidR="00A95510" w:rsidRDefault="00E84F12">
            <w:r>
              <w:rPr>
                <w:rFonts w:ascii="Arial" w:hAnsi="Arial"/>
                <w:sz w:val="16"/>
                <w:szCs w:val="16"/>
              </w:rPr>
              <w:t>Canaleta alineada, fija y con separación entre datos y energía.</w:t>
            </w:r>
          </w:p>
        </w:tc>
      </w:tr>
      <w:tr w:rsidR="00A95510">
        <w:tc>
          <w:tcPr>
            <w:tcW w:w="700" w:type="dxa"/>
          </w:tcPr>
          <w:p w:rsidR="00A95510" w:rsidRDefault="00E84F12">
            <w:r>
              <w:rPr>
                <w:rFonts w:ascii="Arial" w:hAnsi="Arial"/>
                <w:sz w:val="16"/>
                <w:szCs w:val="16"/>
              </w:rPr>
              <w:t>5.5</w:t>
            </w:r>
          </w:p>
        </w:tc>
        <w:tc>
          <w:tcPr>
            <w:tcW w:w="2400" w:type="dxa"/>
          </w:tcPr>
          <w:p w:rsidR="00A95510" w:rsidRDefault="00E84F12">
            <w:r>
              <w:rPr>
                <w:rFonts w:ascii="Arial" w:hAnsi="Arial"/>
                <w:sz w:val="16"/>
                <w:szCs w:val="16"/>
              </w:rPr>
              <w:t>Punto de datos categoría 6A</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32</w:t>
            </w:r>
          </w:p>
        </w:tc>
        <w:tc>
          <w:tcPr>
            <w:tcW w:w="3000" w:type="dxa"/>
          </w:tcPr>
          <w:p w:rsidR="00A95510" w:rsidRDefault="00E84F12">
            <w:r>
              <w:rPr>
                <w:rFonts w:ascii="Arial" w:hAnsi="Arial"/>
                <w:sz w:val="16"/>
                <w:szCs w:val="16"/>
              </w:rPr>
              <w:t>Cable U/UTP categoría 6A, jack, face plate, caja de salida y patch cords, conectorizado y marcado.</w:t>
            </w:r>
          </w:p>
        </w:tc>
        <w:tc>
          <w:tcPr>
            <w:tcW w:w="2300" w:type="dxa"/>
          </w:tcPr>
          <w:p w:rsidR="00A95510" w:rsidRDefault="00E84F12">
            <w:r>
              <w:rPr>
                <w:rFonts w:ascii="Arial" w:hAnsi="Arial"/>
                <w:sz w:val="16"/>
                <w:szCs w:val="16"/>
              </w:rPr>
              <w:t>Certificación de cada punto categoría 6A con equipo certificador y reporte entregado.</w:t>
            </w:r>
          </w:p>
        </w:tc>
      </w:tr>
      <w:tr w:rsidR="00A95510">
        <w:tc>
          <w:tcPr>
            <w:tcW w:w="700" w:type="dxa"/>
          </w:tcPr>
          <w:p w:rsidR="00A95510" w:rsidRDefault="00E84F12">
            <w:r>
              <w:rPr>
                <w:rFonts w:ascii="Arial" w:hAnsi="Arial"/>
                <w:sz w:val="16"/>
                <w:szCs w:val="16"/>
              </w:rPr>
              <w:t>5.6</w:t>
            </w:r>
          </w:p>
        </w:tc>
        <w:tc>
          <w:tcPr>
            <w:tcW w:w="2400" w:type="dxa"/>
          </w:tcPr>
          <w:p w:rsidR="00A95510" w:rsidRDefault="00E84F12">
            <w:r>
              <w:rPr>
                <w:rFonts w:ascii="Arial" w:hAnsi="Arial"/>
                <w:sz w:val="16"/>
                <w:szCs w:val="16"/>
              </w:rPr>
              <w:t>Punto de red regulada</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32</w:t>
            </w:r>
          </w:p>
        </w:tc>
        <w:tc>
          <w:tcPr>
            <w:tcW w:w="3000" w:type="dxa"/>
          </w:tcPr>
          <w:p w:rsidR="00A95510" w:rsidRDefault="00E84F12">
            <w:r>
              <w:rPr>
                <w:rFonts w:ascii="Arial" w:hAnsi="Arial"/>
                <w:sz w:val="16"/>
                <w:szCs w:val="16"/>
              </w:rPr>
              <w:t>Tubería, cable THHN calibre 12, tomacorriente identificado para red regulada, caja de salida y accesorios.</w:t>
            </w:r>
          </w:p>
        </w:tc>
        <w:tc>
          <w:tcPr>
            <w:tcW w:w="2300" w:type="dxa"/>
          </w:tcPr>
          <w:p w:rsidR="00A95510" w:rsidRDefault="00E84F12">
            <w:r>
              <w:rPr>
                <w:rFonts w:ascii="Arial" w:hAnsi="Arial"/>
                <w:sz w:val="16"/>
                <w:szCs w:val="16"/>
              </w:rPr>
              <w:t>Polaridad, tierra y tensión verificadas; tomas identificadas.</w:t>
            </w:r>
          </w:p>
        </w:tc>
      </w:tr>
      <w:tr w:rsidR="00A95510">
        <w:tc>
          <w:tcPr>
            <w:tcW w:w="700" w:type="dxa"/>
          </w:tcPr>
          <w:p w:rsidR="00A95510" w:rsidRDefault="00E84F12">
            <w:r>
              <w:rPr>
                <w:rFonts w:ascii="Arial" w:hAnsi="Arial"/>
                <w:sz w:val="16"/>
                <w:szCs w:val="16"/>
              </w:rPr>
              <w:lastRenderedPageBreak/>
              <w:t>5.7</w:t>
            </w:r>
          </w:p>
        </w:tc>
        <w:tc>
          <w:tcPr>
            <w:tcW w:w="2400" w:type="dxa"/>
          </w:tcPr>
          <w:p w:rsidR="00A95510" w:rsidRDefault="00E84F12">
            <w:r>
              <w:rPr>
                <w:rFonts w:ascii="Arial" w:hAnsi="Arial"/>
                <w:sz w:val="16"/>
                <w:szCs w:val="16"/>
              </w:rPr>
              <w:t>Tablero trifásico 24 circuitos 220/127 V, con puerta, chapa y espacio para totalizador</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1</w:t>
            </w:r>
          </w:p>
        </w:tc>
        <w:tc>
          <w:tcPr>
            <w:tcW w:w="3000" w:type="dxa"/>
          </w:tcPr>
          <w:p w:rsidR="00A95510" w:rsidRDefault="00E84F12">
            <w:r>
              <w:rPr>
                <w:rFonts w:ascii="Arial" w:hAnsi="Arial"/>
                <w:sz w:val="16"/>
                <w:szCs w:val="16"/>
              </w:rPr>
              <w:t>Suministro, instalación, conexión, marcación de circuitos y cuadro de cargas actualizado.</w:t>
            </w:r>
          </w:p>
        </w:tc>
        <w:tc>
          <w:tcPr>
            <w:tcW w:w="2300" w:type="dxa"/>
          </w:tcPr>
          <w:p w:rsidR="00A95510" w:rsidRDefault="00E84F12">
            <w:r>
              <w:rPr>
                <w:rFonts w:ascii="Arial" w:hAnsi="Arial"/>
                <w:sz w:val="16"/>
                <w:szCs w:val="16"/>
              </w:rPr>
              <w:t>Tablero instalado, rotulado y con cuadro de cargas.</w:t>
            </w:r>
          </w:p>
        </w:tc>
      </w:tr>
      <w:tr w:rsidR="00A95510">
        <w:tc>
          <w:tcPr>
            <w:tcW w:w="700" w:type="dxa"/>
          </w:tcPr>
          <w:p w:rsidR="00A95510" w:rsidRDefault="00E84F12">
            <w:r>
              <w:rPr>
                <w:rFonts w:ascii="Arial" w:hAnsi="Arial"/>
                <w:sz w:val="16"/>
                <w:szCs w:val="16"/>
              </w:rPr>
              <w:t>6.1</w:t>
            </w:r>
          </w:p>
        </w:tc>
        <w:tc>
          <w:tcPr>
            <w:tcW w:w="2400" w:type="dxa"/>
          </w:tcPr>
          <w:p w:rsidR="00A95510" w:rsidRDefault="00E84F12">
            <w:r>
              <w:rPr>
                <w:rFonts w:ascii="Arial" w:hAnsi="Arial"/>
                <w:sz w:val="16"/>
                <w:szCs w:val="16"/>
              </w:rPr>
              <w:t>Muro en estructura liviana con placa de fibrocemento e = 10 mm a dos caras</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45</w:t>
            </w:r>
          </w:p>
        </w:tc>
        <w:tc>
          <w:tcPr>
            <w:tcW w:w="3000" w:type="dxa"/>
          </w:tcPr>
          <w:p w:rsidR="00A95510" w:rsidRDefault="00E84F12">
            <w:r>
              <w:rPr>
                <w:rFonts w:ascii="Arial" w:hAnsi="Arial"/>
                <w:sz w:val="16"/>
                <w:szCs w:val="16"/>
              </w:rPr>
              <w:t>Perfilería galvanizada (canal y paral de 59 mm cada 0,61 m) y placa de fibrocemento tipo Superboard de 10 mm a dos caras, fijada a placa y piso; altura libre 2,4 m. Reemplaza los muros divisorios de mampostería afectados por el sismo, entre ellos el del fondo de la sala de conciliación, según el inventario de daños aprobado por la Supervisión. El acabado de las caras se paga en el ítem 3.5.</w:t>
            </w:r>
          </w:p>
        </w:tc>
        <w:tc>
          <w:tcPr>
            <w:tcW w:w="2300" w:type="dxa"/>
          </w:tcPr>
          <w:p w:rsidR="00A95510" w:rsidRDefault="00E84F12">
            <w:r>
              <w:rPr>
                <w:rFonts w:ascii="Arial" w:hAnsi="Arial"/>
                <w:sz w:val="16"/>
                <w:szCs w:val="16"/>
              </w:rPr>
              <w:t>Muro aplomado, firme y sin deflexiones visibles; tornillería según el fabricante.</w:t>
            </w:r>
          </w:p>
        </w:tc>
      </w:tr>
      <w:tr w:rsidR="00A95510">
        <w:tc>
          <w:tcPr>
            <w:tcW w:w="700" w:type="dxa"/>
          </w:tcPr>
          <w:p w:rsidR="00A95510" w:rsidRDefault="00E84F12">
            <w:r>
              <w:rPr>
                <w:rFonts w:ascii="Arial" w:hAnsi="Arial"/>
                <w:sz w:val="16"/>
                <w:szCs w:val="16"/>
              </w:rPr>
              <w:t>6.2</w:t>
            </w:r>
          </w:p>
        </w:tc>
        <w:tc>
          <w:tcPr>
            <w:tcW w:w="2400" w:type="dxa"/>
          </w:tcPr>
          <w:p w:rsidR="00A95510" w:rsidRDefault="00E84F12">
            <w:r>
              <w:rPr>
                <w:rFonts w:ascii="Arial" w:hAnsi="Arial"/>
                <w:sz w:val="16"/>
                <w:szCs w:val="16"/>
              </w:rPr>
              <w:t>Tratamiento de juntas del muro en fibrocemento</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72</w:t>
            </w:r>
          </w:p>
        </w:tc>
        <w:tc>
          <w:tcPr>
            <w:tcW w:w="3000" w:type="dxa"/>
          </w:tcPr>
          <w:p w:rsidR="00A95510" w:rsidRDefault="00E84F12">
            <w:r>
              <w:rPr>
                <w:rFonts w:ascii="Arial" w:hAnsi="Arial"/>
                <w:sz w:val="16"/>
                <w:szCs w:val="16"/>
              </w:rPr>
              <w:t>Cinta y masilla en juntas, tapado de tornillos y lijado, en las dos caras.</w:t>
            </w:r>
          </w:p>
        </w:tc>
        <w:tc>
          <w:tcPr>
            <w:tcW w:w="2300" w:type="dxa"/>
          </w:tcPr>
          <w:p w:rsidR="00A95510" w:rsidRDefault="00E84F12">
            <w:r>
              <w:rPr>
                <w:rFonts w:ascii="Arial" w:hAnsi="Arial"/>
                <w:sz w:val="16"/>
                <w:szCs w:val="16"/>
              </w:rPr>
              <w:t>Superficie continua, sin juntas visibles y lista para estuco.</w:t>
            </w:r>
          </w:p>
        </w:tc>
      </w:tr>
      <w:tr w:rsidR="00A95510">
        <w:tc>
          <w:tcPr>
            <w:tcW w:w="700" w:type="dxa"/>
          </w:tcPr>
          <w:p w:rsidR="00A95510" w:rsidRDefault="00E84F12">
            <w:r>
              <w:rPr>
                <w:rFonts w:ascii="Arial" w:hAnsi="Arial"/>
                <w:sz w:val="16"/>
                <w:szCs w:val="16"/>
              </w:rPr>
              <w:t>6.3</w:t>
            </w:r>
          </w:p>
        </w:tc>
        <w:tc>
          <w:tcPr>
            <w:tcW w:w="2400" w:type="dxa"/>
          </w:tcPr>
          <w:p w:rsidR="00A95510" w:rsidRDefault="00E84F12">
            <w:r>
              <w:rPr>
                <w:rFonts w:ascii="Arial" w:hAnsi="Arial"/>
                <w:sz w:val="16"/>
                <w:szCs w:val="16"/>
              </w:rPr>
              <w:t>Junta de separación de 10 a 15 mm entre muro liviano y estructura</w:t>
            </w:r>
          </w:p>
        </w:tc>
        <w:tc>
          <w:tcPr>
            <w:tcW w:w="600" w:type="dxa"/>
          </w:tcPr>
          <w:p w:rsidR="00A95510" w:rsidRDefault="00E84F12">
            <w:r>
              <w:rPr>
                <w:rFonts w:ascii="Arial" w:hAnsi="Arial"/>
                <w:sz w:val="16"/>
                <w:szCs w:val="16"/>
              </w:rPr>
              <w:t>M</w:t>
            </w:r>
          </w:p>
        </w:tc>
        <w:tc>
          <w:tcPr>
            <w:tcW w:w="800" w:type="dxa"/>
          </w:tcPr>
          <w:p w:rsidR="00A95510" w:rsidRDefault="00E84F12">
            <w:r>
              <w:rPr>
                <w:rFonts w:ascii="Arial" w:hAnsi="Arial"/>
                <w:sz w:val="16"/>
                <w:szCs w:val="16"/>
              </w:rPr>
              <w:t>68,4</w:t>
            </w:r>
          </w:p>
        </w:tc>
        <w:tc>
          <w:tcPr>
            <w:tcW w:w="3000" w:type="dxa"/>
          </w:tcPr>
          <w:p w:rsidR="00A95510" w:rsidRDefault="00E84F12">
            <w:r>
              <w:rPr>
                <w:rFonts w:ascii="Arial" w:hAnsi="Arial"/>
                <w:sz w:val="16"/>
                <w:szCs w:val="16"/>
              </w:rPr>
              <w:t>Junta perimetral contra placa y columnas, con fondo de junta y sellante acrílico elastomérico pintable en las dos caras, para que el muro no tome esfuerzos del pórtico en un sismo (NSR-10, A.9). Se mide en metros lineales por cada cara sellada.</w:t>
            </w:r>
          </w:p>
        </w:tc>
        <w:tc>
          <w:tcPr>
            <w:tcW w:w="2300" w:type="dxa"/>
          </w:tcPr>
          <w:p w:rsidR="00A95510" w:rsidRDefault="00E84F12">
            <w:r>
              <w:rPr>
                <w:rFonts w:ascii="Arial" w:hAnsi="Arial"/>
                <w:sz w:val="16"/>
                <w:szCs w:val="16"/>
              </w:rPr>
              <w:t>Junta continua, de ancho uniforme y con el sellante adherido.</w:t>
            </w:r>
          </w:p>
        </w:tc>
      </w:tr>
      <w:tr w:rsidR="00A95510">
        <w:tc>
          <w:tcPr>
            <w:tcW w:w="700" w:type="dxa"/>
          </w:tcPr>
          <w:p w:rsidR="00A95510" w:rsidRDefault="00E84F12">
            <w:r>
              <w:rPr>
                <w:rFonts w:ascii="Arial" w:hAnsi="Arial"/>
                <w:sz w:val="16"/>
                <w:szCs w:val="16"/>
              </w:rPr>
              <w:t>6.4</w:t>
            </w:r>
          </w:p>
        </w:tc>
        <w:tc>
          <w:tcPr>
            <w:tcW w:w="2400" w:type="dxa"/>
          </w:tcPr>
          <w:p w:rsidR="00A95510" w:rsidRDefault="00E84F12">
            <w:r>
              <w:rPr>
                <w:rFonts w:ascii="Arial" w:hAnsi="Arial"/>
                <w:sz w:val="16"/>
                <w:szCs w:val="16"/>
              </w:rPr>
              <w:t>Resane de placa (cara inferior) con mortero 1:3 modificado con adhesivo acrílico, e = 8 mm</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212</w:t>
            </w:r>
          </w:p>
        </w:tc>
        <w:tc>
          <w:tcPr>
            <w:tcW w:w="3000" w:type="dxa"/>
          </w:tcPr>
          <w:p w:rsidR="00A95510" w:rsidRDefault="00E84F12">
            <w:r>
              <w:rPr>
                <w:rFonts w:ascii="Arial" w:hAnsi="Arial"/>
                <w:sz w:val="16"/>
                <w:szCs w:val="16"/>
              </w:rPr>
              <w:t>Zonas con pañete desprendido, suelto o hueco al golpeteo, estimadas en el 80 % del área de la placa. Retiro manual del material suelto, sin martillos neumáticos sobre la losa (si aparecen fisuras en vigas o nervios se suspende el frente y se informa a la Supervisión), escarificado, limpieza, saturación, lechada de adherencia y mortero en capa de 8 mm (máximo 10 mm por capa). Antes de ejecutar, la Supervisión aprobará el plano de zonas a intervenir y un panel de prueba de 1 m². No se permite pañete grueso. El estuco y la pintura se pagan en el ítem 3.6.</w:t>
            </w:r>
          </w:p>
        </w:tc>
        <w:tc>
          <w:tcPr>
            <w:tcW w:w="2300" w:type="dxa"/>
          </w:tcPr>
          <w:p w:rsidR="00A95510" w:rsidRDefault="00E84F12">
            <w:r>
              <w:rPr>
                <w:rFonts w:ascii="Arial" w:hAnsi="Arial"/>
                <w:sz w:val="16"/>
                <w:szCs w:val="16"/>
              </w:rPr>
              <w:t>Adherencia verificada a los 7 días (martilleo o tracción), sin zonas huecas ni fisuras.</w:t>
            </w:r>
          </w:p>
        </w:tc>
      </w:tr>
      <w:tr w:rsidR="00A95510">
        <w:tc>
          <w:tcPr>
            <w:tcW w:w="700" w:type="dxa"/>
          </w:tcPr>
          <w:p w:rsidR="00A95510" w:rsidRDefault="00E84F12">
            <w:r>
              <w:rPr>
                <w:rFonts w:ascii="Arial" w:hAnsi="Arial"/>
                <w:sz w:val="16"/>
                <w:szCs w:val="16"/>
              </w:rPr>
              <w:t>6.5</w:t>
            </w:r>
          </w:p>
        </w:tc>
        <w:tc>
          <w:tcPr>
            <w:tcW w:w="2400" w:type="dxa"/>
          </w:tcPr>
          <w:p w:rsidR="00A95510" w:rsidRDefault="00E84F12">
            <w:r>
              <w:rPr>
                <w:rFonts w:ascii="Arial" w:hAnsi="Arial"/>
                <w:sz w:val="16"/>
                <w:szCs w:val="16"/>
              </w:rPr>
              <w:t>Resane de fisuras en cielo raso</w:t>
            </w:r>
          </w:p>
        </w:tc>
        <w:tc>
          <w:tcPr>
            <w:tcW w:w="600" w:type="dxa"/>
          </w:tcPr>
          <w:p w:rsidR="00A95510" w:rsidRDefault="00E84F12">
            <w:r>
              <w:rPr>
                <w:rFonts w:ascii="Arial" w:hAnsi="Arial"/>
                <w:sz w:val="16"/>
                <w:szCs w:val="16"/>
              </w:rPr>
              <w:t>M2</w:t>
            </w:r>
          </w:p>
        </w:tc>
        <w:tc>
          <w:tcPr>
            <w:tcW w:w="800" w:type="dxa"/>
          </w:tcPr>
          <w:p w:rsidR="00A95510" w:rsidRDefault="00E84F12">
            <w:r>
              <w:rPr>
                <w:rFonts w:ascii="Arial" w:hAnsi="Arial"/>
                <w:sz w:val="16"/>
                <w:szCs w:val="16"/>
              </w:rPr>
              <w:t>39,7</w:t>
            </w:r>
          </w:p>
        </w:tc>
        <w:tc>
          <w:tcPr>
            <w:tcW w:w="3000" w:type="dxa"/>
          </w:tcPr>
          <w:p w:rsidR="00A95510" w:rsidRDefault="00E84F12">
            <w:r>
              <w:rPr>
                <w:rFonts w:ascii="Arial" w:hAnsi="Arial"/>
                <w:sz w:val="16"/>
                <w:szCs w:val="16"/>
              </w:rPr>
              <w:t>Apertura de la fisura en V, limpieza, relleno con yeso y estuco, cinta en fisuras mayores y lijado; se mide sobre el área con fisuras. La pintura se paga en el ítem 3.6.</w:t>
            </w:r>
          </w:p>
        </w:tc>
        <w:tc>
          <w:tcPr>
            <w:tcW w:w="2300" w:type="dxa"/>
          </w:tcPr>
          <w:p w:rsidR="00A95510" w:rsidRDefault="00E84F12">
            <w:r>
              <w:rPr>
                <w:rFonts w:ascii="Arial" w:hAnsi="Arial"/>
                <w:sz w:val="16"/>
                <w:szCs w:val="16"/>
              </w:rPr>
              <w:t>Fisuras selladas y superficie lisa, sin marcas.</w:t>
            </w:r>
          </w:p>
        </w:tc>
      </w:tr>
      <w:tr w:rsidR="00A95510">
        <w:tc>
          <w:tcPr>
            <w:tcW w:w="700" w:type="dxa"/>
          </w:tcPr>
          <w:p w:rsidR="00A95510" w:rsidRDefault="00E84F12">
            <w:r>
              <w:rPr>
                <w:rFonts w:ascii="Arial" w:hAnsi="Arial"/>
                <w:sz w:val="16"/>
                <w:szCs w:val="16"/>
              </w:rPr>
              <w:t>6.6</w:t>
            </w:r>
          </w:p>
        </w:tc>
        <w:tc>
          <w:tcPr>
            <w:tcW w:w="2400" w:type="dxa"/>
          </w:tcPr>
          <w:p w:rsidR="00A95510" w:rsidRDefault="00E84F12">
            <w:r>
              <w:rPr>
                <w:rFonts w:ascii="Arial" w:hAnsi="Arial"/>
                <w:sz w:val="16"/>
                <w:szCs w:val="16"/>
              </w:rPr>
              <w:t>Retiro de sobrantes de obra con transporte hasta 10 km y disposición final</w:t>
            </w:r>
          </w:p>
        </w:tc>
        <w:tc>
          <w:tcPr>
            <w:tcW w:w="600" w:type="dxa"/>
          </w:tcPr>
          <w:p w:rsidR="00A95510" w:rsidRDefault="00E84F12">
            <w:r>
              <w:rPr>
                <w:rFonts w:ascii="Arial" w:hAnsi="Arial"/>
                <w:sz w:val="16"/>
                <w:szCs w:val="16"/>
              </w:rPr>
              <w:t>M3</w:t>
            </w:r>
          </w:p>
        </w:tc>
        <w:tc>
          <w:tcPr>
            <w:tcW w:w="800" w:type="dxa"/>
          </w:tcPr>
          <w:p w:rsidR="00A95510" w:rsidRDefault="00E84F12">
            <w:r>
              <w:rPr>
                <w:rFonts w:ascii="Arial" w:hAnsi="Arial"/>
                <w:sz w:val="16"/>
                <w:szCs w:val="16"/>
              </w:rPr>
              <w:t>2,5</w:t>
            </w:r>
          </w:p>
        </w:tc>
        <w:tc>
          <w:tcPr>
            <w:tcW w:w="3000" w:type="dxa"/>
          </w:tcPr>
          <w:p w:rsidR="00A95510" w:rsidRDefault="00E84F12">
            <w:r>
              <w:rPr>
                <w:rFonts w:ascii="Arial" w:hAnsi="Arial"/>
                <w:sz w:val="16"/>
                <w:szCs w:val="16"/>
              </w:rPr>
              <w:t>Trasiego desde el piso 3 hasta la calle, cargue, transporte en volqueta hasta 10 km y disposición final en sitio autorizado.</w:t>
            </w:r>
          </w:p>
        </w:tc>
        <w:tc>
          <w:tcPr>
            <w:tcW w:w="2300" w:type="dxa"/>
          </w:tcPr>
          <w:p w:rsidR="00A95510" w:rsidRDefault="00E84F12">
            <w:r>
              <w:rPr>
                <w:rFonts w:ascii="Arial" w:hAnsi="Arial"/>
                <w:sz w:val="16"/>
                <w:szCs w:val="16"/>
              </w:rPr>
              <w:t>Certificado o recibo de disposición del sitio autorizado.</w:t>
            </w:r>
          </w:p>
        </w:tc>
      </w:tr>
      <w:tr w:rsidR="00A95510">
        <w:tc>
          <w:tcPr>
            <w:tcW w:w="700" w:type="dxa"/>
          </w:tcPr>
          <w:p w:rsidR="00A95510" w:rsidRDefault="00E84F12">
            <w:r>
              <w:rPr>
                <w:rFonts w:ascii="Arial" w:hAnsi="Arial"/>
                <w:sz w:val="16"/>
                <w:szCs w:val="16"/>
              </w:rPr>
              <w:t>7.1</w:t>
            </w:r>
          </w:p>
        </w:tc>
        <w:tc>
          <w:tcPr>
            <w:tcW w:w="2400" w:type="dxa"/>
          </w:tcPr>
          <w:p w:rsidR="00A95510" w:rsidRDefault="00E84F12">
            <w:r>
              <w:rPr>
                <w:rFonts w:ascii="Arial" w:hAnsi="Arial"/>
                <w:sz w:val="16"/>
                <w:szCs w:val="16"/>
              </w:rPr>
              <w:t>Silla ergonómica negra con cabecero y reposabrazos</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6</w:t>
            </w:r>
          </w:p>
        </w:tc>
        <w:tc>
          <w:tcPr>
            <w:tcW w:w="3000" w:type="dxa"/>
          </w:tcPr>
          <w:p w:rsidR="00A95510" w:rsidRDefault="00E84F12">
            <w:r>
              <w:rPr>
                <w:rFonts w:ascii="Arial" w:hAnsi="Arial"/>
                <w:sz w:val="16"/>
                <w:szCs w:val="16"/>
              </w:rPr>
              <w:t>Suministro y entrega armada con componentes del producto ofertado.</w:t>
            </w:r>
          </w:p>
        </w:tc>
        <w:tc>
          <w:tcPr>
            <w:tcW w:w="2300" w:type="dxa"/>
          </w:tcPr>
          <w:p w:rsidR="00A95510" w:rsidRDefault="00E84F12">
            <w:r>
              <w:rPr>
                <w:rFonts w:ascii="Arial" w:hAnsi="Arial"/>
                <w:sz w:val="16"/>
                <w:szCs w:val="16"/>
              </w:rPr>
              <w:t>Sin defectos y mecanismos funcionales; ficha y garantía.</w:t>
            </w:r>
          </w:p>
        </w:tc>
      </w:tr>
      <w:tr w:rsidR="00A95510">
        <w:tc>
          <w:tcPr>
            <w:tcW w:w="700" w:type="dxa"/>
          </w:tcPr>
          <w:p w:rsidR="00A95510" w:rsidRDefault="00E84F12">
            <w:r>
              <w:rPr>
                <w:rFonts w:ascii="Arial" w:hAnsi="Arial"/>
                <w:sz w:val="16"/>
                <w:szCs w:val="16"/>
              </w:rPr>
              <w:t>7.2</w:t>
            </w:r>
          </w:p>
        </w:tc>
        <w:tc>
          <w:tcPr>
            <w:tcW w:w="2400" w:type="dxa"/>
          </w:tcPr>
          <w:p w:rsidR="00A95510" w:rsidRDefault="00E84F12">
            <w:r>
              <w:rPr>
                <w:rFonts w:ascii="Arial" w:hAnsi="Arial"/>
                <w:sz w:val="16"/>
                <w:szCs w:val="16"/>
              </w:rPr>
              <w:t>Mesa de juntas mínimo 2 x 1,1 m, aglomerado RH, 6 puestos</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1</w:t>
            </w:r>
          </w:p>
        </w:tc>
        <w:tc>
          <w:tcPr>
            <w:tcW w:w="3000" w:type="dxa"/>
          </w:tcPr>
          <w:p w:rsidR="00A95510" w:rsidRDefault="00E84F12">
            <w:r>
              <w:rPr>
                <w:rFonts w:ascii="Arial" w:hAnsi="Arial"/>
                <w:sz w:val="16"/>
                <w:szCs w:val="16"/>
              </w:rPr>
              <w:t>Suministro e instalación con todos los accesorios.</w:t>
            </w:r>
          </w:p>
        </w:tc>
        <w:tc>
          <w:tcPr>
            <w:tcW w:w="2300" w:type="dxa"/>
          </w:tcPr>
          <w:p w:rsidR="00A95510" w:rsidRDefault="00E84F12">
            <w:r>
              <w:rPr>
                <w:rFonts w:ascii="Arial" w:hAnsi="Arial"/>
                <w:sz w:val="16"/>
                <w:szCs w:val="16"/>
              </w:rPr>
              <w:t>Mesa estable, nivelada y lista para uso.</w:t>
            </w:r>
          </w:p>
        </w:tc>
      </w:tr>
      <w:tr w:rsidR="00A95510">
        <w:tc>
          <w:tcPr>
            <w:tcW w:w="700" w:type="dxa"/>
          </w:tcPr>
          <w:p w:rsidR="00A95510" w:rsidRDefault="00E84F12">
            <w:r>
              <w:rPr>
                <w:rFonts w:ascii="Arial" w:hAnsi="Arial"/>
                <w:sz w:val="16"/>
                <w:szCs w:val="16"/>
              </w:rPr>
              <w:t>7.3</w:t>
            </w:r>
          </w:p>
        </w:tc>
        <w:tc>
          <w:tcPr>
            <w:tcW w:w="2400" w:type="dxa"/>
          </w:tcPr>
          <w:p w:rsidR="00A95510" w:rsidRDefault="00E84F12">
            <w:r>
              <w:rPr>
                <w:rFonts w:ascii="Arial" w:hAnsi="Arial"/>
                <w:sz w:val="16"/>
                <w:szCs w:val="16"/>
              </w:rPr>
              <w:t>Grommet 4 funciones: 1 HDMI, 1 USB, 2 tomas</w:t>
            </w:r>
          </w:p>
        </w:tc>
        <w:tc>
          <w:tcPr>
            <w:tcW w:w="600" w:type="dxa"/>
          </w:tcPr>
          <w:p w:rsidR="00A95510" w:rsidRDefault="00E84F12">
            <w:r>
              <w:rPr>
                <w:rFonts w:ascii="Arial" w:hAnsi="Arial"/>
                <w:sz w:val="16"/>
                <w:szCs w:val="16"/>
              </w:rPr>
              <w:t>UN</w:t>
            </w:r>
          </w:p>
        </w:tc>
        <w:tc>
          <w:tcPr>
            <w:tcW w:w="800" w:type="dxa"/>
          </w:tcPr>
          <w:p w:rsidR="00A95510" w:rsidRDefault="00E84F12">
            <w:r>
              <w:rPr>
                <w:rFonts w:ascii="Arial" w:hAnsi="Arial"/>
                <w:sz w:val="16"/>
                <w:szCs w:val="16"/>
              </w:rPr>
              <w:t>1</w:t>
            </w:r>
          </w:p>
        </w:tc>
        <w:tc>
          <w:tcPr>
            <w:tcW w:w="3000" w:type="dxa"/>
          </w:tcPr>
          <w:p w:rsidR="00A95510" w:rsidRDefault="00E84F12">
            <w:r>
              <w:rPr>
                <w:rFonts w:ascii="Arial" w:hAnsi="Arial"/>
                <w:sz w:val="16"/>
                <w:szCs w:val="16"/>
              </w:rPr>
              <w:t>Suministro e instalación e integración física con el mobiliario; conexión según infraestructura disponible.</w:t>
            </w:r>
          </w:p>
        </w:tc>
        <w:tc>
          <w:tcPr>
            <w:tcW w:w="2300" w:type="dxa"/>
          </w:tcPr>
          <w:p w:rsidR="00A95510" w:rsidRDefault="00E84F12">
            <w:r>
              <w:rPr>
                <w:rFonts w:ascii="Arial" w:hAnsi="Arial"/>
                <w:sz w:val="16"/>
                <w:szCs w:val="16"/>
              </w:rPr>
              <w:t>Módulo firme y tomas funcionales; puertos instalados.</w:t>
            </w:r>
          </w:p>
        </w:tc>
      </w:tr>
    </w:tbl>
    <w:p w:rsidR="00850B16" w:rsidRPr="00C14360" w:rsidRDefault="00850B16" w:rsidP="00850B16">
      <w:pPr>
        <w:rPr>
          <w:rFonts w:ascii="Verdana" w:hAnsi="Verdana"/>
          <w:sz w:val="22"/>
        </w:rPr>
      </w:pPr>
    </w:p>
    <w:p w:rsidR="00850B16" w:rsidRPr="00C14360" w:rsidRDefault="00850B16" w:rsidP="1490B45D">
      <w:pPr>
        <w:pStyle w:val="Ttulo3"/>
        <w:rPr>
          <w:rFonts w:ascii="Verdana" w:hAnsi="Verdana"/>
          <w:i/>
          <w:iCs/>
          <w:sz w:val="22"/>
          <w:szCs w:val="22"/>
        </w:rPr>
      </w:pPr>
      <w:r w:rsidRPr="1490B45D">
        <w:rPr>
          <w:rFonts w:ascii="Verdana" w:hAnsi="Verdana"/>
          <w:i/>
          <w:iCs/>
          <w:sz w:val="22"/>
          <w:szCs w:val="22"/>
        </w:rPr>
        <w:t xml:space="preserve">Especificaciones técnicas de materiales </w:t>
      </w:r>
    </w:p>
    <w:p w:rsidR="002668FF" w:rsidRPr="00C14360" w:rsidRDefault="002668FF" w:rsidP="002668FF">
      <w:pPr>
        <w:rPr>
          <w:rFonts w:ascii="Verdana" w:hAnsi="Verdana"/>
          <w:b/>
          <w:bCs/>
          <w:sz w:val="22"/>
        </w:rPr>
      </w:pPr>
    </w:p>
    <w:p w:rsidR="00850B16" w:rsidRPr="00C14360" w:rsidRDefault="00850B16" w:rsidP="00925DDB">
      <w:pPr>
        <w:rPr>
          <w:rFonts w:ascii="Verdana" w:hAnsi="Verdana"/>
          <w:sz w:val="22"/>
        </w:rPr>
      </w:pPr>
    </w:p>
    <w:p w:rsidR="00850B16" w:rsidRPr="00C14360" w:rsidRDefault="007D65FD" w:rsidP="00925DDB">
      <w:pPr>
        <w:rPr>
          <w:rFonts w:ascii="Verdana" w:hAnsi="Verdana"/>
          <w:sz w:val="22"/>
        </w:rPr>
      </w:pPr>
      <w:r w:rsidRPr="00C14360">
        <w:rPr>
          <w:rFonts w:ascii="Verdana" w:hAnsi="Verdana"/>
          <w:sz w:val="22"/>
        </w:rPr>
        <w:t>Los materiales serán nuevos en las partidas de suministro; los elementos existentes solo se reutilizan donde el ítem indique reinstalación. Antes de la instalación masiva el Contratista presentará a la Supervisión fichas técnicas, catálogos o muestras de los materiales, en particular: piso vinílico de tráfico alto e = 4 mm, conductores de cobre libres de halógenos y baja emisión de humos, cable U/UTP categoría 6A y sus accesorios, luminarias LED, placa de fibrocemento de 10 mm y perfilería galvanizada, sellante acrílico elastomérico pintable, mortero modificado con adhesivo acrílico, vidrio templado de 10 mm y herrajes en acero inoxidable.</w:t>
      </w:r>
    </w:p>
    <w:p w:rsidR="00925DDB" w:rsidRPr="00C14360" w:rsidRDefault="00925DDB" w:rsidP="00925DDB">
      <w:pPr>
        <w:rPr>
          <w:rFonts w:ascii="Verdana" w:hAnsi="Verdana"/>
          <w:sz w:val="22"/>
        </w:rPr>
      </w:pPr>
      <w:r w:rsidRPr="00C14360">
        <w:rPr>
          <w:rFonts w:ascii="Verdana" w:hAnsi="Verdana"/>
          <w:sz w:val="22"/>
        </w:rPr>
        <w:t>Verificar previamente dimensiones útiles, circulación, interferencias y condición del soporte donde se instalen rieles y anclajes.</w:t>
      </w:r>
    </w:p>
    <w:p w:rsidR="00925DDB" w:rsidRPr="00C14360" w:rsidRDefault="00925DDB" w:rsidP="00925DDB">
      <w:pPr>
        <w:rPr>
          <w:rFonts w:ascii="Verdana" w:hAnsi="Verdana"/>
          <w:sz w:val="22"/>
        </w:rPr>
      </w:pPr>
      <w:r w:rsidRPr="00C14360">
        <w:rPr>
          <w:rFonts w:ascii="Verdana" w:hAnsi="Verdana"/>
          <w:sz w:val="22"/>
        </w:rPr>
        <w:t>Presentar ficha técnica del sistema suministrado, manual de operación y mantenimiento y garantía.</w:t>
      </w:r>
    </w:p>
    <w:p w:rsidR="00925DDB" w:rsidRPr="00C14360" w:rsidRDefault="00925DDB" w:rsidP="00925DDB">
      <w:pPr>
        <w:rPr>
          <w:rFonts w:ascii="Verdana" w:hAnsi="Verdana"/>
          <w:sz w:val="22"/>
        </w:rPr>
      </w:pPr>
      <w:r w:rsidRPr="00C14360">
        <w:rPr>
          <w:rFonts w:ascii="Verdana" w:hAnsi="Verdana"/>
          <w:sz w:val="22"/>
        </w:rPr>
        <w:t>La instalación deberá permitir operación controlada, acceso y mantenimiento sin interferir con los demás elementos del espacio.</w:t>
      </w:r>
    </w:p>
    <w:p w:rsidR="00850B16" w:rsidRPr="00C14360" w:rsidRDefault="00850B16" w:rsidP="00925DDB">
      <w:pPr>
        <w:rPr>
          <w:rFonts w:ascii="Verdana" w:hAnsi="Verdana"/>
          <w:sz w:val="22"/>
        </w:rPr>
      </w:pPr>
    </w:p>
    <w:p w:rsidR="000D43A9" w:rsidRPr="00C14360" w:rsidRDefault="000D43A9" w:rsidP="1490B45D">
      <w:pPr>
        <w:pStyle w:val="Ttulo3"/>
        <w:rPr>
          <w:rFonts w:ascii="Verdana" w:hAnsi="Verdana"/>
          <w:i/>
          <w:iCs/>
          <w:sz w:val="22"/>
          <w:szCs w:val="22"/>
        </w:rPr>
      </w:pPr>
      <w:r w:rsidRPr="1490B45D">
        <w:rPr>
          <w:rFonts w:ascii="Verdana" w:hAnsi="Verdana"/>
          <w:i/>
          <w:iCs/>
          <w:sz w:val="22"/>
          <w:szCs w:val="22"/>
        </w:rPr>
        <w:t>Pruebas y ensayos</w:t>
      </w:r>
    </w:p>
    <w:p w:rsidR="000D43A9" w:rsidRPr="00C14360" w:rsidRDefault="000D43A9" w:rsidP="000D43A9">
      <w:pPr>
        <w:rPr>
          <w:rFonts w:ascii="Verdana" w:hAnsi="Verdana"/>
          <w:sz w:val="22"/>
        </w:rPr>
      </w:pPr>
    </w:p>
    <w:p w:rsidR="002668FF" w:rsidRPr="00C14360" w:rsidRDefault="002668FF" w:rsidP="000D43A9">
      <w:pPr>
        <w:rPr>
          <w:rFonts w:ascii="Verdana" w:hAnsi="Verdana"/>
          <w:sz w:val="22"/>
        </w:rPr>
      </w:pPr>
    </w:p>
    <w:p w:rsidR="000D43A9" w:rsidRPr="00C14360" w:rsidRDefault="000D43A9" w:rsidP="000D43A9">
      <w:pPr>
        <w:rPr>
          <w:rFonts w:ascii="Verdana" w:hAnsi="Verdana"/>
          <w:sz w:val="22"/>
        </w:rPr>
      </w:pPr>
      <w:r w:rsidRPr="00C14360">
        <w:rPr>
          <w:rFonts w:ascii="Verdana" w:hAnsi="Verdana"/>
          <w:sz w:val="22"/>
        </w:rPr>
        <w:t>El Contratista entregará como mínimo las siguientes evidencias de control de calidad:</w:t>
      </w:r>
    </w:p>
    <w:tbl>
      <w:tblPr>
        <w:tblW w:w="98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600"/>
        <w:gridCol w:w="7200"/>
      </w:tblGrid>
      <w:tr w:rsidR="00A95510">
        <w:trPr>
          <w:tblHeader/>
        </w:trPr>
        <w:tc>
          <w:tcPr>
            <w:tcW w:w="2600" w:type="dxa"/>
            <w:shd w:val="clear" w:color="auto" w:fill="D9D9D9"/>
          </w:tcPr>
          <w:p w:rsidR="00A95510" w:rsidRDefault="00E84F12">
            <w:r>
              <w:rPr>
                <w:rFonts w:ascii="Arial" w:hAnsi="Arial"/>
                <w:b/>
                <w:sz w:val="16"/>
                <w:szCs w:val="16"/>
              </w:rPr>
              <w:t>Componente</w:t>
            </w:r>
          </w:p>
        </w:tc>
        <w:tc>
          <w:tcPr>
            <w:tcW w:w="7200" w:type="dxa"/>
            <w:shd w:val="clear" w:color="auto" w:fill="D9D9D9"/>
          </w:tcPr>
          <w:p w:rsidR="00A95510" w:rsidRDefault="00E84F12">
            <w:r>
              <w:rPr>
                <w:rFonts w:ascii="Arial" w:hAnsi="Arial"/>
                <w:b/>
                <w:sz w:val="16"/>
                <w:szCs w:val="16"/>
              </w:rPr>
              <w:t>Evidencia mínima</w:t>
            </w:r>
          </w:p>
        </w:tc>
      </w:tr>
      <w:tr w:rsidR="00A95510">
        <w:tc>
          <w:tcPr>
            <w:tcW w:w="2600" w:type="dxa"/>
          </w:tcPr>
          <w:p w:rsidR="00A95510" w:rsidRDefault="00E84F12">
            <w:r>
              <w:rPr>
                <w:rFonts w:ascii="Arial" w:hAnsi="Arial"/>
                <w:sz w:val="16"/>
                <w:szCs w:val="16"/>
              </w:rPr>
              <w:t>Pisos y acabados</w:t>
            </w:r>
          </w:p>
        </w:tc>
        <w:tc>
          <w:tcPr>
            <w:tcW w:w="7200" w:type="dxa"/>
          </w:tcPr>
          <w:p w:rsidR="00A95510" w:rsidRDefault="00E84F12">
            <w:r>
              <w:rPr>
                <w:rFonts w:ascii="Arial" w:hAnsi="Arial"/>
                <w:sz w:val="16"/>
                <w:szCs w:val="16"/>
              </w:rPr>
              <w:t>Inspección de nivelación, remates, uniformidad y limpieza.</w:t>
            </w:r>
          </w:p>
        </w:tc>
      </w:tr>
      <w:tr w:rsidR="00A95510">
        <w:tc>
          <w:tcPr>
            <w:tcW w:w="2600" w:type="dxa"/>
          </w:tcPr>
          <w:p w:rsidR="00A95510" w:rsidRDefault="00E84F12">
            <w:r>
              <w:rPr>
                <w:rFonts w:ascii="Arial" w:hAnsi="Arial"/>
                <w:sz w:val="16"/>
                <w:szCs w:val="16"/>
              </w:rPr>
              <w:t>Panelería y puertas</w:t>
            </w:r>
          </w:p>
        </w:tc>
        <w:tc>
          <w:tcPr>
            <w:tcW w:w="7200" w:type="dxa"/>
          </w:tcPr>
          <w:p w:rsidR="00A95510" w:rsidRDefault="00E84F12">
            <w:r>
              <w:rPr>
                <w:rFonts w:ascii="Arial" w:hAnsi="Arial"/>
                <w:sz w:val="16"/>
                <w:szCs w:val="16"/>
              </w:rPr>
              <w:t>Alineación, estabilidad, herrajes y acabado.</w:t>
            </w:r>
          </w:p>
        </w:tc>
      </w:tr>
      <w:tr w:rsidR="00A95510">
        <w:tc>
          <w:tcPr>
            <w:tcW w:w="2600" w:type="dxa"/>
          </w:tcPr>
          <w:p w:rsidR="00A95510" w:rsidRDefault="00E84F12">
            <w:r>
              <w:rPr>
                <w:rFonts w:ascii="Arial" w:hAnsi="Arial"/>
                <w:sz w:val="16"/>
                <w:szCs w:val="16"/>
              </w:rPr>
              <w:t>Archivo rodante</w:t>
            </w:r>
          </w:p>
        </w:tc>
        <w:tc>
          <w:tcPr>
            <w:tcW w:w="7200" w:type="dxa"/>
          </w:tcPr>
          <w:p w:rsidR="00A95510" w:rsidRDefault="00E84F12">
            <w:r>
              <w:rPr>
                <w:rFonts w:ascii="Arial" w:hAnsi="Arial"/>
                <w:sz w:val="16"/>
                <w:szCs w:val="16"/>
              </w:rPr>
              <w:t>Prueba de operación, ficha, manual y garantía.</w:t>
            </w:r>
          </w:p>
        </w:tc>
      </w:tr>
      <w:tr w:rsidR="00A95510">
        <w:tc>
          <w:tcPr>
            <w:tcW w:w="2600" w:type="dxa"/>
          </w:tcPr>
          <w:p w:rsidR="00A95510" w:rsidRDefault="00E84F12">
            <w:r>
              <w:rPr>
                <w:rFonts w:ascii="Arial" w:hAnsi="Arial"/>
                <w:sz w:val="16"/>
                <w:szCs w:val="16"/>
              </w:rPr>
              <w:t>Eléctrico</w:t>
            </w:r>
          </w:p>
        </w:tc>
        <w:tc>
          <w:tcPr>
            <w:tcW w:w="7200" w:type="dxa"/>
          </w:tcPr>
          <w:p w:rsidR="00A95510" w:rsidRDefault="00E84F12">
            <w:r>
              <w:rPr>
                <w:rFonts w:ascii="Arial" w:hAnsi="Arial"/>
                <w:sz w:val="16"/>
                <w:szCs w:val="16"/>
              </w:rPr>
              <w:t>Registro de pruebas, identificación y funcionamiento.</w:t>
            </w:r>
          </w:p>
        </w:tc>
      </w:tr>
      <w:tr w:rsidR="00A95510">
        <w:tc>
          <w:tcPr>
            <w:tcW w:w="2600" w:type="dxa"/>
          </w:tcPr>
          <w:p w:rsidR="00A95510" w:rsidRDefault="00E84F12">
            <w:r>
              <w:rPr>
                <w:rFonts w:ascii="Arial" w:hAnsi="Arial"/>
                <w:sz w:val="16"/>
                <w:szCs w:val="16"/>
              </w:rPr>
              <w:t>Cableado estructurado</w:t>
            </w:r>
          </w:p>
        </w:tc>
        <w:tc>
          <w:tcPr>
            <w:tcW w:w="7200" w:type="dxa"/>
          </w:tcPr>
          <w:p w:rsidR="00A95510" w:rsidRDefault="00E84F12">
            <w:r>
              <w:rPr>
                <w:rFonts w:ascii="Arial" w:hAnsi="Arial"/>
                <w:sz w:val="16"/>
                <w:szCs w:val="16"/>
              </w:rPr>
              <w:t>Certificación de los 32 puntos categoría 6A, identificación de puntos y planos récord.</w:t>
            </w:r>
          </w:p>
        </w:tc>
      </w:tr>
      <w:tr w:rsidR="00A95510">
        <w:tc>
          <w:tcPr>
            <w:tcW w:w="2600" w:type="dxa"/>
          </w:tcPr>
          <w:p w:rsidR="00A95510" w:rsidRDefault="00E84F12">
            <w:r>
              <w:rPr>
                <w:rFonts w:ascii="Arial" w:hAnsi="Arial"/>
                <w:sz w:val="16"/>
                <w:szCs w:val="16"/>
              </w:rPr>
              <w:t>Reparación de daños del sismo</w:t>
            </w:r>
          </w:p>
        </w:tc>
        <w:tc>
          <w:tcPr>
            <w:tcW w:w="7200" w:type="dxa"/>
          </w:tcPr>
          <w:p w:rsidR="00A95510" w:rsidRDefault="00E84F12">
            <w:r>
              <w:rPr>
                <w:rFonts w:ascii="Arial" w:hAnsi="Arial"/>
                <w:sz w:val="16"/>
                <w:szCs w:val="16"/>
              </w:rPr>
              <w:t>Plano de zonas de placa intervenidas aprobado por la Supervisión, panel de prueba y verificación de adherencia del mortero a los 7 días, junta de separación sellada y certificado de disposición de sobrantes.</w:t>
            </w:r>
          </w:p>
        </w:tc>
      </w:tr>
      <w:tr w:rsidR="00A95510">
        <w:tc>
          <w:tcPr>
            <w:tcW w:w="2600" w:type="dxa"/>
          </w:tcPr>
          <w:p w:rsidR="00A95510" w:rsidRDefault="00E84F12">
            <w:r>
              <w:rPr>
                <w:rFonts w:ascii="Arial" w:hAnsi="Arial"/>
                <w:sz w:val="16"/>
                <w:szCs w:val="16"/>
              </w:rPr>
              <w:t>Suministros</w:t>
            </w:r>
          </w:p>
        </w:tc>
        <w:tc>
          <w:tcPr>
            <w:tcW w:w="7200" w:type="dxa"/>
          </w:tcPr>
          <w:p w:rsidR="00A95510" w:rsidRDefault="00E84F12">
            <w:r>
              <w:rPr>
                <w:rFonts w:ascii="Arial" w:hAnsi="Arial"/>
                <w:sz w:val="16"/>
                <w:szCs w:val="16"/>
              </w:rPr>
              <w:t>Fichas, garantías y funcionamiento cuando aplique.</w:t>
            </w:r>
          </w:p>
        </w:tc>
      </w:tr>
      <w:tr w:rsidR="00A95510">
        <w:tc>
          <w:tcPr>
            <w:tcW w:w="2600" w:type="dxa"/>
          </w:tcPr>
          <w:p w:rsidR="00A95510" w:rsidRDefault="00E84F12">
            <w:r>
              <w:rPr>
                <w:rFonts w:ascii="Arial" w:hAnsi="Arial"/>
                <w:sz w:val="16"/>
                <w:szCs w:val="16"/>
              </w:rPr>
              <w:t>Cierre</w:t>
            </w:r>
          </w:p>
        </w:tc>
        <w:tc>
          <w:tcPr>
            <w:tcW w:w="7200" w:type="dxa"/>
          </w:tcPr>
          <w:p w:rsidR="00A95510" w:rsidRDefault="00E84F12">
            <w:r>
              <w:rPr>
                <w:rFonts w:ascii="Arial" w:hAnsi="Arial"/>
                <w:sz w:val="16"/>
                <w:szCs w:val="16"/>
              </w:rPr>
              <w:t>Aseo final, registro fotográfico, manuales, garantías y documentación récord/as-built cuando aplique.</w:t>
            </w:r>
          </w:p>
        </w:tc>
      </w:tr>
    </w:tbl>
    <w:p w:rsidR="00850B16" w:rsidRPr="00C14360" w:rsidRDefault="00850B16" w:rsidP="00925DDB">
      <w:pPr>
        <w:rPr>
          <w:rFonts w:ascii="Verdana" w:hAnsi="Verdana"/>
          <w:sz w:val="22"/>
        </w:rPr>
      </w:pPr>
    </w:p>
    <w:p w:rsidR="00850B16" w:rsidRPr="00C14360" w:rsidRDefault="007D65FD" w:rsidP="007D65FD">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rsidR="007D65FD" w:rsidRPr="00C14360" w:rsidRDefault="007D65FD" w:rsidP="007D65FD">
      <w:pPr>
        <w:rPr>
          <w:rFonts w:ascii="Verdana" w:hAnsi="Verdana"/>
          <w:sz w:val="22"/>
        </w:rPr>
      </w:pPr>
    </w:p>
    <w:p w:rsidR="00156420" w:rsidRPr="00C14360" w:rsidRDefault="00160AF1" w:rsidP="007D65FD">
      <w:pPr>
        <w:rPr>
          <w:rFonts w:ascii="Verdana" w:hAnsi="Verdana"/>
          <w:sz w:val="22"/>
        </w:rPr>
      </w:pPr>
      <w:r w:rsidRPr="00C14360">
        <w:rPr>
          <w:rFonts w:ascii="Verdana" w:hAnsi="Verdana"/>
          <w:sz w:val="22"/>
        </w:rPr>
        <w:t>La Entidad entregará al Contratista: el presupuesto oficial y el Formulario 1, el presente anexo técnico, el informe técnico de inspección visual post-sismo de los pisos 3 y 4 (octubre de 2026), el informe de control de verticalidad del edificio (22 de agosto de 2026), la matriz de riesgos, los planos y diseños que integren formalmente el Proceso de Contratación y el concepto sobre la capacidad de carga de la placa en la zona del archivo rodante, este último antes de la instalación de rieles y anclajes.</w:t>
      </w:r>
    </w:p>
    <w:p w:rsidR="00156420" w:rsidRPr="00C14360" w:rsidRDefault="00156420" w:rsidP="007D65FD">
      <w:pPr>
        <w:rPr>
          <w:rFonts w:ascii="Verdana" w:hAnsi="Verdana"/>
          <w:sz w:val="22"/>
        </w:rPr>
      </w:pPr>
    </w:p>
    <w:p w:rsidR="007D65FD" w:rsidRPr="00C14360" w:rsidRDefault="00156420" w:rsidP="007D65FD">
      <w:pPr>
        <w:rPr>
          <w:rFonts w:ascii="Verdana" w:hAnsi="Verdana"/>
          <w:sz w:val="22"/>
        </w:rPr>
      </w:pPr>
      <w:r w:rsidRPr="00C14360">
        <w:rPr>
          <w:rFonts w:ascii="Verdana" w:hAnsi="Verdana"/>
          <w:sz w:val="22"/>
        </w:rPr>
        <w:lastRenderedPageBreak/>
        <w:t>Las aprobaciones técnicas durante la ejecución se tramitan a través de la Supervisión designada. Las obras corresponden a reparaciones o mejoras locativas que no requieren licencia de construcción (ver «Permisos, licencias y autorizaciones» en este anexo).</w:t>
      </w:r>
    </w:p>
    <w:p w:rsidR="002250D0" w:rsidRPr="00C14360" w:rsidRDefault="002250D0" w:rsidP="007D65FD">
      <w:pPr>
        <w:rPr>
          <w:rFonts w:ascii="Verdana" w:hAnsi="Verdana"/>
          <w:sz w:val="22"/>
        </w:rPr>
      </w:pPr>
    </w:p>
    <w:p w:rsidR="00F27294" w:rsidRPr="00C14360" w:rsidRDefault="00F27294" w:rsidP="00660E07">
      <w:pPr>
        <w:pStyle w:val="Ttulo2"/>
        <w:ind w:left="567" w:hanging="567"/>
        <w:rPr>
          <w:rFonts w:ascii="Verdana" w:hAnsi="Verdana"/>
          <w:sz w:val="22"/>
          <w:szCs w:val="22"/>
        </w:rPr>
      </w:pPr>
      <w:r w:rsidRPr="00C14360">
        <w:rPr>
          <w:rFonts w:ascii="Verdana" w:hAnsi="Verdana"/>
          <w:sz w:val="22"/>
          <w:szCs w:val="22"/>
        </w:rPr>
        <w:t>Notas técnicas específicas del proyecto</w:t>
      </w:r>
    </w:p>
    <w:p w:rsidR="002668FF" w:rsidRPr="00C14360" w:rsidRDefault="002668FF" w:rsidP="002668FF">
      <w:pPr>
        <w:rPr>
          <w:rFonts w:ascii="Verdana" w:hAnsi="Verdana"/>
          <w:b/>
          <w:bCs/>
          <w:sz w:val="22"/>
        </w:rPr>
      </w:pPr>
    </w:p>
    <w:p w:rsidR="00F27294" w:rsidRPr="00C14360" w:rsidRDefault="00F27294" w:rsidP="00F27294">
      <w:pPr>
        <w:rPr>
          <w:rFonts w:ascii="Verdana" w:hAnsi="Verdana"/>
          <w:sz w:val="22"/>
        </w:rPr>
      </w:pPr>
    </w:p>
    <w:p w:rsidR="00F27294" w:rsidRPr="00C14360" w:rsidRDefault="00F27294" w:rsidP="00F27294">
      <w:pPr>
        <w:rPr>
          <w:rFonts w:ascii="Verdana" w:hAnsi="Verdana"/>
          <w:sz w:val="22"/>
        </w:rPr>
      </w:pPr>
      <w:r w:rsidRPr="00C14360">
        <w:rPr>
          <w:rFonts w:ascii="Verdana" w:hAnsi="Verdana"/>
          <w:sz w:val="22"/>
        </w:rPr>
        <w:t>Además de la normativa citada en los documentos del proceso, el Contratista aplicará:</w:t>
      </w:r>
    </w:p>
    <w:p w:rsidR="00F27294" w:rsidRPr="00C14360" w:rsidRDefault="00F27294" w:rsidP="00F27294">
      <w:pPr>
        <w:rPr>
          <w:rFonts w:ascii="Verdana" w:hAnsi="Verdana"/>
          <w:sz w:val="22"/>
        </w:rPr>
      </w:pPr>
    </w:p>
    <w:p w:rsidR="00F27294" w:rsidRPr="00C14360" w:rsidRDefault="00F27294" w:rsidP="00F27294">
      <w:pPr>
        <w:rPr>
          <w:rFonts w:ascii="Verdana" w:hAnsi="Verdana"/>
          <w:sz w:val="22"/>
        </w:rPr>
      </w:pPr>
      <w:r w:rsidRPr="00C14360">
        <w:rPr>
          <w:rFonts w:ascii="Verdana" w:hAnsi="Verdana"/>
          <w:sz w:val="22"/>
        </w:rPr>
        <w:t>Reglamento Colombiano de Construcción Sismo Resistente NSR-10, capítulo A.9 (elementos no estructurales): los muros en estructura liviana se separan de placa y columnas con junta de 10 a 15 mm para que no tomen esfuerzos del pórtico.</w:t>
      </w:r>
    </w:p>
    <w:p w:rsidR="00F27294" w:rsidRPr="00C14360" w:rsidRDefault="00F27294" w:rsidP="00F27294">
      <w:pPr>
        <w:rPr>
          <w:rFonts w:ascii="Verdana" w:hAnsi="Verdana"/>
          <w:sz w:val="22"/>
        </w:rPr>
      </w:pPr>
    </w:p>
    <w:p w:rsidR="00F27294" w:rsidRPr="00C14360" w:rsidRDefault="00F27294" w:rsidP="00F27294">
      <w:pPr>
        <w:rPr>
          <w:rFonts w:ascii="Verdana" w:hAnsi="Verdana"/>
          <w:sz w:val="22"/>
        </w:rPr>
      </w:pPr>
      <w:r w:rsidRPr="00C14360">
        <w:rPr>
          <w:rFonts w:ascii="Verdana" w:hAnsi="Verdana"/>
          <w:sz w:val="22"/>
        </w:rPr>
        <w:t>Reglamento Técnico de Instalaciones Eléctricas (RETIE) vigente, para salidas, acometidas, tableros e identificación de circuitos; al cierre se entrega el cuadro de cargas actualizado.</w:t>
      </w:r>
    </w:p>
    <w:p w:rsidR="00F27294" w:rsidRPr="00C14360" w:rsidRDefault="00F27294" w:rsidP="00F27294">
      <w:pPr>
        <w:rPr>
          <w:rFonts w:ascii="Verdana" w:hAnsi="Verdana"/>
          <w:sz w:val="22"/>
        </w:rPr>
      </w:pPr>
    </w:p>
    <w:p w:rsidR="00F27294" w:rsidRPr="00C14360" w:rsidRDefault="00F27294" w:rsidP="00F27294">
      <w:pPr>
        <w:rPr>
          <w:rFonts w:ascii="Verdana" w:hAnsi="Verdana"/>
          <w:sz w:val="22"/>
        </w:rPr>
      </w:pPr>
      <w:r w:rsidRPr="00C14360">
        <w:rPr>
          <w:rFonts w:ascii="Verdana" w:hAnsi="Verdana"/>
          <w:sz w:val="22"/>
        </w:rPr>
        <w:t>Cableado estructurado categoría 6A: certificación de cada uno de los 32 puntos con equipo certificador, identificación de puntos y circuitos y planos récord de rutas y salidas.</w:t>
      </w:r>
    </w:p>
    <w:p w:rsidR="00F27294" w:rsidRPr="00C14360" w:rsidRDefault="00F27294" w:rsidP="00F27294">
      <w:pPr>
        <w:rPr>
          <w:rFonts w:ascii="Verdana" w:hAnsi="Verdana"/>
          <w:sz w:val="22"/>
        </w:rPr>
      </w:pPr>
    </w:p>
    <w:p w:rsidR="00F27294" w:rsidRPr="00C14360" w:rsidRDefault="00F27294" w:rsidP="00660E07">
      <w:pPr>
        <w:pStyle w:val="Ttulo2"/>
        <w:ind w:left="567" w:hanging="567"/>
        <w:rPr>
          <w:rFonts w:ascii="Verdana" w:hAnsi="Verdana"/>
          <w:sz w:val="22"/>
          <w:szCs w:val="22"/>
        </w:rPr>
      </w:pPr>
      <w:r w:rsidRPr="00C14360">
        <w:rPr>
          <w:rFonts w:ascii="Verdana" w:hAnsi="Verdana"/>
          <w:sz w:val="22"/>
          <w:szCs w:val="22"/>
        </w:rPr>
        <w:t xml:space="preserve">Método Constructivo </w:t>
      </w:r>
    </w:p>
    <w:p w:rsidR="00F27294" w:rsidRPr="00C14360" w:rsidRDefault="00F27294" w:rsidP="00F27294">
      <w:pPr>
        <w:rPr>
          <w:rFonts w:ascii="Verdana" w:hAnsi="Verdana"/>
          <w:sz w:val="22"/>
        </w:rPr>
      </w:pPr>
    </w:p>
    <w:p w:rsidR="002668FF" w:rsidRPr="00C14360" w:rsidRDefault="002668FF" w:rsidP="00F27294">
      <w:pPr>
        <w:rPr>
          <w:rFonts w:ascii="Verdana" w:hAnsi="Verdana"/>
          <w:sz w:val="22"/>
        </w:rPr>
      </w:pPr>
    </w:p>
    <w:p w:rsidR="00F27294" w:rsidRPr="00C14360" w:rsidRDefault="00F27294" w:rsidP="00F27294">
      <w:pPr>
        <w:rPr>
          <w:rFonts w:ascii="Verdana" w:hAnsi="Verdana"/>
          <w:sz w:val="22"/>
        </w:rPr>
      </w:pPr>
    </w:p>
    <w:p w:rsidR="00F27294" w:rsidRPr="00C14360" w:rsidRDefault="040A369D" w:rsidP="00F27294">
      <w:pPr>
        <w:rPr>
          <w:rFonts w:ascii="Verdana" w:hAnsi="Verdana"/>
          <w:sz w:val="22"/>
        </w:rPr>
      </w:pPr>
      <w:r w:rsidRPr="00C14360">
        <w:rPr>
          <w:rFonts w:ascii="Verdana" w:hAnsi="Verdana"/>
          <w:sz w:val="22"/>
        </w:rPr>
        <w:t xml:space="preserve">La metodología constructiva utilizada por el </w:t>
      </w:r>
      <w:r w:rsidR="5F00942F" w:rsidRPr="00C14360">
        <w:rPr>
          <w:rFonts w:ascii="Verdana" w:hAnsi="Verdana"/>
          <w:sz w:val="22"/>
        </w:rPr>
        <w:t>C</w:t>
      </w:r>
      <w:r w:rsidRPr="00C14360">
        <w:rPr>
          <w:rFonts w:ascii="Verdana" w:hAnsi="Verdana"/>
          <w:sz w:val="22"/>
        </w:rPr>
        <w:t xml:space="preserve">ontratista para desarrollar las actividades </w:t>
      </w:r>
      <w:r w:rsidR="0A103717" w:rsidRPr="00C14360">
        <w:rPr>
          <w:rFonts w:ascii="Verdana" w:hAnsi="Verdana"/>
          <w:sz w:val="22"/>
        </w:rPr>
        <w:t>contratadas,</w:t>
      </w:r>
      <w:r w:rsidRPr="00C14360">
        <w:rPr>
          <w:rFonts w:ascii="Verdana" w:hAnsi="Verdana"/>
          <w:sz w:val="22"/>
        </w:rPr>
        <w:t xml:space="preserve"> deberá garantizar los siguientes aspectos:</w:t>
      </w:r>
    </w:p>
    <w:p w:rsidR="00F27294" w:rsidRPr="00C14360" w:rsidRDefault="00F27294" w:rsidP="00F27294">
      <w:pPr>
        <w:rPr>
          <w:rFonts w:ascii="Verdana" w:hAnsi="Verdana"/>
          <w:sz w:val="22"/>
        </w:rPr>
      </w:pPr>
    </w:p>
    <w:p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Las calidades previstas en planos y especificaciones que le sean entregados.</w:t>
      </w:r>
    </w:p>
    <w:p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La estabilidad de la obra contratada. </w:t>
      </w:r>
    </w:p>
    <w:p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El cumplimiento de las normas de calidad que reglamentan algunos materiales y elementos constructivos. </w:t>
      </w:r>
    </w:p>
    <w:p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El cumplimiento de las normas de seguridad durante la ejecución de la obra. </w:t>
      </w:r>
    </w:p>
    <w:p w:rsidR="00F27294" w:rsidRPr="00C14360" w:rsidRDefault="040A369D" w:rsidP="00F27294">
      <w:pPr>
        <w:pStyle w:val="Prrafodelista"/>
        <w:numPr>
          <w:ilvl w:val="0"/>
          <w:numId w:val="16"/>
        </w:numPr>
        <w:rPr>
          <w:rFonts w:ascii="Verdana" w:hAnsi="Verdana"/>
          <w:sz w:val="22"/>
        </w:rPr>
      </w:pPr>
      <w:r w:rsidRPr="00C14360">
        <w:rPr>
          <w:rFonts w:ascii="Verdana" w:hAnsi="Verdana"/>
          <w:sz w:val="22"/>
        </w:rPr>
        <w:t xml:space="preserve">El cumplimiento de los aspectos de diseño y/o construcción sismorresistente de acuerdo con la NSR vigente. </w:t>
      </w:r>
    </w:p>
    <w:p w:rsidR="2F637722" w:rsidRPr="00C14360" w:rsidRDefault="2F637722">
      <w:pPr>
        <w:rPr>
          <w:rFonts w:ascii="Verdana" w:hAnsi="Verdana"/>
          <w:sz w:val="22"/>
        </w:rPr>
      </w:pPr>
    </w:p>
    <w:p w:rsidR="00F27294" w:rsidRPr="00C14360" w:rsidRDefault="00F27294" w:rsidP="007D65FD">
      <w:pPr>
        <w:rPr>
          <w:rFonts w:ascii="Verdana" w:hAnsi="Verdana"/>
          <w:sz w:val="22"/>
        </w:rPr>
      </w:pPr>
      <w:r w:rsidRPr="00C14360">
        <w:rPr>
          <w:rFonts w:ascii="Verdana" w:hAnsi="Verdana"/>
          <w:sz w:val="22"/>
        </w:rPr>
        <w:t xml:space="preserve">No afectar el desarrollo de las otras actividades que no estén a cargo suyo y que se ejecuten simultáneamente. </w:t>
      </w:r>
    </w:p>
    <w:p w:rsidR="004D5947" w:rsidRPr="00C14360" w:rsidRDefault="004D5947" w:rsidP="1490B45D">
      <w:pPr>
        <w:rPr>
          <w:rFonts w:ascii="Verdana" w:hAnsi="Verdana"/>
          <w:sz w:val="22"/>
        </w:rPr>
      </w:pPr>
    </w:p>
    <w:p w:rsidR="1490B45D" w:rsidRDefault="1490B45D" w:rsidP="1490B45D">
      <w:pPr>
        <w:rPr>
          <w:rFonts w:ascii="Verdana" w:hAnsi="Verdana"/>
          <w:sz w:val="22"/>
        </w:rPr>
      </w:pPr>
    </w:p>
    <w:p w:rsidR="00FE3C09" w:rsidRPr="00C14360" w:rsidRDefault="00033806" w:rsidP="002250D0">
      <w:pPr>
        <w:pStyle w:val="Ttulo1"/>
        <w:rPr>
          <w:rFonts w:ascii="Verdana" w:hAnsi="Verdana"/>
          <w:sz w:val="22"/>
          <w:szCs w:val="22"/>
        </w:rPr>
      </w:pPr>
      <w:r w:rsidRPr="00C14360">
        <w:rPr>
          <w:rFonts w:ascii="Verdana" w:hAnsi="Verdana"/>
          <w:sz w:val="22"/>
          <w:szCs w:val="22"/>
        </w:rPr>
        <w:t xml:space="preserve">Aspectos Relacionados con Sostenibilidad Técnico-Ambiental </w:t>
      </w:r>
    </w:p>
    <w:p w:rsidR="00033806" w:rsidRPr="00C14360" w:rsidRDefault="00033806" w:rsidP="00033806">
      <w:pPr>
        <w:rPr>
          <w:rFonts w:ascii="Verdana" w:hAnsi="Verdana"/>
          <w:sz w:val="22"/>
        </w:rPr>
      </w:pPr>
    </w:p>
    <w:p w:rsidR="00794D93" w:rsidRPr="00C14360" w:rsidRDefault="00033806" w:rsidP="00033806">
      <w:pPr>
        <w:rPr>
          <w:rFonts w:ascii="Verdana" w:hAnsi="Verdana"/>
          <w:sz w:val="22"/>
        </w:rPr>
      </w:pPr>
      <w:r w:rsidRPr="00C14360">
        <w:rPr>
          <w:rFonts w:ascii="Verdana" w:hAnsi="Verdana"/>
          <w:sz w:val="22"/>
        </w:rPr>
        <w:t>Por la naturaleza de la obra (adecuación interior de un piso existente en zona urbana), las medidas de sostenibilidad se concentran en la gestión de residuos de construcción y demolición (RCD), el control de polvo y ruido en un edificio ocupado y la protección de las áreas en uso:</w:t>
      </w:r>
    </w:p>
    <w:p w:rsidR="00925DDB" w:rsidRPr="00C14360" w:rsidRDefault="00925DDB" w:rsidP="00925DDB">
      <w:pPr>
        <w:rPr>
          <w:rFonts w:ascii="Verdana" w:hAnsi="Verdana"/>
          <w:sz w:val="22"/>
        </w:rPr>
      </w:pPr>
      <w:r w:rsidRPr="00C14360">
        <w:rPr>
          <w:rFonts w:ascii="Verdana" w:hAnsi="Verdana"/>
          <w:sz w:val="22"/>
        </w:rPr>
        <w:t>Gestionar los RCD y demás residuos generados, con disposición final en sitio autorizado y soporte (certificado o recibo) del sitio de disposición.</w:t>
      </w:r>
    </w:p>
    <w:p w:rsidR="00925DDB" w:rsidRPr="00C14360" w:rsidRDefault="00925DDB" w:rsidP="00925DDB">
      <w:pPr>
        <w:rPr>
          <w:rFonts w:ascii="Verdana" w:hAnsi="Verdana"/>
          <w:sz w:val="22"/>
        </w:rPr>
      </w:pPr>
      <w:r w:rsidRPr="00C14360">
        <w:rPr>
          <w:rFonts w:ascii="Verdana" w:hAnsi="Verdana"/>
          <w:sz w:val="22"/>
        </w:rPr>
        <w:t>Controlar polvo, ruido y afectaciones a las áreas ocupadas de la sede.</w:t>
      </w:r>
    </w:p>
    <w:p w:rsidR="00925DDB" w:rsidRPr="00C14360" w:rsidRDefault="00925DDB" w:rsidP="00925DDB">
      <w:pPr>
        <w:rPr>
          <w:rFonts w:ascii="Verdana" w:hAnsi="Verdana"/>
          <w:sz w:val="22"/>
        </w:rPr>
      </w:pPr>
      <w:r w:rsidRPr="00C14360">
        <w:rPr>
          <w:rFonts w:ascii="Verdana" w:hAnsi="Verdana"/>
          <w:sz w:val="22"/>
        </w:rPr>
        <w:t>No acopiar escombro sobre la losa en cantidad superior a 0,5 m³ por cada 10 m² y retirarlo a medida que se genere.</w:t>
      </w:r>
    </w:p>
    <w:p w:rsidR="00E1768C" w:rsidRPr="00C14360" w:rsidRDefault="00E1768C" w:rsidP="00033806">
      <w:pPr>
        <w:rPr>
          <w:rFonts w:ascii="Verdana" w:hAnsi="Verdana"/>
          <w:sz w:val="22"/>
        </w:rPr>
      </w:pPr>
    </w:p>
    <w:p w:rsidR="00794D93" w:rsidRPr="00C14360" w:rsidRDefault="00794D93" w:rsidP="00033806">
      <w:pPr>
        <w:rPr>
          <w:rFonts w:ascii="Verdana" w:hAnsi="Verdana"/>
          <w:sz w:val="22"/>
        </w:rPr>
      </w:pPr>
    </w:p>
    <w:p w:rsidR="00EA39D0" w:rsidRPr="00C14360" w:rsidRDefault="00EA39D0" w:rsidP="004805E2">
      <w:pPr>
        <w:rPr>
          <w:rFonts w:ascii="Verdana" w:hAnsi="Verdana" w:cstheme="minorHAnsi"/>
          <w:sz w:val="22"/>
        </w:rPr>
      </w:pPr>
    </w:p>
    <w:p w:rsidR="3C78AF21" w:rsidRPr="00C14360" w:rsidRDefault="3C78AF21" w:rsidP="3C78AF21">
      <w:pPr>
        <w:rPr>
          <w:rFonts w:ascii="Verdana" w:hAnsi="Verdana"/>
          <w:sz w:val="22"/>
        </w:rPr>
      </w:pPr>
    </w:p>
    <w:p w:rsidR="0319D685" w:rsidRPr="00C14360" w:rsidRDefault="0319D685" w:rsidP="3C78AF21">
      <w:pPr>
        <w:rPr>
          <w:rFonts w:ascii="Verdana" w:eastAsia="Arial" w:hAnsi="Verdana" w:cs="Arial"/>
          <w:sz w:val="22"/>
        </w:rPr>
      </w:pPr>
      <w:r w:rsidRPr="00C14360">
        <w:rPr>
          <w:rFonts w:ascii="Verdana" w:eastAsia="Arial" w:hAnsi="Verdana" w:cs="Arial"/>
          <w:sz w:val="22"/>
        </w:rPr>
        <w:t>Para este efecto dentro de los Informes periódicos se deberá dejar constancia sobre:</w:t>
      </w:r>
    </w:p>
    <w:p w:rsidR="3C78AF21" w:rsidRPr="00C14360" w:rsidRDefault="3C78AF21" w:rsidP="3C78AF21">
      <w:pPr>
        <w:rPr>
          <w:rFonts w:ascii="Verdana" w:eastAsia="Arial" w:hAnsi="Verdana" w:cs="Arial"/>
          <w:sz w:val="22"/>
        </w:rPr>
      </w:pPr>
    </w:p>
    <w:p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Cumplimiento de los criterios establecidos en los numerales anteriores, dando un porcentaje o estableciendo indicadores de gestión ambiental y social. </w:t>
      </w:r>
    </w:p>
    <w:p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de educación y capacitación ambiental. </w:t>
      </w:r>
    </w:p>
    <w:p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y convocatorias del área de Gestión Social. </w:t>
      </w:r>
    </w:p>
    <w:p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copia de contratos que acrediten la vinculación de personal de la comunidad, descrito en estos numerales. </w:t>
      </w:r>
    </w:p>
    <w:p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Presentación de los documentos, fichas o todos aquellos que acrediten el cumplimiento de cada uno de los componentes descritos en el presente programa.</w:t>
      </w:r>
    </w:p>
    <w:p w:rsidR="006832AB" w:rsidRPr="00C14360" w:rsidRDefault="006832AB" w:rsidP="00033806">
      <w:pPr>
        <w:rPr>
          <w:rFonts w:ascii="Verdana" w:hAnsi="Verdana"/>
          <w:sz w:val="22"/>
        </w:rPr>
      </w:pPr>
    </w:p>
    <w:p w:rsidR="00033806" w:rsidRPr="00C14360" w:rsidRDefault="00033806" w:rsidP="1490B45D">
      <w:pPr>
        <w:rPr>
          <w:rFonts w:ascii="Verdana" w:hAnsi="Verdana"/>
          <w:sz w:val="22"/>
        </w:rPr>
      </w:pPr>
    </w:p>
    <w:p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rsidR="0022646C" w:rsidRPr="00C14360" w:rsidRDefault="0022646C" w:rsidP="0022646C">
      <w:pPr>
        <w:rPr>
          <w:rFonts w:ascii="Verdana" w:hAnsi="Verdana"/>
          <w:sz w:val="22"/>
        </w:rPr>
      </w:pPr>
    </w:p>
    <w:p w:rsidR="0022646C" w:rsidRPr="00C14360" w:rsidRDefault="00C4150A" w:rsidP="0022646C">
      <w:pPr>
        <w:rPr>
          <w:rFonts w:ascii="Verdana" w:hAnsi="Verdana"/>
          <w:sz w:val="22"/>
        </w:rPr>
      </w:pPr>
      <w:r w:rsidRPr="00C14360">
        <w:rPr>
          <w:rFonts w:ascii="Verdana" w:hAnsi="Verdana"/>
          <w:sz w:val="22"/>
        </w:rPr>
        <w:lastRenderedPageBreak/>
        <w:t xml:space="preserve">Para efectos del análisis de la información del personal, se tendrán en cuenta las siguientes consideraciones: </w:t>
      </w:r>
    </w:p>
    <w:p w:rsidR="00C4150A" w:rsidRPr="00C14360" w:rsidRDefault="00C4150A" w:rsidP="0022646C">
      <w:pPr>
        <w:rPr>
          <w:rFonts w:ascii="Verdana" w:hAnsi="Verdana"/>
          <w:sz w:val="22"/>
        </w:rPr>
      </w:pPr>
    </w:p>
    <w:p w:rsidR="00C4150A" w:rsidRPr="00C14360" w:rsidRDefault="0016156E" w:rsidP="00C4150A">
      <w:pPr>
        <w:pStyle w:val="Prrafodelista"/>
        <w:numPr>
          <w:ilvl w:val="0"/>
          <w:numId w:val="7"/>
        </w:numPr>
        <w:rPr>
          <w:rFonts w:ascii="Verdana" w:hAnsi="Verdana"/>
          <w:sz w:val="22"/>
        </w:rPr>
      </w:pPr>
      <w:r w:rsidRPr="00C14360">
        <w:rPr>
          <w:rFonts w:ascii="Verdana" w:hAnsi="Verdana"/>
          <w:sz w:val="22"/>
        </w:rPr>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rsidR="0016156E" w:rsidRPr="00C14360" w:rsidRDefault="0016156E" w:rsidP="0016156E">
      <w:pPr>
        <w:rPr>
          <w:rFonts w:ascii="Verdana" w:hAnsi="Verdana"/>
          <w:sz w:val="22"/>
        </w:rPr>
      </w:pPr>
    </w:p>
    <w:p w:rsidR="00EA71DA" w:rsidRPr="00C14360" w:rsidRDefault="0016156E" w:rsidP="00EA71DA">
      <w:pPr>
        <w:pStyle w:val="Prrafodelista"/>
        <w:numPr>
          <w:ilvl w:val="0"/>
          <w:numId w:val="7"/>
        </w:numPr>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Un mismo profesional no puede ser ofrecido para dos o más cargos 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rsidR="00EA71DA" w:rsidRPr="00C14360" w:rsidRDefault="00EA71DA" w:rsidP="00EA71DA">
      <w:pPr>
        <w:pStyle w:val="Prrafodelista"/>
        <w:rPr>
          <w:rFonts w:ascii="Verdana" w:hAnsi="Verdana"/>
          <w:sz w:val="22"/>
        </w:rPr>
      </w:pPr>
    </w:p>
    <w:p w:rsidR="0016156E" w:rsidRPr="00C14360" w:rsidRDefault="00426B4B" w:rsidP="0016156E">
      <w:pPr>
        <w:pStyle w:val="Prrafodelista"/>
        <w:numPr>
          <w:ilvl w:val="0"/>
          <w:numId w:val="7"/>
        </w:numPr>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rsidR="00D209AD" w:rsidRPr="00C14360" w:rsidRDefault="00D209AD" w:rsidP="00D209AD">
      <w:pPr>
        <w:pStyle w:val="Prrafodelista"/>
        <w:rPr>
          <w:rFonts w:ascii="Verdana" w:hAnsi="Verdana"/>
          <w:sz w:val="22"/>
        </w:rPr>
      </w:pPr>
    </w:p>
    <w:p w:rsidR="00D209AD" w:rsidRPr="00C14360" w:rsidRDefault="50D3E357" w:rsidP="0016156E">
      <w:pPr>
        <w:pStyle w:val="Prrafodelista"/>
        <w:numPr>
          <w:ilvl w:val="0"/>
          <w:numId w:val="7"/>
        </w:numPr>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rsidR="008A3728" w:rsidRPr="00C14360" w:rsidRDefault="008A3728" w:rsidP="008A3728">
      <w:pPr>
        <w:pStyle w:val="Prrafodelista"/>
        <w:rPr>
          <w:rFonts w:ascii="Verdana" w:hAnsi="Verdana"/>
          <w:sz w:val="22"/>
        </w:rPr>
      </w:pPr>
    </w:p>
    <w:p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rsidR="002469FE" w:rsidRPr="00C14360" w:rsidRDefault="002469FE" w:rsidP="002469FE">
      <w:pPr>
        <w:ind w:left="720"/>
        <w:rPr>
          <w:rFonts w:ascii="Verdana" w:hAnsi="Verdana"/>
          <w:sz w:val="22"/>
        </w:rPr>
      </w:pPr>
    </w:p>
    <w:p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rsidR="002469FE" w:rsidRPr="00C14360" w:rsidRDefault="002469FE" w:rsidP="002469FE">
      <w:pPr>
        <w:ind w:left="720"/>
        <w:rPr>
          <w:rFonts w:ascii="Verdana" w:hAnsi="Verdana"/>
          <w:sz w:val="22"/>
        </w:rPr>
      </w:pPr>
    </w:p>
    <w:p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rsidR="002469FE" w:rsidRPr="00C14360" w:rsidRDefault="002469FE" w:rsidP="002469FE">
      <w:pPr>
        <w:ind w:left="720"/>
        <w:rPr>
          <w:rFonts w:ascii="Verdana" w:hAnsi="Verdana"/>
          <w:sz w:val="22"/>
        </w:rPr>
      </w:pPr>
    </w:p>
    <w:p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rsidR="002469FE" w:rsidRPr="00C14360" w:rsidRDefault="002469FE" w:rsidP="002469FE">
      <w:pPr>
        <w:rPr>
          <w:rFonts w:ascii="Verdana" w:hAnsi="Verdana"/>
          <w:sz w:val="22"/>
          <w:lang w:val="es-ES"/>
        </w:rPr>
      </w:pPr>
    </w:p>
    <w:p w:rsidR="004E2750" w:rsidRPr="00C14360" w:rsidRDefault="004E2750" w:rsidP="00BD08C0">
      <w:pPr>
        <w:pStyle w:val="Prrafodelista"/>
        <w:numPr>
          <w:ilvl w:val="0"/>
          <w:numId w:val="5"/>
        </w:numPr>
        <w:rPr>
          <w:rFonts w:ascii="Verdana" w:hAnsi="Verdana"/>
          <w:sz w:val="22"/>
        </w:rPr>
      </w:pPr>
      <w:r w:rsidRPr="00C14360">
        <w:rPr>
          <w:rFonts w:ascii="Verdana" w:eastAsiaTheme="minorEastAsia" w:hAnsi="Verdana"/>
          <w:sz w:val="22"/>
        </w:rPr>
        <w:t>En la determinación de la experiencia de los profesionales se aplicará la equivalencia, así: </w:t>
      </w:r>
    </w:p>
    <w:p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rsidR="004E2750" w:rsidRPr="00C14360" w:rsidRDefault="004E2750" w:rsidP="004E2750">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Específica</w:t>
            </w:r>
          </w:p>
        </w:tc>
      </w:tr>
      <w:tr w:rsidR="004E2750" w:rsidRPr="00C14360" w:rsidTr="004E2750">
        <w:tc>
          <w:tcPr>
            <w:tcW w:w="2085" w:type="dxa"/>
            <w:tcBorders>
              <w:top w:val="nil"/>
              <w:left w:val="single" w:sz="6" w:space="0" w:color="000000"/>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rsidTr="004E2750">
        <w:tc>
          <w:tcPr>
            <w:tcW w:w="2085" w:type="dxa"/>
            <w:tcBorders>
              <w:top w:val="nil"/>
              <w:left w:val="single" w:sz="6" w:space="0" w:color="000000"/>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rsidTr="004E2750">
        <w:tc>
          <w:tcPr>
            <w:tcW w:w="2085" w:type="dxa"/>
            <w:tcBorders>
              <w:top w:val="nil"/>
              <w:left w:val="single" w:sz="6" w:space="0" w:color="000000"/>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rsidR="004E2750" w:rsidRPr="00C14360" w:rsidRDefault="004E2750" w:rsidP="004E2750">
      <w:pPr>
        <w:rPr>
          <w:rFonts w:ascii="Verdana" w:hAnsi="Verdana"/>
          <w:sz w:val="22"/>
        </w:rPr>
      </w:pPr>
      <w:r w:rsidRPr="00C14360">
        <w:rPr>
          <w:rFonts w:ascii="Verdana" w:hAnsi="Verdana"/>
          <w:sz w:val="22"/>
        </w:rPr>
        <w:t> </w:t>
      </w:r>
    </w:p>
    <w:p w:rsidR="004E2750" w:rsidRPr="00C14360" w:rsidRDefault="004E2750" w:rsidP="004E2750">
      <w:pPr>
        <w:ind w:left="708"/>
        <w:rPr>
          <w:rFonts w:ascii="Verdana" w:hAnsi="Verdana"/>
          <w:sz w:val="22"/>
        </w:rPr>
      </w:pPr>
      <w:r w:rsidRPr="00C14360">
        <w:rPr>
          <w:rFonts w:ascii="Verdana" w:hAnsi="Verdana"/>
          <w:sz w:val="22"/>
        </w:rPr>
        <w:t>Las equivalencias se pueden aplicar en los siguientes eventos:  </w:t>
      </w:r>
    </w:p>
    <w:p w:rsidR="004E2750" w:rsidRPr="00C14360" w:rsidRDefault="004E2750" w:rsidP="004E2750">
      <w:pPr>
        <w:ind w:left="708"/>
        <w:rPr>
          <w:rFonts w:ascii="Verdana" w:hAnsi="Verdana"/>
          <w:sz w:val="22"/>
        </w:rPr>
      </w:pPr>
    </w:p>
    <w:p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general y viceversa.  </w:t>
      </w:r>
    </w:p>
    <w:p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00C3029C" w:rsidRPr="00C14360">
        <w:rPr>
          <w:rFonts w:ascii="Verdana" w:hAnsi="Verdana"/>
          <w:sz w:val="22"/>
        </w:rPr>
        <w:t>í</w:t>
      </w:r>
      <w:r w:rsidRPr="00C14360">
        <w:rPr>
          <w:rFonts w:ascii="Verdana" w:hAnsi="Verdana"/>
          <w:sz w:val="22"/>
        </w:rPr>
        <w:t>fica o viceversa. </w:t>
      </w:r>
    </w:p>
    <w:p w:rsidR="004E2750" w:rsidRPr="00C14360" w:rsidRDefault="004E2750" w:rsidP="002469FE">
      <w:pPr>
        <w:rPr>
          <w:rFonts w:ascii="Verdana" w:hAnsi="Verdana"/>
          <w:sz w:val="22"/>
          <w:lang w:val="es-ES"/>
        </w:rPr>
      </w:pPr>
    </w:p>
    <w:p w:rsidR="00101381" w:rsidRPr="00C14360" w:rsidRDefault="00990784" w:rsidP="1490B45D">
      <w:pPr>
        <w:rPr>
          <w:rFonts w:ascii="Verdana" w:hAnsi="Verdana"/>
          <w:sz w:val="22"/>
        </w:rPr>
      </w:pPr>
      <w:r w:rsidRPr="1490B45D">
        <w:rPr>
          <w:rFonts w:ascii="Verdana" w:hAnsi="Verdana"/>
          <w:sz w:val="22"/>
        </w:rPr>
        <w:t xml:space="preserve">El personal relacionado </w:t>
      </w:r>
      <w:r w:rsidR="00101381" w:rsidRPr="1490B45D">
        <w:rPr>
          <w:rFonts w:ascii="Verdana" w:hAnsi="Verdana"/>
          <w:sz w:val="22"/>
        </w:rPr>
        <w:t xml:space="preserve">corresponde al siguiente: </w:t>
      </w:r>
    </w:p>
    <w:p w:rsidR="00101381" w:rsidRPr="00C14360" w:rsidRDefault="00101381" w:rsidP="2D7BE78F">
      <w:pPr>
        <w:rPr>
          <w:rFonts w:ascii="Verdana" w:hAnsi="Verdana"/>
          <w:sz w:val="22"/>
        </w:rPr>
      </w:pPr>
    </w:p>
    <w:p w:rsidR="00156420" w:rsidRPr="00C14360" w:rsidRDefault="00156420" w:rsidP="007D65FD">
      <w:pPr>
        <w:rPr>
          <w:rFonts w:ascii="Verdana" w:hAnsi="Verdana"/>
          <w:sz w:val="22"/>
        </w:rPr>
      </w:pPr>
    </w:p>
    <w:p w:rsidR="00336D93" w:rsidRPr="00C14360" w:rsidRDefault="21D790D9" w:rsidP="2D7BE78F">
      <w:pPr>
        <w:spacing w:after="160" w:line="259" w:lineRule="auto"/>
        <w:rPr>
          <w:rFonts w:ascii="Verdana" w:eastAsia="Arial" w:hAnsi="Verdana" w:cs="Arial"/>
          <w:sz w:val="22"/>
          <w:lang w:val="es-ES"/>
        </w:rPr>
      </w:pPr>
      <w:r w:rsidRPr="00C14360">
        <w:rPr>
          <w:rFonts w:ascii="Verdana" w:eastAsia="Arial" w:hAnsi="Verdana" w:cs="Arial"/>
          <w:color w:val="000000" w:themeColor="text1"/>
          <w:sz w:val="22"/>
          <w:lang w:val="es-ES"/>
        </w:rPr>
        <w:t>El personal mínimo para la ejecución de la obra es el siguiente:</w:t>
      </w:r>
    </w:p>
    <w:p w:rsidR="000C06E8" w:rsidRPr="00C14360" w:rsidRDefault="000C06E8" w:rsidP="00336D93">
      <w:pPr>
        <w:rPr>
          <w:rFonts w:ascii="Verdana" w:hAnsi="Verdana"/>
          <w:sz w:val="22"/>
          <w:lang w:val="es-ES"/>
        </w:rPr>
      </w:pPr>
    </w:p>
    <w:p w:rsidR="00336D93" w:rsidRPr="00C14360" w:rsidRDefault="00336D93" w:rsidP="00336D93">
      <w:pPr>
        <w:pStyle w:val="Prrafodelista"/>
        <w:numPr>
          <w:ilvl w:val="0"/>
          <w:numId w:val="12"/>
        </w:numPr>
        <w:rPr>
          <w:rFonts w:ascii="Verdana" w:hAnsi="Verdana"/>
          <w:sz w:val="22"/>
        </w:rPr>
      </w:pPr>
      <w:r w:rsidRPr="00C14360">
        <w:rPr>
          <w:rFonts w:ascii="Verdana" w:hAnsi="Verdana"/>
          <w:sz w:val="22"/>
        </w:rPr>
        <w:t>Un (1) Director de obra – ingeniero civil o arquitecto con posgrado (especialización) en gerencia de proyectos y/o administración de obras civiles – dedicación del 30 %.</w:t>
      </w:r>
    </w:p>
    <w:p w:rsidR="00336D93" w:rsidRPr="00C14360" w:rsidRDefault="00336D93" w:rsidP="2D7BE78F">
      <w:pPr>
        <w:pStyle w:val="Prrafodelista"/>
        <w:numPr>
          <w:ilvl w:val="0"/>
          <w:numId w:val="12"/>
        </w:numPr>
        <w:rPr>
          <w:rFonts w:ascii="Verdana" w:hAnsi="Verdana"/>
          <w:sz w:val="22"/>
        </w:rPr>
      </w:pPr>
      <w:r w:rsidRPr="00C14360">
        <w:rPr>
          <w:rFonts w:ascii="Verdana" w:hAnsi="Verdana"/>
          <w:sz w:val="22"/>
        </w:rPr>
        <w:t>Un (1) Residente de obra – ingeniero civil o arquitecto – dedicación del 100 %.</w:t>
      </w:r>
    </w:p>
    <w:p w:rsidR="00336D93" w:rsidRPr="007C40AF" w:rsidRDefault="49487FFB" w:rsidP="00E84F12">
      <w:pPr>
        <w:pStyle w:val="Prrafodelista"/>
        <w:numPr>
          <w:ilvl w:val="0"/>
          <w:numId w:val="12"/>
        </w:numPr>
        <w:rPr>
          <w:rFonts w:ascii="Verdana" w:hAnsi="Verdana"/>
          <w:sz w:val="22"/>
        </w:rPr>
      </w:pPr>
      <w:r w:rsidRPr="007C40AF">
        <w:rPr>
          <w:rFonts w:ascii="Verdana" w:hAnsi="Verdana"/>
          <w:sz w:val="22"/>
        </w:rPr>
        <w:t xml:space="preserve">Un (1) Profesional en Seguridad y Salud en el Trabajo – dedicación del 100 </w:t>
      </w:r>
      <w:r w:rsidR="00336D93" w:rsidRPr="007C40AF">
        <w:rPr>
          <w:rFonts w:ascii="Verdana" w:hAnsi="Verdana"/>
          <w:sz w:val="22"/>
        </w:rPr>
        <w:t>Un (1) Técnico electricista.</w:t>
      </w:r>
    </w:p>
    <w:p w:rsidR="00336D93" w:rsidRPr="00C14360" w:rsidRDefault="00336D93" w:rsidP="2D7BE78F">
      <w:pPr>
        <w:pStyle w:val="Prrafodelista"/>
        <w:numPr>
          <w:ilvl w:val="0"/>
          <w:numId w:val="12"/>
        </w:numPr>
        <w:rPr>
          <w:rFonts w:ascii="Verdana" w:hAnsi="Verdana"/>
          <w:sz w:val="22"/>
        </w:rPr>
      </w:pPr>
      <w:r w:rsidRPr="00C14360">
        <w:rPr>
          <w:rFonts w:ascii="Verdana" w:hAnsi="Verdana"/>
          <w:sz w:val="22"/>
        </w:rPr>
        <w:t>Un (1) Maestro de obras civiles.</w:t>
      </w:r>
    </w:p>
    <w:p w:rsidR="00336D93" w:rsidRPr="00C14360" w:rsidRDefault="00336D93" w:rsidP="00336D93">
      <w:pPr>
        <w:rPr>
          <w:rFonts w:ascii="Verdana" w:hAnsi="Verdana"/>
          <w:sz w:val="22"/>
        </w:rPr>
      </w:pPr>
    </w:p>
    <w:p w:rsidR="000C06E8" w:rsidRPr="00C14360" w:rsidRDefault="000C06E8" w:rsidP="00336D93">
      <w:pPr>
        <w:rPr>
          <w:rFonts w:ascii="Verdana" w:hAnsi="Verdana"/>
          <w:sz w:val="22"/>
        </w:rPr>
      </w:pPr>
    </w:p>
    <w:p w:rsidR="00156420" w:rsidRPr="00C14360" w:rsidRDefault="00156420" w:rsidP="007D65FD">
      <w:pPr>
        <w:rPr>
          <w:rFonts w:ascii="Verdana" w:hAnsi="Verdana"/>
          <w:sz w:val="22"/>
        </w:rPr>
      </w:pPr>
    </w:p>
    <w:p w:rsidR="00156420" w:rsidRPr="00C14360" w:rsidRDefault="006A1CFF" w:rsidP="2D7BE78F">
      <w:pPr>
        <w:pStyle w:val="Ttulo2"/>
        <w:rPr>
          <w:rFonts w:ascii="Verdana" w:hAnsi="Verdana"/>
          <w:i w:val="0"/>
          <w:sz w:val="22"/>
          <w:szCs w:val="22"/>
        </w:rPr>
      </w:pPr>
      <w:r w:rsidRPr="00C14360">
        <w:rPr>
          <w:rFonts w:ascii="Verdana" w:hAnsi="Verdana"/>
          <w:i w:val="0"/>
          <w:sz w:val="22"/>
          <w:szCs w:val="22"/>
        </w:rPr>
        <w:t>Requisitos del personal</w:t>
      </w:r>
    </w:p>
    <w:p w:rsidR="006A1CFF" w:rsidRPr="00C14360" w:rsidRDefault="006A1CFF" w:rsidP="006A1CFF">
      <w:pPr>
        <w:rPr>
          <w:rFonts w:ascii="Verdana" w:hAnsi="Verdana"/>
          <w:sz w:val="22"/>
        </w:rPr>
      </w:pPr>
    </w:p>
    <w:p w:rsidR="49A9303A" w:rsidRPr="00C14360" w:rsidRDefault="49A9303A">
      <w:pPr>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rsidR="2D7BE78F" w:rsidRPr="00C14360" w:rsidRDefault="2D7BE78F">
      <w:pPr>
        <w:rPr>
          <w:rFonts w:ascii="Verdana" w:eastAsia="Arial" w:hAnsi="Verdana" w:cs="Arial"/>
          <w:color w:val="000000" w:themeColor="text1"/>
          <w:sz w:val="22"/>
        </w:rPr>
      </w:pPr>
    </w:p>
    <w:p w:rsidR="49A9303A" w:rsidRPr="00C14360" w:rsidRDefault="49A9303A">
      <w:pPr>
        <w:rPr>
          <w:rFonts w:ascii="Verdana" w:eastAsia="Arial" w:hAnsi="Verdana" w:cs="Arial"/>
          <w:color w:val="000000" w:themeColor="text1"/>
          <w:sz w:val="22"/>
        </w:rPr>
      </w:pPr>
      <w:r w:rsidRPr="00C14360">
        <w:rPr>
          <w:rFonts w:ascii="Verdana" w:eastAsia="Arial" w:hAnsi="Verdana" w:cs="Arial"/>
          <w:sz w:val="22"/>
          <w:lang w:val="es-ES"/>
        </w:rPr>
        <w:t>Los requisitos de experiencia son los definidos en los estudios previos. Conforme a este anexo, las hojas de vida y soportes se verifican después de la adjudicación y no se piden con la oferta.</w:t>
      </w:r>
    </w:p>
    <w:p w:rsidR="2D7BE78F" w:rsidRPr="00C14360" w:rsidRDefault="2D7BE78F" w:rsidP="00BD08C0">
      <w:pPr>
        <w:jc w:val="left"/>
        <w:rPr>
          <w:rFonts w:ascii="Verdana" w:eastAsia="Times New Roman" w:hAnsi="Verdana" w:cs="Times New Roman"/>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C14360" w:rsidTr="00A42BB6">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rsidR="2D7BE78F" w:rsidRPr="009E5B9F" w:rsidRDefault="2D7BE78F" w:rsidP="00BD08C0">
            <w:pPr>
              <w:spacing w:line="259" w:lineRule="auto"/>
              <w:rPr>
                <w:rFonts w:ascii="Verdana" w:eastAsia="Arial" w:hAnsi="Verdana" w:cs="Arial"/>
                <w:sz w:val="22"/>
              </w:rPr>
            </w:pPr>
            <w:r w:rsidRPr="009E5B9F">
              <w:rPr>
                <w:rFonts w:ascii="Verdana" w:eastAsia="Arial" w:hAnsi="Verdana" w:cs="Arial"/>
                <w:b/>
                <w:bCs/>
                <w:sz w:val="22"/>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rsidR="2D7BE78F" w:rsidRPr="009E5B9F" w:rsidRDefault="2D7BE78F"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rsidR="2D7BE78F" w:rsidRPr="009E5B9F" w:rsidRDefault="2D7BE78F"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Específica</w:t>
            </w:r>
          </w:p>
        </w:tc>
      </w:tr>
      <w:tr w:rsidR="2D7BE78F" w:rsidRPr="00C14360"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Director de obra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Ocho (8) años contados a partir de la terminación de materias.</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Director de obra en tres (3) contratos de obra cuyo objeto esté relacionado con mantenimiento y/o mejoramiento de infraestructura física.</w:t>
            </w:r>
          </w:p>
        </w:tc>
      </w:tr>
      <w:tr w:rsidR="2D7BE78F" w:rsidRPr="00C14360"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Residente de obra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Cinco (5) años contados a partir de la terminación de materias.</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Residente de obra en tres (3) contratos de obra cuyo objeto esté relacionado con mantenimiento y/o mejoramiento de infraestructura física.</w:t>
            </w:r>
          </w:p>
        </w:tc>
      </w:tr>
      <w:tr w:rsidR="2D7BE78F" w:rsidRPr="00C14360"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Profesional SST (profesional en salud ocupacional, administrador en salud ocupacional o profesional en cualquier área con posgrado en SST, con licencia vigente)</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Cinco (5) años contados a partir de la terminación de materias.</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2D7BE78F" w:rsidRPr="00C14360" w:rsidRDefault="2D7BE78F" w:rsidP="00BD08C0">
            <w:pPr>
              <w:spacing w:line="259" w:lineRule="auto"/>
              <w:rPr>
                <w:rFonts w:ascii="Verdana" w:eastAsia="Arial" w:hAnsi="Verdana" w:cs="Arial"/>
                <w:color w:val="000000" w:themeColor="text1"/>
                <w:sz w:val="22"/>
              </w:rPr>
            </w:pPr>
            <w:r w:rsidRPr="00C14360">
              <w:rPr>
                <w:rFonts w:ascii="Verdana" w:eastAsia="Arial" w:hAnsi="Verdana" w:cs="Arial"/>
                <w:color w:val="000000" w:themeColor="text1"/>
                <w:sz w:val="22"/>
                <w:lang w:val="es-ES"/>
              </w:rPr>
              <w:t>Profesional SST en tres (3) contratos de obra cuyo objeto esté relacionado con mantenimiento y/o mejoramiento de infraestructura física.</w:t>
            </w:r>
          </w:p>
        </w:tc>
      </w:tr>
    </w:tbl>
    <w:p w:rsidR="2D7BE78F" w:rsidRPr="00C14360" w:rsidRDefault="2D7BE78F" w:rsidP="00BD08C0">
      <w:pPr>
        <w:spacing w:after="160" w:line="259" w:lineRule="auto"/>
        <w:rPr>
          <w:rFonts w:ascii="Verdana" w:eastAsia="Arial" w:hAnsi="Verdana" w:cs="Arial"/>
          <w:color w:val="3B3838" w:themeColor="background2" w:themeShade="40"/>
          <w:sz w:val="22"/>
        </w:rPr>
      </w:pPr>
    </w:p>
    <w:p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rsidR="00F40D8C" w:rsidRPr="00C14360" w:rsidRDefault="00F40D8C" w:rsidP="00660E07">
      <w:pPr>
        <w:rPr>
          <w:rFonts w:ascii="Verdana" w:hAnsi="Verdana"/>
          <w:sz w:val="22"/>
        </w:rPr>
      </w:pPr>
    </w:p>
    <w:p w:rsidR="00062056" w:rsidRPr="00C14360" w:rsidRDefault="00F40D8C" w:rsidP="00062056">
      <w:pPr>
        <w:rPr>
          <w:rFonts w:ascii="Verdana" w:hAnsi="Verdana"/>
          <w:sz w:val="22"/>
        </w:rPr>
      </w:pPr>
      <w:r w:rsidRPr="00C14360">
        <w:rPr>
          <w:rFonts w:ascii="Verdana" w:hAnsi="Verdana"/>
          <w:sz w:val="22"/>
        </w:rPr>
        <w:t>No se exige maquinaria pesada. El Contratista dispondrá de los equipos y herramientas menores necesarios para la obra.</w:t>
      </w:r>
    </w:p>
    <w:p w:rsidR="008F0B61" w:rsidRPr="00C14360" w:rsidRDefault="008F0B61" w:rsidP="004B6353">
      <w:pPr>
        <w:rPr>
          <w:rFonts w:ascii="Verdana" w:hAnsi="Verdana"/>
          <w:sz w:val="22"/>
        </w:rPr>
      </w:pPr>
    </w:p>
    <w:p w:rsidR="004B6353" w:rsidRPr="00C14360" w:rsidRDefault="004B6353" w:rsidP="004B6353">
      <w:pPr>
        <w:rPr>
          <w:rFonts w:ascii="Verdana" w:hAnsi="Verdana"/>
          <w:sz w:val="22"/>
        </w:rPr>
      </w:pPr>
      <w:r w:rsidRPr="00C14360">
        <w:rPr>
          <w:rFonts w:ascii="Verdana" w:hAnsi="Verdana"/>
          <w:sz w:val="22"/>
        </w:rPr>
        <w:t>El</w:t>
      </w:r>
      <w:r w:rsidR="006B3430" w:rsidRPr="00C14360">
        <w:rPr>
          <w:rFonts w:ascii="Verdana" w:hAnsi="Verdana"/>
          <w:sz w:val="22"/>
        </w:rPr>
        <w:t xml:space="preserve"> </w:t>
      </w:r>
      <w:r w:rsidRPr="00C14360">
        <w:rPr>
          <w:rFonts w:ascii="Verdana" w:hAnsi="Verdana"/>
          <w:sz w:val="22"/>
        </w:rPr>
        <w:t>equipo</w:t>
      </w:r>
      <w:r w:rsidR="006B3430" w:rsidRPr="00C14360">
        <w:rPr>
          <w:rFonts w:ascii="Verdana" w:hAnsi="Verdana"/>
          <w:sz w:val="22"/>
        </w:rPr>
        <w:t xml:space="preserve"> </w:t>
      </w:r>
      <w:r w:rsidRPr="00C14360">
        <w:rPr>
          <w:rFonts w:ascii="Verdana" w:hAnsi="Verdana"/>
          <w:sz w:val="22"/>
        </w:rPr>
        <w:t>mínimo</w:t>
      </w:r>
      <w:r w:rsidR="006B3430" w:rsidRPr="00C14360">
        <w:rPr>
          <w:rFonts w:ascii="Verdana" w:hAnsi="Verdana"/>
          <w:sz w:val="22"/>
        </w:rPr>
        <w:t xml:space="preserve"> </w:t>
      </w:r>
      <w:r w:rsidRPr="00C14360">
        <w:rPr>
          <w:rFonts w:ascii="Verdana" w:hAnsi="Verdana"/>
          <w:sz w:val="22"/>
        </w:rPr>
        <w:t>requerido</w:t>
      </w:r>
      <w:r w:rsidR="006B3430" w:rsidRPr="00C14360">
        <w:rPr>
          <w:rFonts w:ascii="Verdana" w:hAnsi="Verdana"/>
          <w:sz w:val="22"/>
        </w:rPr>
        <w:t xml:space="preserve"> </w:t>
      </w:r>
      <w:r w:rsidRPr="00C14360">
        <w:rPr>
          <w:rFonts w:ascii="Verdana" w:hAnsi="Verdana"/>
          <w:sz w:val="22"/>
        </w:rPr>
        <w:t>es</w:t>
      </w:r>
      <w:r w:rsidR="006B3430" w:rsidRPr="00C14360">
        <w:rPr>
          <w:rFonts w:ascii="Verdana" w:hAnsi="Verdana"/>
          <w:sz w:val="22"/>
        </w:rPr>
        <w:t xml:space="preserve"> </w:t>
      </w:r>
      <w:r w:rsidRPr="00C14360">
        <w:rPr>
          <w:rFonts w:ascii="Verdana" w:hAnsi="Verdana"/>
          <w:sz w:val="22"/>
        </w:rPr>
        <w:t>el siguiente: </w:t>
      </w:r>
    </w:p>
    <w:p w:rsidR="004B6353" w:rsidRPr="00C14360" w:rsidRDefault="004B6353" w:rsidP="004B6353">
      <w:pPr>
        <w:rPr>
          <w:rFonts w:ascii="Verdana" w:hAnsi="Verdana"/>
          <w:sz w:val="22"/>
        </w:rPr>
      </w:pPr>
    </w:p>
    <w:p w:rsidR="004B6353" w:rsidRPr="00C14360" w:rsidRDefault="004B6353" w:rsidP="004B6353">
      <w:pPr>
        <w:pStyle w:val="Prrafodelista"/>
        <w:numPr>
          <w:ilvl w:val="0"/>
          <w:numId w:val="14"/>
        </w:numPr>
        <w:rPr>
          <w:rFonts w:ascii="Verdana" w:hAnsi="Verdana"/>
          <w:sz w:val="22"/>
        </w:rPr>
      </w:pPr>
      <w:r w:rsidRPr="00C14360">
        <w:rPr>
          <w:rFonts w:ascii="Verdana" w:hAnsi="Verdana"/>
          <w:sz w:val="22"/>
        </w:rPr>
        <w:t>Equipo certificador de cableado estructurado apto para categoría 6A (para la certificación de los 32 puntos de datos).</w:t>
      </w:r>
    </w:p>
    <w:p w:rsidR="004B6353" w:rsidRPr="00C14360" w:rsidRDefault="004B6353" w:rsidP="004B6353">
      <w:pPr>
        <w:pStyle w:val="Prrafodelista"/>
        <w:numPr>
          <w:ilvl w:val="0"/>
          <w:numId w:val="14"/>
        </w:numPr>
        <w:rPr>
          <w:rFonts w:ascii="Verdana" w:hAnsi="Verdana"/>
          <w:sz w:val="22"/>
        </w:rPr>
      </w:pPr>
      <w:r w:rsidRPr="00C14360">
        <w:rPr>
          <w:rFonts w:ascii="Verdana" w:hAnsi="Verdana"/>
          <w:sz w:val="22"/>
        </w:rPr>
        <w:t>Andamios certificados y equipos para trabajo en alturas, conforme a la Resolución 4272 de 2021 del Ministerio del Trabajo.</w:t>
      </w:r>
    </w:p>
    <w:p w:rsidR="004B6353" w:rsidRPr="00C14360" w:rsidRDefault="004B6353" w:rsidP="004B6353">
      <w:pPr>
        <w:pStyle w:val="Prrafodelista"/>
        <w:numPr>
          <w:ilvl w:val="0"/>
          <w:numId w:val="14"/>
        </w:numPr>
        <w:rPr>
          <w:rFonts w:ascii="Verdana" w:hAnsi="Verdana"/>
          <w:sz w:val="22"/>
        </w:rPr>
      </w:pPr>
      <w:r w:rsidRPr="00C14360">
        <w:rPr>
          <w:rFonts w:ascii="Verdana" w:hAnsi="Verdana"/>
          <w:sz w:val="22"/>
        </w:rPr>
        <w:t>Herramienta menor de corte, perforación, fijación y medición; equipo de medición eléctrica para pruebas de continuidad, aislamiento, polaridad y tierra.</w:t>
      </w:r>
    </w:p>
    <w:p w:rsidR="004B6353" w:rsidRPr="00C14360" w:rsidRDefault="004B6353" w:rsidP="004B6353">
      <w:pPr>
        <w:rPr>
          <w:rFonts w:ascii="Verdana" w:hAnsi="Verdana"/>
          <w:sz w:val="22"/>
        </w:rPr>
      </w:pPr>
    </w:p>
    <w:p w:rsidR="004B6353" w:rsidRPr="00C14360" w:rsidRDefault="059FCEAF" w:rsidP="004B6353">
      <w:pPr>
        <w:rPr>
          <w:rFonts w:ascii="Verdana" w:hAnsi="Verdana"/>
          <w:sz w:val="22"/>
        </w:rPr>
      </w:pPr>
      <w:r w:rsidRPr="00C14360">
        <w:rPr>
          <w:rFonts w:ascii="Verdana" w:hAnsi="Verdana"/>
          <w:sz w:val="22"/>
        </w:rPr>
        <w:t xml:space="preserve">La maquinaria mínima requerida será verificada una vez se adjudique el </w:t>
      </w:r>
      <w:r w:rsidR="663CF51D" w:rsidRPr="00C14360">
        <w:rPr>
          <w:rFonts w:ascii="Verdana" w:hAnsi="Verdana"/>
          <w:sz w:val="22"/>
        </w:rPr>
        <w:t>C</w:t>
      </w:r>
      <w:r w:rsidRPr="00C14360">
        <w:rPr>
          <w:rFonts w:ascii="Verdana" w:hAnsi="Verdana"/>
          <w:sz w:val="22"/>
        </w:rPr>
        <w:t xml:space="preserve">ontrato y no podrá ser pedida durante la selección del </w:t>
      </w:r>
      <w:r w:rsidR="2B21051E" w:rsidRPr="00C14360">
        <w:rPr>
          <w:rFonts w:ascii="Verdana" w:hAnsi="Verdana"/>
          <w:sz w:val="22"/>
        </w:rPr>
        <w:t>C</w:t>
      </w:r>
      <w:r w:rsidRPr="00C14360">
        <w:rPr>
          <w:rFonts w:ascii="Verdana" w:hAnsi="Verdana"/>
          <w:sz w:val="22"/>
        </w:rPr>
        <w:t>ontratista para efectos de otorgar puntaje o como criterio habilitante</w:t>
      </w:r>
      <w:r w:rsidR="3FE6D36D" w:rsidRPr="00C14360">
        <w:rPr>
          <w:rFonts w:ascii="Verdana" w:hAnsi="Verdana"/>
          <w:sz w:val="22"/>
        </w:rPr>
        <w:t>.</w:t>
      </w:r>
      <w:r w:rsidRPr="00C14360">
        <w:rPr>
          <w:rFonts w:ascii="Verdana" w:hAnsi="Verdana"/>
          <w:sz w:val="22"/>
        </w:rPr>
        <w:t> </w:t>
      </w:r>
    </w:p>
    <w:p w:rsidR="00D5067B" w:rsidRPr="00C14360" w:rsidRDefault="00D5067B" w:rsidP="00DB2628">
      <w:pPr>
        <w:rPr>
          <w:rFonts w:ascii="Verdana" w:hAnsi="Verdana"/>
          <w:sz w:val="22"/>
        </w:rPr>
      </w:pPr>
    </w:p>
    <w:p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 xml:space="preserve">POSIBLES FUENTES DE MATERIALES PARA EL PROYECTO </w:t>
      </w:r>
    </w:p>
    <w:p w:rsidR="1490B45D" w:rsidRDefault="1490B45D" w:rsidP="1490B45D">
      <w:pPr>
        <w:spacing w:after="160" w:line="259" w:lineRule="auto"/>
        <w:rPr>
          <w:rFonts w:ascii="Verdana" w:eastAsia="Verdana" w:hAnsi="Verdana" w:cs="Verdana"/>
          <w:color w:val="000000" w:themeColor="text1"/>
          <w:sz w:val="22"/>
        </w:rPr>
      </w:pPr>
    </w:p>
    <w:p w:rsidR="1490B45D" w:rsidRDefault="1490B45D" w:rsidP="1490B45D">
      <w:pPr>
        <w:spacing w:after="160" w:line="259" w:lineRule="auto"/>
        <w:rPr>
          <w:rFonts w:ascii="Verdana" w:eastAsia="Verdana" w:hAnsi="Verdana" w:cs="Verdana"/>
          <w:color w:val="000000" w:themeColor="text1"/>
          <w:sz w:val="22"/>
          <w:lang w:val="en-US"/>
        </w:rPr>
      </w:pPr>
    </w:p>
    <w:p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lastRenderedPageBreak/>
        <w:t>OBRAS PROVISIONALES</w:t>
      </w:r>
    </w:p>
    <w:p w:rsidR="1490B45D" w:rsidRDefault="1490B45D" w:rsidP="1490B45D">
      <w:pPr>
        <w:rPr>
          <w:rFonts w:ascii="Arial" w:eastAsia="Arial" w:hAnsi="Arial" w:cs="Arial"/>
          <w:color w:val="000000" w:themeColor="text1"/>
          <w:szCs w:val="20"/>
        </w:rPr>
      </w:pPr>
    </w:p>
    <w:p w:rsidR="1490B45D" w:rsidRDefault="1490B45D" w:rsidP="1490B45D"/>
    <w:p w:rsidR="00AE6755" w:rsidRPr="00C14360" w:rsidRDefault="00CF369B" w:rsidP="009232B2">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p>
    <w:p w:rsidR="005316D7" w:rsidRPr="00C14360" w:rsidRDefault="005316D7" w:rsidP="005316D7">
      <w:pPr>
        <w:rPr>
          <w:rFonts w:ascii="Verdana" w:hAnsi="Verdana"/>
          <w:sz w:val="22"/>
        </w:rPr>
      </w:pPr>
    </w:p>
    <w:p w:rsidR="009E22FA" w:rsidRPr="00C14360" w:rsidRDefault="009E22FA" w:rsidP="009E22FA">
      <w:pPr>
        <w:rPr>
          <w:rFonts w:ascii="Verdana" w:hAnsi="Verdana"/>
          <w:sz w:val="22"/>
        </w:rPr>
      </w:pPr>
    </w:p>
    <w:p w:rsidR="009E22FA" w:rsidRPr="00C14360" w:rsidRDefault="009E22FA" w:rsidP="009E22FA">
      <w:pPr>
        <w:rPr>
          <w:rFonts w:ascii="Verdana" w:hAnsi="Verdana"/>
          <w:sz w:val="22"/>
        </w:rPr>
      </w:pPr>
      <w:r w:rsidRPr="00C14360">
        <w:rPr>
          <w:rFonts w:ascii="Verdana" w:hAnsi="Verdana"/>
          <w:sz w:val="22"/>
        </w:rPr>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rsidR="009E22FA" w:rsidRPr="00C14360" w:rsidRDefault="009E22FA" w:rsidP="009E22FA">
      <w:pPr>
        <w:rPr>
          <w:rFonts w:ascii="Verdana" w:hAnsi="Verdana"/>
          <w:sz w:val="22"/>
        </w:rPr>
      </w:pPr>
    </w:p>
    <w:p w:rsidR="005316D7" w:rsidRPr="00C14360" w:rsidRDefault="41BA5FC8" w:rsidP="009E22FA">
      <w:pPr>
        <w:rPr>
          <w:rFonts w:ascii="Verdana" w:hAnsi="Verdana"/>
          <w:sz w:val="22"/>
        </w:rPr>
      </w:pPr>
      <w:r w:rsidRPr="00C14360">
        <w:rPr>
          <w:rFonts w:ascii="Verdana" w:hAnsi="Verdana"/>
          <w:sz w:val="22"/>
        </w:rPr>
        <w:t>Los costos de señalización, protección de áreas en uso y control de polvo y ruido se entienden incluidos en los precios unitarios y en la administración del AIU del presupuesto oficial.</w:t>
      </w:r>
    </w:p>
    <w:p w:rsidR="00AE6755" w:rsidRPr="00C14360" w:rsidRDefault="00AE6755" w:rsidP="00AE6755">
      <w:pPr>
        <w:rPr>
          <w:rFonts w:ascii="Verdana" w:hAnsi="Verdana"/>
          <w:sz w:val="22"/>
        </w:rPr>
      </w:pPr>
    </w:p>
    <w:p w:rsidR="00850B16" w:rsidRPr="00C14360" w:rsidRDefault="00CF369B" w:rsidP="00EB365C">
      <w:pPr>
        <w:pStyle w:val="Ttulo1"/>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rsidR="00EB365C" w:rsidRPr="00C14360" w:rsidRDefault="00EB365C" w:rsidP="00EB365C">
      <w:pPr>
        <w:rPr>
          <w:rFonts w:ascii="Verdana" w:hAnsi="Verdana"/>
          <w:sz w:val="22"/>
        </w:rPr>
      </w:pPr>
    </w:p>
    <w:p w:rsidR="00CA7122" w:rsidRPr="00C14360" w:rsidRDefault="462C0B82" w:rsidP="00EB365C">
      <w:pPr>
        <w:rPr>
          <w:rFonts w:ascii="Verdana" w:hAnsi="Verdana"/>
          <w:sz w:val="22"/>
        </w:rPr>
      </w:pPr>
      <w:r w:rsidRPr="00C14360">
        <w:rPr>
          <w:rFonts w:ascii="Verdana" w:hAnsi="Verdana"/>
          <w:sz w:val="22"/>
        </w:rPr>
        <w:t>Conforme al artículo 8 de la Ley 810 de 2003 y al artículo 2.2.6.1.1.10 del Decreto 1077 de 2015, las obras corresponden a reparaciones o mejoras locativas sobre elementos no estructurales y acabados, por lo que no requieren licencia de construcción. Quien ejecuta la obra debe cumplir los reglamentos de propiedad horizontal y las normas de servicios públicos domiciliarios y prevenir daños a terceros. La intervención se enmarca en el contrato de comodato del 17 de enero de 2024 con el Municipio de Pereira, que contempla las mejoras necesarias para el funcionamiento del inmueble.</w:t>
      </w:r>
    </w:p>
    <w:p w:rsidR="00CA7122" w:rsidRPr="00C14360" w:rsidRDefault="00CA7122" w:rsidP="00EB365C">
      <w:pPr>
        <w:rPr>
          <w:rFonts w:ascii="Verdana" w:hAnsi="Verdana"/>
          <w:sz w:val="22"/>
        </w:rPr>
      </w:pPr>
    </w:p>
    <w:p w:rsidR="00850B16" w:rsidRPr="00C14360" w:rsidRDefault="00850B16" w:rsidP="00925DDB">
      <w:pPr>
        <w:rPr>
          <w:rFonts w:ascii="Verdana" w:hAnsi="Verdana"/>
          <w:sz w:val="22"/>
        </w:rPr>
      </w:pPr>
    </w:p>
    <w:p w:rsidR="6FB57258" w:rsidRPr="00C14360" w:rsidRDefault="6FB57258" w:rsidP="1490B45D">
      <w:pPr>
        <w:pStyle w:val="Ttulo1"/>
        <w:rPr>
          <w:rFonts w:ascii="Verdana" w:hAnsi="Verdana"/>
          <w:sz w:val="22"/>
          <w:szCs w:val="22"/>
        </w:rPr>
      </w:pPr>
      <w:r w:rsidRPr="1490B45D">
        <w:rPr>
          <w:rFonts w:ascii="Verdana" w:hAnsi="Verdana"/>
          <w:sz w:val="22"/>
          <w:szCs w:val="22"/>
          <w:lang w:val="es-ES"/>
        </w:rPr>
        <w:t>NOTAS TÉCNICAS ESPECÍFICAS PARA EL PROYECTO</w:t>
      </w:r>
    </w:p>
    <w:p w:rsidR="1490B45D" w:rsidRDefault="1490B45D" w:rsidP="1490B45D"/>
    <w:p w:rsidR="6FB57258" w:rsidRPr="00C14360" w:rsidRDefault="6FB57258" w:rsidP="1490B45D">
      <w:pPr>
        <w:rPr>
          <w:rFonts w:ascii="Verdana" w:eastAsia="Arial" w:hAnsi="Verdana" w:cs="Arial"/>
          <w:sz w:val="22"/>
        </w:rPr>
      </w:pPr>
      <w:r w:rsidRPr="1490B45D">
        <w:rPr>
          <w:rFonts w:ascii="Verdana" w:eastAsia="Arial" w:hAnsi="Verdana" w:cs="Arial"/>
          <w:color w:val="000000" w:themeColor="text1"/>
          <w:sz w:val="22"/>
        </w:rPr>
        <w:t>Se aplican las siguientes notas técnicas particulares del proyecto:</w:t>
      </w:r>
    </w:p>
    <w:p w:rsidR="00A42BB6" w:rsidRDefault="00A42BB6" w:rsidP="00A42BB6">
      <w:pPr>
        <w:rPr>
          <w:rFonts w:ascii="Verdana" w:eastAsia="Arial" w:hAnsi="Verdana" w:cs="Arial"/>
          <w:sz w:val="22"/>
        </w:rPr>
      </w:pPr>
    </w:p>
    <w:p w:rsidR="6FB57258" w:rsidRPr="00C14360" w:rsidRDefault="6FB57258" w:rsidP="00A42BB6">
      <w:pPr>
        <w:rPr>
          <w:rFonts w:ascii="Verdana" w:eastAsia="Arial" w:hAnsi="Verdana" w:cs="Arial"/>
          <w:sz w:val="22"/>
        </w:rPr>
      </w:pPr>
      <w:r w:rsidRPr="00C14360">
        <w:rPr>
          <w:rFonts w:ascii="Verdana" w:eastAsia="Arial" w:hAnsi="Verdana" w:cs="Arial"/>
          <w:sz w:val="22"/>
        </w:rPr>
        <w:t>Exclusiones y control del alcance: No hacen parte del alcance intervenciones sobre columnas, vigas, nudos o placas de la estructura portante. Si al retirar pañetes aparecen fisuras en estos elementos, el contratista suspenderá el frente e informará a la Supervisión, y los trabajos se reanudarán con el concepto de un ingeniero estructural. Tampoco se autorizan actividades ajenas a las partidas presupuestadas por el solo efecto de este anexo. No se incorporan equipos informáticos ni nuevos componentes de voz y datos que carezcan de partida presupuestal. Ninguna actividad no prevista o sustitución con incidencia en precio, cantidad, plazo o alcance podrá ejecutarse unilateralmente.</w:t>
      </w:r>
    </w:p>
    <w:p w:rsidR="00A42BB6" w:rsidRDefault="00A42BB6" w:rsidP="00A42BB6">
      <w:pPr>
        <w:rPr>
          <w:rFonts w:ascii="Verdana" w:eastAsia="Arial" w:hAnsi="Verdana" w:cs="Arial"/>
          <w:color w:val="000000" w:themeColor="text1"/>
          <w:sz w:val="22"/>
        </w:rPr>
      </w:pPr>
    </w:p>
    <w:p w:rsidR="6FB57258" w:rsidRPr="00C14360" w:rsidRDefault="6FB57258" w:rsidP="00A42BB6">
      <w:pPr>
        <w:rPr>
          <w:rFonts w:ascii="Verdana" w:eastAsia="Arial" w:hAnsi="Verdana" w:cs="Arial"/>
          <w:color w:val="000000" w:themeColor="text1"/>
          <w:sz w:val="22"/>
        </w:rPr>
      </w:pPr>
      <w:r w:rsidRPr="00C14360">
        <w:rPr>
          <w:rFonts w:ascii="Verdana" w:eastAsia="Arial" w:hAnsi="Verdana" w:cs="Arial"/>
          <w:color w:val="000000" w:themeColor="text1"/>
          <w:sz w:val="22"/>
        </w:rPr>
        <w:lastRenderedPageBreak/>
        <w:t>Verificaciones previas a fabricación e instalación: Antes de fabricar o instalar elementos cuya ejecución dependa de dimensiones reales del sitio, el contratista deberá verificar en campo vanos, niveles, puntos de fijación, interferencias y condiciones de soporte. En especial, para las puertas batientes de vidrio templado se deberá confrontar la dimensión consignada en el presupuesto con el vano existente antes de autorizar su fabricación. Cualquier diferencia deberá ponerse previamente en conocimiento de la Supervisión y no habilitará modificaciones unilaterales del alcance, cantidad, precio o plazo.</w:t>
      </w:r>
    </w:p>
    <w:p w:rsidR="00A42BB6" w:rsidRDefault="00A42BB6" w:rsidP="00A42BB6">
      <w:pPr>
        <w:rPr>
          <w:rFonts w:ascii="Verdana" w:eastAsia="Arial" w:hAnsi="Verdana" w:cs="Arial"/>
          <w:color w:val="000000" w:themeColor="text1"/>
          <w:sz w:val="22"/>
        </w:rPr>
      </w:pPr>
    </w:p>
    <w:p w:rsidR="6FB57258" w:rsidRPr="00C14360" w:rsidRDefault="6FB57258" w:rsidP="00A42BB6">
      <w:pPr>
        <w:rPr>
          <w:rFonts w:ascii="Verdana" w:eastAsia="Arial" w:hAnsi="Verdana" w:cs="Arial"/>
          <w:color w:val="000000" w:themeColor="text1"/>
          <w:sz w:val="22"/>
        </w:rPr>
      </w:pPr>
      <w:r w:rsidRPr="00C14360">
        <w:rPr>
          <w:rFonts w:ascii="Verdana" w:eastAsia="Arial" w:hAnsi="Verdana" w:cs="Arial"/>
          <w:color w:val="000000" w:themeColor="text1"/>
          <w:sz w:val="22"/>
        </w:rPr>
        <w:t>Actividades no previstas y recibo final: La necesidad de ejecutar actividades no previstas, mayores o menores cantidades, sustituciones técnicas o cualquier modificación con incidencia en el alcance, valor o plazo deberá tramitarse conforme al pliego de condiciones, el contrato y la normativa aplicable. Ninguna de estas actividades podrá ejecutarse sin la autorización y formalización previa que corresponda. El recibo final procederá cuando las actividades ejecutadas se encuentren terminadas y funcionales de acuerdo con su naturaleza, las áreas intervenidas estén limpias y se hayan entregado los soportes exigibles del alcance efectivamente ejecutado, incluidos registros de pruebas, fichas técnicas, garantías, manuales y documentación récord o as-built cuando aplique. La suscripción del recibo no releva al contratista de las obligaciones y garantías posteriores que resulten aplicables.</w:t>
      </w:r>
    </w:p>
    <w:p w:rsidR="2D7BE78F" w:rsidRPr="00C14360" w:rsidRDefault="2D7BE78F" w:rsidP="00A42BB6">
      <w:pPr>
        <w:rPr>
          <w:rFonts w:ascii="Verdana" w:hAnsi="Verdana"/>
          <w:sz w:val="22"/>
        </w:rPr>
      </w:pPr>
    </w:p>
    <w:p w:rsidR="00850B16" w:rsidRPr="00C14360" w:rsidRDefault="00CF369B" w:rsidP="002B7C83">
      <w:pPr>
        <w:pStyle w:val="Ttulo1"/>
        <w:rPr>
          <w:rFonts w:ascii="Verdana" w:hAnsi="Verdana"/>
          <w:sz w:val="22"/>
          <w:szCs w:val="22"/>
        </w:rPr>
      </w:pPr>
      <w:r w:rsidRPr="1490B45D">
        <w:rPr>
          <w:rFonts w:ascii="Verdana" w:hAnsi="Verdana"/>
          <w:sz w:val="22"/>
          <w:szCs w:val="22"/>
        </w:rPr>
        <w:t>D</w:t>
      </w:r>
      <w:r w:rsidR="002B7C83" w:rsidRPr="1490B45D">
        <w:rPr>
          <w:rFonts w:ascii="Verdana" w:hAnsi="Verdana"/>
          <w:sz w:val="22"/>
          <w:szCs w:val="22"/>
        </w:rPr>
        <w:t xml:space="preserve">ocumentos técnicos adicionales </w:t>
      </w:r>
    </w:p>
    <w:p w:rsidR="002B7C83" w:rsidRPr="00C14360" w:rsidRDefault="002B7C83" w:rsidP="002B7C83">
      <w:pPr>
        <w:rPr>
          <w:rFonts w:ascii="Verdana" w:hAnsi="Verdana"/>
          <w:sz w:val="22"/>
        </w:rPr>
      </w:pPr>
    </w:p>
    <w:p w:rsidR="002B7C83" w:rsidRPr="00C14360" w:rsidRDefault="7CE75307" w:rsidP="002B7C83">
      <w:pPr>
        <w:rPr>
          <w:rFonts w:ascii="Verdana" w:hAnsi="Verdana"/>
          <w:sz w:val="22"/>
        </w:rPr>
      </w:pPr>
      <w:r w:rsidRPr="00C14360">
        <w:rPr>
          <w:rFonts w:ascii="Verdana" w:hAnsi="Verdana"/>
          <w:sz w:val="22"/>
        </w:rPr>
        <w:t>Forman parte de la información técnica del proceso: Este anexo se aplicará armónicamente con el pliego definitivo, el presupuesto oficial 2026, la propuesta económica adjudicada, los planos y diseños que integren formalmente el proceso, el informe técnico de inspección visual post-sismo de los pisos 3 y 4 (octubre de 2026), el informe de control de verticalidad del edificio (22 de agosto de 2026), la matriz de riesgos, las adendas y el contrato. El anexo técnico de la vigencia anterior constituye únicamente antecedente metodológico y no reemplaza las cantidades ni condiciones del proceso 2026.</w:t>
      </w:r>
    </w:p>
    <w:p w:rsidR="00C10018" w:rsidRPr="00C14360" w:rsidRDefault="00C10018" w:rsidP="002B7C83">
      <w:pPr>
        <w:rPr>
          <w:rFonts w:ascii="Verdana" w:hAnsi="Verdana"/>
          <w:sz w:val="22"/>
        </w:rPr>
      </w:pPr>
    </w:p>
    <w:p w:rsidR="00CF369B" w:rsidRPr="00C14360" w:rsidRDefault="00CF369B" w:rsidP="002B7C83">
      <w:pPr>
        <w:rPr>
          <w:rFonts w:ascii="Verdana" w:hAnsi="Verdana"/>
          <w:sz w:val="22"/>
        </w:rPr>
      </w:pPr>
    </w:p>
    <w:p w:rsidR="00C10018" w:rsidRPr="00C14360" w:rsidRDefault="00C10018" w:rsidP="00C10018">
      <w:pPr>
        <w:keepNext/>
        <w:keepLines/>
        <w:rPr>
          <w:rFonts w:ascii="Verdana" w:hAnsi="Verdana"/>
          <w:sz w:val="22"/>
        </w:rPr>
      </w:pPr>
      <w:r w:rsidRPr="00C14360">
        <w:rPr>
          <w:rFonts w:ascii="Verdana" w:hAnsi="Verdana"/>
          <w:sz w:val="22"/>
        </w:rPr>
        <w:lastRenderedPageBreak/>
        <w:t>En constancia, se firma en Pereira, a los veinte (20) días del mes de octubre de 2026</w:t>
      </w:r>
      <w:r w:rsidR="007C40AF">
        <w:rPr>
          <w:rFonts w:ascii="Verdana" w:hAnsi="Verdana"/>
          <w:sz w:val="22"/>
        </w:rPr>
        <w:t>.</w:t>
      </w:r>
    </w:p>
    <w:p w:rsidR="00C10018" w:rsidRPr="00C14360" w:rsidRDefault="00C10018" w:rsidP="00C10018">
      <w:pPr>
        <w:keepNext/>
        <w:keepLines/>
        <w:rPr>
          <w:rFonts w:ascii="Verdana" w:hAnsi="Verdana"/>
          <w:sz w:val="22"/>
        </w:rPr>
      </w:pPr>
    </w:p>
    <w:p w:rsidR="00C10018" w:rsidRPr="00C14360" w:rsidRDefault="00A50A93" w:rsidP="00C10018">
      <w:pPr>
        <w:keepNext/>
        <w:keepLines/>
        <w:jc w:val="center"/>
        <w:rPr>
          <w:rFonts w:ascii="Verdana" w:hAnsi="Verdana"/>
          <w:sz w:val="22"/>
        </w:rPr>
      </w:pPr>
      <w:r>
        <w:rPr>
          <w:noProof/>
        </w:rPr>
        <w:t xml:space="preserve">ORIGINAL FIRMADO </w:t>
      </w:r>
    </w:p>
    <w:p w:rsidR="00C10018" w:rsidRPr="00C14360" w:rsidRDefault="00C10018" w:rsidP="00C10018">
      <w:pPr>
        <w:keepNext/>
        <w:keepLines/>
        <w:jc w:val="center"/>
        <w:rPr>
          <w:rFonts w:ascii="Verdana" w:hAnsi="Verdana"/>
          <w:sz w:val="22"/>
        </w:rPr>
      </w:pPr>
      <w:r w:rsidRPr="00C14360">
        <w:rPr>
          <w:rFonts w:ascii="Verdana" w:hAnsi="Verdana"/>
          <w:sz w:val="22"/>
        </w:rPr>
        <w:t>______________________________________________</w:t>
      </w:r>
    </w:p>
    <w:p w:rsidR="00F800BC" w:rsidRDefault="00F800BC" w:rsidP="00C10018">
      <w:pPr>
        <w:keepNext/>
        <w:keepLines/>
        <w:jc w:val="center"/>
        <w:rPr>
          <w:rFonts w:ascii="Verdana" w:hAnsi="Verdana"/>
          <w:sz w:val="22"/>
        </w:rPr>
      </w:pPr>
      <w:r>
        <w:rPr>
          <w:rFonts w:ascii="Verdana" w:hAnsi="Verdana"/>
          <w:b/>
          <w:sz w:val="22"/>
        </w:rPr>
        <w:t>ING. JOSÉ ÁNGEL ROMERO OLMEDO</w:t>
      </w:r>
    </w:p>
    <w:p w:rsidR="00F800BC" w:rsidRDefault="00F800BC" w:rsidP="00C10018">
      <w:pPr>
        <w:keepNext/>
        <w:keepLines/>
        <w:jc w:val="center"/>
        <w:rPr>
          <w:rFonts w:ascii="Verdana" w:hAnsi="Verdana"/>
          <w:sz w:val="22"/>
        </w:rPr>
      </w:pPr>
      <w:r>
        <w:rPr>
          <w:rFonts w:ascii="Verdana" w:hAnsi="Verdana"/>
          <w:sz w:val="22"/>
        </w:rPr>
        <w:t>Ingeniero civil, especialista en estructuras (CUC)</w:t>
      </w:r>
    </w:p>
    <w:p w:rsidR="00F800BC" w:rsidRDefault="00F800BC" w:rsidP="00C10018">
      <w:pPr>
        <w:keepNext/>
        <w:keepLines/>
        <w:jc w:val="center"/>
        <w:rPr>
          <w:rFonts w:ascii="Verdana" w:hAnsi="Verdana"/>
          <w:sz w:val="22"/>
        </w:rPr>
      </w:pPr>
      <w:r>
        <w:rPr>
          <w:rFonts w:ascii="Verdana" w:hAnsi="Verdana"/>
          <w:sz w:val="22"/>
        </w:rPr>
        <w:t>Matrícula profesional 071037-0555921-CES</w:t>
      </w:r>
    </w:p>
    <w:p w:rsidR="00F800BC" w:rsidRPr="00B71DB0" w:rsidRDefault="00F800BC" w:rsidP="00C10018">
      <w:pPr>
        <w:keepNext/>
        <w:keepLines/>
        <w:jc w:val="center"/>
        <w:rPr>
          <w:rFonts w:ascii="Verdana" w:hAnsi="Verdana"/>
          <w:sz w:val="22"/>
        </w:rPr>
      </w:pPr>
      <w:r w:rsidRPr="00B71DB0">
        <w:rPr>
          <w:rFonts w:ascii="Verdana" w:hAnsi="Verdana"/>
          <w:sz w:val="22"/>
        </w:rPr>
        <w:t>Contratista CD-CPS-150-2026 – Personería Municipal de Pereira</w:t>
      </w:r>
      <w:bookmarkStart w:id="0" w:name="lnkContractReferenceLink_0"/>
      <w:bookmarkEnd w:id="0"/>
    </w:p>
    <w:p w:rsidR="00C10018" w:rsidRPr="00C14360" w:rsidRDefault="00C10018" w:rsidP="00C10018">
      <w:pPr>
        <w:keepNext/>
        <w:keepLines/>
        <w:jc w:val="center"/>
        <w:rPr>
          <w:rFonts w:ascii="Verdana" w:hAnsi="Verdana"/>
          <w:sz w:val="22"/>
        </w:rPr>
      </w:pPr>
    </w:p>
    <w:p w:rsidR="00850B16" w:rsidRPr="00C14360" w:rsidRDefault="00850B16" w:rsidP="00925DDB">
      <w:pPr>
        <w:rPr>
          <w:rFonts w:ascii="Verdana" w:hAnsi="Verdana"/>
          <w:sz w:val="22"/>
        </w:rPr>
      </w:pPr>
    </w:p>
    <w:sectPr w:rsidR="00850B16" w:rsidRPr="00C14360" w:rsidSect="00BA506B">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33B3" w:rsidRDefault="00F833B3" w:rsidP="00646344">
      <w:r>
        <w:separator/>
      </w:r>
    </w:p>
  </w:endnote>
  <w:endnote w:type="continuationSeparator" w:id="0">
    <w:p w:rsidR="00F833B3" w:rsidRDefault="00F833B3" w:rsidP="00646344">
      <w:r>
        <w:continuationSeparator/>
      </w:r>
    </w:p>
  </w:endnote>
  <w:endnote w:type="continuationNotice" w:id="1">
    <w:p w:rsidR="00F833B3" w:rsidRDefault="00F83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rsidR="00646344" w:rsidRPr="00C80FBC" w:rsidRDefault="00646344" w:rsidP="00646344">
    <w:pPr>
      <w:widowControl w:val="0"/>
      <w:autoSpaceDE w:val="0"/>
      <w:autoSpaceDN w:val="0"/>
      <w:adjustRightInd w:val="0"/>
      <w:spacing w:line="265" w:lineRule="exact"/>
      <w:ind w:left="-18" w:right="-38"/>
      <w:jc w:val="center"/>
      <w:rPr>
        <w:rFonts w:ascii="Verdana" w:hAnsi="Verdana" w:cs="Arial"/>
        <w:b/>
        <w:color w:val="000000" w:themeColor="text1"/>
        <w:szCs w:val="20"/>
      </w:rPr>
    </w:pPr>
    <w:r w:rsidRPr="00C80FBC">
      <w:rPr>
        <w:rFonts w:ascii="Verdana" w:hAnsi="Verdana" w:cs="Arial"/>
        <w:b/>
        <w:color w:val="000000" w:themeColor="text1"/>
        <w:szCs w:val="20"/>
      </w:rPr>
      <w:t xml:space="preserve">ADECUACIÓN, REMODELACIÓN Y MEJORAS DE INFRAESTRUCTURA FÍSICA, ELÉCTRICA Y DE VOZ Y DATOS DEL PISO 3 EDIFICIO PERSONERÍA DE PEREIRA </w:t>
    </w:r>
  </w:p>
  <w:p w:rsidR="00646344" w:rsidRPr="00C80FBC" w:rsidRDefault="00646344"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C80FBC">
      <w:rPr>
        <w:rFonts w:ascii="Verdana" w:hAnsi="Verdana" w:cs="Arial"/>
        <w:b/>
        <w:bCs/>
        <w:color w:val="000000" w:themeColor="text1"/>
      </w:rPr>
      <w:t xml:space="preserve">Personería Municipal de Pereira </w:t>
    </w:r>
  </w:p>
  <w:p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33B3" w:rsidRDefault="00F833B3" w:rsidP="00646344">
      <w:r>
        <w:separator/>
      </w:r>
    </w:p>
  </w:footnote>
  <w:footnote w:type="continuationSeparator" w:id="0">
    <w:p w:rsidR="00F833B3" w:rsidRDefault="00F833B3" w:rsidP="00646344">
      <w:r>
        <w:continuationSeparator/>
      </w:r>
    </w:p>
  </w:footnote>
  <w:footnote w:type="continuationNotice" w:id="1">
    <w:p w:rsidR="00F833B3" w:rsidRDefault="00F833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0"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16"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7"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7610675">
    <w:abstractNumId w:val="15"/>
  </w:num>
  <w:num w:numId="2" w16cid:durableId="232472089">
    <w:abstractNumId w:val="18"/>
  </w:num>
  <w:num w:numId="3" w16cid:durableId="1567296752">
    <w:abstractNumId w:val="6"/>
  </w:num>
  <w:num w:numId="4" w16cid:durableId="736172657">
    <w:abstractNumId w:val="5"/>
  </w:num>
  <w:num w:numId="5" w16cid:durableId="1315374118">
    <w:abstractNumId w:val="9"/>
  </w:num>
  <w:num w:numId="6" w16cid:durableId="1877279734">
    <w:abstractNumId w:val="3"/>
  </w:num>
  <w:num w:numId="7" w16cid:durableId="888692166">
    <w:abstractNumId w:val="0"/>
  </w:num>
  <w:num w:numId="8" w16cid:durableId="395781526">
    <w:abstractNumId w:val="21"/>
  </w:num>
  <w:num w:numId="9" w16cid:durableId="1459835529">
    <w:abstractNumId w:val="4"/>
  </w:num>
  <w:num w:numId="10" w16cid:durableId="778254622">
    <w:abstractNumId w:val="2"/>
  </w:num>
  <w:num w:numId="11" w16cid:durableId="125050904">
    <w:abstractNumId w:val="1"/>
  </w:num>
  <w:num w:numId="12" w16cid:durableId="1859345702">
    <w:abstractNumId w:val="19"/>
  </w:num>
  <w:num w:numId="13" w16cid:durableId="64298974">
    <w:abstractNumId w:val="22"/>
  </w:num>
  <w:num w:numId="14" w16cid:durableId="885532190">
    <w:abstractNumId w:val="8"/>
  </w:num>
  <w:num w:numId="15" w16cid:durableId="2142456782">
    <w:abstractNumId w:val="13"/>
  </w:num>
  <w:num w:numId="16" w16cid:durableId="8609890">
    <w:abstractNumId w:val="11"/>
  </w:num>
  <w:num w:numId="17" w16cid:durableId="55051910">
    <w:abstractNumId w:val="7"/>
  </w:num>
  <w:num w:numId="18" w16cid:durableId="1212113860">
    <w:abstractNumId w:val="14"/>
  </w:num>
  <w:num w:numId="19" w16cid:durableId="1875968088">
    <w:abstractNumId w:val="17"/>
  </w:num>
  <w:num w:numId="20" w16cid:durableId="1040281715">
    <w:abstractNumId w:val="20"/>
  </w:num>
  <w:num w:numId="21" w16cid:durableId="305430416">
    <w:abstractNumId w:val="10"/>
  </w:num>
  <w:num w:numId="22" w16cid:durableId="440536809">
    <w:abstractNumId w:val="16"/>
  </w:num>
  <w:num w:numId="23" w16cid:durableId="14107381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4E6F"/>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B8B"/>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4C43"/>
    <w:rsid w:val="006959DB"/>
    <w:rsid w:val="006A1CFF"/>
    <w:rsid w:val="006B3430"/>
    <w:rsid w:val="006B75E0"/>
    <w:rsid w:val="006B949A"/>
    <w:rsid w:val="006D269B"/>
    <w:rsid w:val="006D66C3"/>
    <w:rsid w:val="006E0E3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40C15"/>
    <w:rsid w:val="00756F44"/>
    <w:rsid w:val="00763EFA"/>
    <w:rsid w:val="00766156"/>
    <w:rsid w:val="00783782"/>
    <w:rsid w:val="00784E9D"/>
    <w:rsid w:val="00786489"/>
    <w:rsid w:val="007920F5"/>
    <w:rsid w:val="00794D93"/>
    <w:rsid w:val="007A0150"/>
    <w:rsid w:val="007A0CA7"/>
    <w:rsid w:val="007B076A"/>
    <w:rsid w:val="007B5CC6"/>
    <w:rsid w:val="007C40AF"/>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A3F5D"/>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1A6"/>
    <w:rsid w:val="00A26401"/>
    <w:rsid w:val="00A27F40"/>
    <w:rsid w:val="00A402C8"/>
    <w:rsid w:val="00A42BB6"/>
    <w:rsid w:val="00A50A93"/>
    <w:rsid w:val="00A55D17"/>
    <w:rsid w:val="00A56BAA"/>
    <w:rsid w:val="00A70A5C"/>
    <w:rsid w:val="00A75E65"/>
    <w:rsid w:val="00A75F4F"/>
    <w:rsid w:val="00A95510"/>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1DB0"/>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84F12"/>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800BC"/>
    <w:rsid w:val="00F833B3"/>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3D8F701-C017-44EE-9826-04434667C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character" w:styleId="Hipervnculo">
    <w:name w:val="Hyperlink"/>
    <w:basedOn w:val="Fuentedeprrafopredeter"/>
    <w:uiPriority w:val="99"/>
    <w:semiHidden/>
    <w:unhideWhenUsed/>
    <w:rsid w:val="00B71D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4.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5706</Words>
  <Characters>31385</Characters>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2021-08-06T19:33:00Z</cp:lastPrinted>
  <dcterms:created xsi:type="dcterms:W3CDTF">2025-04-28T05:35:00Z</dcterms:created>
  <dcterms:modified xsi:type="dcterms:W3CDTF">2026-10-21T22:29:00Z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