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Verdana" w:cs="Verdana" w:eastAsia="Verdana" w:hAnsi="Verdana"/>
        </w:rPr>
      </w:pPr>
      <w:r w:rsidDel="00000000" w:rsidR="00000000" w:rsidRPr="00000000">
        <w:rPr>
          <w:rtl w:val="0"/>
        </w:rPr>
      </w:r>
    </w:p>
    <w:p w:rsidR="00000000" w:rsidDel="00000000" w:rsidP="00000000" w:rsidRDefault="00000000" w:rsidRPr="00000000" w14:paraId="00000002">
      <w:pPr>
        <w:rPr>
          <w:rFonts w:ascii="Verdana" w:cs="Verdana" w:eastAsia="Verdana" w:hAnsi="Verdana"/>
        </w:rPr>
      </w:pPr>
      <w:r w:rsidDel="00000000" w:rsidR="00000000" w:rsidRPr="00000000">
        <w:rPr>
          <w:rFonts w:ascii="Verdana" w:cs="Verdana" w:eastAsia="Verdana" w:hAnsi="Verdana"/>
          <w:rtl w:val="0"/>
        </w:rPr>
        <w:t xml:space="preserve">Para el presente Proceso de Contratación, en atención a la Ley 1150 de 2007 y a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rsidR="00000000" w:rsidDel="00000000" w:rsidP="00000000" w:rsidRDefault="00000000" w:rsidRPr="00000000" w14:paraId="00000003">
      <w:pPr>
        <w:rPr>
          <w:rFonts w:ascii="Verdana" w:cs="Verdana" w:eastAsia="Verdana" w:hAnsi="Verdana"/>
        </w:rPr>
      </w:pPr>
      <w:r w:rsidDel="00000000" w:rsidR="00000000" w:rsidRPr="00000000">
        <w:rPr>
          <w:rtl w:val="0"/>
        </w:rPr>
      </w:r>
    </w:p>
    <w:p w:rsidR="00000000" w:rsidDel="00000000" w:rsidP="00000000" w:rsidRDefault="00000000" w:rsidRPr="00000000" w14:paraId="00000004">
      <w:pPr>
        <w:rPr>
          <w:rFonts w:ascii="Verdana" w:cs="Verdana" w:eastAsia="Verdana" w:hAnsi="Verdana"/>
        </w:rPr>
      </w:pPr>
      <w:r w:rsidDel="00000000" w:rsidR="00000000" w:rsidRPr="00000000">
        <w:rPr>
          <w:rFonts w:ascii="Verdana" w:cs="Verdana" w:eastAsia="Verdana" w:hAnsi="Verdana"/>
          <w:rtl w:val="0"/>
        </w:rPr>
        <w:t xml:space="preserve">Corresponderá al Contratista seleccionado asumir los Riesgos previsibles propios de este tipo de contratación con sus costos, siempre que el mismo no se encuentre expresamente a cargo de la Entidad. </w:t>
      </w:r>
    </w:p>
    <w:p w:rsidR="00000000" w:rsidDel="00000000" w:rsidP="00000000" w:rsidRDefault="00000000" w:rsidRPr="00000000" w14:paraId="00000005">
      <w:pPr>
        <w:rPr>
          <w:rFonts w:ascii="Verdana" w:cs="Verdana" w:eastAsia="Verdana" w:hAnsi="Verdana"/>
        </w:rPr>
      </w:pPr>
      <w:r w:rsidDel="00000000" w:rsidR="00000000" w:rsidRPr="00000000">
        <w:rPr>
          <w:rtl w:val="0"/>
        </w:rPr>
      </w:r>
    </w:p>
    <w:p w:rsidR="00000000" w:rsidDel="00000000" w:rsidP="00000000" w:rsidRDefault="00000000" w:rsidRPr="00000000" w14:paraId="00000006">
      <w:pPr>
        <w:rPr>
          <w:rFonts w:ascii="Verdana" w:cs="Verdana" w:eastAsia="Verdana" w:hAnsi="Verdana"/>
        </w:rPr>
      </w:pPr>
      <w:r w:rsidDel="00000000" w:rsidR="00000000" w:rsidRPr="00000000">
        <w:rPr>
          <w:rFonts w:ascii="Verdana" w:cs="Verdana" w:eastAsia="Verdana" w:hAnsi="Verdana"/>
          <w:rtl w:val="0"/>
        </w:rPr>
        <w:t xml:space="preserve">De acuerdo con el proceso de la referencia, se establece la tipificación, estimación y asignación de los Riesgos previsibles que puedan afectar el Proceso de Contratación.</w:t>
      </w:r>
    </w:p>
    <w:p w:rsidR="00000000" w:rsidDel="00000000" w:rsidP="00000000" w:rsidRDefault="00000000" w:rsidRPr="00000000" w14:paraId="00000007">
      <w:pPr>
        <w:rPr>
          <w:rFonts w:ascii="Verdana" w:cs="Verdana" w:eastAsia="Verdana" w:hAnsi="Verdana"/>
        </w:rPr>
      </w:pPr>
      <w:r w:rsidDel="00000000" w:rsidR="00000000" w:rsidRPr="00000000">
        <w:rPr>
          <w:rtl w:val="0"/>
        </w:rPr>
      </w:r>
    </w:p>
    <w:p w:rsidR="00000000" w:rsidDel="00000000" w:rsidP="00000000" w:rsidRDefault="00000000" w:rsidRPr="00000000" w14:paraId="00000008">
      <w:pPr>
        <w:rPr>
          <w:rFonts w:ascii="Verdana" w:cs="Verdana" w:eastAsia="Verdana" w:hAnsi="Verdana"/>
        </w:rPr>
      </w:pPr>
      <w:r w:rsidDel="00000000" w:rsidR="00000000" w:rsidRPr="00000000">
        <w:rPr>
          <w:rFonts w:ascii="Verdana" w:cs="Verdana" w:eastAsia="Verdana" w:hAnsi="Verdana"/>
          <w:rtl w:val="0"/>
        </w:rPr>
        <w:t xml:space="preserve">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rsidR="00000000" w:rsidDel="00000000" w:rsidP="00000000" w:rsidRDefault="00000000" w:rsidRPr="00000000" w14:paraId="00000009">
      <w:pPr>
        <w:rPr>
          <w:rFonts w:ascii="Verdana" w:cs="Verdana" w:eastAsia="Verdana" w:hAnsi="Verdana"/>
        </w:rPr>
      </w:pPr>
      <w:r w:rsidDel="00000000" w:rsidR="00000000" w:rsidRPr="00000000">
        <w:rPr>
          <w:rtl w:val="0"/>
        </w:rPr>
      </w:r>
    </w:p>
    <w:p w:rsidR="00000000" w:rsidDel="00000000" w:rsidP="00000000" w:rsidRDefault="00000000" w:rsidRPr="00000000" w14:paraId="0000000A">
      <w:pPr>
        <w:rPr>
          <w:rFonts w:ascii="Verdana" w:cs="Verdana" w:eastAsia="Verdana" w:hAnsi="Verdana"/>
        </w:rPr>
      </w:pPr>
      <w:r w:rsidDel="00000000" w:rsidR="00000000" w:rsidRPr="00000000">
        <w:rPr>
          <w:rFonts w:ascii="Verdana" w:cs="Verdana" w:eastAsia="Verdana" w:hAnsi="Verdana"/>
          <w:b w:val="1"/>
          <w:bCs w:val="1"/>
          <w:u w:val="single"/>
          <w:rtl w:val="0"/>
        </w:rPr>
        <w:t xml:space="preserve">Ma</w:t>
      </w:r>
      <w:r w:rsidDel="00000000" w:rsidR="00000000" w:rsidRPr="00000000">
        <w:rPr>
          <w:rFonts w:ascii="Verdana" w:cs="Verdana" w:eastAsia="Verdana" w:hAnsi="Verdana"/>
          <w:b w:val="1"/>
          <w:bCs w:val="1"/>
          <w:u w:val="single"/>
          <w:rtl w:val="0"/>
        </w:rPr>
        <w:t xml:space="preserve">triz de Riesgos</w:t>
      </w:r>
      <w:r w:rsidDel="00000000" w:rsidR="00000000" w:rsidRPr="00000000">
        <w:rPr>
          <w:rtl w:val="0"/>
        </w:rPr>
      </w:r>
    </w:p>
    <w:p w:rsidR="00000000" w:rsidDel="00000000" w:rsidP="00000000" w:rsidRDefault="00000000" w:rsidRPr="00000000" w14:paraId="0000000B">
      <w:pPr>
        <w:spacing w:after="280" w:lineRule="auto"/>
        <w:rPr>
          <w:rFonts w:ascii="Verdana" w:cs="Verdana" w:eastAsia="Verdana" w:hAnsi="Verdana"/>
          <w:sz w:val="20"/>
          <w:szCs w:val="20"/>
        </w:rPr>
      </w:pPr>
      <w:hyperlink r:id="rId7">
        <w:r w:rsidDel="00000000" w:rsidR="00000000" w:rsidRPr="00000000">
          <w:rPr>
            <w:rFonts w:ascii="Verdana" w:cs="Verdana" w:eastAsia="Verdana" w:hAnsi="Verdana"/>
            <w:color w:val="1155cc"/>
            <w:sz w:val="20"/>
            <w:szCs w:val="20"/>
            <w:u w:val="single"/>
            <w:rtl w:val="0"/>
          </w:rPr>
          <w:t xml:space="preserve">https://docs.google.com/spreadsheets/d/1O8X8l7BPu1LrLx7B0SUIfDAECAvXxxlcjvAomiWoeV8/edit?usp=sharing</w:t>
        </w:r>
      </w:hyperlink>
      <w:r w:rsidDel="00000000" w:rsidR="00000000" w:rsidRPr="00000000">
        <w:rPr>
          <w:rtl w:val="0"/>
        </w:rPr>
      </w:r>
    </w:p>
    <w:p w:rsidR="00000000" w:rsidDel="00000000" w:rsidP="00000000" w:rsidRDefault="00000000" w:rsidRPr="00000000" w14:paraId="0000000C">
      <w:pPr>
        <w:spacing w:after="28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D">
      <w:pPr>
        <w:spacing w:after="28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E">
      <w:pPr>
        <w:spacing w:after="28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F">
      <w:pPr>
        <w:spacing w:after="28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0">
      <w:pPr>
        <w:spacing w:after="28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1">
      <w:pPr>
        <w:spacing w:after="28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2">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3">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4">
      <w:pPr>
        <w:rPr>
          <w:rFonts w:ascii="Verdana" w:cs="Verdana" w:eastAsia="Verdana" w:hAnsi="Verdana"/>
          <w:sz w:val="20"/>
          <w:szCs w:val="20"/>
        </w:rPr>
      </w:pPr>
      <w:r w:rsidDel="00000000" w:rsidR="00000000" w:rsidRPr="00000000">
        <w:rPr>
          <w:rtl w:val="0"/>
        </w:rPr>
      </w:r>
    </w:p>
    <w:tbl>
      <w:tblPr>
        <w:tblStyle w:val="Table1"/>
        <w:tblW w:w="13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0"/>
        <w:gridCol w:w="540"/>
        <w:gridCol w:w="540"/>
        <w:gridCol w:w="540"/>
        <w:gridCol w:w="540"/>
        <w:gridCol w:w="735"/>
        <w:gridCol w:w="960"/>
        <w:gridCol w:w="375"/>
        <w:gridCol w:w="270"/>
        <w:gridCol w:w="360"/>
        <w:gridCol w:w="540"/>
        <w:gridCol w:w="540"/>
        <w:gridCol w:w="2490"/>
        <w:gridCol w:w="315"/>
        <w:gridCol w:w="285"/>
        <w:gridCol w:w="315"/>
        <w:gridCol w:w="705"/>
        <w:gridCol w:w="540"/>
        <w:gridCol w:w="540"/>
        <w:gridCol w:w="540"/>
        <w:gridCol w:w="540"/>
        <w:gridCol w:w="540"/>
        <w:tblGridChange w:id="0">
          <w:tblGrid>
            <w:gridCol w:w="540"/>
            <w:gridCol w:w="540"/>
            <w:gridCol w:w="540"/>
            <w:gridCol w:w="540"/>
            <w:gridCol w:w="540"/>
            <w:gridCol w:w="735"/>
            <w:gridCol w:w="960"/>
            <w:gridCol w:w="375"/>
            <w:gridCol w:w="270"/>
            <w:gridCol w:w="360"/>
            <w:gridCol w:w="540"/>
            <w:gridCol w:w="540"/>
            <w:gridCol w:w="2490"/>
            <w:gridCol w:w="315"/>
            <w:gridCol w:w="285"/>
            <w:gridCol w:w="315"/>
            <w:gridCol w:w="705"/>
            <w:gridCol w:w="540"/>
            <w:gridCol w:w="540"/>
            <w:gridCol w:w="540"/>
            <w:gridCol w:w="540"/>
            <w:gridCol w:w="540"/>
          </w:tblGrid>
        </w:tblGridChange>
      </w:tblGrid>
      <w:tr>
        <w:trPr>
          <w:cantSplit w:val="0"/>
          <w:trHeight w:val="315" w:hRule="atLeast"/>
          <w:tblHeader w:val="0"/>
        </w:trPr>
        <w:tc>
          <w:tcPr>
            <w:vMerge w:val="restart"/>
            <w:tcBorders>
              <w:top w:color="000000" w:space="0" w:sz="8" w:val="single"/>
              <w:left w:color="000000"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5">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No.</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6">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Clase</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7">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Fuente</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8">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Etapa</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9">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Tipo</w:t>
            </w:r>
          </w:p>
        </w:tc>
        <w:tc>
          <w:tcPr>
            <w:tcBorders>
              <w:top w:color="000000" w:space="0" w:sz="8" w:val="single"/>
              <w:left w:color="cccccc" w:space="0" w:sz="8" w:val="single"/>
              <w:bottom w:color="cccccc"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A">
            <w:pPr>
              <w:jc w:val="center"/>
              <w:rPr>
                <w:rFonts w:ascii="Arial" w:cs="Arial" w:eastAsia="Arial" w:hAnsi="Arial"/>
                <w:sz w:val="20"/>
                <w:szCs w:val="20"/>
              </w:rPr>
            </w:pPr>
            <w:r w:rsidDel="00000000" w:rsidR="00000000" w:rsidRPr="00000000">
              <w:rPr>
                <w:rFonts w:ascii="Verdana" w:cs="Verdana" w:eastAsia="Verdana" w:hAnsi="Verdana"/>
                <w:color w:val="ffffff"/>
                <w:sz w:val="16"/>
                <w:szCs w:val="16"/>
                <w:rtl w:val="0"/>
              </w:rPr>
              <w:t xml:space="preserve">Descripción</w:t>
            </w:r>
            <w:r w:rsidDel="00000000" w:rsidR="00000000" w:rsidRPr="00000000">
              <w:rPr>
                <w:rtl w:val="0"/>
              </w:rPr>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B">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Consecuencia de la ocurrencia del evento</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C">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Probabilidad</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D">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Impacto</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E">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Valoración del Riesgo</w:t>
            </w:r>
          </w:p>
        </w:tc>
        <w:tc>
          <w:tcPr>
            <w:vMerge w:val="restart"/>
            <w:tcBorders>
              <w:top w:color="000000"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1F">
            <w:pPr>
              <w:jc w:val="center"/>
              <w:rPr>
                <w:rFonts w:ascii="Verdana" w:cs="Verdana" w:eastAsia="Verdana" w:hAnsi="Verdana"/>
                <w:color w:val="ffffff"/>
                <w:sz w:val="16"/>
                <w:szCs w:val="16"/>
              </w:rPr>
            </w:pPr>
            <w:r w:rsidDel="00000000" w:rsidR="00000000" w:rsidRPr="00000000">
              <w:rPr>
                <w:rFonts w:ascii="Verdana" w:cs="Verdana" w:eastAsia="Verdana" w:hAnsi="Verdana"/>
                <w:color w:val="ffffff"/>
                <w:sz w:val="16"/>
                <w:szCs w:val="16"/>
                <w:rtl w:val="0"/>
              </w:rPr>
              <w:t xml:space="preserve">Categoría</w:t>
            </w:r>
          </w:p>
        </w:tc>
        <w:tc>
          <w:tcPr>
            <w:vMerge w:val="restart"/>
            <w:tcBorders>
              <w:top w:color="000000"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20">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¿A quién se le asigna?</w:t>
            </w:r>
          </w:p>
        </w:tc>
        <w:tc>
          <w:tcPr>
            <w:vMerge w:val="restart"/>
            <w:tcBorders>
              <w:top w:color="000000"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21">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Tratamiento/Controles a ser implementados</w:t>
            </w:r>
          </w:p>
        </w:tc>
        <w:tc>
          <w:tcPr>
            <w:gridSpan w:val="4"/>
            <w:tcBorders>
              <w:top w:color="000000"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22">
            <w:pPr>
              <w:jc w:val="center"/>
              <w:rPr>
                <w:rFonts w:ascii="Arial" w:cs="Arial" w:eastAsia="Arial" w:hAnsi="Arial"/>
                <w:sz w:val="20"/>
                <w:szCs w:val="20"/>
              </w:rPr>
            </w:pPr>
            <w:r w:rsidDel="00000000" w:rsidR="00000000" w:rsidRPr="00000000">
              <w:rPr>
                <w:rFonts w:ascii="Verdana" w:cs="Verdana" w:eastAsia="Verdana" w:hAnsi="Verdana"/>
                <w:b w:val="1"/>
                <w:bCs w:val="1"/>
                <w:sz w:val="16"/>
                <w:szCs w:val="16"/>
                <w:rtl w:val="0"/>
              </w:rPr>
              <w:t xml:space="preserve">Impacto después del tratamiento</w:t>
            </w:r>
            <w:r w:rsidDel="00000000" w:rsidR="00000000" w:rsidRPr="00000000">
              <w:rPr>
                <w:rtl w:val="0"/>
              </w:rPr>
            </w:r>
          </w:p>
        </w:tc>
        <w:tc>
          <w:tcPr>
            <w:vMerge w:val="restart"/>
            <w:tcBorders>
              <w:top w:color="000000"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26">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¿Afecta la ejecución del contrato?</w:t>
            </w:r>
          </w:p>
        </w:tc>
        <w:tc>
          <w:tcPr>
            <w:vMerge w:val="restart"/>
            <w:tcBorders>
              <w:top w:color="000000"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27">
            <w:pPr>
              <w:jc w:val="center"/>
              <w:rPr>
                <w:rFonts w:ascii="Verdana" w:cs="Verdana" w:eastAsia="Verdana" w:hAnsi="Verdana"/>
                <w:b w:val="1"/>
                <w:bCs w:val="1"/>
                <w:sz w:val="14"/>
                <w:szCs w:val="14"/>
              </w:rPr>
            </w:pPr>
            <w:r w:rsidDel="00000000" w:rsidR="00000000" w:rsidRPr="00000000">
              <w:rPr>
                <w:rFonts w:ascii="Verdana" w:cs="Verdana" w:eastAsia="Verdana" w:hAnsi="Verdana"/>
                <w:b w:val="1"/>
                <w:bCs w:val="1"/>
                <w:sz w:val="14"/>
                <w:szCs w:val="14"/>
                <w:rtl w:val="0"/>
              </w:rPr>
              <w:t xml:space="preserve">Persona responsable por implementar el tratamiento</w:t>
            </w:r>
          </w:p>
        </w:tc>
        <w:tc>
          <w:tcPr>
            <w:vMerge w:val="restart"/>
            <w:tcBorders>
              <w:top w:color="000000"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28">
            <w:pPr>
              <w:jc w:val="center"/>
              <w:rPr>
                <w:rFonts w:ascii="Verdana" w:cs="Verdana" w:eastAsia="Verdana" w:hAnsi="Verdana"/>
                <w:b w:val="1"/>
                <w:bCs w:val="1"/>
                <w:sz w:val="14"/>
                <w:szCs w:val="14"/>
              </w:rPr>
            </w:pPr>
            <w:r w:rsidDel="00000000" w:rsidR="00000000" w:rsidRPr="00000000">
              <w:rPr>
                <w:rFonts w:ascii="Verdana" w:cs="Verdana" w:eastAsia="Verdana" w:hAnsi="Verdana"/>
                <w:b w:val="1"/>
                <w:bCs w:val="1"/>
                <w:sz w:val="14"/>
                <w:szCs w:val="14"/>
                <w:rtl w:val="0"/>
              </w:rPr>
              <w:t xml:space="preserve">Fecha estimada en que se completa el tratamiento</w:t>
            </w:r>
          </w:p>
        </w:tc>
        <w:tc>
          <w:tcPr>
            <w:gridSpan w:val="2"/>
            <w:tcBorders>
              <w:top w:color="000000"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29">
            <w:pPr>
              <w:jc w:val="center"/>
              <w:rPr>
                <w:rFonts w:ascii="Arial" w:cs="Arial" w:eastAsia="Arial" w:hAnsi="Arial"/>
                <w:sz w:val="20"/>
                <w:szCs w:val="20"/>
              </w:rPr>
            </w:pPr>
            <w:r w:rsidDel="00000000" w:rsidR="00000000" w:rsidRPr="00000000">
              <w:rPr>
                <w:rFonts w:ascii="Verdana" w:cs="Verdana" w:eastAsia="Verdana" w:hAnsi="Verdana"/>
                <w:b w:val="1"/>
                <w:bCs w:val="1"/>
                <w:sz w:val="16"/>
                <w:szCs w:val="16"/>
                <w:rtl w:val="0"/>
              </w:rPr>
              <w:t xml:space="preserve">Monitoreo y revisión</w:t>
            </w:r>
            <w:r w:rsidDel="00000000" w:rsidR="00000000" w:rsidRPr="00000000">
              <w:rPr>
                <w:rtl w:val="0"/>
              </w:rPr>
            </w:r>
          </w:p>
        </w:tc>
      </w:tr>
      <w:tr>
        <w:trPr>
          <w:cantSplit w:val="0"/>
          <w:trHeight w:val="67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B">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30">
            <w:pPr>
              <w:jc w:val="center"/>
              <w:rPr>
                <w:rFonts w:ascii="Arial" w:cs="Arial" w:eastAsia="Arial" w:hAnsi="Arial"/>
                <w:sz w:val="20"/>
                <w:szCs w:val="20"/>
              </w:rPr>
            </w:pPr>
            <w:r w:rsidDel="00000000" w:rsidR="00000000" w:rsidRPr="00000000">
              <w:rPr>
                <w:rFonts w:ascii="Verdana" w:cs="Verdana" w:eastAsia="Verdana" w:hAnsi="Verdana"/>
                <w:color w:val="ffffff"/>
                <w:sz w:val="16"/>
                <w:szCs w:val="16"/>
                <w:rtl w:val="0"/>
              </w:rPr>
              <w:t xml:space="preserve">(Qué puede pasar y como puede ocurrir)</w:t>
            </w: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38">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Probabilidad</w:t>
            </w:r>
          </w:p>
        </w:tc>
        <w:tc>
          <w:tcPr>
            <w:vMerge w:val="restart"/>
            <w:tcBorders>
              <w:top w:color="cccccc"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39">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Impacto</w:t>
            </w:r>
          </w:p>
        </w:tc>
        <w:tc>
          <w:tcPr>
            <w:vMerge w:val="restart"/>
            <w:tcBorders>
              <w:top w:color="cccccc"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3A">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Valoración del Riesgo</w:t>
            </w:r>
          </w:p>
        </w:tc>
        <w:tc>
          <w:tcPr>
            <w:vMerge w:val="restart"/>
            <w:tcBorders>
              <w:top w:color="cccccc"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3B">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Categoría</w:t>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C">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D">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E">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3F">
            <w:pPr>
              <w:jc w:val="center"/>
              <w:rPr>
                <w:rFonts w:ascii="Verdana" w:cs="Verdana" w:eastAsia="Verdana" w:hAnsi="Verdana"/>
                <w:b w:val="1"/>
                <w:bCs w:val="1"/>
                <w:sz w:val="14"/>
                <w:szCs w:val="14"/>
              </w:rPr>
            </w:pPr>
            <w:r w:rsidDel="00000000" w:rsidR="00000000" w:rsidRPr="00000000">
              <w:rPr>
                <w:rFonts w:ascii="Verdana" w:cs="Verdana" w:eastAsia="Verdana" w:hAnsi="Verdana"/>
                <w:b w:val="1"/>
                <w:bCs w:val="1"/>
                <w:sz w:val="14"/>
                <w:szCs w:val="14"/>
                <w:rtl w:val="0"/>
              </w:rPr>
              <w:t xml:space="preserve">¿Cómo se realiza el monitoreo?</w:t>
            </w:r>
          </w:p>
        </w:tc>
        <w:tc>
          <w:tcPr>
            <w:tcBorders>
              <w:top w:color="cccccc" w:space="0" w:sz="8" w:val="single"/>
              <w:left w:color="cccccc" w:space="0" w:sz="8" w:val="single"/>
              <w:bottom w:color="cccccc"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40">
            <w:pPr>
              <w:jc w:val="center"/>
              <w:rPr>
                <w:rFonts w:ascii="Arial" w:cs="Arial" w:eastAsia="Arial" w:hAnsi="Arial"/>
                <w:sz w:val="20"/>
                <w:szCs w:val="20"/>
              </w:rPr>
            </w:pPr>
            <w:r w:rsidDel="00000000" w:rsidR="00000000" w:rsidRPr="00000000">
              <w:rPr>
                <w:rFonts w:ascii="Verdana" w:cs="Verdana" w:eastAsia="Verdana" w:hAnsi="Verdana"/>
                <w:b w:val="1"/>
                <w:bCs w:val="1"/>
                <w:sz w:val="16"/>
                <w:szCs w:val="16"/>
                <w:rtl w:val="0"/>
              </w:rPr>
              <w:t xml:space="preserve">Periodicidad</w:t>
            </w:r>
            <w:r w:rsidDel="00000000" w:rsidR="00000000" w:rsidRPr="00000000">
              <w:rPr>
                <w:rtl w:val="0"/>
              </w:rPr>
            </w:r>
          </w:p>
        </w:tc>
      </w:tr>
      <w:tr>
        <w:trPr>
          <w:cantSplit w:val="0"/>
          <w:trHeight w:val="31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2">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4">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5">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4d4d4d" w:val="clear"/>
            <w:tcMar>
              <w:top w:w="40.0" w:type="dxa"/>
              <w:left w:w="40.0" w:type="dxa"/>
              <w:bottom w:w="40.0" w:type="dxa"/>
              <w:right w:w="40.0" w:type="dxa"/>
            </w:tcMar>
            <w:vAlign w:val="top"/>
          </w:tcPr>
          <w:p w:rsidR="00000000" w:rsidDel="00000000" w:rsidP="00000000" w:rsidRDefault="00000000" w:rsidRPr="00000000" w14:paraId="00000046">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7">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8">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9">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A">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B">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C">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1">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2">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3">
            <w:pPr>
              <w:rPr>
                <w:rFonts w:ascii="Arial" w:cs="Arial" w:eastAsia="Arial" w:hAnsi="Arial"/>
                <w:sz w:val="20"/>
                <w:szCs w:val="20"/>
              </w:rPr>
            </w:pPr>
            <w:r w:rsidDel="00000000" w:rsidR="00000000" w:rsidRPr="00000000">
              <w:rPr>
                <w:rtl w:val="0"/>
              </w:rPr>
            </w:r>
          </w:p>
        </w:tc>
        <w:tc>
          <w:tcPr>
            <w:vMerge w:val="continue"/>
            <w:tcBorders>
              <w:top w:color="000000"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5">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bfbfbf" w:val="clear"/>
            <w:tcMar>
              <w:top w:w="40.0" w:type="dxa"/>
              <w:left w:w="40.0" w:type="dxa"/>
              <w:bottom w:w="40.0" w:type="dxa"/>
              <w:right w:w="40.0" w:type="dxa"/>
            </w:tcMar>
            <w:vAlign w:val="top"/>
          </w:tcPr>
          <w:p w:rsidR="00000000" w:rsidDel="00000000" w:rsidP="00000000" w:rsidRDefault="00000000" w:rsidRPr="00000000" w14:paraId="00000056">
            <w:pPr>
              <w:jc w:val="center"/>
              <w:rPr>
                <w:rFonts w:ascii="Arial" w:cs="Arial" w:eastAsia="Arial" w:hAnsi="Arial"/>
                <w:sz w:val="20"/>
                <w:szCs w:val="20"/>
              </w:rPr>
            </w:pPr>
            <w:r w:rsidDel="00000000" w:rsidR="00000000" w:rsidRPr="00000000">
              <w:rPr>
                <w:rFonts w:ascii="Verdana" w:cs="Verdana" w:eastAsia="Verdana" w:hAnsi="Verdana"/>
                <w:b w:val="1"/>
                <w:bCs w:val="1"/>
                <w:sz w:val="16"/>
                <w:szCs w:val="16"/>
                <w:rtl w:val="0"/>
              </w:rPr>
              <w:t xml:space="preserve">¿Cuándo?</w:t>
            </w:r>
            <w:r w:rsidDel="00000000" w:rsidR="00000000" w:rsidRPr="00000000">
              <w:rPr>
                <w:rtl w:val="0"/>
              </w:rPr>
            </w:r>
          </w:p>
        </w:tc>
      </w:tr>
      <w:tr>
        <w:trPr>
          <w:cantSplit w:val="0"/>
          <w:trHeight w:val="885" w:hRule="atLeast"/>
          <w:tblHeader w:val="0"/>
        </w:trPr>
        <w:tc>
          <w:tcPr>
            <w:vMerge w:val="restart"/>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General</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9">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Interno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Contratación</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Operacional</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C">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No contar con el contrato de interventoría habilitado para ser ejecutado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D">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No se puede iniciar la ejecución del contrato de obra</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5F">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4</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Secretaria Distrital de Movilidad</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3">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La entidad debe realizar seguimientos a la entrega de la documentación necesaria para realizar el proceso de contratación del contrato de interventoría, cumpliendo con lo estipulado en el PAA.</w:t>
            </w: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SI</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Secretaría Distrital de Movilidad</w:t>
            </w: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Firma del Acta de inicio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Mesas de trabajo, comunicaciones escritas</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Semanalmente de manera integral con la estructuración y revisión de los demás aspectos del proceso</w:t>
            </w:r>
          </w:p>
        </w:tc>
      </w:tr>
      <w:tr>
        <w:trPr>
          <w:cantSplit w:val="0"/>
          <w:trHeight w:val="675" w:hRule="atLeast"/>
          <w:tblHeader w:val="0"/>
        </w:trPr>
        <w:tc>
          <w:tcPr>
            <w:vMerge w:val="continue"/>
            <w:tcBorders>
              <w:top w:color="cccccc"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8">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En caso de que se vaya desierto el proceso la entidad debe realizar las gestiones necesarias para volver a sacar el proceso de acuerdo con la normatividad vigente.</w:t>
            </w: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rPr>
                <w:rFonts w:ascii="Arial" w:cs="Arial" w:eastAsia="Arial" w:hAnsi="Arial"/>
                <w:sz w:val="20"/>
                <w:szCs w:val="20"/>
              </w:rPr>
            </w:pPr>
            <w:r w:rsidDel="00000000" w:rsidR="00000000" w:rsidRPr="00000000">
              <w:rPr>
                <w:rtl w:val="0"/>
              </w:rPr>
            </w:r>
          </w:p>
        </w:tc>
      </w:tr>
      <w:tr>
        <w:trPr>
          <w:cantSplit w:val="0"/>
          <w:trHeight w:val="2880" w:hRule="atLeast"/>
          <w:tblHeader w:val="0"/>
        </w:trPr>
        <w:tc>
          <w:tcPr>
            <w:vMerge w:val="restart"/>
            <w:tcBorders>
              <w:top w:color="cccccc" w:space="0" w:sz="8" w:val="single"/>
              <w:left w:color="000000"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General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Externo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Ejecución</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Operacional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8">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El contratista realiza una inadecuada estimación de su estructura de costos que repercuta en mayores costos y disminución del alcance del contrato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Incumplimiento del objeto contractual en términos de alcance, tiempo, costo y calidad</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Medio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 de Obra</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La Entidad reduce la probabilidad e impacto de este riesgo, indicando en los documentos del proceso que los contratistas deben realizar su propia evaluación de costos de manera independiente e idónea según su experticia. También se incluye la obligatoriedad por parte del contratista de presentar una garantía de cumplimiento, por lo cual, en caso de incumplimiento del contrato la entidad podrá reclamar a la aseguradora. Así mismo, dentro del proceso de contratación la entidad permite a los posibles oferentes hacer observaciones oportunas respecto de la información publicada por la Entidad sobre el proceso y sus obligaciones, con lo cual los posibles interesados que pudieran estar infravalorando las obligaciones derivadas podrán ajustar sus expectativas, reduciendo así el impacto potencial de su deficiente estimación de costos</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SI</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Secretaría Distrital de Movilidad</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Terminación del Contrato</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En la etapa de estructuración</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9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Semanalmente de manera integral con la estructuración y revisión de los demás aspectos del proceso</w:t>
            </w:r>
          </w:p>
        </w:tc>
      </w:tr>
      <w:tr>
        <w:trPr>
          <w:cantSplit w:val="0"/>
          <w:trHeight w:val="127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A5">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Finalmente, como medida de control la entidad en su etapa de selección hace un análisis de precios artificialmente bajos con el fin de mitigar posibles falencias económicas y financieras en las ofertas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A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 de Obra</w:t>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A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Por medio de la revisión de la propuesta presentada por los posibles oferentes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Arial" w:cs="Arial" w:eastAsia="Arial" w:hAnsi="Arial"/>
                <w:sz w:val="20"/>
                <w:szCs w:val="20"/>
              </w:rPr>
            </w:pPr>
            <w:r w:rsidDel="00000000" w:rsidR="00000000" w:rsidRPr="00000000">
              <w:rPr>
                <w:rtl w:val="0"/>
              </w:rPr>
            </w:r>
          </w:p>
        </w:tc>
      </w:tr>
      <w:tr>
        <w:trPr>
          <w:cantSplit w:val="0"/>
          <w:trHeight w:val="67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A">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BB">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El contratista en la etapa de preparación de su oferta deberá verificar si tienen la capacidad financiera para cumplir y no generar un desequilibrio económico durante el contrato</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2">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3">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4">
            <w:pPr>
              <w:rPr>
                <w:rFonts w:ascii="Arial" w:cs="Arial" w:eastAsia="Arial" w:hAnsi="Arial"/>
                <w:sz w:val="20"/>
                <w:szCs w:val="20"/>
              </w:rPr>
            </w:pPr>
            <w:r w:rsidDel="00000000" w:rsidR="00000000" w:rsidRPr="00000000">
              <w:rPr>
                <w:rtl w:val="0"/>
              </w:rPr>
            </w:r>
          </w:p>
        </w:tc>
      </w:tr>
      <w:tr>
        <w:trPr>
          <w:cantSplit w:val="0"/>
          <w:trHeight w:val="675" w:hRule="atLeast"/>
          <w:tblHeader w:val="0"/>
        </w:trPr>
        <w:tc>
          <w:tcPr>
            <w:vMerge w:val="restart"/>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General</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Externo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Ejecución</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9">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Social o político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A">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Huelgas, disturbios, problemas de orden público y demás situaciones externas que impidan o retrasen la ejecución del contrato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B">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Retrasos en la ejecución de las actividades</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6</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CF">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Alto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50 % Secretaria Distrital de Movilidad</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1">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 aceptará el riesgo; sin embargo, se buscará reducir el impacto de este cuando ocurra por medio de estrategias de seguimiento a eventos sociopolíticos que ocurran dentro del ciclo de vida de la ejecución del contrato, con el fin de definir la línea de acción para los horarios óptimos de llegada y salida a las instalaciones de la entidad donde se estén adelantando las actividades de mantenimiento. Del mismo modo, sugerir horarios adicionales que estén permitidos dentro de la concepción del contrato como compensación y contingencia por tiempos que se haya imposibilitado la ejecución de las actividades por estos eventos</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Medio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SI</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Secretaría Distrital de Movilidad</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Inicio de la ejecución del contrato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9">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Por medio de los comités de seguimiento y actividades adicionales de seguimiento por parte de la SDM, interventoría y contratista</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D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Cada vez que se presente los eventos en el periodo de ejecución del contrato</w:t>
            </w:r>
          </w:p>
        </w:tc>
      </w:tr>
      <w:tr>
        <w:trPr>
          <w:cantSplit w:val="0"/>
          <w:tblHeader w:val="0"/>
        </w:trPr>
        <w:tc>
          <w:tcPr>
            <w:vMerge w:val="continue"/>
            <w:tcBorders>
              <w:top w:color="cccccc"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0">
            <w:pPr>
              <w:rPr>
                <w:rFonts w:ascii="Arial" w:cs="Arial" w:eastAsia="Arial" w:hAnsi="Arial"/>
                <w:sz w:val="20"/>
                <w:szCs w:val="20"/>
              </w:rPr>
            </w:pPr>
            <w:r w:rsidDel="00000000" w:rsidR="00000000" w:rsidRPr="00000000">
              <w:rPr>
                <w:rtl w:val="0"/>
              </w:rPr>
            </w:r>
          </w:p>
        </w:tc>
      </w:tr>
      <w:tr>
        <w:trPr>
          <w:cantSplit w:val="0"/>
          <w:trHeight w:val="630" w:hRule="atLeast"/>
          <w:tblHeader w:val="0"/>
        </w:trPr>
        <w:tc>
          <w:tcPr>
            <w:vMerge w:val="continue"/>
            <w:tcBorders>
              <w:top w:color="cccccc"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2">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0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Interventoría</w:t>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6">
            <w:pPr>
              <w:rPr>
                <w:rFonts w:ascii="Arial" w:cs="Arial" w:eastAsia="Arial" w:hAnsi="Arial"/>
                <w:sz w:val="20"/>
                <w:szCs w:val="20"/>
              </w:rPr>
            </w:pPr>
            <w:r w:rsidDel="00000000" w:rsidR="00000000" w:rsidRPr="00000000">
              <w:rPr>
                <w:rtl w:val="0"/>
              </w:rPr>
            </w:r>
          </w:p>
        </w:tc>
      </w:tr>
      <w:tr>
        <w:trPr>
          <w:cantSplit w:val="0"/>
          <w:trHeight w:val="1875" w:hRule="atLeast"/>
          <w:tblHeader w:val="0"/>
        </w:trPr>
        <w:tc>
          <w:tcPr>
            <w:vMerge w:val="continue"/>
            <w:tcBorders>
              <w:top w:color="cccccc"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1">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1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50% Contratista de Obra</w:t>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C">
            <w:pPr>
              <w:rPr>
                <w:rFonts w:ascii="Arial" w:cs="Arial" w:eastAsia="Arial" w:hAnsi="Arial"/>
                <w:sz w:val="20"/>
                <w:szCs w:val="20"/>
              </w:rPr>
            </w:pPr>
            <w:r w:rsidDel="00000000" w:rsidR="00000000" w:rsidRPr="00000000">
              <w:rPr>
                <w:rtl w:val="0"/>
              </w:rPr>
            </w:r>
          </w:p>
        </w:tc>
      </w:tr>
      <w:tr>
        <w:trPr>
          <w:cantSplit w:val="0"/>
          <w:trHeight w:val="1560" w:hRule="atLeast"/>
          <w:tblHeader w:val="0"/>
        </w:trPr>
        <w:tc>
          <w:tcPr>
            <w:vMerge w:val="continue"/>
            <w:tcBorders>
              <w:top w:color="cccccc"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E">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2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2">
            <w:pPr>
              <w:rPr>
                <w:rFonts w:ascii="Arial" w:cs="Arial" w:eastAsia="Arial" w:hAnsi="Arial"/>
                <w:sz w:val="20"/>
                <w:szCs w:val="20"/>
              </w:rPr>
            </w:pPr>
            <w:r w:rsidDel="00000000" w:rsidR="00000000" w:rsidRPr="00000000">
              <w:rPr>
                <w:rtl w:val="0"/>
              </w:rPr>
            </w:r>
          </w:p>
        </w:tc>
      </w:tr>
      <w:tr>
        <w:trPr>
          <w:cantSplit w:val="0"/>
          <w:trHeight w:val="675" w:hRule="atLeast"/>
          <w:tblHeader w:val="0"/>
        </w:trPr>
        <w:tc>
          <w:tcPr>
            <w:vMerge w:val="restart"/>
            <w:tcBorders>
              <w:top w:color="cccccc" w:space="0" w:sz="8" w:val="single"/>
              <w:left w:color="000000"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4</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General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Externo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Ejecución</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Económico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8">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Eventual variación de los precios de los insumos o recursos, que estén por fuera de los parámetros o tendencias normales del mercado o la economía local o nacional.</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9">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Posibilidad de sobrecostos del proyecto</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6</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Alto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 de Obra</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3F">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Se busca reducir la ocurrencia de materialización del riesgo</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Medio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NO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Inicio de ejecución del contrato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Seguimiento por parte de la Interventoría y Contratista de obra en mesas de seguimiento periódicas</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Permanente</w:t>
            </w:r>
          </w:p>
        </w:tc>
      </w:tr>
      <w:tr>
        <w:trPr>
          <w:cantSplit w:val="0"/>
          <w:trHeight w:val="1680"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E">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4F">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Incumplimiento del objeto o las Obligaciones Contractuales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4">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55">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Dada la experiencia del contratista, se asume una planeación eficiente en la compra y adquisición de insumos para las actividades de mantenimiento, que le permitan obtener una estabilidad en el manejo de los costos del contrato. Así mismo, se espera que el contratista analice y realice seguimiento oportuno al comportamiento económico de los precios de los insumos y las variables macroeconómicas que los afectan, conforme a su experiencia en el sector constructivo</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E">
            <w:pPr>
              <w:rPr>
                <w:rFonts w:ascii="Arial" w:cs="Arial" w:eastAsia="Arial" w:hAnsi="Arial"/>
                <w:sz w:val="20"/>
                <w:szCs w:val="20"/>
              </w:rPr>
            </w:pPr>
            <w:r w:rsidDel="00000000" w:rsidR="00000000" w:rsidRPr="00000000">
              <w:rPr>
                <w:rtl w:val="0"/>
              </w:rPr>
            </w:r>
          </w:p>
        </w:tc>
      </w:tr>
      <w:tr>
        <w:trPr>
          <w:cantSplit w:val="0"/>
          <w:trHeight w:val="148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4">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65">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Afectación en términos de alcance, tiempo, costo y calidad del contrato</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A">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6B">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Del mismo modo, el contratista de obra será responsable de la presentación de su propuesta económica en donde deberá tener todas las variables del mercado,las tendencias del mercado dentro de marco temporal que da el plazo de ejecución y el calendario del proceso, que afectan directa e indirectamente la prestación del servicio, y con su adjudicación se compromete a realizar las actividades contratadas bajo su cuenta y riesgo.</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0">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7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Interventoría</w:t>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4">
            <w:pPr>
              <w:rPr>
                <w:rFonts w:ascii="Arial" w:cs="Arial" w:eastAsia="Arial" w:hAnsi="Arial"/>
                <w:sz w:val="20"/>
                <w:szCs w:val="20"/>
              </w:rPr>
            </w:pPr>
            <w:r w:rsidDel="00000000" w:rsidR="00000000" w:rsidRPr="00000000">
              <w:rPr>
                <w:rtl w:val="0"/>
              </w:rPr>
            </w:r>
          </w:p>
        </w:tc>
      </w:tr>
      <w:tr>
        <w:trPr>
          <w:cantSplit w:val="0"/>
          <w:trHeight w:val="67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A">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17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81">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Adicionalmente, en procura de garantizar el equilibrio de la ecuación contractual, se analizarán los casos particulares debidamente soportados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rPr>
                <w:rFonts w:ascii="Arial" w:cs="Arial" w:eastAsia="Arial" w:hAnsi="Arial"/>
                <w:sz w:val="20"/>
                <w:szCs w:val="20"/>
              </w:rPr>
            </w:pPr>
            <w:r w:rsidDel="00000000" w:rsidR="00000000" w:rsidRPr="00000000">
              <w:rPr>
                <w:rtl w:val="0"/>
              </w:rPr>
            </w:r>
          </w:p>
        </w:tc>
      </w:tr>
      <w:tr>
        <w:trPr>
          <w:cantSplit w:val="0"/>
          <w:trHeight w:val="1275" w:hRule="atLeast"/>
          <w:tblHeader w:val="0"/>
        </w:trPr>
        <w:tc>
          <w:tcPr>
            <w:vMerge w:val="restart"/>
            <w:tcBorders>
              <w:top w:color="cccccc" w:space="0" w:sz="8" w:val="single"/>
              <w:left w:color="000000"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8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8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Especifico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8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Externo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8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Ejecución</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8F">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Operacional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0">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Dificultad en la adquisición de insumos por poca oferta en el mercado de los mismos</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1">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Sobrecostos o demoras en las actividades, derivadas de la dificultad de adquirir los insumos necesarios para la ejecución del mantenimiento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4</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 de Obra</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7">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Teniendo en cuenta que el mantenimiento es una actividad común en el sector de la construcción, se considera que el contratista cuenta con el conocimiento sobre el tipo de insumos y los proveedores de los mismos que garanticen su disponibilidad para adelantar de manera eficiente las actividades de mantenimientos en términos de costos, tiempo y calidad</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9">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NO</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Inicio de ejecución del contrato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9F">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Seguimiento por parte de la Interventoría y Contratista de obra en mesas de seguimiento periódicas</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A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Permanente</w:t>
            </w:r>
          </w:p>
        </w:tc>
      </w:tr>
      <w:tr>
        <w:trPr>
          <w:cantSplit w:val="0"/>
          <w:trHeight w:val="127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C">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AD">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Del mismo modo, La experiencia mínima exigida al contratista supone conocimiento sobre los proveedores adecuados para adquirir los insumos requeridos para la ejecución del mantenimiento, el cual se enmarca en el sector de materiales de construcción, obras de infraestructura dotacionales y demás, cuyo desarrollo es frecuente en el país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2">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B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Interventoría</w:t>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6">
            <w:pPr>
              <w:rPr>
                <w:rFonts w:ascii="Arial" w:cs="Arial" w:eastAsia="Arial" w:hAnsi="Arial"/>
                <w:sz w:val="20"/>
                <w:szCs w:val="20"/>
              </w:rPr>
            </w:pPr>
            <w:r w:rsidDel="00000000" w:rsidR="00000000" w:rsidRPr="00000000">
              <w:rPr>
                <w:rtl w:val="0"/>
              </w:rPr>
            </w:r>
          </w:p>
        </w:tc>
      </w:tr>
      <w:tr>
        <w:trPr>
          <w:cantSplit w:val="0"/>
          <w:trHeight w:val="480"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2">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C3">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El contratista deberá realizar una programación de compras y contratación para los insumos del proyecto</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C">
            <w:pPr>
              <w:rPr>
                <w:rFonts w:ascii="Arial" w:cs="Arial" w:eastAsia="Arial" w:hAnsi="Arial"/>
                <w:sz w:val="20"/>
                <w:szCs w:val="20"/>
              </w:rPr>
            </w:pPr>
            <w:r w:rsidDel="00000000" w:rsidR="00000000" w:rsidRPr="00000000">
              <w:rPr>
                <w:rtl w:val="0"/>
              </w:rPr>
            </w:r>
          </w:p>
        </w:tc>
      </w:tr>
      <w:tr>
        <w:trPr>
          <w:cantSplit w:val="0"/>
          <w:trHeight w:val="3480" w:hRule="atLeast"/>
          <w:tblHeader w:val="0"/>
        </w:trPr>
        <w:tc>
          <w:tcPr>
            <w:vMerge w:val="restart"/>
            <w:tcBorders>
              <w:top w:color="cccccc" w:space="0" w:sz="8" w:val="single"/>
              <w:left w:color="000000"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C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6</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C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General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CF">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Externo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Ejecución</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Regulatorio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2">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Cambios regulatorios de carácter normativo en el marco Nacional y/o Distrital que afecten el proyecto, incluyendo cualquier cambio tributario que se presente durante la ejecución del Contrato</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3">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Sobre costos de carácter tributario que puedan generar un incremento en las estimaciones de la estructuración del proyecto, lo que impediría su finalización con los recursos presupuestados, o disminución del alcance de intervención esperado</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Medio</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50% Secretaria Distrital de Movilidad</w:t>
            </w: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9">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Se busca reducir el impacto en el caso de materialización del riesgo, por medio de un pronóstico de las actividades para el mantenimiento y realizar análisis de sensibilidad a posibles cambios en las condiciones regulatorias para evaluar como estos pueden afectar (de manera positiva o negativa) las estimaciones presupuestales, de esta manera se puede estar preparado para cambios inesperados que se den, en etapas oportunas</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4</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NO</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D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E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Cuando se materialice el riesgo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E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Seguimiento por parte de la Interventoría y Contratista de obra en mesas de seguimiento periódicas</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E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Permanente</w:t>
            </w:r>
          </w:p>
        </w:tc>
      </w:tr>
      <w:tr>
        <w:trPr>
          <w:cantSplit w:val="0"/>
          <w:trHeight w:val="1680"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8">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E9">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Del mismo modo, demoras por la necesidad de apropiación de normas técnicas nuevas para la ejecución de actividades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D">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EE">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50% Contratista de Obra</w:t>
            </w: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EF">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Las partes deben conocer acatar e implementar la normatividad técnica vigente, cumpliendo con los procesos, procedimientos, parámetros, sistemas de información y tecnológicos, toda vez que el presente proceso de selección fue estructurado en observancia de la normatividad actual y los documentos que lo integran serán publicados para que los interesados y oferentes los puedan estudiar y así presentar las observaciones pertinentes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4">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Secretaría Distrital de Movilidad</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8">
            <w:pPr>
              <w:rPr>
                <w:rFonts w:ascii="Arial" w:cs="Arial" w:eastAsia="Arial" w:hAnsi="Arial"/>
                <w:sz w:val="20"/>
                <w:szCs w:val="20"/>
              </w:rPr>
            </w:pPr>
            <w:r w:rsidDel="00000000" w:rsidR="00000000" w:rsidRPr="00000000">
              <w:rPr>
                <w:rtl w:val="0"/>
              </w:rPr>
            </w:r>
          </w:p>
        </w:tc>
      </w:tr>
      <w:tr>
        <w:trPr>
          <w:cantSplit w:val="0"/>
          <w:trHeight w:val="1485" w:hRule="atLeast"/>
          <w:tblHeader w:val="0"/>
        </w:trPr>
        <w:tc>
          <w:tcPr>
            <w:vMerge w:val="restart"/>
            <w:tcBorders>
              <w:top w:color="cccccc" w:space="0" w:sz="8" w:val="single"/>
              <w:left w:color="000000"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9">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7</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General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Externo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Ejecución</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Natural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E">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Retrasos en el avance de la obra por condiciones climáticas, fenómenos de la naturaleza, pandemias, - causas no imputables al contratista de obra</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1FF">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Se afecta la programación de obra. Demora en la entrega de las obras. El plazo para ejecutarlas se amplía</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Medio</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4">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50% Secretaria Distrital de Movilidad</w:t>
            </w: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5">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 propone aceptar el riesgo, toda vez que la ocurrencia de estos eventos no puede ser controlada ni prevista con certeza por las partes. No obstante, en caso de materializarse, la Entidad evaluará las condiciones de la infraestructura afectada, la naturaleza y magnitud de los daños ocasionados, así como las condiciones y el estado de ejecución de los contratos vigentes.</w:t>
            </w:r>
          </w:p>
          <w:p w:rsidR="00000000" w:rsidDel="00000000" w:rsidP="00000000" w:rsidRDefault="00000000" w:rsidRPr="00000000" w14:paraId="00000206">
            <w:pPr>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207">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 base en dicha evaluación, se determinarán las medidas de contingencia que resulten técnica y contractualmente procedentes, incluyendo, cuando corresponda, la verificación de los imprevistos contemplados por el contratista dentro del AIU. Lo anterior, con el propósito de establecer si las acciones requeridas pueden ser atendidas dentro del plazo contractual inicialmente previsto o si, de ser necesario y previa verificación de los requisitos aplicables, resulta procedente adelantar las actuaciones administrativas correspondientes para la eventual aprobación de una suspensión o prórroga del plazo contractual.</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9">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4</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NO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Secretaría Distrital de Movilidad</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Cuando se materialice el riesgo</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0F">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Seguimiento por parte de la Interventoría y Contratista de obra en mesas de seguimiento periódicas</w:t>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1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Permanente</w:t>
            </w:r>
          </w:p>
        </w:tc>
      </w:tr>
      <w:tr>
        <w:trPr>
          <w:cantSplit w:val="0"/>
          <w:trHeight w:val="88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6">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17">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Recursos adicionales para reparación de daños</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B">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1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50% Contratista de Obra</w:t>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6">
            <w:pPr>
              <w:rPr>
                <w:rFonts w:ascii="Arial" w:cs="Arial" w:eastAsia="Arial" w:hAnsi="Arial"/>
                <w:sz w:val="20"/>
                <w:szCs w:val="20"/>
              </w:rPr>
            </w:pPr>
            <w:r w:rsidDel="00000000" w:rsidR="00000000" w:rsidRPr="00000000">
              <w:rPr>
                <w:rtl w:val="0"/>
              </w:rPr>
            </w:r>
          </w:p>
        </w:tc>
      </w:tr>
      <w:tr>
        <w:trPr>
          <w:cantSplit w:val="0"/>
          <w:trHeight w:val="88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C">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2D">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Se afecta el flujo de caja o la facturación del contratista</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8">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39">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 de Obra</w:t>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C">
            <w:pPr>
              <w:rPr>
                <w:rFonts w:ascii="Arial" w:cs="Arial" w:eastAsia="Arial" w:hAnsi="Arial"/>
                <w:sz w:val="20"/>
                <w:szCs w:val="20"/>
              </w:rPr>
            </w:pPr>
            <w:r w:rsidDel="00000000" w:rsidR="00000000" w:rsidRPr="00000000">
              <w:rPr>
                <w:rtl w:val="0"/>
              </w:rPr>
            </w:r>
          </w:p>
        </w:tc>
      </w:tr>
      <w:tr>
        <w:trPr>
          <w:cantSplit w:val="0"/>
          <w:trHeight w:val="1275" w:hRule="atLeast"/>
          <w:tblHeader w:val="0"/>
        </w:trPr>
        <w:tc>
          <w:tcPr>
            <w:vMerge w:val="continue"/>
            <w:tcBorders>
              <w:top w:color="cccccc" w:space="0" w:sz="8" w:val="single"/>
              <w:left w:color="000000"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2">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43">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Aumentan los gastos del contratista para la ejecución del objeto contractual</w:t>
            </w: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4">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5">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5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5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cccccc"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52">
            <w:pPr>
              <w:rPr>
                <w:rFonts w:ascii="Arial" w:cs="Arial" w:eastAsia="Arial" w:hAnsi="Arial"/>
                <w:sz w:val="20"/>
                <w:szCs w:val="20"/>
              </w:rPr>
            </w:pPr>
            <w:r w:rsidDel="00000000" w:rsidR="00000000" w:rsidRPr="00000000">
              <w:rPr>
                <w:rtl w:val="0"/>
              </w:rPr>
            </w:r>
          </w:p>
        </w:tc>
      </w:tr>
      <w:tr>
        <w:trPr>
          <w:cantSplit w:val="0"/>
          <w:trHeight w:val="1080" w:hRule="atLeast"/>
          <w:tblHeader w:val="0"/>
        </w:trPr>
        <w:tc>
          <w:tcPr>
            <w:vMerge w:val="restart"/>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8</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General</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5">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Externo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Ejecución</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Operacional</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8">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Retrasos en el avance de la obra por falta de personal suficiente, alta rotación de personal, equipos insuficientes o defectuosos, etc. - causas imputables al contratista de obra.</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9">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Se afecta la programación de obra</w:t>
            </w: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A">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C">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D">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Medio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E">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 de Obra</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5F">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Por medio del contratista interventor se busca reducir la ocurrencia del riesgo haciendo seguimiento y control a las obligaciones del contratista de obra, revisión de hojas de vida, plan de compras y en general, el desempeño del contrato de obra</w:t>
            </w: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0">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1</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1">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2</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2">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3</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3">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Riesgo Bajo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4">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SI</w:t>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Interventoría</w:t>
            </w: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6">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Inicio de ejecución del contrato</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7">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Seguimiento por parte de la Interventoría y Contratista de obra en mesas de seguimiento periódicas</w:t>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8">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Permanente</w:t>
            </w:r>
          </w:p>
        </w:tc>
      </w:tr>
      <w:tr>
        <w:trPr>
          <w:cantSplit w:val="0"/>
          <w:trHeight w:val="1275" w:hRule="atLeast"/>
          <w:tblHeader w:val="0"/>
        </w:trPr>
        <w:tc>
          <w:tcPr>
            <w:vMerge w:val="continue"/>
            <w:tcBorders>
              <w:top w:color="cccccc"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A">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E">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6F">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Demora en la entrega de las obras. Se afecta el flujo de caja o la facturación del contratista</w:t>
            </w: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4">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cccccc"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75">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En el caso de materialización del riesgo se deben estructurar los planes de contingencia para mejorar el desempeño de ejecución y nivelación del porcentaje de avance ejecutado vs el programado. Del mismo modo, adelantar evidencias de atrasos para efectuar procesos de presunto incumplimiento, si los escenarios se repiten</w:t>
            </w: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A">
            <w:pPr>
              <w:rPr>
                <w:rFonts w:ascii="Arial" w:cs="Arial" w:eastAsia="Arial" w:hAnsi="Arial"/>
                <w:sz w:val="20"/>
                <w:szCs w:val="20"/>
              </w:rPr>
            </w:pPr>
            <w:r w:rsidDel="00000000" w:rsidR="00000000" w:rsidRPr="00000000">
              <w:rPr>
                <w:rtl w:val="0"/>
              </w:rPr>
            </w:r>
          </w:p>
        </w:tc>
        <w:tc>
          <w:tcPr>
            <w:vMerge w:val="restart"/>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7B">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Contratista de obra</w:t>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E">
            <w:pPr>
              <w:rPr>
                <w:rFonts w:ascii="Arial" w:cs="Arial" w:eastAsia="Arial" w:hAnsi="Arial"/>
                <w:sz w:val="20"/>
                <w:szCs w:val="20"/>
              </w:rPr>
            </w:pPr>
            <w:r w:rsidDel="00000000" w:rsidR="00000000" w:rsidRPr="00000000">
              <w:rPr>
                <w:rtl w:val="0"/>
              </w:rPr>
            </w:r>
          </w:p>
        </w:tc>
      </w:tr>
      <w:tr>
        <w:trPr>
          <w:cantSplit w:val="0"/>
          <w:trHeight w:val="1275" w:hRule="atLeast"/>
          <w:tblHeader w:val="0"/>
        </w:trPr>
        <w:tc>
          <w:tcPr>
            <w:vMerge w:val="continue"/>
            <w:tcBorders>
              <w:top w:color="cccccc"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4">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85">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Aumentan los gastos del contratista para la ejecución del objeto contractual</w:t>
            </w: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6">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7">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8">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9">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A">
            <w:pPr>
              <w:rPr>
                <w:rFonts w:ascii="Arial" w:cs="Arial" w:eastAsia="Arial" w:hAnsi="Arial"/>
                <w:sz w:val="20"/>
                <w:szCs w:val="20"/>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28B">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C">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D">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E">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F">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90">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91">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92">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93">
            <w:pPr>
              <w:rPr>
                <w:rFonts w:ascii="Arial" w:cs="Arial" w:eastAsia="Arial" w:hAnsi="Arial"/>
                <w:sz w:val="20"/>
                <w:szCs w:val="20"/>
              </w:rPr>
            </w:pPr>
            <w:r w:rsidDel="00000000" w:rsidR="00000000" w:rsidRPr="00000000">
              <w:rPr>
                <w:rtl w:val="0"/>
              </w:rPr>
            </w:r>
          </w:p>
        </w:tc>
        <w:tc>
          <w:tcPr>
            <w:vMerge w:val="continue"/>
            <w:tcBorders>
              <w:top w:color="cccccc" w:space="0" w:sz="8" w:val="single"/>
              <w:left w:color="cccccc"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94">
            <w:pPr>
              <w:rPr>
                <w:rFonts w:ascii="Arial" w:cs="Arial" w:eastAsia="Arial" w:hAnsi="Arial"/>
                <w:sz w:val="20"/>
                <w:szCs w:val="20"/>
              </w:rPr>
            </w:pPr>
            <w:r w:rsidDel="00000000" w:rsidR="00000000" w:rsidRPr="00000000">
              <w:rPr>
                <w:rtl w:val="0"/>
              </w:rPr>
            </w:r>
          </w:p>
        </w:tc>
      </w:tr>
      <w:tr>
        <w:trPr>
          <w:cantSplit w:val="0"/>
          <w:trHeight w:val="3285" w:hRule="atLeast"/>
          <w:tblHeader w:val="0"/>
        </w:trPr>
        <w:tc>
          <w:tcPr>
            <w:tcBorders>
              <w:top w:color="cccccc" w:space="0" w:sz="8" w:val="single"/>
              <w:left w:color="000000"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9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9</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9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General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9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Interno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9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Contratación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9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Operacional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9A">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Ausencia, insuficiencia o desactualización de planos e información técnica de las áreas o sistemas objeto de intervención.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9B">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Retrasos en la ejecución, dificultades para definir las actividades requeridas, necesidad de realizar levantamientos técnicos y posibles ajustes en la planeación de las intervenciones.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9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9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9E">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6</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9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Medio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0">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1">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Verificar, previo a cada intervención, la disponibilidad y vigencia de los planos existentes. Cuando estos no existan o se encuentren desactualizados, el Contratista deberá realizar el levantamiento técnico correspondiente y elaborar los planos base requeridos, previa revisión y aprobación de la Interventoría.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2">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3">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4">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4</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Bajo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SI</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Firma del Acta de inicio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Verificando, previo y durante cada intervención, la disponibilidad y actualización de los planos; y revisando y aprobando los levantamientos técnicos y planos base elaborados por el Contratista cuando sean requeridos.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AA">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Cada vez que se requiera una intervención en áreas o sistemas que no cuenten con planos actualizados y durante el desarrollo de la misma.</w:t>
            </w:r>
            <w:r w:rsidDel="00000000" w:rsidR="00000000" w:rsidRPr="00000000">
              <w:rPr>
                <w:rtl w:val="0"/>
              </w:rPr>
            </w:r>
          </w:p>
        </w:tc>
      </w:tr>
      <w:tr>
        <w:trPr>
          <w:cantSplit w:val="0"/>
          <w:trHeight w:val="1875" w:hRule="atLeast"/>
          <w:tblHeader w:val="0"/>
        </w:trPr>
        <w:tc>
          <w:tcPr>
            <w:tcBorders>
              <w:top w:color="cccccc" w:space="0" w:sz="8" w:val="single"/>
              <w:left w:color="000000"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A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10</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A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Especifico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A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Interno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AE">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A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Operacional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B0">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Incumplimiento por parte del contratista de las obligaciones de gestión ambiental establecidas en el Anexo Técnico.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B1">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Posibles sanciones ambientales y afectación al medio ambiente.</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2">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3">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4">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Medio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7">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Realizar seguimiento estricto al cumplimiento del Anexo Técnico Ambiental.</w:t>
            </w:r>
          </w:p>
          <w:p w:rsidR="00000000" w:rsidDel="00000000" w:rsidP="00000000" w:rsidRDefault="00000000" w:rsidRPr="00000000" w14:paraId="000002B8">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Iniciar las actuaciones administrativas que conminen al contratista al cumplimiento, y si el incumplimiento persiste, las actuaciones que correspondan de tipo sancionatorio.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A">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Bajo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SI</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E">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Interventoría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B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Durante la 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0">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Informes de interventoría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1">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Permanente</w:t>
            </w:r>
            <w:r w:rsidDel="00000000" w:rsidR="00000000" w:rsidRPr="00000000">
              <w:rPr>
                <w:rtl w:val="0"/>
              </w:rPr>
            </w:r>
          </w:p>
        </w:tc>
      </w:tr>
      <w:tr>
        <w:trPr>
          <w:cantSplit w:val="0"/>
          <w:trHeight w:val="2085" w:hRule="atLeast"/>
          <w:tblHeader w:val="0"/>
        </w:trPr>
        <w:tc>
          <w:tcPr>
            <w:tcBorders>
              <w:top w:color="cccccc" w:space="0" w:sz="8" w:val="single"/>
              <w:left w:color="000000"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C2">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11</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C3">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Especifico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C4">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Interno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C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C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Financiero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C7">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Dificultad del contratista para sostener el flujo de caja entre la ejecución de las actividades y el pago efectivo de las actas mensuales parciales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C8">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Retrasos en la ejecución de la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A">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6</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Alto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E">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Exigir al contratista un plan de flujo de caja previo al inicio y seguimiento a pagos, mediante el tramite oportuno de las cuentas de pagos parciales.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C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0">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1">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2">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Medio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3">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SI</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4">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Inicio de 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Revisión de estados financieros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Mensual</w:t>
            </w:r>
            <w:r w:rsidDel="00000000" w:rsidR="00000000" w:rsidRPr="00000000">
              <w:rPr>
                <w:rtl w:val="0"/>
              </w:rPr>
            </w:r>
          </w:p>
        </w:tc>
      </w:tr>
      <w:tr>
        <w:trPr>
          <w:cantSplit w:val="0"/>
          <w:trHeight w:val="2475" w:hRule="atLeast"/>
          <w:tblHeader w:val="0"/>
        </w:trPr>
        <w:tc>
          <w:tcPr>
            <w:tcBorders>
              <w:top w:color="cccccc" w:space="0" w:sz="8" w:val="single"/>
              <w:left w:color="000000"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D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D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Especifico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DA">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Externo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D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D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Operacional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DD">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Interrupción de servicios públicos o de sistemas de telecomunicaciones de las sedes durante la ejecución de actividades de mantenimiento sobre redes existentes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DE">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Afectación en la operatividad de las sedes de la SDM.</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D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0">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1">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2">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Medio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3">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4">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Coordinar los cortes de servicio con anticipación y fuera de horarios de atención al público.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Bajo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NO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A">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Durante la 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Cronograma de cortes y permisos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E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Cada vez que se requiera</w:t>
            </w:r>
            <w:r w:rsidDel="00000000" w:rsidR="00000000" w:rsidRPr="00000000">
              <w:rPr>
                <w:rtl w:val="0"/>
              </w:rPr>
            </w:r>
          </w:p>
        </w:tc>
      </w:tr>
      <w:tr>
        <w:trPr>
          <w:cantSplit w:val="0"/>
          <w:trHeight w:val="2070" w:hRule="atLeast"/>
          <w:tblHeader w:val="0"/>
        </w:trPr>
        <w:tc>
          <w:tcPr>
            <w:tcBorders>
              <w:top w:color="cccccc" w:space="0" w:sz="8" w:val="single"/>
              <w:left w:color="000000"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EE">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E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Especifico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F0">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Interno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F1">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F2">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Operacional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F3">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Interrupción de prestación del servicio a cargo de las dependencias de la SDM por causas imputables al contratista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2F4">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Afectación en el servicio al ciudadano y operación de la SDM.</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Medio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A">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Implementar planes de contingencia y ejecutar obras en horarios no hábiles.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E">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Bajo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2FF">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SI</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0">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1">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Durante la ejecución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2">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Seguimiento a cronograma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3">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Permanente</w:t>
            </w:r>
            <w:r w:rsidDel="00000000" w:rsidR="00000000" w:rsidRPr="00000000">
              <w:rPr>
                <w:rtl w:val="0"/>
              </w:rPr>
            </w:r>
          </w:p>
        </w:tc>
      </w:tr>
      <w:tr>
        <w:trPr>
          <w:cantSplit w:val="0"/>
          <w:trHeight w:val="2760" w:hRule="atLeast"/>
          <w:tblHeader w:val="0"/>
        </w:trPr>
        <w:tc>
          <w:tcPr>
            <w:tcBorders>
              <w:top w:color="cccccc" w:space="0" w:sz="8" w:val="single"/>
              <w:left w:color="000000"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304">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14</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30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General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30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Interno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30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Todas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30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Corrupción</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309">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Ocurrencia de prácticas corruptas o conflictos de interés no declarados que desvíen el propósito del contrato y afecten la correcta ejecución de los recursos.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ffffff" w:val="clear"/>
            <w:tcMar>
              <w:top w:w="40.0" w:type="dxa"/>
              <w:left w:w="40.0" w:type="dxa"/>
              <w:bottom w:w="40.0" w:type="dxa"/>
              <w:right w:w="40.0" w:type="dxa"/>
            </w:tcMar>
            <w:vAlign w:val="top"/>
          </w:tcPr>
          <w:p w:rsidR="00000000" w:rsidDel="00000000" w:rsidP="00000000" w:rsidRDefault="00000000" w:rsidRPr="00000000" w14:paraId="0000030A">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Desviación de recursos e incumplimiento del objeto contractual.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4</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D">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E">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Medio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0F">
            <w:pPr>
              <w:jc w:val="cente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50% Secretaria Distrital de Movilidad</w:t>
            </w:r>
          </w:p>
          <w:p w:rsidR="00000000" w:rsidDel="00000000" w:rsidP="00000000" w:rsidRDefault="00000000" w:rsidRPr="00000000" w14:paraId="00000310">
            <w:pPr>
              <w:jc w:val="center"/>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311">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50% Contratista de Obra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2">
            <w:pPr>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Aplicación estricta del manual de contratación y supervisión rigurosa.</w:t>
            </w:r>
          </w:p>
          <w:p w:rsidR="00000000" w:rsidDel="00000000" w:rsidP="00000000" w:rsidRDefault="00000000" w:rsidRPr="00000000" w14:paraId="00000313">
            <w:pPr>
              <w:rPr>
                <w:rFonts w:ascii="Arial" w:cs="Arial" w:eastAsia="Arial" w:hAnsi="Arial"/>
                <w:sz w:val="20"/>
                <w:szCs w:val="20"/>
              </w:rPr>
            </w:pPr>
            <w:r w:rsidDel="00000000" w:rsidR="00000000" w:rsidRPr="00000000">
              <w:rPr>
                <w:rFonts w:ascii="Verdana" w:cs="Verdana" w:eastAsia="Verdana" w:hAnsi="Verdana"/>
                <w:sz w:val="16"/>
                <w:szCs w:val="16"/>
                <w:rtl w:val="0"/>
              </w:rPr>
              <w:t xml:space="preserve">Efectuar las investigaciones pertinentes y notificar a las autoridades que correspondan según sus competencias.</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4">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1</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5">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6">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7">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Riesgo Bajo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8">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SI</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9">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SDM e Interventoría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A">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Todo el contrato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B">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Auditorías y revisión documental</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31C">
            <w:pPr>
              <w:jc w:val="center"/>
              <w:rPr>
                <w:rFonts w:ascii="Arial" w:cs="Arial" w:eastAsia="Arial" w:hAnsi="Arial"/>
                <w:sz w:val="20"/>
                <w:szCs w:val="20"/>
              </w:rPr>
            </w:pPr>
            <w:r w:rsidDel="00000000" w:rsidR="00000000" w:rsidRPr="00000000">
              <w:rPr>
                <w:rFonts w:ascii="Verdana" w:cs="Verdana" w:eastAsia="Verdana" w:hAnsi="Verdana"/>
                <w:sz w:val="16"/>
                <w:szCs w:val="16"/>
                <w:rtl w:val="0"/>
              </w:rPr>
              <w:t xml:space="preserve">Permanente</w:t>
            </w:r>
            <w:r w:rsidDel="00000000" w:rsidR="00000000" w:rsidRPr="00000000">
              <w:rPr>
                <w:rtl w:val="0"/>
              </w:rPr>
            </w:r>
          </w:p>
        </w:tc>
      </w:tr>
    </w:tbl>
    <w:p w:rsidR="00000000" w:rsidDel="00000000" w:rsidP="00000000" w:rsidRDefault="00000000" w:rsidRPr="00000000" w14:paraId="0000031D">
      <w:pPr>
        <w:rPr>
          <w:rFonts w:ascii="Verdana" w:cs="Verdana" w:eastAsia="Verdana" w:hAnsi="Verdana"/>
          <w:sz w:val="20"/>
          <w:szCs w:val="20"/>
        </w:rPr>
      </w:pPr>
      <w:r w:rsidDel="00000000" w:rsidR="00000000" w:rsidRPr="00000000">
        <w:rPr>
          <w:rtl w:val="0"/>
        </w:rPr>
      </w:r>
    </w:p>
    <w:sectPr>
      <w:headerReference r:id="rId8" w:type="default"/>
      <w:footerReference r:id="rId9" w:type="default"/>
      <w:pgSz w:h="12240" w:w="15840" w:orient="landscape"/>
      <w:pgMar w:bottom="1134" w:top="1134" w:left="1304" w:right="1134" w:header="426" w:footer="54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Verdan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1">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E">
    <w:pPr>
      <w:pBdr>
        <w:top w:space="0" w:sz="0" w:val="nil"/>
        <w:left w:space="0" w:sz="0" w:val="nil"/>
        <w:bottom w:space="0" w:sz="0" w:val="nil"/>
        <w:right w:space="0" w:sz="0" w:val="nil"/>
        <w:between w:space="0" w:sz="0" w:val="nil"/>
      </w:pBdr>
      <w:tabs>
        <w:tab w:val="center" w:leader="none" w:pos="4419"/>
        <w:tab w:val="right" w:leader="none" w:pos="8838"/>
      </w:tabs>
      <w:spacing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MATRIZ 3 - RIESGOS</w:t>
    </w:r>
  </w:p>
  <w:p w:rsidR="00000000" w:rsidDel="00000000" w:rsidP="00000000" w:rsidRDefault="00000000" w:rsidRPr="00000000" w14:paraId="0000031F">
    <w:pPr>
      <w:pBdr>
        <w:top w:space="0" w:sz="0" w:val="nil"/>
        <w:left w:space="0" w:sz="0" w:val="nil"/>
        <w:bottom w:space="0" w:sz="0" w:val="nil"/>
        <w:right w:space="0" w:sz="0" w:val="nil"/>
        <w:between w:space="0" w:sz="0" w:val="nil"/>
      </w:pBdr>
      <w:tabs>
        <w:tab w:val="center" w:leader="none" w:pos="4419"/>
        <w:tab w:val="right" w:leader="none" w:pos="8838"/>
        <w:tab w:val="left" w:leader="none" w:pos="3405"/>
      </w:tabs>
      <w:spacing w:line="240" w:lineRule="auto"/>
      <w:jc w:val="center"/>
      <w:rPr>
        <w:rFonts w:ascii="Verdana" w:cs="Verdana" w:eastAsia="Verdana" w:hAnsi="Verdana"/>
        <w:color w:val="000000"/>
        <w:sz w:val="32"/>
        <w:szCs w:val="32"/>
      </w:rPr>
    </w:pPr>
    <w:r w:rsidDel="00000000" w:rsidR="00000000" w:rsidRPr="00000000">
      <w:rPr>
        <w:rFonts w:ascii="Verdana" w:cs="Verdana" w:eastAsia="Verdana" w:hAnsi="Verdana"/>
        <w:b w:val="1"/>
        <w:bCs w:val="1"/>
        <w:color w:val="000000"/>
        <w:rtl w:val="0"/>
      </w:rPr>
      <w:t xml:space="preserve">LICITACIÓN DE OBRA PÚBLICA DE INFRAESTRUCTURA SOCIAL</w:t>
    </w: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tabs>
        <w:tab w:val="center" w:leader="none" w:pos="4419"/>
        <w:tab w:val="right" w:leader="none" w:pos="8838"/>
        <w:tab w:val="left" w:leader="none" w:pos="3405"/>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_tradnl"/>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left="511" w:hanging="454"/>
    </w:pPr>
    <w:rPr>
      <w:b w:val="1"/>
      <w:bCs w:val="1"/>
      <w:color w:val="17365d"/>
      <w:sz w:val="28"/>
      <w:szCs w:val="28"/>
    </w:rPr>
  </w:style>
  <w:style w:type="paragraph" w:styleId="Heading2">
    <w:name w:val="heading 2"/>
    <w:basedOn w:val="Normal"/>
    <w:next w:val="Normal"/>
    <w:pPr>
      <w:keepNext w:val="1"/>
      <w:keepLines w:val="1"/>
      <w:spacing w:after="240" w:lineRule="auto"/>
    </w:pPr>
    <w:rPr>
      <w:i w:val="1"/>
      <w:iCs w:val="1"/>
      <w:color w:val="17365d"/>
      <w:sz w:val="24"/>
      <w:szCs w:val="24"/>
      <w:u w:val="single"/>
    </w:rPr>
  </w:style>
  <w:style w:type="paragraph" w:styleId="Heading3">
    <w:name w:val="heading 3"/>
    <w:basedOn w:val="Normal"/>
    <w:next w:val="Normal"/>
    <w:pPr>
      <w:keepNext w:val="1"/>
      <w:keepLines w:val="1"/>
      <w:spacing w:after="240" w:lineRule="auto"/>
      <w:ind w:left="851" w:hanging="397"/>
    </w:pPr>
    <w:rPr>
      <w:color w:val="17365d"/>
      <w:sz w:val="26"/>
      <w:szCs w:val="26"/>
      <w:u w:val="single"/>
    </w:rPr>
  </w:style>
  <w:style w:type="paragraph" w:styleId="Heading4">
    <w:name w:val="heading 4"/>
    <w:basedOn w:val="Normal"/>
    <w:next w:val="Normal"/>
    <w:pPr>
      <w:keepNext w:val="1"/>
      <w:keepLines w:val="1"/>
      <w:spacing w:after="240" w:lineRule="auto"/>
      <w:ind w:left="794"/>
    </w:pPr>
    <w:rPr>
      <w:i w:val="1"/>
      <w:iCs w:val="1"/>
      <w:color w:val="17365d"/>
      <w:sz w:val="24"/>
      <w:szCs w:val="24"/>
      <w:u w:val="single"/>
    </w:rPr>
  </w:style>
  <w:style w:type="paragraph" w:styleId="Heading5">
    <w:name w:val="heading 5"/>
    <w:basedOn w:val="Normal"/>
    <w:next w:val="Normal"/>
    <w:pPr>
      <w:keepNext w:val="1"/>
      <w:keepLines w:val="1"/>
      <w:spacing w:after="240" w:before="200" w:lineRule="auto"/>
      <w:ind w:left="567" w:hanging="510"/>
    </w:pPr>
    <w:rPr>
      <w:color w:val="243f61"/>
    </w:rPr>
  </w:style>
  <w:style w:type="paragraph" w:styleId="Heading6">
    <w:name w:val="heading 6"/>
    <w:basedOn w:val="Normal"/>
    <w:next w:val="Normal"/>
    <w:pPr>
      <w:keepNext w:val="1"/>
      <w:keepLines w:val="1"/>
      <w:spacing w:before="200" w:lineRule="auto"/>
      <w:ind w:left="851" w:hanging="397"/>
    </w:pPr>
    <w:rPr>
      <w:i w:val="1"/>
      <w:iCs w:val="1"/>
      <w:color w:val="243f61"/>
    </w:rPr>
  </w:style>
  <w:style w:type="paragraph" w:styleId="Title">
    <w:name w:val="Title"/>
    <w:basedOn w:val="Normal"/>
    <w:next w:val="Normal"/>
    <w:pPr>
      <w:pBdr>
        <w:bottom w:color="17365d" w:space="4" w:sz="12" w:val="single"/>
      </w:pBdr>
      <w:spacing w:after="300" w:line="240" w:lineRule="auto"/>
    </w:pPr>
    <w:rPr>
      <w:b w:val="1"/>
      <w:bCs w:val="1"/>
      <w:color w:val="17365d"/>
      <w:sz w:val="52"/>
      <w:szCs w:val="5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pPr>
      <w:spacing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rFonts w:ascii="Cambria" w:cs="Cambria" w:eastAsia="Cambria" w:hAnsi="Cambria"/>
      <w:i w:val="1"/>
      <w:iCs w:val="1"/>
      <w:color w:val="4f81bd"/>
      <w:sz w:val="24"/>
      <w:szCs w:val="24"/>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spreadsheets/d/1O8X8l7BPu1LrLx7B0SUIfDAECAvXxxlcjvAomiWoeV8/edit?usp=sharing"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G0quN/1rMzh6i1QjRiLgJTBDBg==">CgMxLjA4AGo2ChRzdWdnZXN0LmpjZDd3aHVrbnd6dhIeRGFuaWVsIEFsZm9uc28gQmVjZXJyYSBTYW5jaGV6ajYKFHN1Z2dlc3QucXdiejByZmoxY2RrEh5EYW5pZWwgQWxmb25zbyBCZWNlcnJhIFNhbmNoZXpqMAoUc3VnZ2VzdC54Njg1MDkyMGZkamQSGExlb25hcmRvIE1hcnRpbmV6IEFyZW5hc2o2ChRzdWdnZXN0LmV1YXczczUyb3dpdhIeRGFuaWVsIEFsZm9uc28gQmVjZXJyYSBTYW5jaGV6ajYKFHN1Z2dlc3QuZ3YxdGxtM3l0dXZqEh5EYW5pZWwgQWxmb25zbyBCZWNlcnJhIFNhbmNoZXpqNQoTc3VnZ2VzdC5qZGNnYnNqdWZ0ZhIeRGFuaWVsIEFsZm9uc28gQmVjZXJyYSBTYW5jaGV6ciExRkZUMlI2cGJIZHFMTkZQQ3dwNnNmN2wzYU5LdjBFV18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2026-06-04T20:35:00Z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22923900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_ExtendedDescription">
    <vt:lpwstr>_ExtendedDescription</vt:lpwstr>
  </property>
  <property fmtid="{D5CDD505-2E9C-101B-9397-08002B2CF9AE}" pid="9" name="MediaServiceImageTags">
    <vt:lpwstr>MediaServiceImageTags</vt:lpwstr>
  </property>
</Properties>
</file>