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Default="004767BC"/>
    <w:p w14:paraId="5306DF49" w14:textId="35AF94A6" w:rsidR="005B510A" w:rsidRDefault="00C46FA2" w:rsidP="005B510A">
      <w:pPr>
        <w:ind w:left="-540" w:firstLine="540"/>
        <w:jc w:val="center"/>
        <w:rPr>
          <w:rFonts w:ascii="Tahoma" w:hAnsi="Tahoma" w:cs="Tahoma"/>
          <w:b/>
        </w:rPr>
      </w:pPr>
      <w:bookmarkStart w:id="0" w:name="_Hlk170137622"/>
      <w:r>
        <w:rPr>
          <w:rFonts w:ascii="Tahoma" w:hAnsi="Tahoma" w:cs="Tahoma"/>
          <w:b/>
        </w:rPr>
        <w:t xml:space="preserve">ANEXO </w:t>
      </w:r>
      <w:r w:rsidR="005B510A">
        <w:rPr>
          <w:rFonts w:ascii="Tahoma" w:hAnsi="Tahoma" w:cs="Tahoma"/>
          <w:b/>
        </w:rPr>
        <w:t>ESPECIFICACIONES TÉCNICAS MÍNIMAS</w:t>
      </w:r>
      <w:r w:rsidR="00632576">
        <w:rPr>
          <w:rFonts w:ascii="Tahoma" w:hAnsi="Tahoma" w:cs="Tahoma"/>
          <w:b/>
        </w:rPr>
        <w:t xml:space="preserve"> HABILITANTES</w:t>
      </w:r>
    </w:p>
    <w:bookmarkEnd w:id="0"/>
    <w:p w14:paraId="49B0D201" w14:textId="77777777" w:rsidR="005B510A" w:rsidRPr="00000C08" w:rsidRDefault="005B510A" w:rsidP="005B510A">
      <w:pPr>
        <w:ind w:left="-540" w:firstLine="540"/>
        <w:jc w:val="center"/>
        <w:rPr>
          <w:rFonts w:ascii="Tahoma" w:hAnsi="Tahoma" w:cs="Tahoma"/>
          <w:b/>
          <w:sz w:val="14"/>
          <w:szCs w:val="14"/>
        </w:rPr>
      </w:pPr>
    </w:p>
    <w:p w14:paraId="1F754C14" w14:textId="77777777" w:rsidR="005B510A" w:rsidRDefault="005B510A" w:rsidP="005B510A">
      <w:pPr>
        <w:tabs>
          <w:tab w:val="left" w:pos="-1080"/>
          <w:tab w:val="left" w:pos="0"/>
        </w:tabs>
        <w:jc w:val="both"/>
        <w:rPr>
          <w:rFonts w:ascii="Tahoma" w:eastAsia="MS Mincho" w:hAnsi="Tahoma" w:cs="Tahoma"/>
        </w:rPr>
      </w:pPr>
      <w:r w:rsidRPr="005038A2">
        <w:rPr>
          <w:rFonts w:ascii="Tahoma" w:eastAsia="MS Mincho" w:hAnsi="Tahoma" w:cs="Tahoma"/>
        </w:rPr>
        <w:t>El (los) suscrito(s) a saber: _________________________________</w:t>
      </w:r>
      <w:r>
        <w:rPr>
          <w:rFonts w:ascii="Tahoma" w:eastAsia="MS Mincho" w:hAnsi="Tahoma" w:cs="Tahoma"/>
        </w:rPr>
        <w:t xml:space="preserve"> </w:t>
      </w:r>
      <w:r w:rsidRPr="005038A2">
        <w:rPr>
          <w:rFonts w:ascii="Tahoma" w:eastAsia="MS Mincho" w:hAnsi="Tahoma" w:cs="Tahoma"/>
        </w:rPr>
        <w:t>domiciliado en _____________________________________, identificado con</w:t>
      </w:r>
      <w:r>
        <w:rPr>
          <w:rFonts w:ascii="Tahoma" w:eastAsia="MS Mincho" w:hAnsi="Tahoma" w:cs="Tahoma"/>
        </w:rPr>
        <w:t xml:space="preserve"> </w:t>
      </w:r>
      <w:r w:rsidRPr="005038A2">
        <w:rPr>
          <w:rFonts w:ascii="Tahoma" w:eastAsia="MS Mincho" w:hAnsi="Tahoma" w:cs="Tahoma"/>
        </w:rPr>
        <w:t>______________________, quien obra en calidad de ____________________________, que en adelante se denominará EL PROPONENTE, manifiesta(n)</w:t>
      </w:r>
      <w:r>
        <w:rPr>
          <w:rFonts w:ascii="Tahoma" w:eastAsia="MS Mincho" w:hAnsi="Tahoma" w:cs="Tahoma"/>
        </w:rPr>
        <w:t xml:space="preserve">: </w:t>
      </w:r>
    </w:p>
    <w:p w14:paraId="71F45B54" w14:textId="77777777" w:rsidR="005B510A" w:rsidRDefault="005B510A" w:rsidP="005B510A">
      <w:pPr>
        <w:tabs>
          <w:tab w:val="left" w:pos="-1080"/>
          <w:tab w:val="left" w:pos="0"/>
        </w:tabs>
        <w:jc w:val="both"/>
        <w:rPr>
          <w:rFonts w:ascii="Tahoma" w:eastAsia="MS Mincho" w:hAnsi="Tahoma" w:cs="Tahoma"/>
        </w:rPr>
      </w:pPr>
    </w:p>
    <w:p w14:paraId="46608AF8"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662B971D"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3E7BB6">
        <w:rPr>
          <w:rFonts w:ascii="Tahoma" w:eastAsia="MS Mincho" w:hAnsi="Tahoma" w:cs="Tahoma"/>
          <w:i/>
          <w:iCs/>
        </w:rPr>
        <w:t xml:space="preserve">institucional de las personas jurídica o natural </w:t>
      </w:r>
      <w:r w:rsidRPr="000B638D">
        <w:rPr>
          <w:rFonts w:ascii="Tahoma" w:eastAsia="MS Mincho" w:hAnsi="Tahoma" w:cs="Tahoma"/>
        </w:rPr>
        <w:t>que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Pr="005038A2">
        <w:rPr>
          <w:rFonts w:ascii="Tahoma" w:eastAsia="MS Mincho" w:hAnsi="Tahoma" w:cs="Tahoma"/>
          <w:u w:val="single"/>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31513397" w14:textId="77777777" w:rsidR="005B510A" w:rsidRPr="000F43FF" w:rsidRDefault="005B510A" w:rsidP="005B510A">
      <w:pPr>
        <w:tabs>
          <w:tab w:val="left" w:pos="-1080"/>
          <w:tab w:val="left" w:pos="0"/>
        </w:tabs>
        <w:jc w:val="both"/>
        <w:rPr>
          <w:rFonts w:ascii="Tahoma" w:eastAsia="MS Mincho" w:hAnsi="Tahoma" w:cs="Tahoma"/>
          <w:sz w:val="10"/>
          <w:szCs w:val="10"/>
        </w:rPr>
      </w:pPr>
    </w:p>
    <w:p w14:paraId="1334F70F" w14:textId="77777777" w:rsidR="005B510A" w:rsidRDefault="005B510A" w:rsidP="005B510A">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71F6ADB3" w14:textId="77777777" w:rsidR="005B510A" w:rsidRPr="000F43FF" w:rsidRDefault="005B510A" w:rsidP="005B510A">
      <w:pPr>
        <w:tabs>
          <w:tab w:val="left" w:pos="-1080"/>
          <w:tab w:val="left" w:pos="0"/>
        </w:tabs>
        <w:jc w:val="both"/>
        <w:rPr>
          <w:rFonts w:ascii="Tahoma" w:hAnsi="Tahoma" w:cs="Tahoma"/>
          <w:bCs/>
          <w:sz w:val="10"/>
          <w:szCs w:val="10"/>
        </w:rPr>
      </w:pPr>
    </w:p>
    <w:p w14:paraId="08EAD75D" w14:textId="763A1E40" w:rsidR="005B510A" w:rsidRDefault="005B510A" w:rsidP="000F43FF">
      <w:pPr>
        <w:tabs>
          <w:tab w:val="left" w:pos="-1080"/>
          <w:tab w:val="left" w:pos="0"/>
        </w:tabs>
        <w:rPr>
          <w:b/>
        </w:rPr>
      </w:pPr>
      <w:r w:rsidRPr="00C81FB7">
        <w:rPr>
          <w:b/>
        </w:rPr>
        <w:t xml:space="preserve">ESPECIFICACIÓN TÉCNICA: </w:t>
      </w:r>
    </w:p>
    <w:p w14:paraId="0A5E8D8B" w14:textId="77777777" w:rsidR="002665BB" w:rsidRDefault="002665BB" w:rsidP="000F43FF">
      <w:pPr>
        <w:tabs>
          <w:tab w:val="left" w:pos="-1080"/>
          <w:tab w:val="left" w:pos="0"/>
        </w:tabs>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7086"/>
        <w:gridCol w:w="1456"/>
        <w:gridCol w:w="1371"/>
      </w:tblGrid>
      <w:tr w:rsidR="002665BB" w:rsidRPr="002665BB" w14:paraId="633819F4" w14:textId="77777777" w:rsidTr="00597D6C">
        <w:trPr>
          <w:trHeight w:val="192"/>
        </w:trPr>
        <w:tc>
          <w:tcPr>
            <w:tcW w:w="308" w:type="pct"/>
            <w:vAlign w:val="center"/>
          </w:tcPr>
          <w:p w14:paraId="320BB041" w14:textId="77777777" w:rsidR="002665BB" w:rsidRPr="002665BB" w:rsidRDefault="002665BB" w:rsidP="002665BB">
            <w:pPr>
              <w:tabs>
                <w:tab w:val="left" w:pos="240"/>
              </w:tabs>
              <w:autoSpaceDE/>
              <w:autoSpaceDN/>
              <w:contextualSpacing/>
              <w:jc w:val="center"/>
              <w:rPr>
                <w:rFonts w:ascii="Tahoma" w:hAnsi="Tahoma" w:cs="Tahoma"/>
                <w:b/>
                <w:sz w:val="16"/>
                <w:szCs w:val="16"/>
                <w:lang w:val="es-CO"/>
                <w14:ligatures w14:val="none"/>
              </w:rPr>
            </w:pPr>
            <w:bookmarkStart w:id="1" w:name="_Hlk214355276"/>
            <w:r w:rsidRPr="002665BB">
              <w:rPr>
                <w:rFonts w:ascii="Tahoma" w:hAnsi="Tahoma" w:cs="Tahoma"/>
                <w:b/>
                <w:sz w:val="16"/>
                <w:szCs w:val="16"/>
                <w:lang w:val="es-CO"/>
                <w14:ligatures w14:val="none"/>
              </w:rPr>
              <w:t>ÍTEM</w:t>
            </w:r>
          </w:p>
        </w:tc>
        <w:tc>
          <w:tcPr>
            <w:tcW w:w="3354" w:type="pct"/>
            <w:vAlign w:val="center"/>
          </w:tcPr>
          <w:p w14:paraId="05757EFD" w14:textId="77777777" w:rsidR="002665BB" w:rsidRPr="002665BB" w:rsidRDefault="002665BB" w:rsidP="002665BB">
            <w:pPr>
              <w:tabs>
                <w:tab w:val="left" w:pos="240"/>
              </w:tabs>
              <w:autoSpaceDE/>
              <w:autoSpaceDN/>
              <w:contextualSpacing/>
              <w:jc w:val="center"/>
              <w:rPr>
                <w:rFonts w:ascii="Tahoma" w:hAnsi="Tahoma" w:cs="Tahoma"/>
                <w:b/>
                <w:sz w:val="16"/>
                <w:szCs w:val="16"/>
                <w:lang w:val="es-CO"/>
                <w14:ligatures w14:val="none"/>
              </w:rPr>
            </w:pPr>
            <w:r w:rsidRPr="002665BB">
              <w:rPr>
                <w:rFonts w:ascii="Tahoma" w:hAnsi="Tahoma" w:cs="Tahoma"/>
                <w:b/>
                <w:sz w:val="16"/>
                <w:szCs w:val="16"/>
                <w:lang w:val="es-CO"/>
                <w14:ligatures w14:val="none"/>
              </w:rPr>
              <w:t xml:space="preserve">CONDICIONES TÉCNICAS MÍNIMAS </w:t>
            </w:r>
          </w:p>
        </w:tc>
        <w:tc>
          <w:tcPr>
            <w:tcW w:w="689" w:type="pct"/>
            <w:vAlign w:val="center"/>
          </w:tcPr>
          <w:p w14:paraId="07956D6E" w14:textId="77777777" w:rsidR="002665BB" w:rsidRPr="002665BB" w:rsidRDefault="002665BB" w:rsidP="002665BB">
            <w:pPr>
              <w:tabs>
                <w:tab w:val="left" w:pos="240"/>
              </w:tabs>
              <w:autoSpaceDE/>
              <w:autoSpaceDN/>
              <w:contextualSpacing/>
              <w:jc w:val="center"/>
              <w:rPr>
                <w:rFonts w:ascii="Tahoma" w:hAnsi="Tahoma" w:cs="Tahoma"/>
                <w:b/>
                <w:sz w:val="16"/>
                <w:szCs w:val="16"/>
                <w:lang w:val="es-CO"/>
                <w14:ligatures w14:val="none"/>
              </w:rPr>
            </w:pPr>
            <w:r w:rsidRPr="002665BB">
              <w:rPr>
                <w:rFonts w:ascii="Tahoma" w:hAnsi="Tahoma" w:cs="Tahoma"/>
                <w:b/>
                <w:sz w:val="16"/>
                <w:szCs w:val="16"/>
                <w:lang w:val="es-CO"/>
                <w14:ligatures w14:val="none"/>
              </w:rPr>
              <w:t>SI CUMPLE</w:t>
            </w:r>
          </w:p>
        </w:tc>
        <w:tc>
          <w:tcPr>
            <w:tcW w:w="650" w:type="pct"/>
            <w:vAlign w:val="center"/>
          </w:tcPr>
          <w:p w14:paraId="0A93CD50" w14:textId="77777777" w:rsidR="002665BB" w:rsidRPr="002665BB" w:rsidRDefault="002665BB" w:rsidP="002665BB">
            <w:pPr>
              <w:tabs>
                <w:tab w:val="left" w:pos="240"/>
              </w:tabs>
              <w:autoSpaceDE/>
              <w:autoSpaceDN/>
              <w:contextualSpacing/>
              <w:jc w:val="center"/>
              <w:rPr>
                <w:rFonts w:ascii="Tahoma" w:hAnsi="Tahoma" w:cs="Tahoma"/>
                <w:b/>
                <w:sz w:val="16"/>
                <w:szCs w:val="16"/>
                <w:lang w:val="es-CO"/>
                <w14:ligatures w14:val="none"/>
              </w:rPr>
            </w:pPr>
            <w:r w:rsidRPr="002665BB">
              <w:rPr>
                <w:rFonts w:ascii="Tahoma" w:hAnsi="Tahoma" w:cs="Tahoma"/>
                <w:b/>
                <w:sz w:val="16"/>
                <w:szCs w:val="16"/>
                <w:lang w:val="es-CO"/>
                <w14:ligatures w14:val="none"/>
              </w:rPr>
              <w:t>NO CUMPLE</w:t>
            </w:r>
          </w:p>
        </w:tc>
      </w:tr>
      <w:tr w:rsidR="002665BB" w:rsidRPr="002665BB" w14:paraId="3B418317" w14:textId="77777777" w:rsidTr="00597D6C">
        <w:tc>
          <w:tcPr>
            <w:tcW w:w="308" w:type="pct"/>
            <w:vAlign w:val="center"/>
          </w:tcPr>
          <w:p w14:paraId="7A487FB4"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1</w:t>
            </w:r>
          </w:p>
        </w:tc>
        <w:tc>
          <w:tcPr>
            <w:tcW w:w="3354" w:type="pct"/>
            <w:vAlign w:val="center"/>
          </w:tcPr>
          <w:p w14:paraId="4A5802F8" w14:textId="77777777" w:rsidR="002665BB" w:rsidRPr="002665BB" w:rsidRDefault="002665BB" w:rsidP="002665BB">
            <w:pPr>
              <w:tabs>
                <w:tab w:val="left" w:pos="240"/>
              </w:tabs>
              <w:autoSpaceDE/>
              <w:autoSpaceDN/>
              <w:contextualSpacing/>
              <w:jc w:val="both"/>
              <w:rPr>
                <w:rFonts w:ascii="Tahoma" w:hAnsi="Tahoma" w:cs="Tahoma"/>
                <w:bCs/>
                <w:lang w:val="es-CO"/>
                <w14:ligatures w14:val="none"/>
              </w:rPr>
            </w:pPr>
            <w:r w:rsidRPr="002665BB">
              <w:rPr>
                <w:rFonts w:ascii="Tahoma" w:hAnsi="Tahoma" w:cs="Tahoma"/>
                <w:bCs/>
                <w:lang w:val="es-CO"/>
                <w14:ligatures w14:val="none"/>
              </w:rPr>
              <w:t>SEGURO OBLIGATORIO QUE AMPARA LOS DAÑOS CORPORALES QUE SE CAUSEN A LAS PERSONAS EN ACCIDENTES DE TRÁNSITO – SOAT, el cual lo exige en la resolución No. 4170 del 05/10/2016, “por la cual se reglamente la expedición de la póliza de seguros obligatorio de accidente de tránsito y se dictan otras disposiciones”.</w:t>
            </w:r>
          </w:p>
          <w:p w14:paraId="2D76B132" w14:textId="77777777" w:rsidR="002665BB" w:rsidRPr="002665BB" w:rsidRDefault="002665BB" w:rsidP="002665BB">
            <w:pPr>
              <w:tabs>
                <w:tab w:val="left" w:pos="240"/>
              </w:tabs>
              <w:autoSpaceDE/>
              <w:autoSpaceDN/>
              <w:contextualSpacing/>
              <w:jc w:val="both"/>
              <w:rPr>
                <w:rFonts w:ascii="Tahoma" w:hAnsi="Tahoma" w:cs="Tahoma"/>
                <w:bCs/>
                <w:sz w:val="16"/>
                <w:szCs w:val="16"/>
                <w:lang w:val="es-CO"/>
                <w14:ligatures w14:val="none"/>
              </w:rPr>
            </w:pPr>
          </w:p>
          <w:p w14:paraId="3D78A17B" w14:textId="77777777" w:rsidR="002665BB" w:rsidRPr="002665BB" w:rsidRDefault="002665BB" w:rsidP="002665BB">
            <w:pPr>
              <w:tabs>
                <w:tab w:val="left" w:pos="240"/>
              </w:tabs>
              <w:autoSpaceDE/>
              <w:autoSpaceDN/>
              <w:contextualSpacing/>
              <w:jc w:val="both"/>
              <w:rPr>
                <w:rFonts w:ascii="Tahoma" w:hAnsi="Tahoma" w:cs="Tahoma"/>
                <w:bCs/>
                <w:lang w:val="es-CO"/>
                <w14:ligatures w14:val="none"/>
              </w:rPr>
            </w:pPr>
            <w:r w:rsidRPr="002665BB">
              <w:rPr>
                <w:rFonts w:ascii="Tahoma" w:hAnsi="Tahoma" w:cs="Tahoma"/>
                <w:bCs/>
                <w:lang w:val="es-CO"/>
                <w14:ligatures w14:val="none"/>
              </w:rPr>
              <w:t xml:space="preserve">El contratista debe cumplir con todas las disposiciones de la presente resolución. </w:t>
            </w:r>
          </w:p>
        </w:tc>
        <w:tc>
          <w:tcPr>
            <w:tcW w:w="689" w:type="pct"/>
            <w:vAlign w:val="center"/>
          </w:tcPr>
          <w:p w14:paraId="57D7CF1D"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0D3166CD"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tr w:rsidR="002665BB" w:rsidRPr="002665BB" w14:paraId="0BC5D2AA" w14:textId="77777777" w:rsidTr="00597D6C">
        <w:tc>
          <w:tcPr>
            <w:tcW w:w="308" w:type="pct"/>
            <w:vAlign w:val="center"/>
          </w:tcPr>
          <w:p w14:paraId="5B4EE12C"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2</w:t>
            </w:r>
          </w:p>
        </w:tc>
        <w:tc>
          <w:tcPr>
            <w:tcW w:w="3354" w:type="pct"/>
            <w:vAlign w:val="center"/>
          </w:tcPr>
          <w:p w14:paraId="7C212A53"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 xml:space="preserve">Características del SOAT: </w:t>
            </w:r>
          </w:p>
          <w:p w14:paraId="1F61AE16" w14:textId="77777777" w:rsidR="002665BB" w:rsidRPr="002665BB" w:rsidRDefault="002665BB" w:rsidP="002665BB">
            <w:pPr>
              <w:tabs>
                <w:tab w:val="left" w:pos="240"/>
              </w:tabs>
              <w:autoSpaceDE/>
              <w:autoSpaceDN/>
              <w:jc w:val="both"/>
              <w:rPr>
                <w:rFonts w:ascii="Tahoma" w:eastAsia="Calibri" w:hAnsi="Tahoma" w:cs="Tahoma"/>
                <w:bCs/>
                <w:sz w:val="16"/>
                <w:szCs w:val="16"/>
                <w:lang w:val="es-CO" w:eastAsia="en-US"/>
                <w14:ligatures w14:val="none"/>
              </w:rPr>
            </w:pPr>
          </w:p>
          <w:p w14:paraId="01604642"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Los asegurados son las personas que resulten lesionadas o con daños corporales en un accidente de tránsito.</w:t>
            </w:r>
          </w:p>
          <w:p w14:paraId="6573F14B" w14:textId="77777777" w:rsidR="002665BB" w:rsidRPr="002665BB" w:rsidRDefault="002665BB" w:rsidP="002665BB">
            <w:pPr>
              <w:tabs>
                <w:tab w:val="left" w:pos="240"/>
              </w:tabs>
              <w:autoSpaceDE/>
              <w:autoSpaceDN/>
              <w:jc w:val="both"/>
              <w:rPr>
                <w:rFonts w:ascii="Tahoma" w:eastAsia="Calibri" w:hAnsi="Tahoma" w:cs="Tahoma"/>
                <w:bCs/>
                <w:sz w:val="16"/>
                <w:szCs w:val="16"/>
                <w:lang w:val="es-CO" w:eastAsia="en-US"/>
                <w14:ligatures w14:val="none"/>
              </w:rPr>
            </w:pPr>
          </w:p>
          <w:p w14:paraId="2BFCC79B"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Las coberturas previstas son gastos médicos, farmacéuticos, hospitalarios y/o quirúrgicos; incapacidad permanente; fallecimiento, gastos funerarios y gastos de transporte para movilizar a los afectados de acuerdo con los topes establecidos.</w:t>
            </w:r>
          </w:p>
          <w:p w14:paraId="1B823FD5" w14:textId="77777777" w:rsidR="002665BB" w:rsidRPr="002665BB" w:rsidRDefault="002665BB" w:rsidP="002665BB">
            <w:pPr>
              <w:tabs>
                <w:tab w:val="left" w:pos="240"/>
              </w:tabs>
              <w:autoSpaceDE/>
              <w:autoSpaceDN/>
              <w:contextualSpacing/>
              <w:jc w:val="both"/>
              <w:rPr>
                <w:rFonts w:ascii="Tahoma" w:hAnsi="Tahoma" w:cs="Tahoma"/>
                <w:bCs/>
                <w:lang w:val="es-CO"/>
                <w14:ligatures w14:val="none"/>
              </w:rPr>
            </w:pPr>
            <w:r w:rsidRPr="002665BB">
              <w:rPr>
                <w:rFonts w:ascii="Tahoma" w:hAnsi="Tahoma" w:cs="Tahoma"/>
                <w:bCs/>
                <w:lang w:val="es-CO"/>
                <w14:ligatures w14:val="none"/>
              </w:rPr>
              <w:t>Es de cubrimiento universal, es decir, cubre a todas las personas lesionadas que resulten en un accidente de tránsito.</w:t>
            </w:r>
          </w:p>
        </w:tc>
        <w:tc>
          <w:tcPr>
            <w:tcW w:w="689" w:type="pct"/>
            <w:vAlign w:val="center"/>
          </w:tcPr>
          <w:p w14:paraId="6ED77C88"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5BD16969"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tr w:rsidR="002665BB" w:rsidRPr="002665BB" w14:paraId="573B7B85" w14:textId="77777777" w:rsidTr="00597D6C">
        <w:tc>
          <w:tcPr>
            <w:tcW w:w="308" w:type="pct"/>
            <w:vAlign w:val="center"/>
          </w:tcPr>
          <w:p w14:paraId="3F2F7E5A"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3</w:t>
            </w:r>
          </w:p>
        </w:tc>
        <w:tc>
          <w:tcPr>
            <w:tcW w:w="3354" w:type="pct"/>
            <w:vAlign w:val="center"/>
          </w:tcPr>
          <w:p w14:paraId="1C0F1E2F"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Qué no cubre el SOAT</w:t>
            </w:r>
          </w:p>
          <w:p w14:paraId="0B05C29A" w14:textId="77777777" w:rsidR="002665BB" w:rsidRPr="002665BB" w:rsidRDefault="002665BB" w:rsidP="002665BB">
            <w:pPr>
              <w:tabs>
                <w:tab w:val="left" w:pos="240"/>
              </w:tabs>
              <w:autoSpaceDE/>
              <w:autoSpaceDN/>
              <w:jc w:val="both"/>
              <w:rPr>
                <w:rFonts w:ascii="Tahoma" w:eastAsia="Calibri" w:hAnsi="Tahoma" w:cs="Tahoma"/>
                <w:bCs/>
                <w:sz w:val="16"/>
                <w:szCs w:val="16"/>
                <w:lang w:val="es-CO" w:eastAsia="en-US"/>
                <w14:ligatures w14:val="none"/>
              </w:rPr>
            </w:pPr>
          </w:p>
          <w:p w14:paraId="77073308" w14:textId="77777777" w:rsidR="002665BB" w:rsidRPr="002665BB" w:rsidRDefault="002665BB" w:rsidP="002665BB">
            <w:pPr>
              <w:tabs>
                <w:tab w:val="left" w:pos="240"/>
              </w:tabs>
              <w:autoSpaceDE/>
              <w:autoSpaceDN/>
              <w:contextualSpacing/>
              <w:jc w:val="both"/>
              <w:rPr>
                <w:rFonts w:ascii="Tahoma" w:hAnsi="Tahoma" w:cs="Tahoma"/>
                <w:bCs/>
                <w:lang w:val="es-CO"/>
                <w14:ligatures w14:val="none"/>
              </w:rPr>
            </w:pPr>
            <w:r w:rsidRPr="002665BB">
              <w:rPr>
                <w:rFonts w:ascii="Tahoma" w:hAnsi="Tahoma" w:cs="Tahoma"/>
                <w:bCs/>
                <w:lang w:val="es-CO"/>
                <w14:ligatures w14:val="none"/>
              </w:rPr>
              <w:t>El SOAT no cubre los daños patrimoniales causados por un accidente de tránsito (pérdida parcial o total del vehículo automotor) ni lesiones personales que no hayan sido ocasionadas en un accidente de tránsito (accidentes en el hogar, por ejemplo).</w:t>
            </w:r>
          </w:p>
        </w:tc>
        <w:tc>
          <w:tcPr>
            <w:tcW w:w="689" w:type="pct"/>
            <w:vAlign w:val="center"/>
          </w:tcPr>
          <w:p w14:paraId="6A3DB6BC"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5C983BD0"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tr w:rsidR="002665BB" w:rsidRPr="002665BB" w14:paraId="6BD73C02" w14:textId="77777777" w:rsidTr="00597D6C">
        <w:tc>
          <w:tcPr>
            <w:tcW w:w="308" w:type="pct"/>
            <w:vAlign w:val="center"/>
          </w:tcPr>
          <w:p w14:paraId="1FFE78CE"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4</w:t>
            </w:r>
          </w:p>
        </w:tc>
        <w:tc>
          <w:tcPr>
            <w:tcW w:w="3354" w:type="pct"/>
            <w:vAlign w:val="center"/>
          </w:tcPr>
          <w:p w14:paraId="006D485D" w14:textId="77777777" w:rsidR="002665BB" w:rsidRPr="002665BB" w:rsidRDefault="002665BB" w:rsidP="002665BB">
            <w:pPr>
              <w:tabs>
                <w:tab w:val="left" w:pos="240"/>
              </w:tabs>
              <w:autoSpaceDE/>
              <w:autoSpaceDN/>
              <w:contextualSpacing/>
              <w:jc w:val="both"/>
              <w:rPr>
                <w:rFonts w:ascii="Tahoma" w:hAnsi="Tahoma" w:cs="Tahoma"/>
                <w:bCs/>
                <w:lang w:val="es-CO"/>
                <w14:ligatures w14:val="none"/>
              </w:rPr>
            </w:pPr>
            <w:r w:rsidRPr="002665BB">
              <w:rPr>
                <w:rFonts w:ascii="Tahoma" w:hAnsi="Tahoma" w:cs="Tahoma"/>
                <w:bCs/>
                <w:lang w:val="es-CO"/>
                <w14:ligatures w14:val="none"/>
              </w:rPr>
              <w:t>La contratación de las pólizas SOAT se requieren para una vigencia técnica de trescientos sesenta y cinco (365) días contados a partir de las fechas de vencimiento de las mismas.</w:t>
            </w:r>
          </w:p>
        </w:tc>
        <w:tc>
          <w:tcPr>
            <w:tcW w:w="689" w:type="pct"/>
            <w:vAlign w:val="center"/>
          </w:tcPr>
          <w:p w14:paraId="7B7DBCDF"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21C3B3D8"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tr w:rsidR="002665BB" w:rsidRPr="002665BB" w14:paraId="71D6B5BC" w14:textId="77777777" w:rsidTr="00597D6C">
        <w:tc>
          <w:tcPr>
            <w:tcW w:w="308" w:type="pct"/>
            <w:vAlign w:val="center"/>
          </w:tcPr>
          <w:p w14:paraId="3B261110"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5</w:t>
            </w:r>
          </w:p>
        </w:tc>
        <w:tc>
          <w:tcPr>
            <w:tcW w:w="3354" w:type="pct"/>
            <w:vAlign w:val="center"/>
          </w:tcPr>
          <w:p w14:paraId="3E6961DD" w14:textId="77777777" w:rsidR="002665BB" w:rsidRPr="002665BB" w:rsidRDefault="002665BB" w:rsidP="002665BB">
            <w:pPr>
              <w:tabs>
                <w:tab w:val="left" w:pos="240"/>
              </w:tabs>
              <w:autoSpaceDE/>
              <w:autoSpaceDN/>
              <w:contextualSpacing/>
              <w:jc w:val="both"/>
              <w:rPr>
                <w:rFonts w:ascii="Tahoma" w:hAnsi="Tahoma" w:cs="Tahoma"/>
                <w:bCs/>
                <w:lang w:val="es-CO"/>
                <w14:ligatures w14:val="none"/>
              </w:rPr>
            </w:pPr>
            <w:r w:rsidRPr="002665BB">
              <w:rPr>
                <w:rFonts w:ascii="Tahoma" w:hAnsi="Tahoma" w:cs="Tahoma"/>
                <w:bCs/>
                <w:lang w:val="es-CO"/>
                <w14:ligatures w14:val="none"/>
              </w:rPr>
              <w:t>El contratista se compromete a entregar el seguro obligatorio de conformidad a lo establecido por Ministerio de Transporte, la Dirección de Tránsito y Transporte de la Policía Nacional (DITRA) y la Federación de Aseguradores Colombianos</w:t>
            </w:r>
          </w:p>
        </w:tc>
        <w:tc>
          <w:tcPr>
            <w:tcW w:w="689" w:type="pct"/>
            <w:vAlign w:val="center"/>
          </w:tcPr>
          <w:p w14:paraId="6BDC26F6"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77CF96BD"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tr w:rsidR="002665BB" w:rsidRPr="002665BB" w14:paraId="6DD3FF6E" w14:textId="77777777" w:rsidTr="00597D6C">
        <w:tc>
          <w:tcPr>
            <w:tcW w:w="308" w:type="pct"/>
            <w:vAlign w:val="center"/>
          </w:tcPr>
          <w:p w14:paraId="5506EED9"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6</w:t>
            </w:r>
          </w:p>
        </w:tc>
        <w:tc>
          <w:tcPr>
            <w:tcW w:w="3354" w:type="pct"/>
            <w:vAlign w:val="center"/>
          </w:tcPr>
          <w:p w14:paraId="0605D6EC"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 xml:space="preserve">Cumplir con las coberturas incorporadas en el SOAT, de acuerdo con la normativa vigente (Decreto 780 del 2016 modificado por el Decreto 2644 de </w:t>
            </w:r>
            <w:r w:rsidRPr="002665BB">
              <w:rPr>
                <w:rFonts w:ascii="Tahoma" w:eastAsia="Calibri" w:hAnsi="Tahoma" w:cs="Tahoma"/>
                <w:bCs/>
                <w:lang w:val="es-CO" w:eastAsia="en-US"/>
                <w14:ligatures w14:val="none"/>
              </w:rPr>
              <w:lastRenderedPageBreak/>
              <w:t>2022).</w:t>
            </w:r>
          </w:p>
          <w:p w14:paraId="2912D847" w14:textId="77777777" w:rsidR="002665BB" w:rsidRPr="002665BB" w:rsidRDefault="002665BB" w:rsidP="002665BB">
            <w:pPr>
              <w:tabs>
                <w:tab w:val="left" w:pos="240"/>
              </w:tabs>
              <w:autoSpaceDE/>
              <w:autoSpaceDN/>
              <w:jc w:val="both"/>
              <w:rPr>
                <w:rFonts w:ascii="Tahoma" w:eastAsia="Calibri" w:hAnsi="Tahoma" w:cs="Tahoma"/>
                <w:bCs/>
                <w:sz w:val="16"/>
                <w:szCs w:val="16"/>
                <w:lang w:val="es-CO" w:eastAsia="en-US"/>
                <w14:ligatures w14:val="none"/>
              </w:rPr>
            </w:pPr>
          </w:p>
          <w:p w14:paraId="52FFECA4" w14:textId="77777777" w:rsidR="002665BB" w:rsidRPr="002665BB" w:rsidRDefault="002665BB" w:rsidP="002665BB">
            <w:pPr>
              <w:tabs>
                <w:tab w:val="left" w:pos="240"/>
              </w:tabs>
              <w:autoSpaceDE/>
              <w:autoSpaceDN/>
              <w:contextualSpacing/>
              <w:jc w:val="both"/>
              <w:rPr>
                <w:rFonts w:ascii="Tahoma" w:hAnsi="Tahoma" w:cs="Tahoma"/>
                <w:bCs/>
                <w:lang w:val="es-CO"/>
                <w14:ligatures w14:val="none"/>
              </w:rPr>
            </w:pPr>
            <w:r w:rsidRPr="002665BB">
              <w:rPr>
                <w:rFonts w:ascii="Tahoma" w:hAnsi="Tahoma" w:cs="Tahoma"/>
                <w:bCs/>
                <w:lang w:val="es-CO"/>
                <w14:ligatures w14:val="none"/>
              </w:rPr>
              <w:t xml:space="preserve">Cabe aclarar que las tarifas fueron fijadas en Salarios Mínimos Legales Diarios Vigentes y Unidades de Valor Tributario, de modo que se modifiquen cada vez que el Gobierno Nacional actualice estas cifras y mantengan su poder adquisitivo en el tiempo de ejecución del contrato. </w:t>
            </w:r>
          </w:p>
        </w:tc>
        <w:tc>
          <w:tcPr>
            <w:tcW w:w="689" w:type="pct"/>
            <w:vAlign w:val="center"/>
          </w:tcPr>
          <w:p w14:paraId="3F26290B"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36016031"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tr w:rsidR="002665BB" w:rsidRPr="002665BB" w14:paraId="219DF1AA" w14:textId="77777777" w:rsidTr="00597D6C">
        <w:tc>
          <w:tcPr>
            <w:tcW w:w="308" w:type="pct"/>
            <w:vAlign w:val="center"/>
          </w:tcPr>
          <w:p w14:paraId="78FB11AC"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7</w:t>
            </w:r>
          </w:p>
        </w:tc>
        <w:tc>
          <w:tcPr>
            <w:tcW w:w="3354" w:type="pct"/>
            <w:vAlign w:val="center"/>
          </w:tcPr>
          <w:p w14:paraId="52E1F748"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Los seguros obligatorios SOAT, deberán ser entregados en las cantidades requeridas en coordinación con el supervisor y con las características técnicas exigidas por la normatividad vigente.</w:t>
            </w:r>
          </w:p>
        </w:tc>
        <w:tc>
          <w:tcPr>
            <w:tcW w:w="689" w:type="pct"/>
            <w:vAlign w:val="center"/>
          </w:tcPr>
          <w:p w14:paraId="41D8727A"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27AC8CB0"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tr w:rsidR="002665BB" w:rsidRPr="002665BB" w14:paraId="18720913" w14:textId="77777777" w:rsidTr="00597D6C">
        <w:tc>
          <w:tcPr>
            <w:tcW w:w="308" w:type="pct"/>
            <w:vAlign w:val="center"/>
          </w:tcPr>
          <w:p w14:paraId="434CC34D"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8</w:t>
            </w:r>
          </w:p>
        </w:tc>
        <w:tc>
          <w:tcPr>
            <w:tcW w:w="3354" w:type="pct"/>
            <w:vAlign w:val="center"/>
          </w:tcPr>
          <w:p w14:paraId="72ED31D1"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ACUERDO DE CONFIDENCIALIDAD DE LA INFORMACIÓN. El oferente se obliga a no suministrar información que obtenga o conozca con ocasión de la ejecución del presente contrato y que se encuentre calificada como confidencial. Por tal razón deberán diligenciar un acuerdo de confidencialidad y no revelación de la información el cual se encuentra en el FORMULARIO ACUERDO DE CONFIDENCIALIDAD.</w:t>
            </w:r>
          </w:p>
        </w:tc>
        <w:tc>
          <w:tcPr>
            <w:tcW w:w="689" w:type="pct"/>
            <w:vAlign w:val="center"/>
          </w:tcPr>
          <w:p w14:paraId="109D1EC2"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76B1A774"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tr w:rsidR="002665BB" w:rsidRPr="002665BB" w14:paraId="59AC7033" w14:textId="77777777" w:rsidTr="00597D6C">
        <w:tc>
          <w:tcPr>
            <w:tcW w:w="308" w:type="pct"/>
            <w:vAlign w:val="center"/>
          </w:tcPr>
          <w:p w14:paraId="69D2E229"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r w:rsidRPr="002665BB">
              <w:rPr>
                <w:rFonts w:ascii="Tahoma" w:hAnsi="Tahoma" w:cs="Tahoma"/>
                <w:bCs/>
                <w:lang w:val="es-CO"/>
                <w14:ligatures w14:val="none"/>
              </w:rPr>
              <w:t>9</w:t>
            </w:r>
          </w:p>
        </w:tc>
        <w:tc>
          <w:tcPr>
            <w:tcW w:w="3354" w:type="pct"/>
            <w:vAlign w:val="center"/>
          </w:tcPr>
          <w:p w14:paraId="5A3B2AF1"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SISTEMA DE GESTIÓN DE SEGURIDAD Y SALUD EN EL TRABAJO – SG-SST</w:t>
            </w:r>
          </w:p>
          <w:p w14:paraId="2AEB368B" w14:textId="77777777" w:rsidR="002665BB" w:rsidRPr="002665BB" w:rsidRDefault="002665BB" w:rsidP="002665BB">
            <w:pPr>
              <w:tabs>
                <w:tab w:val="left" w:pos="240"/>
              </w:tabs>
              <w:autoSpaceDE/>
              <w:autoSpaceDN/>
              <w:jc w:val="both"/>
              <w:rPr>
                <w:rFonts w:ascii="Tahoma" w:eastAsia="Calibri" w:hAnsi="Tahoma" w:cs="Tahoma"/>
                <w:bCs/>
                <w:sz w:val="16"/>
                <w:szCs w:val="16"/>
                <w:lang w:val="es-CO" w:eastAsia="en-US"/>
                <w14:ligatures w14:val="none"/>
              </w:rPr>
            </w:pPr>
          </w:p>
          <w:p w14:paraId="1C9847EB"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190BB88C" w14:textId="77777777" w:rsidR="002665BB" w:rsidRPr="002665BB" w:rsidRDefault="002665BB" w:rsidP="002665BB">
            <w:pPr>
              <w:tabs>
                <w:tab w:val="left" w:pos="240"/>
              </w:tabs>
              <w:autoSpaceDE/>
              <w:autoSpaceDN/>
              <w:jc w:val="both"/>
              <w:rPr>
                <w:rFonts w:ascii="Tahoma" w:eastAsia="Calibri" w:hAnsi="Tahoma" w:cs="Tahoma"/>
                <w:bCs/>
                <w:sz w:val="16"/>
                <w:szCs w:val="16"/>
                <w:lang w:val="es-CO" w:eastAsia="en-US"/>
                <w14:ligatures w14:val="none"/>
              </w:rPr>
            </w:pPr>
          </w:p>
          <w:p w14:paraId="71B392D8"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 xml:space="preserve">Frente al cumplimiento el oferente deberá dar cumplimiento con la Resolución 1111 de 2017, frente la evaluación de los estándares mínimos y los planes de acción para ejecutar en la vigencia 2018 y cierre en la vigencia 2019. </w:t>
            </w:r>
          </w:p>
          <w:p w14:paraId="11156D52" w14:textId="77777777" w:rsidR="002665BB" w:rsidRPr="002665BB" w:rsidRDefault="002665BB" w:rsidP="002665BB">
            <w:pPr>
              <w:tabs>
                <w:tab w:val="left" w:pos="240"/>
              </w:tabs>
              <w:autoSpaceDE/>
              <w:autoSpaceDN/>
              <w:jc w:val="both"/>
              <w:rPr>
                <w:rFonts w:ascii="Tahoma" w:eastAsia="Calibri" w:hAnsi="Tahoma" w:cs="Tahoma"/>
                <w:bCs/>
                <w:sz w:val="16"/>
                <w:szCs w:val="16"/>
                <w:lang w:val="es-CO" w:eastAsia="en-US"/>
                <w14:ligatures w14:val="none"/>
              </w:rPr>
            </w:pPr>
          </w:p>
          <w:p w14:paraId="7E0F9836" w14:textId="77777777" w:rsidR="002665BB" w:rsidRPr="002665BB" w:rsidRDefault="002665BB" w:rsidP="002665BB">
            <w:pPr>
              <w:tabs>
                <w:tab w:val="left" w:pos="240"/>
              </w:tabs>
              <w:autoSpaceDE/>
              <w:autoSpaceDN/>
              <w:jc w:val="both"/>
              <w:rPr>
                <w:rFonts w:ascii="Tahoma" w:eastAsia="Calibri" w:hAnsi="Tahoma" w:cs="Tahoma"/>
                <w:bCs/>
                <w:lang w:val="es-CO" w:eastAsia="en-US"/>
                <w14:ligatures w14:val="none"/>
              </w:rPr>
            </w:pPr>
            <w:r w:rsidRPr="002665BB">
              <w:rPr>
                <w:rFonts w:ascii="Tahoma" w:eastAsia="Calibri" w:hAnsi="Tahoma" w:cs="Tahoma"/>
                <w:bCs/>
                <w:lang w:val="es-CO" w:eastAsia="en-US"/>
                <w14:ligatures w14:val="none"/>
              </w:rPr>
              <w:t>Finalmente, los contratistas deberán tener en cuenta la normatividad vigente colombiana, de acuerdo a la actividad económica que desempeñen entre los cuales se encuentran la Ley 1562 de 2012, Decreto 723 de 2013, Resolución 2346 de 2007, Resolución 1401 de 2007, entre otras en las que aplique.</w:t>
            </w:r>
          </w:p>
        </w:tc>
        <w:tc>
          <w:tcPr>
            <w:tcW w:w="689" w:type="pct"/>
            <w:vAlign w:val="center"/>
          </w:tcPr>
          <w:p w14:paraId="374F3D03"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c>
          <w:tcPr>
            <w:tcW w:w="650" w:type="pct"/>
            <w:vAlign w:val="center"/>
          </w:tcPr>
          <w:p w14:paraId="75E47D6B" w14:textId="77777777" w:rsidR="002665BB" w:rsidRPr="002665BB" w:rsidRDefault="002665BB" w:rsidP="002665BB">
            <w:pPr>
              <w:tabs>
                <w:tab w:val="left" w:pos="240"/>
              </w:tabs>
              <w:autoSpaceDE/>
              <w:autoSpaceDN/>
              <w:contextualSpacing/>
              <w:jc w:val="center"/>
              <w:rPr>
                <w:rFonts w:ascii="Tahoma" w:hAnsi="Tahoma" w:cs="Tahoma"/>
                <w:bCs/>
                <w:lang w:val="es-CO"/>
                <w14:ligatures w14:val="none"/>
              </w:rPr>
            </w:pPr>
          </w:p>
        </w:tc>
      </w:tr>
      <w:bookmarkEnd w:id="1"/>
    </w:tbl>
    <w:p w14:paraId="12495FED" w14:textId="77777777" w:rsidR="001B7FFB" w:rsidRDefault="001B7FFB" w:rsidP="005B510A">
      <w:pPr>
        <w:tabs>
          <w:tab w:val="left" w:pos="-1080"/>
          <w:tab w:val="left" w:pos="0"/>
        </w:tabs>
        <w:jc w:val="both"/>
        <w:rPr>
          <w:rFonts w:ascii="Tahoma" w:hAnsi="Tahoma" w:cs="Tahoma"/>
          <w:bCs/>
        </w:rPr>
      </w:pPr>
    </w:p>
    <w:p w14:paraId="021F1083" w14:textId="77777777" w:rsidR="005B510A" w:rsidRDefault="005B510A" w:rsidP="005B510A">
      <w:pPr>
        <w:pStyle w:val="Textoindependiente"/>
        <w:numPr>
          <w:ilvl w:val="0"/>
          <w:numId w:val="1"/>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7CC92CB4" w14:textId="77777777" w:rsidR="005B510A" w:rsidRDefault="005B510A" w:rsidP="005B510A">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 xml:space="preserve">deberá anexar al SECOP II todos los certificados y demás documentos que en algunos puntos se solicitan. </w:t>
      </w:r>
    </w:p>
    <w:p w14:paraId="4CC501A9" w14:textId="77777777" w:rsidR="005B510A" w:rsidRDefault="005B510A" w:rsidP="005B510A">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 xml:space="preserve">El oferente deberá tener la capacidad de ofertar en todos los ítems. </w:t>
      </w:r>
    </w:p>
    <w:p w14:paraId="3CDD7C26" w14:textId="548A5C53" w:rsidR="005B510A" w:rsidRPr="00203EC2" w:rsidRDefault="005B510A" w:rsidP="005B510A">
      <w:pPr>
        <w:pStyle w:val="Textoindependiente"/>
        <w:numPr>
          <w:ilvl w:val="0"/>
          <w:numId w:val="1"/>
        </w:numPr>
        <w:spacing w:line="0" w:lineRule="atLeast"/>
        <w:jc w:val="both"/>
        <w:rPr>
          <w:rFonts w:ascii="Tahoma" w:hAnsi="Tahoma" w:cs="Tahoma"/>
          <w:sz w:val="20"/>
          <w:szCs w:val="22"/>
          <w:lang w:val="es-CO"/>
        </w:rPr>
      </w:pPr>
      <w:r w:rsidRPr="003C5B17">
        <w:rPr>
          <w:rFonts w:ascii="Tahoma" w:hAnsi="Tahoma" w:cs="Tahoma"/>
          <w:sz w:val="20"/>
          <w:szCs w:val="22"/>
          <w:lang w:val="es-CO"/>
        </w:rPr>
        <w:t>Para el correcto diligenciamiento del presente formulario, debe reemplazar la información solicitada</w:t>
      </w:r>
      <w:r>
        <w:rPr>
          <w:rFonts w:ascii="Tahoma" w:hAnsi="Tahoma" w:cs="Tahoma"/>
          <w:sz w:val="20"/>
          <w:szCs w:val="22"/>
          <w:lang w:val="es-CO"/>
        </w:rPr>
        <w:t xml:space="preserve">. </w:t>
      </w:r>
    </w:p>
    <w:p w14:paraId="01E29E8B"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C.C </w:t>
      </w:r>
      <w:r w:rsidRPr="00393783">
        <w:rPr>
          <w:rFonts w:ascii="Segoe UI Symbol" w:hAnsi="Segoe UI Symbol" w:cs="Segoe UI Symbol"/>
          <w:b/>
          <w:lang w:val="es-CO"/>
        </w:rPr>
        <w:t>☐</w:t>
      </w:r>
      <w:r w:rsidRPr="00393783">
        <w:rPr>
          <w:rFonts w:ascii="Tahoma" w:hAnsi="Tahoma" w:cs="Tahoma"/>
          <w:b/>
          <w:lang w:val="es-CO"/>
        </w:rPr>
        <w:t xml:space="preserve">  C.E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(C.C </w:t>
      </w:r>
      <w:r w:rsidRPr="00393783">
        <w:rPr>
          <w:rFonts w:ascii="Segoe UI Symbol" w:hAnsi="Segoe UI Symbol" w:cs="Segoe UI Symbol"/>
          <w:b/>
          <w:lang w:val="es-CO"/>
        </w:rPr>
        <w:t>☐</w:t>
      </w:r>
      <w:r w:rsidRPr="00393783">
        <w:rPr>
          <w:rFonts w:ascii="Tahoma" w:hAnsi="Tahoma" w:cs="Tahoma"/>
          <w:b/>
          <w:lang w:val="es-CO"/>
        </w:rPr>
        <w:t xml:space="preserve">  C.E.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7"/>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770EA" w14:textId="77777777" w:rsidR="00FB66CA" w:rsidRDefault="00FB66CA" w:rsidP="005B510A">
      <w:r>
        <w:separator/>
      </w:r>
    </w:p>
  </w:endnote>
  <w:endnote w:type="continuationSeparator" w:id="0">
    <w:p w14:paraId="2B1AD59C" w14:textId="77777777" w:rsidR="00FB66CA" w:rsidRDefault="00FB66CA"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44D83" w14:textId="77777777" w:rsidR="00FB66CA" w:rsidRDefault="00FB66CA" w:rsidP="005B510A">
      <w:r>
        <w:separator/>
      </w:r>
    </w:p>
  </w:footnote>
  <w:footnote w:type="continuationSeparator" w:id="0">
    <w:p w14:paraId="2BE6DC5E" w14:textId="77777777" w:rsidR="00FB66CA" w:rsidRDefault="00FB66CA"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Código: 2BS-FR-0035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0"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num w:numId="1" w16cid:durableId="443960878">
    <w:abstractNumId w:val="8"/>
  </w:num>
  <w:num w:numId="2" w16cid:durableId="2021658916">
    <w:abstractNumId w:val="6"/>
  </w:num>
  <w:num w:numId="3" w16cid:durableId="1373118032">
    <w:abstractNumId w:val="5"/>
  </w:num>
  <w:num w:numId="4" w16cid:durableId="1899629488">
    <w:abstractNumId w:val="1"/>
  </w:num>
  <w:num w:numId="5" w16cid:durableId="1201018243">
    <w:abstractNumId w:val="9"/>
  </w:num>
  <w:num w:numId="6" w16cid:durableId="1442144625">
    <w:abstractNumId w:val="12"/>
  </w:num>
  <w:num w:numId="7" w16cid:durableId="405690338">
    <w:abstractNumId w:val="4"/>
  </w:num>
  <w:num w:numId="8" w16cid:durableId="886644036">
    <w:abstractNumId w:val="11"/>
  </w:num>
  <w:num w:numId="9" w16cid:durableId="2055032317">
    <w:abstractNumId w:val="2"/>
  </w:num>
  <w:num w:numId="10" w16cid:durableId="1239024956">
    <w:abstractNumId w:val="10"/>
  </w:num>
  <w:num w:numId="11" w16cid:durableId="1589578579">
    <w:abstractNumId w:val="3"/>
  </w:num>
  <w:num w:numId="12" w16cid:durableId="1397583378">
    <w:abstractNumId w:val="0"/>
  </w:num>
  <w:num w:numId="13" w16cid:durableId="13070089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73A0"/>
    <w:rsid w:val="000524E2"/>
    <w:rsid w:val="00076CEE"/>
    <w:rsid w:val="000862DA"/>
    <w:rsid w:val="000A54E3"/>
    <w:rsid w:val="000B63AC"/>
    <w:rsid w:val="000D267B"/>
    <w:rsid w:val="000F43FF"/>
    <w:rsid w:val="000F4974"/>
    <w:rsid w:val="001034FE"/>
    <w:rsid w:val="001041C2"/>
    <w:rsid w:val="001156A1"/>
    <w:rsid w:val="001256AE"/>
    <w:rsid w:val="00133FC1"/>
    <w:rsid w:val="00140E9A"/>
    <w:rsid w:val="001477AE"/>
    <w:rsid w:val="0017491D"/>
    <w:rsid w:val="0018067D"/>
    <w:rsid w:val="001853DB"/>
    <w:rsid w:val="00192866"/>
    <w:rsid w:val="001B7FFB"/>
    <w:rsid w:val="001D183F"/>
    <w:rsid w:val="00211229"/>
    <w:rsid w:val="00227BFD"/>
    <w:rsid w:val="00260B8E"/>
    <w:rsid w:val="002665BB"/>
    <w:rsid w:val="002A58F3"/>
    <w:rsid w:val="002C37AE"/>
    <w:rsid w:val="00306959"/>
    <w:rsid w:val="00312A8C"/>
    <w:rsid w:val="0034204A"/>
    <w:rsid w:val="003431D7"/>
    <w:rsid w:val="003552AD"/>
    <w:rsid w:val="00357F11"/>
    <w:rsid w:val="00360C20"/>
    <w:rsid w:val="00370E06"/>
    <w:rsid w:val="003763E4"/>
    <w:rsid w:val="003779DA"/>
    <w:rsid w:val="003A09E4"/>
    <w:rsid w:val="003B3579"/>
    <w:rsid w:val="003C7EE0"/>
    <w:rsid w:val="003D68BC"/>
    <w:rsid w:val="003E2CAF"/>
    <w:rsid w:val="003E7BB6"/>
    <w:rsid w:val="004047AB"/>
    <w:rsid w:val="00445E06"/>
    <w:rsid w:val="004477F1"/>
    <w:rsid w:val="00470241"/>
    <w:rsid w:val="004767BC"/>
    <w:rsid w:val="00487D01"/>
    <w:rsid w:val="004974E0"/>
    <w:rsid w:val="004B22B6"/>
    <w:rsid w:val="004C22BF"/>
    <w:rsid w:val="004D1043"/>
    <w:rsid w:val="004D4C58"/>
    <w:rsid w:val="005057EF"/>
    <w:rsid w:val="00522503"/>
    <w:rsid w:val="0054514A"/>
    <w:rsid w:val="00547DEF"/>
    <w:rsid w:val="005B3FB4"/>
    <w:rsid w:val="005B510A"/>
    <w:rsid w:val="005C5B2B"/>
    <w:rsid w:val="005E6A69"/>
    <w:rsid w:val="005E6E87"/>
    <w:rsid w:val="005F576C"/>
    <w:rsid w:val="006313E0"/>
    <w:rsid w:val="00632576"/>
    <w:rsid w:val="00633D11"/>
    <w:rsid w:val="00654AD2"/>
    <w:rsid w:val="006605C5"/>
    <w:rsid w:val="00682444"/>
    <w:rsid w:val="006A3AB6"/>
    <w:rsid w:val="006A6CE1"/>
    <w:rsid w:val="00713051"/>
    <w:rsid w:val="00725B5B"/>
    <w:rsid w:val="00727DE1"/>
    <w:rsid w:val="00734327"/>
    <w:rsid w:val="007362F9"/>
    <w:rsid w:val="00755BF6"/>
    <w:rsid w:val="00755FCA"/>
    <w:rsid w:val="0075779C"/>
    <w:rsid w:val="00766096"/>
    <w:rsid w:val="00771A0E"/>
    <w:rsid w:val="00772147"/>
    <w:rsid w:val="00782B7D"/>
    <w:rsid w:val="007877EF"/>
    <w:rsid w:val="007B31C4"/>
    <w:rsid w:val="007D02E3"/>
    <w:rsid w:val="008011DC"/>
    <w:rsid w:val="00814A9A"/>
    <w:rsid w:val="00827B05"/>
    <w:rsid w:val="0083477D"/>
    <w:rsid w:val="00866718"/>
    <w:rsid w:val="00875082"/>
    <w:rsid w:val="00890AE7"/>
    <w:rsid w:val="008C146D"/>
    <w:rsid w:val="008C3DA7"/>
    <w:rsid w:val="008C4C8B"/>
    <w:rsid w:val="008D0C0C"/>
    <w:rsid w:val="008D33E4"/>
    <w:rsid w:val="008D478F"/>
    <w:rsid w:val="008F746C"/>
    <w:rsid w:val="008F7968"/>
    <w:rsid w:val="00906D5E"/>
    <w:rsid w:val="00973F3A"/>
    <w:rsid w:val="009C3468"/>
    <w:rsid w:val="009E762C"/>
    <w:rsid w:val="009F67ED"/>
    <w:rsid w:val="00A01136"/>
    <w:rsid w:val="00A03690"/>
    <w:rsid w:val="00A22CEA"/>
    <w:rsid w:val="00A323BB"/>
    <w:rsid w:val="00A50F1D"/>
    <w:rsid w:val="00A87210"/>
    <w:rsid w:val="00A902F0"/>
    <w:rsid w:val="00AA1CED"/>
    <w:rsid w:val="00AA417E"/>
    <w:rsid w:val="00AA5556"/>
    <w:rsid w:val="00AB11D8"/>
    <w:rsid w:val="00AC56B0"/>
    <w:rsid w:val="00B04489"/>
    <w:rsid w:val="00B27FC7"/>
    <w:rsid w:val="00B51B3A"/>
    <w:rsid w:val="00B653EB"/>
    <w:rsid w:val="00B84DAD"/>
    <w:rsid w:val="00BA4CBD"/>
    <w:rsid w:val="00BB3F8B"/>
    <w:rsid w:val="00BC11EB"/>
    <w:rsid w:val="00BC6FC2"/>
    <w:rsid w:val="00BE4A01"/>
    <w:rsid w:val="00BF4900"/>
    <w:rsid w:val="00BF4994"/>
    <w:rsid w:val="00BF72BA"/>
    <w:rsid w:val="00C02138"/>
    <w:rsid w:val="00C10B52"/>
    <w:rsid w:val="00C27590"/>
    <w:rsid w:val="00C30EB9"/>
    <w:rsid w:val="00C40F75"/>
    <w:rsid w:val="00C410E8"/>
    <w:rsid w:val="00C46FA2"/>
    <w:rsid w:val="00C5281E"/>
    <w:rsid w:val="00C62031"/>
    <w:rsid w:val="00C64CE3"/>
    <w:rsid w:val="00C6797F"/>
    <w:rsid w:val="00C75726"/>
    <w:rsid w:val="00C90F4F"/>
    <w:rsid w:val="00CA0C95"/>
    <w:rsid w:val="00D02705"/>
    <w:rsid w:val="00D06CE2"/>
    <w:rsid w:val="00D14933"/>
    <w:rsid w:val="00D75C9B"/>
    <w:rsid w:val="00D84275"/>
    <w:rsid w:val="00D86421"/>
    <w:rsid w:val="00D93F2D"/>
    <w:rsid w:val="00D95957"/>
    <w:rsid w:val="00D964F9"/>
    <w:rsid w:val="00DA68B3"/>
    <w:rsid w:val="00DB6C92"/>
    <w:rsid w:val="00E14DD3"/>
    <w:rsid w:val="00E15CE8"/>
    <w:rsid w:val="00E413DB"/>
    <w:rsid w:val="00E54B26"/>
    <w:rsid w:val="00E6732C"/>
    <w:rsid w:val="00E84D32"/>
    <w:rsid w:val="00E850B2"/>
    <w:rsid w:val="00E93D0C"/>
    <w:rsid w:val="00EB3466"/>
    <w:rsid w:val="00EB490F"/>
    <w:rsid w:val="00ED3A82"/>
    <w:rsid w:val="00EE64B7"/>
    <w:rsid w:val="00EF2936"/>
    <w:rsid w:val="00F1517E"/>
    <w:rsid w:val="00F20997"/>
    <w:rsid w:val="00F210B6"/>
    <w:rsid w:val="00F23177"/>
    <w:rsid w:val="00F349B5"/>
    <w:rsid w:val="00F36587"/>
    <w:rsid w:val="00F45ECE"/>
    <w:rsid w:val="00F6310D"/>
    <w:rsid w:val="00F9651C"/>
    <w:rsid w:val="00FB4EBD"/>
    <w:rsid w:val="00FB66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898</Words>
  <Characters>4943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OFCON</cp:lastModifiedBy>
  <cp:revision>117</cp:revision>
  <dcterms:created xsi:type="dcterms:W3CDTF">2024-02-27T16:24:00Z</dcterms:created>
  <dcterms:modified xsi:type="dcterms:W3CDTF">2026-10-21T21:31:00Z</dcterms:modified>
</cp:coreProperties>
</file>