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4A55" w14:textId="77777777" w:rsidR="007E513C" w:rsidRDefault="007E513C">
      <w:pPr>
        <w:jc w:val="center"/>
        <w:rPr>
          <w:rFonts w:ascii="Verdana" w:eastAsia="Verdana" w:hAnsi="Verdana" w:cs="Verdana"/>
          <w:b/>
          <w:bCs/>
          <w:color w:val="000000"/>
        </w:rPr>
      </w:pPr>
    </w:p>
    <w:p w14:paraId="641B7019" w14:textId="77777777" w:rsidR="007E513C" w:rsidRDefault="007E513C">
      <w:pPr>
        <w:rPr>
          <w:rFonts w:ascii="Verdana" w:eastAsia="Verdana" w:hAnsi="Verdana" w:cs="Verdana"/>
          <w:color w:val="000000"/>
        </w:rPr>
      </w:pPr>
    </w:p>
    <w:p w14:paraId="0BA86B64" w14:textId="77777777" w:rsidR="007E513C" w:rsidRDefault="007E513C">
      <w:pPr>
        <w:rPr>
          <w:rFonts w:ascii="Verdana" w:eastAsia="Verdana" w:hAnsi="Verdana" w:cs="Verdana"/>
          <w:color w:val="000000"/>
        </w:rPr>
      </w:pPr>
    </w:p>
    <w:p w14:paraId="572C9BEA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Para el presente procedimiento contractual, en atención a la Ley 1150 de 2007 y los artículos 2.2.1.1.1.3.1 y 2.2.1.1.1.6.3. del Decreto 1082 de 2015, entiéndase por riesgo la probabilidad de ocurrencia de eventos aleatorios que afecten el desarrollo del m</w:t>
      </w:r>
      <w:r>
        <w:rPr>
          <w:rFonts w:ascii="Verdana" w:eastAsia="Verdana" w:hAnsi="Verdana" w:cs="Verdana"/>
          <w:color w:val="000000"/>
        </w:rPr>
        <w:t>ismo, generando una variación sobre el resultado esperado, tanto en relación con los costos como con las actividades a desarrollar en la ejecución contractual.</w:t>
      </w:r>
    </w:p>
    <w:p w14:paraId="65664FE0" w14:textId="77777777" w:rsidR="007E513C" w:rsidRDefault="007E513C">
      <w:pPr>
        <w:rPr>
          <w:rFonts w:ascii="Verdana" w:eastAsia="Verdana" w:hAnsi="Verdana" w:cs="Verdana"/>
          <w:color w:val="000000"/>
        </w:rPr>
      </w:pPr>
    </w:p>
    <w:p w14:paraId="2113257C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Corresponderá al contratista seleccionado la asunción del Riesgo previsible propio de este tipo</w:t>
      </w:r>
      <w:r>
        <w:rPr>
          <w:rFonts w:ascii="Verdana" w:eastAsia="Verdana" w:hAnsi="Verdana" w:cs="Verdana"/>
          <w:color w:val="000000"/>
        </w:rPr>
        <w:t xml:space="preserve"> de contratación asumiendo su costo, siempre que el mismo no se encuentre expresamente a cargo de la entidad en el contrato. </w:t>
      </w:r>
    </w:p>
    <w:p w14:paraId="7691C91B" w14:textId="77777777" w:rsidR="007E513C" w:rsidRDefault="007E513C">
      <w:pPr>
        <w:rPr>
          <w:rFonts w:ascii="Verdana" w:eastAsia="Verdana" w:hAnsi="Verdana" w:cs="Verdana"/>
          <w:color w:val="000000"/>
        </w:rPr>
      </w:pPr>
    </w:p>
    <w:p w14:paraId="51DD0073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De acuerdo con procedimiento de la referencia, nos permitimos establecer la tipificación, estimación y asignación de los riesgos </w:t>
      </w:r>
      <w:r>
        <w:rPr>
          <w:rFonts w:ascii="Verdana" w:eastAsia="Verdana" w:hAnsi="Verdana" w:cs="Verdana"/>
          <w:color w:val="000000"/>
        </w:rPr>
        <w:t>previsibles que puedan afectar el presente procedimiento.</w:t>
      </w:r>
    </w:p>
    <w:p w14:paraId="26672E7F" w14:textId="77777777" w:rsidR="007E513C" w:rsidRDefault="007E513C">
      <w:pPr>
        <w:rPr>
          <w:rFonts w:ascii="Verdana" w:eastAsia="Verdana" w:hAnsi="Verdana" w:cs="Verdana"/>
          <w:b/>
          <w:bCs/>
          <w:color w:val="000000"/>
          <w:u w:val="single"/>
        </w:rPr>
      </w:pPr>
    </w:p>
    <w:p w14:paraId="5F6F7522" w14:textId="77777777" w:rsidR="007E513C" w:rsidRDefault="001931D7">
      <w:pPr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Riesgo de corrupción y su relación con los riesgos financiero, legal y reputacional</w:t>
      </w:r>
    </w:p>
    <w:p w14:paraId="51ED7FA1" w14:textId="77777777" w:rsidR="007E513C" w:rsidRDefault="007E513C">
      <w:pPr>
        <w:rPr>
          <w:rFonts w:ascii="Verdana" w:eastAsia="Verdana" w:hAnsi="Verdana" w:cs="Verdana"/>
        </w:rPr>
      </w:pPr>
    </w:p>
    <w:p w14:paraId="1F461B02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En cumplimiento de la Ley 1474 de 2011 y de las directrices de Colombia Compra Eficiente, la Entidad tipifica, e</w:t>
      </w:r>
      <w:r>
        <w:rPr>
          <w:rFonts w:ascii="Verdana" w:eastAsia="Verdana" w:hAnsi="Verdana" w:cs="Verdana"/>
          <w:color w:val="000000"/>
        </w:rPr>
        <w:t>stima y asigna el riesgo de corrupción, entendido como la posibilidad de que, por acción u omisión, se use el poder para desviar la gestión de lo público hacia un beneficio privado. Este riesgo guarda relación directa con los riesgos financiero, legal y re</w:t>
      </w:r>
      <w:r>
        <w:rPr>
          <w:rFonts w:ascii="Verdana" w:eastAsia="Verdana" w:hAnsi="Verdana" w:cs="Verdana"/>
          <w:color w:val="000000"/>
        </w:rPr>
        <w:t xml:space="preserve">putacional, porque su materialización produce de manera simultánea: (i) un riesgo financiero, representado en detrimento patrimonial, sobrecostos, pago de obra no ejecutada y recursos insuficientes para terminar la obra; (ii) un riesgo legal, representado </w:t>
      </w:r>
      <w:r>
        <w:rPr>
          <w:rFonts w:ascii="Verdana" w:eastAsia="Verdana" w:hAnsi="Verdana" w:cs="Verdana"/>
          <w:color w:val="000000"/>
        </w:rPr>
        <w:t>en la nulidad del contrato, sanciones disciplinarias, fiscales y penales y demandas contra la Entidad; y (iii) un riesgo reputacional, representado en la pérdida de confianza de la comunidad de Toca y de legitimidad institucional.</w:t>
      </w:r>
    </w:p>
    <w:p w14:paraId="5F86D532" w14:textId="77777777" w:rsidR="007E513C" w:rsidRDefault="007E513C">
      <w:pPr>
        <w:rPr>
          <w:rFonts w:ascii="Verdana" w:eastAsia="Verdana" w:hAnsi="Verdana" w:cs="Verdana"/>
        </w:rPr>
      </w:pPr>
    </w:p>
    <w:p w14:paraId="52ADC537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Por esta razón, en la ma</w:t>
      </w:r>
      <w:r>
        <w:rPr>
          <w:rFonts w:ascii="Verdana" w:eastAsia="Verdana" w:hAnsi="Verdana" w:cs="Verdana"/>
          <w:color w:val="000000"/>
        </w:rPr>
        <w:t>triz el riesgo de corrupción se desagrega en los riesgos números 4 (legal), 5 (financiero), 6 (reputacional) y 7 (transversal), con controles específicos para cada uno, y se asigna a la Entidad, sin perjuicio de las responsabilidades legales que correspond</w:t>
      </w:r>
      <w:r>
        <w:rPr>
          <w:rFonts w:ascii="Verdana" w:eastAsia="Verdana" w:hAnsi="Verdana" w:cs="Verdana"/>
          <w:color w:val="000000"/>
        </w:rPr>
        <w:t>an a proponentes, contratista y terceros.</w:t>
      </w:r>
    </w:p>
    <w:p w14:paraId="6F73B7F4" w14:textId="77777777" w:rsidR="007E513C" w:rsidRDefault="007E513C">
      <w:pPr>
        <w:rPr>
          <w:rFonts w:ascii="Verdana" w:eastAsia="Verdana" w:hAnsi="Verdana" w:cs="Verdana"/>
        </w:rPr>
      </w:pPr>
    </w:p>
    <w:p w14:paraId="4564F7D6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OBJETO:</w:t>
      </w:r>
      <w:r>
        <w:rPr>
          <w:rFonts w:ascii="Verdana" w:eastAsia="Verdana" w:hAnsi="Verdana" w:cs="Verdana"/>
          <w:color w:val="000000"/>
        </w:rPr>
        <w:t xml:space="preserve"> Construcción, mantenimiento, mejoramiento y adecuación de la infraestructura deportiva, recreativa y educativa del municipio de Toca, Boyacá, para el fortalecimiento de los espacios de uso público y comuni</w:t>
      </w:r>
      <w:r>
        <w:rPr>
          <w:rFonts w:ascii="Verdana" w:eastAsia="Verdana" w:hAnsi="Verdana" w:cs="Verdana"/>
          <w:color w:val="000000"/>
        </w:rPr>
        <w:t>tario.</w:t>
      </w:r>
    </w:p>
    <w:p w14:paraId="4D84B1AC" w14:textId="77777777" w:rsidR="007E513C" w:rsidRDefault="007E513C">
      <w:pPr>
        <w:rPr>
          <w:rFonts w:ascii="Verdana" w:eastAsia="Verdana" w:hAnsi="Verdana" w:cs="Verdana"/>
          <w:b/>
          <w:bCs/>
        </w:rPr>
      </w:pPr>
    </w:p>
    <w:p w14:paraId="76A0E0A8" w14:textId="36A70165" w:rsidR="007E513C" w:rsidRDefault="001931D7">
      <w:pPr>
        <w:rPr>
          <w:rFonts w:ascii="Verdana" w:eastAsia="Verdana" w:hAnsi="Verdana" w:cs="Verdana"/>
        </w:rPr>
        <w:sectPr w:rsidR="007E513C">
          <w:headerReference w:type="default" r:id="rId8"/>
          <w:footerReference w:type="default" r:id="rId9"/>
          <w:pgSz w:w="12240" w:h="15840"/>
          <w:pgMar w:top="1134" w:right="1134" w:bottom="1134" w:left="1304" w:header="720" w:footer="720" w:gutter="0"/>
          <w:pgNumType w:start="1"/>
          <w:cols w:space="720"/>
        </w:sectPr>
      </w:pPr>
      <w:r>
        <w:rPr>
          <w:rFonts w:ascii="Verdana" w:eastAsia="Verdana" w:hAnsi="Verdana" w:cs="Verdana"/>
          <w:b/>
          <w:bCs/>
          <w:color w:val="000000"/>
        </w:rPr>
        <w:t>VALOR:</w:t>
      </w:r>
      <w:r>
        <w:rPr>
          <w:rFonts w:ascii="Verdana" w:eastAsia="Verdana" w:hAnsi="Verdana" w:cs="Verdana"/>
          <w:color w:val="000000"/>
        </w:rPr>
        <w:t xml:space="preserve"> CIENTO SESENTA Y SIETE MILLONES CUARENTA Y </w:t>
      </w:r>
      <w:r w:rsidR="00032761">
        <w:rPr>
          <w:rFonts w:ascii="Verdana" w:eastAsia="Verdana" w:hAnsi="Verdana" w:cs="Verdana"/>
          <w:color w:val="000000"/>
        </w:rPr>
        <w:t>SEIS</w:t>
      </w:r>
      <w:r>
        <w:rPr>
          <w:rFonts w:ascii="Verdana" w:eastAsia="Verdana" w:hAnsi="Verdana" w:cs="Verdana"/>
          <w:color w:val="000000"/>
        </w:rPr>
        <w:t xml:space="preserve"> MIL </w:t>
      </w:r>
      <w:r>
        <w:rPr>
          <w:rFonts w:ascii="Verdana" w:eastAsia="Verdana" w:hAnsi="Verdana" w:cs="Verdana"/>
          <w:color w:val="000000"/>
        </w:rPr>
        <w:t>CIENTO</w:t>
      </w:r>
      <w:r>
        <w:rPr>
          <w:rFonts w:ascii="Verdana" w:eastAsia="Verdana" w:hAnsi="Verdana" w:cs="Verdana"/>
          <w:color w:val="000000"/>
        </w:rPr>
        <w:t xml:space="preserve"> </w:t>
      </w:r>
      <w:r w:rsidR="00032761">
        <w:rPr>
          <w:rFonts w:ascii="Verdana" w:eastAsia="Verdana" w:hAnsi="Verdana" w:cs="Verdana"/>
          <w:color w:val="000000"/>
        </w:rPr>
        <w:t>OCHE</w:t>
      </w:r>
      <w:r>
        <w:rPr>
          <w:rFonts w:ascii="Verdana" w:eastAsia="Verdana" w:hAnsi="Verdana" w:cs="Verdana"/>
          <w:color w:val="000000"/>
        </w:rPr>
        <w:t xml:space="preserve">NTA Y </w:t>
      </w:r>
      <w:r w:rsidR="00032761">
        <w:rPr>
          <w:rFonts w:ascii="Verdana" w:eastAsia="Verdana" w:hAnsi="Verdana" w:cs="Verdana"/>
          <w:color w:val="000000"/>
        </w:rPr>
        <w:t>UN</w:t>
      </w:r>
      <w:r>
        <w:rPr>
          <w:rFonts w:ascii="Verdana" w:eastAsia="Verdana" w:hAnsi="Verdana" w:cs="Verdana"/>
          <w:color w:val="000000"/>
        </w:rPr>
        <w:t xml:space="preserve"> PESOS </w:t>
      </w:r>
      <w:r w:rsidR="00032761">
        <w:rPr>
          <w:rFonts w:ascii="Verdana" w:eastAsia="Verdana" w:hAnsi="Verdana" w:cs="Verdana"/>
          <w:color w:val="000000"/>
        </w:rPr>
        <w:t xml:space="preserve">CON SESENTA Y SEIS CENTAVOS </w:t>
      </w:r>
      <w:r>
        <w:rPr>
          <w:rFonts w:ascii="Verdana" w:eastAsia="Verdana" w:hAnsi="Verdana" w:cs="Verdana"/>
          <w:color w:val="000000"/>
        </w:rPr>
        <w:t>M/CTE ($167.04</w:t>
      </w:r>
      <w:r w:rsidR="00032761">
        <w:rPr>
          <w:rFonts w:ascii="Verdana" w:eastAsia="Verdana" w:hAnsi="Verdana" w:cs="Verdana"/>
          <w:color w:val="000000"/>
        </w:rPr>
        <w:t>6</w:t>
      </w:r>
      <w:r>
        <w:rPr>
          <w:rFonts w:ascii="Verdana" w:eastAsia="Verdana" w:hAnsi="Verdana" w:cs="Verdana"/>
          <w:color w:val="000000"/>
        </w:rPr>
        <w:t>.</w:t>
      </w:r>
      <w:r w:rsidR="00032761">
        <w:rPr>
          <w:rFonts w:ascii="Verdana" w:eastAsia="Verdana" w:hAnsi="Verdana" w:cs="Verdana"/>
          <w:color w:val="000000"/>
        </w:rPr>
        <w:t>1</w:t>
      </w:r>
      <w:r>
        <w:rPr>
          <w:rFonts w:ascii="Verdana" w:eastAsia="Verdana" w:hAnsi="Verdana" w:cs="Verdana"/>
          <w:color w:val="000000"/>
        </w:rPr>
        <w:t>8</w:t>
      </w:r>
      <w:r w:rsidR="00032761">
        <w:rPr>
          <w:rFonts w:ascii="Verdana" w:eastAsia="Verdana" w:hAnsi="Verdana" w:cs="Verdana"/>
          <w:color w:val="000000"/>
        </w:rPr>
        <w:t>1,66</w:t>
      </w:r>
      <w:r>
        <w:rPr>
          <w:rFonts w:ascii="Verdana" w:eastAsia="Verdana" w:hAnsi="Verdana" w:cs="Verdana"/>
          <w:color w:val="000000"/>
        </w:rPr>
        <w:t>).</w:t>
      </w:r>
    </w:p>
    <w:p w14:paraId="14D790AF" w14:textId="77777777" w:rsidR="007E513C" w:rsidRDefault="001931D7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bCs/>
          <w:color w:val="000000"/>
          <w:u w:val="single"/>
        </w:rPr>
        <w:lastRenderedPageBreak/>
        <w:t>Matriz de Riesgos</w:t>
      </w:r>
    </w:p>
    <w:p w14:paraId="2CD64299" w14:textId="77777777" w:rsidR="007E513C" w:rsidRDefault="007E513C">
      <w:pPr>
        <w:spacing w:after="280"/>
        <w:rPr>
          <w:rFonts w:ascii="Verdana" w:eastAsia="Verdana" w:hAnsi="Verdana" w:cs="Verdana"/>
        </w:rPr>
      </w:pPr>
    </w:p>
    <w:tbl>
      <w:tblPr>
        <w:tblStyle w:val="a"/>
        <w:tblW w:w="135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"/>
        <w:gridCol w:w="700"/>
        <w:gridCol w:w="600"/>
        <w:gridCol w:w="820"/>
        <w:gridCol w:w="860"/>
        <w:gridCol w:w="1300"/>
        <w:gridCol w:w="860"/>
        <w:gridCol w:w="300"/>
        <w:gridCol w:w="300"/>
        <w:gridCol w:w="300"/>
        <w:gridCol w:w="500"/>
        <w:gridCol w:w="760"/>
        <w:gridCol w:w="1400"/>
        <w:gridCol w:w="300"/>
        <w:gridCol w:w="300"/>
        <w:gridCol w:w="300"/>
        <w:gridCol w:w="500"/>
        <w:gridCol w:w="320"/>
        <w:gridCol w:w="720"/>
        <w:gridCol w:w="720"/>
        <w:gridCol w:w="820"/>
        <w:gridCol w:w="640"/>
      </w:tblGrid>
      <w:tr w:rsidR="007E513C" w14:paraId="6158FE7E" w14:textId="77777777">
        <w:trPr>
          <w:cantSplit/>
          <w:trHeight w:val="1212"/>
          <w:tblHeader/>
        </w:trPr>
        <w:tc>
          <w:tcPr>
            <w:tcW w:w="260" w:type="dxa"/>
            <w:vMerge w:val="restart"/>
            <w:shd w:val="clear" w:color="auto" w:fill="4D4D4D"/>
          </w:tcPr>
          <w:p w14:paraId="32C5A3D3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No.</w:t>
            </w:r>
          </w:p>
        </w:tc>
        <w:tc>
          <w:tcPr>
            <w:tcW w:w="700" w:type="dxa"/>
            <w:vMerge w:val="restart"/>
            <w:shd w:val="clear" w:color="auto" w:fill="4D4D4D"/>
          </w:tcPr>
          <w:p w14:paraId="632AB0FD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Clase</w:t>
            </w:r>
          </w:p>
        </w:tc>
        <w:tc>
          <w:tcPr>
            <w:tcW w:w="600" w:type="dxa"/>
            <w:vMerge w:val="restart"/>
            <w:shd w:val="clear" w:color="auto" w:fill="4D4D4D"/>
          </w:tcPr>
          <w:p w14:paraId="77D4C3DB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Fuente</w:t>
            </w:r>
          </w:p>
        </w:tc>
        <w:tc>
          <w:tcPr>
            <w:tcW w:w="820" w:type="dxa"/>
            <w:vMerge w:val="restart"/>
            <w:shd w:val="clear" w:color="auto" w:fill="4D4D4D"/>
          </w:tcPr>
          <w:p w14:paraId="386AA29E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Etapa</w:t>
            </w:r>
          </w:p>
        </w:tc>
        <w:tc>
          <w:tcPr>
            <w:tcW w:w="860" w:type="dxa"/>
            <w:vMerge w:val="restart"/>
            <w:shd w:val="clear" w:color="auto" w:fill="4D4D4D"/>
          </w:tcPr>
          <w:p w14:paraId="6DED5D30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Tipo</w:t>
            </w:r>
          </w:p>
        </w:tc>
        <w:tc>
          <w:tcPr>
            <w:tcW w:w="1300" w:type="dxa"/>
            <w:vMerge w:val="restart"/>
            <w:shd w:val="clear" w:color="auto" w:fill="4D4D4D"/>
          </w:tcPr>
          <w:p w14:paraId="461CF9D1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Descripción</w:t>
            </w:r>
          </w:p>
          <w:p w14:paraId="60A898AC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(Qué puede pasar y como puede ocurrir)</w:t>
            </w:r>
          </w:p>
          <w:p w14:paraId="3EF5DED8" w14:textId="77777777" w:rsidR="007E513C" w:rsidRDefault="007E513C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</w:p>
        </w:tc>
        <w:tc>
          <w:tcPr>
            <w:tcW w:w="860" w:type="dxa"/>
            <w:vMerge w:val="restart"/>
            <w:shd w:val="clear" w:color="auto" w:fill="4D4D4D"/>
          </w:tcPr>
          <w:p w14:paraId="7972CE92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Consecuencia de la ocurrencia del evento</w:t>
            </w:r>
          </w:p>
        </w:tc>
        <w:tc>
          <w:tcPr>
            <w:tcW w:w="300" w:type="dxa"/>
            <w:vMerge w:val="restart"/>
            <w:shd w:val="clear" w:color="auto" w:fill="4D4D4D"/>
          </w:tcPr>
          <w:p w14:paraId="446BA988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Probabilidad</w:t>
            </w:r>
          </w:p>
        </w:tc>
        <w:tc>
          <w:tcPr>
            <w:tcW w:w="300" w:type="dxa"/>
            <w:vMerge w:val="restart"/>
            <w:shd w:val="clear" w:color="auto" w:fill="4D4D4D"/>
          </w:tcPr>
          <w:p w14:paraId="71538EDC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Impacto</w:t>
            </w:r>
          </w:p>
        </w:tc>
        <w:tc>
          <w:tcPr>
            <w:tcW w:w="300" w:type="dxa"/>
            <w:vMerge w:val="restart"/>
            <w:shd w:val="clear" w:color="auto" w:fill="4D4D4D"/>
          </w:tcPr>
          <w:p w14:paraId="2D9C8090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Valoración del riesgo</w:t>
            </w:r>
          </w:p>
        </w:tc>
        <w:tc>
          <w:tcPr>
            <w:tcW w:w="500" w:type="dxa"/>
            <w:vMerge w:val="restart"/>
            <w:shd w:val="clear" w:color="auto" w:fill="4D4D4D"/>
          </w:tcPr>
          <w:p w14:paraId="67FCEADA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color w:val="FFFFFF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FFFF"/>
                <w:sz w:val="18"/>
                <w:szCs w:val="18"/>
              </w:rPr>
              <w:t>Categoría</w:t>
            </w:r>
          </w:p>
        </w:tc>
        <w:tc>
          <w:tcPr>
            <w:tcW w:w="760" w:type="dxa"/>
            <w:vMerge w:val="restart"/>
            <w:shd w:val="clear" w:color="auto" w:fill="BFBFBF"/>
          </w:tcPr>
          <w:p w14:paraId="6CCAA587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¿A quién se le asigna?</w:t>
            </w:r>
          </w:p>
        </w:tc>
        <w:tc>
          <w:tcPr>
            <w:tcW w:w="1400" w:type="dxa"/>
            <w:vMerge w:val="restart"/>
            <w:shd w:val="clear" w:color="auto" w:fill="BFBFBF"/>
          </w:tcPr>
          <w:p w14:paraId="353D214F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Tratamiento/Controles a ser implementados</w:t>
            </w:r>
          </w:p>
        </w:tc>
        <w:tc>
          <w:tcPr>
            <w:tcW w:w="1400" w:type="dxa"/>
            <w:gridSpan w:val="4"/>
            <w:shd w:val="clear" w:color="auto" w:fill="BFBFBF"/>
          </w:tcPr>
          <w:p w14:paraId="05339185" w14:textId="77777777" w:rsidR="007E513C" w:rsidRDefault="007E513C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  <w:p w14:paraId="2662492D" w14:textId="77777777" w:rsidR="007E513C" w:rsidRDefault="007E513C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  <w:p w14:paraId="239DFD1F" w14:textId="77777777" w:rsidR="007E513C" w:rsidRDefault="001931D7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Impacto después del tratamiento</w:t>
            </w:r>
          </w:p>
        </w:tc>
        <w:tc>
          <w:tcPr>
            <w:tcW w:w="320" w:type="dxa"/>
            <w:vMerge w:val="restart"/>
            <w:shd w:val="clear" w:color="auto" w:fill="BFBFBF"/>
          </w:tcPr>
          <w:p w14:paraId="7F044375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¿Afecta la ejecución del contrato?</w:t>
            </w:r>
          </w:p>
        </w:tc>
        <w:tc>
          <w:tcPr>
            <w:tcW w:w="720" w:type="dxa"/>
            <w:vMerge w:val="restart"/>
            <w:shd w:val="clear" w:color="auto" w:fill="BFBFBF"/>
          </w:tcPr>
          <w:p w14:paraId="619CDE5B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Persona responsable por impl</w:t>
            </w:r>
            <w:r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ementar el tratamiento</w:t>
            </w:r>
          </w:p>
        </w:tc>
        <w:tc>
          <w:tcPr>
            <w:tcW w:w="720" w:type="dxa"/>
            <w:vMerge w:val="restart"/>
            <w:shd w:val="clear" w:color="auto" w:fill="BFBFBF"/>
          </w:tcPr>
          <w:p w14:paraId="5A0B36D4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1460" w:type="dxa"/>
            <w:gridSpan w:val="2"/>
            <w:shd w:val="clear" w:color="auto" w:fill="BFBFBF"/>
          </w:tcPr>
          <w:p w14:paraId="7B4340D3" w14:textId="77777777" w:rsidR="007E513C" w:rsidRDefault="007E513C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  <w:p w14:paraId="5E1AC860" w14:textId="77777777" w:rsidR="007E513C" w:rsidRDefault="007E513C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  <w:p w14:paraId="4485F01A" w14:textId="77777777" w:rsidR="007E513C" w:rsidRDefault="001931D7">
            <w:pP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Monitoreo y revisión</w:t>
            </w:r>
          </w:p>
        </w:tc>
      </w:tr>
      <w:tr w:rsidR="007E513C" w14:paraId="6843E555" w14:textId="77777777">
        <w:trPr>
          <w:cantSplit/>
          <w:trHeight w:val="2063"/>
          <w:tblHeader/>
        </w:trPr>
        <w:tc>
          <w:tcPr>
            <w:tcW w:w="260" w:type="dxa"/>
            <w:vMerge/>
            <w:shd w:val="clear" w:color="auto" w:fill="4D4D4D"/>
          </w:tcPr>
          <w:p w14:paraId="2E281AF1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4D4D4D"/>
          </w:tcPr>
          <w:p w14:paraId="539E49FE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vMerge/>
            <w:shd w:val="clear" w:color="auto" w:fill="4D4D4D"/>
          </w:tcPr>
          <w:p w14:paraId="7A89892F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vMerge/>
            <w:shd w:val="clear" w:color="auto" w:fill="4D4D4D"/>
          </w:tcPr>
          <w:p w14:paraId="0960D035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vMerge/>
            <w:shd w:val="clear" w:color="auto" w:fill="4D4D4D"/>
          </w:tcPr>
          <w:p w14:paraId="622025BE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shd w:val="clear" w:color="auto" w:fill="4D4D4D"/>
          </w:tcPr>
          <w:p w14:paraId="0654D579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vMerge/>
            <w:shd w:val="clear" w:color="auto" w:fill="4D4D4D"/>
          </w:tcPr>
          <w:p w14:paraId="7F8E4890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vMerge/>
            <w:shd w:val="clear" w:color="auto" w:fill="4D4D4D"/>
          </w:tcPr>
          <w:p w14:paraId="1082B2B4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vMerge/>
            <w:shd w:val="clear" w:color="auto" w:fill="4D4D4D"/>
          </w:tcPr>
          <w:p w14:paraId="010E5692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vMerge/>
            <w:shd w:val="clear" w:color="auto" w:fill="4D4D4D"/>
          </w:tcPr>
          <w:p w14:paraId="1E1BD4D7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vMerge/>
            <w:shd w:val="clear" w:color="auto" w:fill="4D4D4D"/>
          </w:tcPr>
          <w:p w14:paraId="2CC0FF9E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0" w:type="dxa"/>
            <w:vMerge/>
            <w:shd w:val="clear" w:color="auto" w:fill="BFBFBF"/>
          </w:tcPr>
          <w:p w14:paraId="031B28A1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shd w:val="clear" w:color="auto" w:fill="BFBFBF"/>
          </w:tcPr>
          <w:p w14:paraId="43F26A9D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shd w:val="clear" w:color="auto" w:fill="BFBFBF"/>
          </w:tcPr>
          <w:p w14:paraId="45F0DB1F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Probabilidad</w:t>
            </w:r>
          </w:p>
        </w:tc>
        <w:tc>
          <w:tcPr>
            <w:tcW w:w="300" w:type="dxa"/>
            <w:shd w:val="clear" w:color="auto" w:fill="BFBFBF"/>
          </w:tcPr>
          <w:p w14:paraId="44131166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Impacto</w:t>
            </w:r>
          </w:p>
        </w:tc>
        <w:tc>
          <w:tcPr>
            <w:tcW w:w="300" w:type="dxa"/>
            <w:shd w:val="clear" w:color="auto" w:fill="BFBFBF"/>
          </w:tcPr>
          <w:p w14:paraId="2A8F476E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Valoración del Riesgo</w:t>
            </w:r>
          </w:p>
        </w:tc>
        <w:tc>
          <w:tcPr>
            <w:tcW w:w="500" w:type="dxa"/>
            <w:shd w:val="clear" w:color="auto" w:fill="BFBFBF"/>
          </w:tcPr>
          <w:p w14:paraId="55B4047A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Categoría</w:t>
            </w:r>
          </w:p>
        </w:tc>
        <w:tc>
          <w:tcPr>
            <w:tcW w:w="320" w:type="dxa"/>
            <w:vMerge/>
            <w:shd w:val="clear" w:color="auto" w:fill="BFBFBF"/>
          </w:tcPr>
          <w:p w14:paraId="761C9B07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/>
            <w:shd w:val="clear" w:color="auto" w:fill="BFBFBF"/>
          </w:tcPr>
          <w:p w14:paraId="42744C29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/>
            <w:shd w:val="clear" w:color="auto" w:fill="BFBFBF"/>
          </w:tcPr>
          <w:p w14:paraId="029A9B0A" w14:textId="77777777" w:rsidR="007E513C" w:rsidRDefault="007E51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BFBFBF"/>
          </w:tcPr>
          <w:p w14:paraId="003A6F75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¿Cómo se realiza el monitoreo?</w:t>
            </w:r>
          </w:p>
        </w:tc>
        <w:tc>
          <w:tcPr>
            <w:tcW w:w="640" w:type="dxa"/>
            <w:shd w:val="clear" w:color="auto" w:fill="BFBFBF"/>
          </w:tcPr>
          <w:p w14:paraId="5CD27E0C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Periodicidad</w:t>
            </w:r>
          </w:p>
          <w:p w14:paraId="123A7915" w14:textId="77777777" w:rsidR="007E513C" w:rsidRDefault="001931D7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¿Cuándo?</w:t>
            </w:r>
          </w:p>
        </w:tc>
      </w:tr>
      <w:tr w:rsidR="007E513C" w14:paraId="772E6D47" w14:textId="77777777">
        <w:trPr>
          <w:cantSplit/>
        </w:trPr>
        <w:tc>
          <w:tcPr>
            <w:tcW w:w="260" w:type="dxa"/>
            <w:vAlign w:val="center"/>
          </w:tcPr>
          <w:p w14:paraId="0FC1CB6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0" w:type="dxa"/>
            <w:vAlign w:val="center"/>
          </w:tcPr>
          <w:p w14:paraId="18A4892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7B2F78F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67413C2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Planeación</w:t>
            </w:r>
          </w:p>
        </w:tc>
        <w:tc>
          <w:tcPr>
            <w:tcW w:w="860" w:type="dxa"/>
            <w:vAlign w:val="center"/>
          </w:tcPr>
          <w:p w14:paraId="4CAC9D1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1512A8A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Errores o deficiencias en estudios previos, presupuesto oficial, APU o cantidades de obra (precios desactualizados o ítems omitidos frente al estado real de los escenarios deportivos, recreativos y sedes educat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ivas).</w:t>
            </w:r>
          </w:p>
        </w:tc>
        <w:tc>
          <w:tcPr>
            <w:tcW w:w="860" w:type="dxa"/>
            <w:vAlign w:val="center"/>
          </w:tcPr>
          <w:p w14:paraId="07DC3AA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Mayores cantidades u obras no previstas; adiciones, suspensiones o desequilibrio económico.</w:t>
            </w:r>
          </w:p>
        </w:tc>
        <w:tc>
          <w:tcPr>
            <w:tcW w:w="300" w:type="dxa"/>
            <w:vAlign w:val="center"/>
          </w:tcPr>
          <w:p w14:paraId="26C3C0F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3ECD729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6AB27FB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5CDAA6C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4B3C566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64CBF69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Visita técnica y levantamiento del estado actual de cada espacio; actualización de APU con precios de referencia vigentes; revisión del pr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esupuesto por profesional idóneo antes de publicar.</w:t>
            </w:r>
          </w:p>
        </w:tc>
        <w:tc>
          <w:tcPr>
            <w:tcW w:w="300" w:type="dxa"/>
            <w:vAlign w:val="center"/>
          </w:tcPr>
          <w:p w14:paraId="7FC0407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D76233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0831FD4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00CE4FC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05D76DF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34A2936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Secretaría de Planeación / Infraestructura</w:t>
            </w:r>
          </w:p>
        </w:tc>
        <w:tc>
          <w:tcPr>
            <w:tcW w:w="720" w:type="dxa"/>
            <w:vAlign w:val="center"/>
          </w:tcPr>
          <w:p w14:paraId="5BFE4A6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Antes de la publicación del proyecto de pliego</w:t>
            </w:r>
          </w:p>
        </w:tc>
        <w:tc>
          <w:tcPr>
            <w:tcW w:w="820" w:type="dxa"/>
            <w:vAlign w:val="center"/>
          </w:tcPr>
          <w:p w14:paraId="4579BD8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Revisión y aprobación técnica de estudios previos y presupuesto</w:t>
            </w:r>
          </w:p>
        </w:tc>
        <w:tc>
          <w:tcPr>
            <w:tcW w:w="640" w:type="dxa"/>
            <w:vAlign w:val="center"/>
          </w:tcPr>
          <w:p w14:paraId="6A69C8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Una vez, en planeación</w:t>
            </w:r>
          </w:p>
        </w:tc>
      </w:tr>
      <w:tr w:rsidR="007E513C" w14:paraId="6406C838" w14:textId="77777777">
        <w:trPr>
          <w:cantSplit/>
        </w:trPr>
        <w:tc>
          <w:tcPr>
            <w:tcW w:w="260" w:type="dxa"/>
            <w:vAlign w:val="center"/>
          </w:tcPr>
          <w:p w14:paraId="4B2322D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2</w:t>
            </w:r>
          </w:p>
        </w:tc>
        <w:tc>
          <w:tcPr>
            <w:tcW w:w="700" w:type="dxa"/>
            <w:vAlign w:val="center"/>
          </w:tcPr>
          <w:p w14:paraId="1DFCA19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600" w:type="dxa"/>
            <w:vAlign w:val="center"/>
          </w:tcPr>
          <w:p w14:paraId="7FD017F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6D35219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Planeación</w:t>
            </w:r>
          </w:p>
        </w:tc>
        <w:tc>
          <w:tcPr>
            <w:tcW w:w="860" w:type="dxa"/>
            <w:vAlign w:val="center"/>
          </w:tcPr>
          <w:p w14:paraId="2A56B89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1300" w:type="dxa"/>
            <w:vAlign w:val="center"/>
          </w:tcPr>
          <w:p w14:paraId="5BF4096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Falta de disponibilidad jurídica de los inmuebles o de permisos requeridos (titularidad del municipio, licencia de construcción cuando no se trate de reparaciones locativas, autorización de las instituciones educativas).</w:t>
            </w:r>
          </w:p>
        </w:tc>
        <w:tc>
          <w:tcPr>
            <w:tcW w:w="860" w:type="dxa"/>
            <w:vAlign w:val="center"/>
          </w:tcPr>
          <w:p w14:paraId="3C1A06D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Imposibilidad de iniciar o continua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 la obra; suspensiones; pérdida de recursos.</w:t>
            </w:r>
          </w:p>
        </w:tc>
        <w:tc>
          <w:tcPr>
            <w:tcW w:w="300" w:type="dxa"/>
            <w:vAlign w:val="center"/>
          </w:tcPr>
          <w:p w14:paraId="4D845B9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69B982C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0CDAA92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3B97A14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4313A49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639D453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Verificar certificados de tradición y libertad o soportes de propiedad/posesión; determinar si se requiere licencia (Decreto 1077 de 2015) y tramitarla; coordinar con rectores y Secretaría de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 Educación.</w:t>
            </w:r>
          </w:p>
        </w:tc>
        <w:tc>
          <w:tcPr>
            <w:tcW w:w="300" w:type="dxa"/>
            <w:vAlign w:val="center"/>
          </w:tcPr>
          <w:p w14:paraId="2375101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5CF73CA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13DE23D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4C11B4C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5E51805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77B6B84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Secretaría de Planeación</w:t>
            </w:r>
          </w:p>
        </w:tc>
        <w:tc>
          <w:tcPr>
            <w:tcW w:w="720" w:type="dxa"/>
            <w:vAlign w:val="center"/>
          </w:tcPr>
          <w:p w14:paraId="37C8F1C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Antes del acta de inicio</w:t>
            </w:r>
          </w:p>
        </w:tc>
        <w:tc>
          <w:tcPr>
            <w:tcW w:w="820" w:type="dxa"/>
            <w:vAlign w:val="center"/>
          </w:tcPr>
          <w:p w14:paraId="32F06C1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Verificación documental en el expediente</w:t>
            </w:r>
          </w:p>
        </w:tc>
        <w:tc>
          <w:tcPr>
            <w:tcW w:w="640" w:type="dxa"/>
            <w:vAlign w:val="center"/>
          </w:tcPr>
          <w:p w14:paraId="4C6F471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Una vez, antes del inicio</w:t>
            </w:r>
          </w:p>
        </w:tc>
      </w:tr>
      <w:tr w:rsidR="007E513C" w14:paraId="794C58AF" w14:textId="77777777">
        <w:trPr>
          <w:cantSplit/>
        </w:trPr>
        <w:tc>
          <w:tcPr>
            <w:tcW w:w="260" w:type="dxa"/>
            <w:vAlign w:val="center"/>
          </w:tcPr>
          <w:p w14:paraId="733BF32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3</w:t>
            </w:r>
          </w:p>
        </w:tc>
        <w:tc>
          <w:tcPr>
            <w:tcW w:w="700" w:type="dxa"/>
            <w:vAlign w:val="center"/>
          </w:tcPr>
          <w:p w14:paraId="5DEBB45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367389F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097F857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Selección</w:t>
            </w:r>
          </w:p>
        </w:tc>
        <w:tc>
          <w:tcPr>
            <w:tcW w:w="860" w:type="dxa"/>
            <w:vAlign w:val="center"/>
          </w:tcPr>
          <w:p w14:paraId="7C3018C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5C34198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Declaratoria de desierto por ausencia de ofertas o porque ninguna cumple los requisitos habilitantes.</w:t>
            </w:r>
          </w:p>
        </w:tc>
        <w:tc>
          <w:tcPr>
            <w:tcW w:w="860" w:type="dxa"/>
            <w:vAlign w:val="center"/>
          </w:tcPr>
          <w:p w14:paraId="55C464E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Retraso en la satisfacción de la necesidad; reprocesos administrativos.</w:t>
            </w:r>
          </w:p>
        </w:tc>
        <w:tc>
          <w:tcPr>
            <w:tcW w:w="300" w:type="dxa"/>
            <w:vAlign w:val="center"/>
          </w:tcPr>
          <w:p w14:paraId="6A60AED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1A213B2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07E77CC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56AB5CF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760" w:type="dxa"/>
            <w:vAlign w:val="center"/>
          </w:tcPr>
          <w:p w14:paraId="071AA58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244C390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Requisitos habilitantes proporcionales al objeto y valor conforme a los documentos tipo; presupuesto acorde con el mercado; respuesta oportuna a observaciones.</w:t>
            </w:r>
          </w:p>
        </w:tc>
        <w:tc>
          <w:tcPr>
            <w:tcW w:w="300" w:type="dxa"/>
            <w:vAlign w:val="center"/>
          </w:tcPr>
          <w:p w14:paraId="1B34A25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4D45243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708C5EA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5417F75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3679D51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7AF0F4E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Comité evaluador</w:t>
            </w:r>
          </w:p>
        </w:tc>
        <w:tc>
          <w:tcPr>
            <w:tcW w:w="720" w:type="dxa"/>
            <w:vAlign w:val="center"/>
          </w:tcPr>
          <w:p w14:paraId="08F00D1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etapa de selección</w:t>
            </w:r>
          </w:p>
        </w:tc>
        <w:tc>
          <w:tcPr>
            <w:tcW w:w="820" w:type="dxa"/>
            <w:vAlign w:val="center"/>
          </w:tcPr>
          <w:p w14:paraId="7C324C9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Seguimiento a interesados y observa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ciones en SECOP II</w:t>
            </w:r>
          </w:p>
        </w:tc>
        <w:tc>
          <w:tcPr>
            <w:tcW w:w="640" w:type="dxa"/>
            <w:vAlign w:val="center"/>
          </w:tcPr>
          <w:p w14:paraId="30B05F7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selección</w:t>
            </w:r>
          </w:p>
        </w:tc>
      </w:tr>
      <w:tr w:rsidR="007E513C" w14:paraId="50C0BF23" w14:textId="77777777">
        <w:trPr>
          <w:cantSplit/>
        </w:trPr>
        <w:tc>
          <w:tcPr>
            <w:tcW w:w="260" w:type="dxa"/>
            <w:vAlign w:val="center"/>
          </w:tcPr>
          <w:p w14:paraId="00F331B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4</w:t>
            </w:r>
          </w:p>
        </w:tc>
        <w:tc>
          <w:tcPr>
            <w:tcW w:w="700" w:type="dxa"/>
            <w:vAlign w:val="center"/>
          </w:tcPr>
          <w:p w14:paraId="0CC6913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38BEE2F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0E163B9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Planeación y Selección</w:t>
            </w:r>
          </w:p>
        </w:tc>
        <w:tc>
          <w:tcPr>
            <w:tcW w:w="860" w:type="dxa"/>
            <w:vAlign w:val="center"/>
          </w:tcPr>
          <w:p w14:paraId="05F8086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Regulatorio – Corrupción (riesgo legal)</w:t>
            </w:r>
          </w:p>
        </w:tc>
        <w:tc>
          <w:tcPr>
            <w:tcW w:w="1300" w:type="dxa"/>
            <w:vAlign w:val="center"/>
          </w:tcPr>
          <w:p w14:paraId="1766883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Direccionamiento del proceso: requisitos, pliegos o adendas hechos a la medida de un proponente, fraccionamiento del objeto, conflictos de intereses no declarados, colusión entre oferentes o presentación de documentos falsos.</w:t>
            </w:r>
          </w:p>
        </w:tc>
        <w:tc>
          <w:tcPr>
            <w:tcW w:w="860" w:type="dxa"/>
            <w:vAlign w:val="center"/>
          </w:tcPr>
          <w:p w14:paraId="5384A66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Riesgo legal: nulidad del cont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rato; investigaciones disciplinarias, fiscales y penales; sanciones de la SIC; demandas contra la Entidad.</w:t>
            </w:r>
          </w:p>
        </w:tc>
        <w:tc>
          <w:tcPr>
            <w:tcW w:w="300" w:type="dxa"/>
            <w:vAlign w:val="center"/>
          </w:tcPr>
          <w:p w14:paraId="22F0CA5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A8FF87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503B232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07BF6A2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55591B3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5676B34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Uso obligatorio de los documentos tipo; publicidad de todas las actuaciones en SECOP II; declaración de conflictos de intereses e 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inhabilidades de quienes intervienen; verificación de documentos ante las fuentes; guías de colusión de CCE y la SIC; denuncia ante Fiscalía, Procuraduría o SIC.</w:t>
            </w:r>
          </w:p>
        </w:tc>
        <w:tc>
          <w:tcPr>
            <w:tcW w:w="300" w:type="dxa"/>
            <w:vAlign w:val="center"/>
          </w:tcPr>
          <w:p w14:paraId="22C9570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211CA16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6267C70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424C1C2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7CE0191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3C2F9844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Comité evaluador / Oficina jurídica</w:t>
            </w:r>
          </w:p>
        </w:tc>
        <w:tc>
          <w:tcPr>
            <w:tcW w:w="720" w:type="dxa"/>
            <w:vAlign w:val="center"/>
          </w:tcPr>
          <w:p w14:paraId="08F14DE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Antes de la adjudicación</w:t>
            </w:r>
          </w:p>
        </w:tc>
        <w:tc>
          <w:tcPr>
            <w:tcW w:w="820" w:type="dxa"/>
            <w:vAlign w:val="center"/>
          </w:tcPr>
          <w:p w14:paraId="2C478C8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Revisión jurídica 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 pliegos, adendas y evaluación; cruce de información con fuentes oficiales</w:t>
            </w:r>
          </w:p>
        </w:tc>
        <w:tc>
          <w:tcPr>
            <w:tcW w:w="640" w:type="dxa"/>
            <w:vAlign w:val="center"/>
          </w:tcPr>
          <w:p w14:paraId="4FE64A6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 cada actuación de la selección</w:t>
            </w:r>
          </w:p>
        </w:tc>
      </w:tr>
      <w:tr w:rsidR="007E513C" w14:paraId="7544FF6E" w14:textId="77777777">
        <w:trPr>
          <w:cantSplit/>
        </w:trPr>
        <w:tc>
          <w:tcPr>
            <w:tcW w:w="260" w:type="dxa"/>
            <w:vAlign w:val="center"/>
          </w:tcPr>
          <w:p w14:paraId="0D716F4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5</w:t>
            </w:r>
          </w:p>
        </w:tc>
        <w:tc>
          <w:tcPr>
            <w:tcW w:w="700" w:type="dxa"/>
            <w:vAlign w:val="center"/>
          </w:tcPr>
          <w:p w14:paraId="53C65D7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7BFC8F4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2312341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0C66571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Financiero – Corrupción (riesgo financiero)</w:t>
            </w:r>
          </w:p>
        </w:tc>
        <w:tc>
          <w:tcPr>
            <w:tcW w:w="1300" w:type="dxa"/>
            <w:vAlign w:val="center"/>
          </w:tcPr>
          <w:p w14:paraId="4D28C2C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Sobrecostos en APU o ítems no previstos, pago de obra no ejecutada o de mala calidad, desvío o mal manejo del anticipo, o aprobación de actas a cambio de beneficios.</w:t>
            </w:r>
          </w:p>
        </w:tc>
        <w:tc>
          <w:tcPr>
            <w:tcW w:w="860" w:type="dxa"/>
            <w:vAlign w:val="center"/>
          </w:tcPr>
          <w:p w14:paraId="2FC65FC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Riesgo financiero: detrimento patrimonial; hallazgos fiscales; recursos insuficientes para terminar la obra; obligación de reintegro.</w:t>
            </w:r>
          </w:p>
        </w:tc>
        <w:tc>
          <w:tcPr>
            <w:tcW w:w="300" w:type="dxa"/>
            <w:vAlign w:val="center"/>
          </w:tcPr>
          <w:p w14:paraId="68555AA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D8411E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300" w:type="dxa"/>
            <w:vAlign w:val="center"/>
          </w:tcPr>
          <w:p w14:paraId="3EAEFB0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59E1BD1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441F40D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7E07681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Mediciones conjuntas con memorias de cantidades y registro fotográfico; pagos solo contra actas avalada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 por la supervisión; anticipo, si se pacta, en fiducia o patrimonio autónomo (art. 91 Ley 1474 de 2011); APU de ítems no previstos con precios de referencia; revisión cruzada de cuentas.</w:t>
            </w:r>
          </w:p>
        </w:tc>
        <w:tc>
          <w:tcPr>
            <w:tcW w:w="300" w:type="dxa"/>
            <w:vAlign w:val="center"/>
          </w:tcPr>
          <w:p w14:paraId="7D325C4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100BFDA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370F612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640F4C2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39E8F0A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3864D58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Supervisor / Secretaría de Hacienda</w:t>
            </w:r>
          </w:p>
        </w:tc>
        <w:tc>
          <w:tcPr>
            <w:tcW w:w="720" w:type="dxa"/>
            <w:vAlign w:val="center"/>
          </w:tcPr>
          <w:p w14:paraId="0F60E2A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ión</w:t>
            </w:r>
          </w:p>
        </w:tc>
        <w:tc>
          <w:tcPr>
            <w:tcW w:w="820" w:type="dxa"/>
            <w:vAlign w:val="center"/>
          </w:tcPr>
          <w:p w14:paraId="12E4F4F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Revisión de actas parciales, cuentas de cobro e informes de supervisión</w:t>
            </w:r>
          </w:p>
        </w:tc>
        <w:tc>
          <w:tcPr>
            <w:tcW w:w="640" w:type="dxa"/>
            <w:vAlign w:val="center"/>
          </w:tcPr>
          <w:p w14:paraId="74978E8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 y en cada pago</w:t>
            </w:r>
          </w:p>
        </w:tc>
      </w:tr>
      <w:tr w:rsidR="007E513C" w14:paraId="066E5763" w14:textId="77777777">
        <w:trPr>
          <w:cantSplit/>
        </w:trPr>
        <w:tc>
          <w:tcPr>
            <w:tcW w:w="260" w:type="dxa"/>
            <w:vAlign w:val="center"/>
          </w:tcPr>
          <w:p w14:paraId="730805F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6</w:t>
            </w:r>
          </w:p>
        </w:tc>
        <w:tc>
          <w:tcPr>
            <w:tcW w:w="700" w:type="dxa"/>
            <w:vAlign w:val="center"/>
          </w:tcPr>
          <w:p w14:paraId="15DA8B7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7C24EB8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2F6CAD0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Todas</w:t>
            </w:r>
          </w:p>
        </w:tc>
        <w:tc>
          <w:tcPr>
            <w:tcW w:w="860" w:type="dxa"/>
            <w:vAlign w:val="center"/>
          </w:tcPr>
          <w:p w14:paraId="7737B43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Sociales o políticos – Corrupción (riesgo reputacional)</w:t>
            </w:r>
          </w:p>
        </w:tc>
        <w:tc>
          <w:tcPr>
            <w:tcW w:w="1300" w:type="dxa"/>
            <w:vAlign w:val="center"/>
          </w:tcPr>
          <w:p w14:paraId="2F0ABDA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Uso político o clientelista de la obra, favorecimiento a terceros, información incompleta o tardía al público, o denuncias de irregularidades sin respuesta.</w:t>
            </w:r>
          </w:p>
        </w:tc>
        <w:tc>
          <w:tcPr>
            <w:tcW w:w="860" w:type="dxa"/>
            <w:vAlign w:val="center"/>
          </w:tcPr>
          <w:p w14:paraId="4A19EDA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Riesgo reputacional: pérdida de confianza ciudadana y de legitimidad institucional; control mediáti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co; menor participación de oferentes en futuros procesos.</w:t>
            </w:r>
          </w:p>
        </w:tc>
        <w:tc>
          <w:tcPr>
            <w:tcW w:w="300" w:type="dxa"/>
            <w:vAlign w:val="center"/>
          </w:tcPr>
          <w:p w14:paraId="5FBF1EE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4211215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2639D56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13BC005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2E651CF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7814D4A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Publicación oportuna y completa en SECOP II; valla informativa de la obra; socialización con veedurías ciudadanas y JAC; rendición de cuentas; atención y trazabilidad de PQRSD y d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enuncias.</w:t>
            </w:r>
          </w:p>
        </w:tc>
        <w:tc>
          <w:tcPr>
            <w:tcW w:w="300" w:type="dxa"/>
            <w:vAlign w:val="center"/>
          </w:tcPr>
          <w:p w14:paraId="522F930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0627D3B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40F14C4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0408EA6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6514853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5F47AA7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Despacho del Alcalde / Secretaría de Planeación</w:t>
            </w:r>
          </w:p>
        </w:tc>
        <w:tc>
          <w:tcPr>
            <w:tcW w:w="720" w:type="dxa"/>
            <w:vAlign w:val="center"/>
          </w:tcPr>
          <w:p w14:paraId="5B6320A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todo el proceso</w:t>
            </w:r>
          </w:p>
        </w:tc>
        <w:tc>
          <w:tcPr>
            <w:tcW w:w="820" w:type="dxa"/>
            <w:vAlign w:val="center"/>
          </w:tcPr>
          <w:p w14:paraId="04E93BF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Seguimiento a publicaciones en SECOP II y a PQRSD y denuncias</w:t>
            </w:r>
          </w:p>
        </w:tc>
        <w:tc>
          <w:tcPr>
            <w:tcW w:w="640" w:type="dxa"/>
            <w:vAlign w:val="center"/>
          </w:tcPr>
          <w:p w14:paraId="02AEC95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2E7501D5" w14:textId="77777777">
        <w:trPr>
          <w:cantSplit/>
        </w:trPr>
        <w:tc>
          <w:tcPr>
            <w:tcW w:w="260" w:type="dxa"/>
            <w:vAlign w:val="center"/>
          </w:tcPr>
          <w:p w14:paraId="521B297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7</w:t>
            </w:r>
          </w:p>
        </w:tc>
        <w:tc>
          <w:tcPr>
            <w:tcW w:w="700" w:type="dxa"/>
            <w:vAlign w:val="center"/>
          </w:tcPr>
          <w:p w14:paraId="7712830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1C3A698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 y Externo</w:t>
            </w:r>
          </w:p>
        </w:tc>
        <w:tc>
          <w:tcPr>
            <w:tcW w:w="820" w:type="dxa"/>
            <w:vAlign w:val="center"/>
          </w:tcPr>
          <w:p w14:paraId="07F052B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Todas</w:t>
            </w:r>
          </w:p>
        </w:tc>
        <w:tc>
          <w:tcPr>
            <w:tcW w:w="860" w:type="dxa"/>
            <w:vAlign w:val="center"/>
          </w:tcPr>
          <w:p w14:paraId="29A2001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Sociales o políticos – Corrupción (transversal)</w:t>
            </w:r>
          </w:p>
        </w:tc>
        <w:tc>
          <w:tcPr>
            <w:tcW w:w="1300" w:type="dxa"/>
            <w:vAlign w:val="center"/>
          </w:tcPr>
          <w:p w14:paraId="46E9278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Ofrecimiento o solicitud de dádivas, cohecho o tráfico de influencias entre servidores, contratistas o terceros en cualquier etapa del proceso.</w:t>
            </w:r>
          </w:p>
        </w:tc>
        <w:tc>
          <w:tcPr>
            <w:tcW w:w="860" w:type="dxa"/>
            <w:vAlign w:val="center"/>
          </w:tcPr>
          <w:p w14:paraId="799E24F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Materializa simultáneamente los riesgos financiero (detrimento p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atrimonial), legal (sanciones y nulidad) y reputacional (pérdida de confianza).</w:t>
            </w:r>
          </w:p>
        </w:tc>
        <w:tc>
          <w:tcPr>
            <w:tcW w:w="300" w:type="dxa"/>
            <w:vAlign w:val="center"/>
          </w:tcPr>
          <w:p w14:paraId="42FDA13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171E10A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300" w:type="dxa"/>
            <w:vAlign w:val="center"/>
          </w:tcPr>
          <w:p w14:paraId="7771721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5632C8A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75478E1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5523251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Pacto de transparencia firmado por proponentes y contratista; código de integridad; separación de funciones entre quien estructura, evalúa, supervisa y paga;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 canales de denuncia anónima; acompañamiento de control interno y de veedurías.</w:t>
            </w:r>
          </w:p>
        </w:tc>
        <w:tc>
          <w:tcPr>
            <w:tcW w:w="300" w:type="dxa"/>
            <w:vAlign w:val="center"/>
          </w:tcPr>
          <w:p w14:paraId="4053565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5824707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08FC7BA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59205C0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497778B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0760091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Ordenador del gasto / Control interno</w:t>
            </w:r>
          </w:p>
        </w:tc>
        <w:tc>
          <w:tcPr>
            <w:tcW w:w="720" w:type="dxa"/>
            <w:vAlign w:val="center"/>
          </w:tcPr>
          <w:p w14:paraId="0A485DD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todo el proceso</w:t>
            </w:r>
          </w:p>
        </w:tc>
        <w:tc>
          <w:tcPr>
            <w:tcW w:w="820" w:type="dxa"/>
            <w:vAlign w:val="center"/>
          </w:tcPr>
          <w:p w14:paraId="1544CF5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Auditorías de control interno y seguimiento a denuncias</w:t>
            </w:r>
          </w:p>
        </w:tc>
        <w:tc>
          <w:tcPr>
            <w:tcW w:w="640" w:type="dxa"/>
            <w:vAlign w:val="center"/>
          </w:tcPr>
          <w:p w14:paraId="0BD2BBA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Trimestral</w:t>
            </w:r>
          </w:p>
        </w:tc>
      </w:tr>
      <w:tr w:rsidR="007E513C" w14:paraId="0BF66564" w14:textId="77777777">
        <w:trPr>
          <w:cantSplit/>
        </w:trPr>
        <w:tc>
          <w:tcPr>
            <w:tcW w:w="260" w:type="dxa"/>
            <w:vAlign w:val="center"/>
          </w:tcPr>
          <w:p w14:paraId="59D402E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8</w:t>
            </w:r>
          </w:p>
        </w:tc>
        <w:tc>
          <w:tcPr>
            <w:tcW w:w="700" w:type="dxa"/>
            <w:vAlign w:val="center"/>
          </w:tcPr>
          <w:p w14:paraId="3580061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0B75DC8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439AB1F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860" w:type="dxa"/>
            <w:vAlign w:val="center"/>
          </w:tcPr>
          <w:p w14:paraId="20A91E2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12F783F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Que el adjudicatario no suscriba el contrato o no allegue oportunamente las garantías y requisitos de ejecución.</w:t>
            </w:r>
          </w:p>
        </w:tc>
        <w:tc>
          <w:tcPr>
            <w:tcW w:w="860" w:type="dxa"/>
            <w:vAlign w:val="center"/>
          </w:tcPr>
          <w:p w14:paraId="3C8E1F2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Retraso en el inicio de la obra; adjudicación al segundo en orden de elegibilidad.</w:t>
            </w:r>
          </w:p>
        </w:tc>
        <w:tc>
          <w:tcPr>
            <w:tcW w:w="300" w:type="dxa"/>
            <w:vAlign w:val="center"/>
          </w:tcPr>
          <w:p w14:paraId="334DEA2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4F1C522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0C886B4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6889273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760" w:type="dxa"/>
            <w:vAlign w:val="center"/>
          </w:tcPr>
          <w:p w14:paraId="70B326D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23E55A6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Garantía de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 seriedad de la oferta; plazos claros en el cronograma; adjudicación al segundo calificado (art. 30 num. 12 Ley 80 de 1993).</w:t>
            </w:r>
          </w:p>
        </w:tc>
        <w:tc>
          <w:tcPr>
            <w:tcW w:w="300" w:type="dxa"/>
            <w:vAlign w:val="center"/>
          </w:tcPr>
          <w:p w14:paraId="30CABF1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6D12D29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625CBE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730BA5F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20EBFC0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182FA09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Oficina de contratación</w:t>
            </w:r>
          </w:p>
        </w:tc>
        <w:tc>
          <w:tcPr>
            <w:tcW w:w="720" w:type="dxa"/>
            <w:vAlign w:val="center"/>
          </w:tcPr>
          <w:p w14:paraId="76305562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Según cronograma del proceso</w:t>
            </w:r>
          </w:p>
        </w:tc>
        <w:tc>
          <w:tcPr>
            <w:tcW w:w="820" w:type="dxa"/>
            <w:vAlign w:val="center"/>
          </w:tcPr>
          <w:p w14:paraId="374887F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Control del cronograma en SECOP II</w:t>
            </w:r>
          </w:p>
        </w:tc>
        <w:tc>
          <w:tcPr>
            <w:tcW w:w="640" w:type="dxa"/>
            <w:vAlign w:val="center"/>
          </w:tcPr>
          <w:p w14:paraId="7494CFD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Una vez</w:t>
            </w:r>
          </w:p>
        </w:tc>
      </w:tr>
      <w:tr w:rsidR="007E513C" w14:paraId="271F6BFF" w14:textId="77777777">
        <w:trPr>
          <w:cantSplit/>
        </w:trPr>
        <w:tc>
          <w:tcPr>
            <w:tcW w:w="260" w:type="dxa"/>
            <w:vAlign w:val="center"/>
          </w:tcPr>
          <w:p w14:paraId="069C719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0" w:type="dxa"/>
            <w:vAlign w:val="center"/>
          </w:tcPr>
          <w:p w14:paraId="3ABE738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37634C2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820" w:type="dxa"/>
            <w:vAlign w:val="center"/>
          </w:tcPr>
          <w:p w14:paraId="776C3D0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0E6EAB8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1300" w:type="dxa"/>
            <w:vAlign w:val="center"/>
          </w:tcPr>
          <w:p w14:paraId="46B766D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Variación de precios o escasez local de insumos y materiales (cemento, acero, agregados, combustibles) y de mano de obra.</w:t>
            </w:r>
          </w:p>
        </w:tc>
        <w:tc>
          <w:tcPr>
            <w:tcW w:w="860" w:type="dxa"/>
            <w:vAlign w:val="center"/>
          </w:tcPr>
          <w:p w14:paraId="04F0DED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Mayores costos para el contratista; retrasos.</w:t>
            </w:r>
          </w:p>
        </w:tc>
        <w:tc>
          <w:tcPr>
            <w:tcW w:w="300" w:type="dxa"/>
            <w:vAlign w:val="center"/>
          </w:tcPr>
          <w:p w14:paraId="27A168F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7644D8E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4A41AB1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544EADA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696A023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22E3EA8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El proponente incluye en su oferta los costos previsibles y el co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mponente de imprevistos del AIU; programación anticipada de compras.</w:t>
            </w:r>
          </w:p>
        </w:tc>
        <w:tc>
          <w:tcPr>
            <w:tcW w:w="300" w:type="dxa"/>
            <w:vAlign w:val="center"/>
          </w:tcPr>
          <w:p w14:paraId="1CA9CC4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390ED4A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901C79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2453B8E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3AE9AB8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3166D8B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51951A4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601D22C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Informes de ejecución revisados por la supervisión</w:t>
            </w:r>
          </w:p>
        </w:tc>
        <w:tc>
          <w:tcPr>
            <w:tcW w:w="640" w:type="dxa"/>
            <w:vAlign w:val="center"/>
          </w:tcPr>
          <w:p w14:paraId="58CC0D1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53DD9391" w14:textId="77777777">
        <w:trPr>
          <w:cantSplit/>
        </w:trPr>
        <w:tc>
          <w:tcPr>
            <w:tcW w:w="260" w:type="dxa"/>
            <w:vAlign w:val="center"/>
          </w:tcPr>
          <w:p w14:paraId="7B7EEF6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10</w:t>
            </w:r>
          </w:p>
        </w:tc>
        <w:tc>
          <w:tcPr>
            <w:tcW w:w="700" w:type="dxa"/>
            <w:vAlign w:val="center"/>
          </w:tcPr>
          <w:p w14:paraId="4FB30D1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600" w:type="dxa"/>
            <w:vAlign w:val="center"/>
          </w:tcPr>
          <w:p w14:paraId="230B3BD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820" w:type="dxa"/>
            <w:vAlign w:val="center"/>
          </w:tcPr>
          <w:p w14:paraId="0103C8A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093579D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 la naturaleza</w:t>
            </w:r>
          </w:p>
        </w:tc>
        <w:tc>
          <w:tcPr>
            <w:tcW w:w="1300" w:type="dxa"/>
            <w:vAlign w:val="center"/>
          </w:tcPr>
          <w:p w14:paraId="638F4E3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Lluvias intensas, heladas u otros fenómenos climáticos previsibles en la zona que afecten actividades a la intemperie.</w:t>
            </w:r>
          </w:p>
        </w:tc>
        <w:tc>
          <w:tcPr>
            <w:tcW w:w="860" w:type="dxa"/>
            <w:vAlign w:val="center"/>
          </w:tcPr>
          <w:p w14:paraId="0BB9ADE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Retrasos en el cronograma; daño de obra en proceso o de materiales.</w:t>
            </w:r>
          </w:p>
        </w:tc>
        <w:tc>
          <w:tcPr>
            <w:tcW w:w="300" w:type="dxa"/>
            <w:vAlign w:val="center"/>
          </w:tcPr>
          <w:p w14:paraId="6D504A9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3C4A18A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01A0DFD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13B809C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165C0CD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646612A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Programación de obra según temporadas; protección de obras y materiales; frentes de trabajo bajo cubierta. Los eventos imprevisibles e irresistibles se tratan como fuerza mayor.</w:t>
            </w:r>
          </w:p>
        </w:tc>
        <w:tc>
          <w:tcPr>
            <w:tcW w:w="300" w:type="dxa"/>
            <w:vAlign w:val="center"/>
          </w:tcPr>
          <w:p w14:paraId="3AE7424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54E5EA8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1363A70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710C34F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7C5833F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5ECE043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 / Supervisor</w:t>
            </w:r>
          </w:p>
        </w:tc>
        <w:tc>
          <w:tcPr>
            <w:tcW w:w="720" w:type="dxa"/>
            <w:vAlign w:val="center"/>
          </w:tcPr>
          <w:p w14:paraId="20846D1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135A3DF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Seguimiento al cr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onograma y bitácora de obra</w:t>
            </w:r>
          </w:p>
        </w:tc>
        <w:tc>
          <w:tcPr>
            <w:tcW w:w="640" w:type="dxa"/>
            <w:vAlign w:val="center"/>
          </w:tcPr>
          <w:p w14:paraId="0808C79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Semanal</w:t>
            </w:r>
          </w:p>
        </w:tc>
      </w:tr>
      <w:tr w:rsidR="007E513C" w14:paraId="254D0E7C" w14:textId="77777777">
        <w:trPr>
          <w:cantSplit/>
        </w:trPr>
        <w:tc>
          <w:tcPr>
            <w:tcW w:w="260" w:type="dxa"/>
            <w:vAlign w:val="center"/>
          </w:tcPr>
          <w:p w14:paraId="767305D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11</w:t>
            </w:r>
          </w:p>
        </w:tc>
        <w:tc>
          <w:tcPr>
            <w:tcW w:w="700" w:type="dxa"/>
            <w:vAlign w:val="center"/>
          </w:tcPr>
          <w:p w14:paraId="35B476C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600" w:type="dxa"/>
            <w:vAlign w:val="center"/>
          </w:tcPr>
          <w:p w14:paraId="673D906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3FDA812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3C99DA6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755BCF4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Condiciones ocultas o estado estructural de edificaciones y escenarios existentes no identificado en los estudios (filtraciones, redes deterioradas, cimentaciones deficientes).</w:t>
            </w:r>
          </w:p>
        </w:tc>
        <w:tc>
          <w:tcPr>
            <w:tcW w:w="860" w:type="dxa"/>
            <w:vAlign w:val="center"/>
          </w:tcPr>
          <w:p w14:paraId="5E2C6D7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Mayores cantidades, ítems no previstos, adiciones o mayor plazo.</w:t>
            </w:r>
          </w:p>
        </w:tc>
        <w:tc>
          <w:tcPr>
            <w:tcW w:w="300" w:type="dxa"/>
            <w:vAlign w:val="center"/>
          </w:tcPr>
          <w:p w14:paraId="696FC2B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7F8D126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620827A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6DE50B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06E7C67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idad</w:t>
            </w:r>
          </w:p>
        </w:tc>
        <w:tc>
          <w:tcPr>
            <w:tcW w:w="1400" w:type="dxa"/>
            <w:vAlign w:val="center"/>
          </w:tcPr>
          <w:p w14:paraId="04B51A1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Diagnóstico previo; procedimiento de aprobación de ítems no previstos con APU concertados y visto bueno de la supervisión; disponibilidad presupuestal para ajustes dentro de los límites legales.</w:t>
            </w:r>
          </w:p>
        </w:tc>
        <w:tc>
          <w:tcPr>
            <w:tcW w:w="300" w:type="dxa"/>
            <w:vAlign w:val="center"/>
          </w:tcPr>
          <w:p w14:paraId="32B6EF4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F06212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1931BA8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23CD376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12D2BE3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39D7F10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Secretaría de Planeación / Supervisor</w:t>
            </w:r>
          </w:p>
        </w:tc>
        <w:tc>
          <w:tcPr>
            <w:tcW w:w="720" w:type="dxa"/>
            <w:vAlign w:val="center"/>
          </w:tcPr>
          <w:p w14:paraId="2C45E04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 la ejecución</w:t>
            </w:r>
          </w:p>
        </w:tc>
        <w:tc>
          <w:tcPr>
            <w:tcW w:w="820" w:type="dxa"/>
            <w:vAlign w:val="center"/>
          </w:tcPr>
          <w:p w14:paraId="0FBAA62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Actas de mayores y menores cantidades; comités de obra</w:t>
            </w:r>
          </w:p>
        </w:tc>
        <w:tc>
          <w:tcPr>
            <w:tcW w:w="640" w:type="dxa"/>
            <w:vAlign w:val="center"/>
          </w:tcPr>
          <w:p w14:paraId="0684877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Quincenal</w:t>
            </w:r>
          </w:p>
        </w:tc>
      </w:tr>
      <w:tr w:rsidR="007E513C" w14:paraId="7E166772" w14:textId="77777777">
        <w:trPr>
          <w:cantSplit/>
        </w:trPr>
        <w:tc>
          <w:tcPr>
            <w:tcW w:w="260" w:type="dxa"/>
            <w:vAlign w:val="center"/>
          </w:tcPr>
          <w:p w14:paraId="18317E5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12</w:t>
            </w:r>
          </w:p>
        </w:tc>
        <w:tc>
          <w:tcPr>
            <w:tcW w:w="700" w:type="dxa"/>
            <w:vAlign w:val="center"/>
          </w:tcPr>
          <w:p w14:paraId="3DC9B56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7E407D9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0B1FEA6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626FEFF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7B56D22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Incumplimiento del cronograma por falta de personal, equipos, materiales o capacidad financiera del contratista.</w:t>
            </w:r>
          </w:p>
        </w:tc>
        <w:tc>
          <w:tcPr>
            <w:tcW w:w="860" w:type="dxa"/>
            <w:vAlign w:val="center"/>
          </w:tcPr>
          <w:p w14:paraId="4CC98ED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Retrasos en la entrega; mayor tiempo de afectación a la comunidad.</w:t>
            </w:r>
          </w:p>
        </w:tc>
        <w:tc>
          <w:tcPr>
            <w:tcW w:w="300" w:type="dxa"/>
            <w:vAlign w:val="center"/>
          </w:tcPr>
          <w:p w14:paraId="6B7AACF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5C4B7E0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572E2F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21D1D58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09F8A6A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231D567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Programación de obra aprobada; manejo del anticipo, s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 se pacta, conforme al art. 91 Ley 1474 de 2011; garantía de cumplimiento; procedimiento sancionatorio del art. 86 Ley 1474 de 2011.</w:t>
            </w:r>
          </w:p>
        </w:tc>
        <w:tc>
          <w:tcPr>
            <w:tcW w:w="300" w:type="dxa"/>
            <w:vAlign w:val="center"/>
          </w:tcPr>
          <w:p w14:paraId="378BD7B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AE0882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62D47B9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0C95280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512D001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466935A4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 / Supervisor</w:t>
            </w:r>
          </w:p>
        </w:tc>
        <w:tc>
          <w:tcPr>
            <w:tcW w:w="720" w:type="dxa"/>
            <w:vAlign w:val="center"/>
          </w:tcPr>
          <w:p w14:paraId="4D3BB2C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0645C90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Comparación de avance programado vs. ejecutado</w:t>
            </w:r>
          </w:p>
        </w:tc>
        <w:tc>
          <w:tcPr>
            <w:tcW w:w="640" w:type="dxa"/>
            <w:vAlign w:val="center"/>
          </w:tcPr>
          <w:p w14:paraId="3E3E7B8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Semanal</w:t>
            </w:r>
          </w:p>
        </w:tc>
      </w:tr>
      <w:tr w:rsidR="007E513C" w14:paraId="5EFE2CCD" w14:textId="77777777">
        <w:trPr>
          <w:cantSplit/>
        </w:trPr>
        <w:tc>
          <w:tcPr>
            <w:tcW w:w="260" w:type="dxa"/>
            <w:vAlign w:val="center"/>
          </w:tcPr>
          <w:p w14:paraId="3C8B8C7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13</w:t>
            </w:r>
          </w:p>
        </w:tc>
        <w:tc>
          <w:tcPr>
            <w:tcW w:w="700" w:type="dxa"/>
            <w:vAlign w:val="center"/>
          </w:tcPr>
          <w:p w14:paraId="50982AB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78AB698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62FC189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7C491E4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1C1B11B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Obras de mala calidad o materiales que no cumplen las especificaciones técnicas y normas aplicables (NSR-10, NTC).</w:t>
            </w:r>
          </w:p>
        </w:tc>
        <w:tc>
          <w:tcPr>
            <w:tcW w:w="860" w:type="dxa"/>
            <w:vAlign w:val="center"/>
          </w:tcPr>
          <w:p w14:paraId="55843D0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Reprocesos, deterioro prematuro, riesgo para los usuarios.</w:t>
            </w:r>
          </w:p>
        </w:tc>
        <w:tc>
          <w:tcPr>
            <w:tcW w:w="300" w:type="dxa"/>
            <w:vAlign w:val="center"/>
          </w:tcPr>
          <w:p w14:paraId="4D26065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46CD23E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46E7EE0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4AA42FF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17D1800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5B2A8B0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Ensayos de laboratorio y certificados de calidad; aprobació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 previa de materiales por la supervisión; garantía de estabilidad y calidad de la obra.</w:t>
            </w:r>
          </w:p>
        </w:tc>
        <w:tc>
          <w:tcPr>
            <w:tcW w:w="300" w:type="dxa"/>
            <w:vAlign w:val="center"/>
          </w:tcPr>
          <w:p w14:paraId="0A25562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5565F2C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431E838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04A8620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4AC48E4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7193831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 / Supervisor</w:t>
            </w:r>
          </w:p>
        </w:tc>
        <w:tc>
          <w:tcPr>
            <w:tcW w:w="720" w:type="dxa"/>
            <w:vAlign w:val="center"/>
          </w:tcPr>
          <w:p w14:paraId="431A3F1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 y hasta el recibo final</w:t>
            </w:r>
          </w:p>
        </w:tc>
        <w:tc>
          <w:tcPr>
            <w:tcW w:w="820" w:type="dxa"/>
            <w:vAlign w:val="center"/>
          </w:tcPr>
          <w:p w14:paraId="60F30E8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Ensayos y verificaciones en obra</w:t>
            </w:r>
          </w:p>
        </w:tc>
        <w:tc>
          <w:tcPr>
            <w:tcW w:w="640" w:type="dxa"/>
            <w:vAlign w:val="center"/>
          </w:tcPr>
          <w:p w14:paraId="67811B3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 y por actividad</w:t>
            </w:r>
          </w:p>
        </w:tc>
      </w:tr>
      <w:tr w:rsidR="007E513C" w14:paraId="6B8D6628" w14:textId="77777777">
        <w:trPr>
          <w:cantSplit/>
        </w:trPr>
        <w:tc>
          <w:tcPr>
            <w:tcW w:w="260" w:type="dxa"/>
            <w:vAlign w:val="center"/>
          </w:tcPr>
          <w:p w14:paraId="58099F2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14</w:t>
            </w:r>
          </w:p>
        </w:tc>
        <w:tc>
          <w:tcPr>
            <w:tcW w:w="700" w:type="dxa"/>
            <w:vAlign w:val="center"/>
          </w:tcPr>
          <w:p w14:paraId="042C27A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2CF96B1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778E00C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1DC0F80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0EF8430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Accidentes de trabajo o enfermedades laborales del personal de obra (trabajo en alturas, excavaciones, uso de herramientas).</w:t>
            </w:r>
          </w:p>
        </w:tc>
        <w:tc>
          <w:tcPr>
            <w:tcW w:w="860" w:type="dxa"/>
            <w:vAlign w:val="center"/>
          </w:tcPr>
          <w:p w14:paraId="652FD0C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Lesiones, suspensión de actividades, sanciones.</w:t>
            </w:r>
          </w:p>
        </w:tc>
        <w:tc>
          <w:tcPr>
            <w:tcW w:w="300" w:type="dxa"/>
            <w:vAlign w:val="center"/>
          </w:tcPr>
          <w:p w14:paraId="766A85A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6F96BD3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04E708B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2E45D41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47E6ED2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012570E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SG-SST (Decreto 1072 de 2015 y Resolución 0312 de 2019); afi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liación a seguridad social y ARL; EPP; certificación de trabajo en alturas.</w:t>
            </w:r>
          </w:p>
        </w:tc>
        <w:tc>
          <w:tcPr>
            <w:tcW w:w="300" w:type="dxa"/>
            <w:vAlign w:val="center"/>
          </w:tcPr>
          <w:p w14:paraId="1468FF1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1B0E356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0B226F1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430BB07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327C7EE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6D1E687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429BA98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68C36E5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Verificación de planillas PILA y del plan SST</w:t>
            </w:r>
          </w:p>
        </w:tc>
        <w:tc>
          <w:tcPr>
            <w:tcW w:w="640" w:type="dxa"/>
            <w:vAlign w:val="center"/>
          </w:tcPr>
          <w:p w14:paraId="2C6CF8B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14B467D4" w14:textId="77777777">
        <w:trPr>
          <w:cantSplit/>
        </w:trPr>
        <w:tc>
          <w:tcPr>
            <w:tcW w:w="260" w:type="dxa"/>
            <w:vAlign w:val="center"/>
          </w:tcPr>
          <w:p w14:paraId="2A94EDC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15</w:t>
            </w:r>
          </w:p>
        </w:tc>
        <w:tc>
          <w:tcPr>
            <w:tcW w:w="700" w:type="dxa"/>
            <w:vAlign w:val="center"/>
          </w:tcPr>
          <w:p w14:paraId="2E732F8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600" w:type="dxa"/>
            <w:vAlign w:val="center"/>
          </w:tcPr>
          <w:p w14:paraId="13F3436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766CCB4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46C0853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62C28D6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Daños a terceros, estudiantes, usuarios o bienes durante la obra en espacios de uso público y sedes educativas en funcionamiento.</w:t>
            </w:r>
          </w:p>
        </w:tc>
        <w:tc>
          <w:tcPr>
            <w:tcW w:w="860" w:type="dxa"/>
            <w:vAlign w:val="center"/>
          </w:tcPr>
          <w:p w14:paraId="5CB88CA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Reclamaciones; responsabilidad civil; afectación reputacional.</w:t>
            </w:r>
          </w:p>
        </w:tc>
        <w:tc>
          <w:tcPr>
            <w:tcW w:w="300" w:type="dxa"/>
            <w:vAlign w:val="center"/>
          </w:tcPr>
          <w:p w14:paraId="2EF7C3E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7223060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44AA17B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7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4C5CF96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25DA006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374D2FA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Cerramiento y señalización; horarios coo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rdinados con las instituciones educativas; póliza de responsabilidad civil extracontractual.</w:t>
            </w:r>
          </w:p>
        </w:tc>
        <w:tc>
          <w:tcPr>
            <w:tcW w:w="300" w:type="dxa"/>
            <w:vAlign w:val="center"/>
          </w:tcPr>
          <w:p w14:paraId="272AE0A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32F95A9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2314DFE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72DE1EE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4E5414B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0AAB0B3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5EDB18C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16532AB2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Inspecciones de seguridad en obra</w:t>
            </w:r>
          </w:p>
        </w:tc>
        <w:tc>
          <w:tcPr>
            <w:tcW w:w="640" w:type="dxa"/>
            <w:vAlign w:val="center"/>
          </w:tcPr>
          <w:p w14:paraId="0F99A75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Semanal</w:t>
            </w:r>
          </w:p>
        </w:tc>
      </w:tr>
      <w:tr w:rsidR="007E513C" w14:paraId="4926BD1A" w14:textId="77777777">
        <w:trPr>
          <w:cantSplit/>
        </w:trPr>
        <w:tc>
          <w:tcPr>
            <w:tcW w:w="260" w:type="dxa"/>
            <w:vAlign w:val="center"/>
          </w:tcPr>
          <w:p w14:paraId="67FFF99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16</w:t>
            </w:r>
          </w:p>
        </w:tc>
        <w:tc>
          <w:tcPr>
            <w:tcW w:w="700" w:type="dxa"/>
            <w:vAlign w:val="center"/>
          </w:tcPr>
          <w:p w14:paraId="6217244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600" w:type="dxa"/>
            <w:vAlign w:val="center"/>
          </w:tcPr>
          <w:p w14:paraId="2CD8368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820" w:type="dxa"/>
            <w:vAlign w:val="center"/>
          </w:tcPr>
          <w:p w14:paraId="7DB188E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1EDCE86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Sociales o políticos</w:t>
            </w:r>
          </w:p>
        </w:tc>
        <w:tc>
          <w:tcPr>
            <w:tcW w:w="1300" w:type="dxa"/>
            <w:vAlign w:val="center"/>
          </w:tcPr>
          <w:p w14:paraId="1BCD323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Inconformidad u oposición de la comunidad, juntas de acción comunal o comunidad educativa por cierre de espacios, ruido o afectación de actividades.</w:t>
            </w:r>
          </w:p>
        </w:tc>
        <w:tc>
          <w:tcPr>
            <w:tcW w:w="860" w:type="dxa"/>
            <w:vAlign w:val="center"/>
          </w:tcPr>
          <w:p w14:paraId="2A0BCCD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Paralización o retrasos; conflictos con la comunidad.</w:t>
            </w:r>
          </w:p>
        </w:tc>
        <w:tc>
          <w:tcPr>
            <w:tcW w:w="300" w:type="dxa"/>
            <w:vAlign w:val="center"/>
          </w:tcPr>
          <w:p w14:paraId="21BED0D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305E956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3797882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4B504A2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6239237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 y Contratista</w:t>
            </w:r>
          </w:p>
        </w:tc>
        <w:tc>
          <w:tcPr>
            <w:tcW w:w="1400" w:type="dxa"/>
            <w:vAlign w:val="center"/>
          </w:tcPr>
          <w:p w14:paraId="451264A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Socialización del pr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oyecto antes del inicio (Entidad); plan de manejo social y canal de PQRS (Contratista); coordinación de horarios con rectores.</w:t>
            </w:r>
          </w:p>
        </w:tc>
        <w:tc>
          <w:tcPr>
            <w:tcW w:w="300" w:type="dxa"/>
            <w:vAlign w:val="center"/>
          </w:tcPr>
          <w:p w14:paraId="6DABF4A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78D61F1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4973564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68C0A53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418E681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0F3C675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Secretaría de Planeación / Contratista</w:t>
            </w:r>
          </w:p>
        </w:tc>
        <w:tc>
          <w:tcPr>
            <w:tcW w:w="720" w:type="dxa"/>
            <w:vAlign w:val="center"/>
          </w:tcPr>
          <w:p w14:paraId="1B56444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Antes del inicio y durante la ejecución</w:t>
            </w:r>
          </w:p>
        </w:tc>
        <w:tc>
          <w:tcPr>
            <w:tcW w:w="820" w:type="dxa"/>
            <w:vAlign w:val="center"/>
          </w:tcPr>
          <w:p w14:paraId="578674C4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Actas de socialización y registro de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 PQRS</w:t>
            </w:r>
          </w:p>
        </w:tc>
        <w:tc>
          <w:tcPr>
            <w:tcW w:w="640" w:type="dxa"/>
            <w:vAlign w:val="center"/>
          </w:tcPr>
          <w:p w14:paraId="5C3A71A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00F8EA96" w14:textId="77777777">
        <w:trPr>
          <w:cantSplit/>
        </w:trPr>
        <w:tc>
          <w:tcPr>
            <w:tcW w:w="260" w:type="dxa"/>
            <w:vAlign w:val="center"/>
          </w:tcPr>
          <w:p w14:paraId="6E31797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17</w:t>
            </w:r>
          </w:p>
        </w:tc>
        <w:tc>
          <w:tcPr>
            <w:tcW w:w="700" w:type="dxa"/>
            <w:vAlign w:val="center"/>
          </w:tcPr>
          <w:p w14:paraId="7B0CCC9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35110C3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6A0EEB6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5969C28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Ambiental</w:t>
            </w:r>
          </w:p>
        </w:tc>
        <w:tc>
          <w:tcPr>
            <w:tcW w:w="1300" w:type="dxa"/>
            <w:vAlign w:val="center"/>
          </w:tcPr>
          <w:p w14:paraId="4959B04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Inadecuado manejo de residuos de construcción y demolición (RCD), material particulado o vertimientos.</w:t>
            </w:r>
          </w:p>
        </w:tc>
        <w:tc>
          <w:tcPr>
            <w:tcW w:w="860" w:type="dxa"/>
            <w:vAlign w:val="center"/>
          </w:tcPr>
          <w:p w14:paraId="10CB9252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Sanciones de la autoridad ambiental; afectación a la comunidad.</w:t>
            </w:r>
          </w:p>
        </w:tc>
        <w:tc>
          <w:tcPr>
            <w:tcW w:w="300" w:type="dxa"/>
            <w:vAlign w:val="center"/>
          </w:tcPr>
          <w:p w14:paraId="6CB90C0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121085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1ECEEE6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039D4CA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4492449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3A5EF96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Plan de manejo ambiental; disposición de RCD en sitios autorizados (Resolución 1257 de 2021) con certificados de disposición.</w:t>
            </w:r>
          </w:p>
        </w:tc>
        <w:tc>
          <w:tcPr>
            <w:tcW w:w="300" w:type="dxa"/>
            <w:vAlign w:val="center"/>
          </w:tcPr>
          <w:p w14:paraId="6891B68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391382E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3C90A98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14C5B92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005CDDB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05B2997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2FB51D01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522683D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Verificación de certificados de disposición</w:t>
            </w:r>
          </w:p>
        </w:tc>
        <w:tc>
          <w:tcPr>
            <w:tcW w:w="640" w:type="dxa"/>
            <w:vAlign w:val="center"/>
          </w:tcPr>
          <w:p w14:paraId="2A9DC0C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1B78404B" w14:textId="77777777">
        <w:trPr>
          <w:cantSplit/>
        </w:trPr>
        <w:tc>
          <w:tcPr>
            <w:tcW w:w="260" w:type="dxa"/>
            <w:vAlign w:val="center"/>
          </w:tcPr>
          <w:p w14:paraId="684C25A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18</w:t>
            </w:r>
          </w:p>
        </w:tc>
        <w:tc>
          <w:tcPr>
            <w:tcW w:w="700" w:type="dxa"/>
            <w:vAlign w:val="center"/>
          </w:tcPr>
          <w:p w14:paraId="4C4C609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2923452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820" w:type="dxa"/>
            <w:vAlign w:val="center"/>
          </w:tcPr>
          <w:p w14:paraId="49207BA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7E35708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632A5B8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Hurto o daño de materiales, herramientas y equipos en la obra.</w:t>
            </w:r>
          </w:p>
        </w:tc>
        <w:tc>
          <w:tcPr>
            <w:tcW w:w="860" w:type="dxa"/>
            <w:vAlign w:val="center"/>
          </w:tcPr>
          <w:p w14:paraId="6B0659A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Mayores costos; retrasos.</w:t>
            </w:r>
          </w:p>
        </w:tc>
        <w:tc>
          <w:tcPr>
            <w:tcW w:w="300" w:type="dxa"/>
            <w:vAlign w:val="center"/>
          </w:tcPr>
          <w:p w14:paraId="6DAB49E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5F3F90D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4A370A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2D26730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760" w:type="dxa"/>
            <w:vAlign w:val="center"/>
          </w:tcPr>
          <w:p w14:paraId="371735F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107D686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Vigilancia; almacén con control de inventarios; seguros propios del contratista.</w:t>
            </w:r>
          </w:p>
        </w:tc>
        <w:tc>
          <w:tcPr>
            <w:tcW w:w="300" w:type="dxa"/>
            <w:vAlign w:val="center"/>
          </w:tcPr>
          <w:p w14:paraId="361BB3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5FB2CB4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692E478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2F7AD7D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16B8209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30C7ED05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00DCA553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cución</w:t>
            </w:r>
          </w:p>
        </w:tc>
        <w:tc>
          <w:tcPr>
            <w:tcW w:w="820" w:type="dxa"/>
            <w:vAlign w:val="center"/>
          </w:tcPr>
          <w:p w14:paraId="2BBEFFB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Control de inventarios</w:t>
            </w:r>
          </w:p>
        </w:tc>
        <w:tc>
          <w:tcPr>
            <w:tcW w:w="640" w:type="dxa"/>
            <w:vAlign w:val="center"/>
          </w:tcPr>
          <w:p w14:paraId="59653A3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Semanal</w:t>
            </w:r>
          </w:p>
        </w:tc>
      </w:tr>
      <w:tr w:rsidR="007E513C" w14:paraId="44637FF8" w14:textId="77777777">
        <w:trPr>
          <w:cantSplit/>
        </w:trPr>
        <w:tc>
          <w:tcPr>
            <w:tcW w:w="260" w:type="dxa"/>
            <w:vAlign w:val="center"/>
          </w:tcPr>
          <w:p w14:paraId="6F473E4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19</w:t>
            </w:r>
          </w:p>
        </w:tc>
        <w:tc>
          <w:tcPr>
            <w:tcW w:w="700" w:type="dxa"/>
            <w:vAlign w:val="center"/>
          </w:tcPr>
          <w:p w14:paraId="1B2D437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3282416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820" w:type="dxa"/>
            <w:vAlign w:val="center"/>
          </w:tcPr>
          <w:p w14:paraId="4A144BC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07AC346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1300" w:type="dxa"/>
            <w:vAlign w:val="center"/>
          </w:tcPr>
          <w:p w14:paraId="74638A8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Cambios en la normativa tributaria o creación de nuevos impuestos, tasas o contribuciones que afecten los costos del contratista.</w:t>
            </w:r>
          </w:p>
        </w:tc>
        <w:tc>
          <w:tcPr>
            <w:tcW w:w="860" w:type="dxa"/>
            <w:vAlign w:val="center"/>
          </w:tcPr>
          <w:p w14:paraId="29C6CDA4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Variación de los costos del contratista.</w:t>
            </w:r>
          </w:p>
        </w:tc>
        <w:tc>
          <w:tcPr>
            <w:tcW w:w="300" w:type="dxa"/>
            <w:vAlign w:val="center"/>
          </w:tcPr>
          <w:p w14:paraId="4ACBC9A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7039A3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303F9FD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13E505D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760" w:type="dxa"/>
            <w:vAlign w:val="center"/>
          </w:tcPr>
          <w:p w14:paraId="541D6B5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07AC7DFE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Análisis de la normativa vigente al estructurar la oferta.</w:t>
            </w:r>
          </w:p>
        </w:tc>
        <w:tc>
          <w:tcPr>
            <w:tcW w:w="300" w:type="dxa"/>
            <w:vAlign w:val="center"/>
          </w:tcPr>
          <w:p w14:paraId="7F6A3D6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9C1B6B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078B435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04A3A85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157EDB5E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3EB267F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720" w:type="dxa"/>
            <w:vAlign w:val="center"/>
          </w:tcPr>
          <w:p w14:paraId="5D4C094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490D0E1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Seguimiento normativo</w:t>
            </w:r>
          </w:p>
        </w:tc>
        <w:tc>
          <w:tcPr>
            <w:tcW w:w="640" w:type="dxa"/>
            <w:vAlign w:val="center"/>
          </w:tcPr>
          <w:p w14:paraId="14E2304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Trimestral</w:t>
            </w:r>
          </w:p>
        </w:tc>
      </w:tr>
      <w:tr w:rsidR="007E513C" w14:paraId="32FE2FE3" w14:textId="77777777">
        <w:trPr>
          <w:cantSplit/>
        </w:trPr>
        <w:tc>
          <w:tcPr>
            <w:tcW w:w="260" w:type="dxa"/>
            <w:vAlign w:val="center"/>
          </w:tcPr>
          <w:p w14:paraId="383114F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20</w:t>
            </w:r>
          </w:p>
        </w:tc>
        <w:tc>
          <w:tcPr>
            <w:tcW w:w="700" w:type="dxa"/>
            <w:vAlign w:val="center"/>
          </w:tcPr>
          <w:p w14:paraId="4DFD8F8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13784BC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08FF859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4DB5584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Financiero</w:t>
            </w:r>
          </w:p>
        </w:tc>
        <w:tc>
          <w:tcPr>
            <w:tcW w:w="1300" w:type="dxa"/>
            <w:vAlign w:val="center"/>
          </w:tcPr>
          <w:p w14:paraId="4107CAB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Retraso en los pagos por trámites administrativos o falta de flujo de caja (PAC) de la Entidad.</w:t>
            </w:r>
          </w:p>
        </w:tc>
        <w:tc>
          <w:tcPr>
            <w:tcW w:w="860" w:type="dxa"/>
            <w:vAlign w:val="center"/>
          </w:tcPr>
          <w:p w14:paraId="62F8E084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Afectación del flujo de caja del contratista; retrasos en la obra.</w:t>
            </w:r>
          </w:p>
        </w:tc>
        <w:tc>
          <w:tcPr>
            <w:tcW w:w="300" w:type="dxa"/>
            <w:vAlign w:val="center"/>
          </w:tcPr>
          <w:p w14:paraId="00CA027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60CD794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45B18D4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4785B9D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760" w:type="dxa"/>
            <w:vAlign w:val="center"/>
          </w:tcPr>
          <w:p w14:paraId="7037D0F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2858555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CDP y RP desde el inicio; programación del PAC; trámite oportuno de actas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 parciales.</w:t>
            </w:r>
          </w:p>
        </w:tc>
        <w:tc>
          <w:tcPr>
            <w:tcW w:w="300" w:type="dxa"/>
            <w:vAlign w:val="center"/>
          </w:tcPr>
          <w:p w14:paraId="5FCFD57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433DC3D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338E3DF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72EBC4B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59E6326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6F27E9B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Secretaría de Hacienda / Supervisor</w:t>
            </w:r>
          </w:p>
        </w:tc>
        <w:tc>
          <w:tcPr>
            <w:tcW w:w="720" w:type="dxa"/>
            <w:vAlign w:val="center"/>
          </w:tcPr>
          <w:p w14:paraId="693CEA17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Durante la ejecución</w:t>
            </w:r>
          </w:p>
        </w:tc>
        <w:tc>
          <w:tcPr>
            <w:tcW w:w="820" w:type="dxa"/>
            <w:vAlign w:val="center"/>
          </w:tcPr>
          <w:p w14:paraId="60ED569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Seguimiento a cuentas radicadas</w:t>
            </w:r>
          </w:p>
        </w:tc>
        <w:tc>
          <w:tcPr>
            <w:tcW w:w="640" w:type="dxa"/>
            <w:vAlign w:val="center"/>
          </w:tcPr>
          <w:p w14:paraId="0C1F975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1AFE76AF" w14:textId="77777777">
        <w:trPr>
          <w:cantSplit/>
        </w:trPr>
        <w:tc>
          <w:tcPr>
            <w:tcW w:w="260" w:type="dxa"/>
            <w:vAlign w:val="center"/>
          </w:tcPr>
          <w:p w14:paraId="5C7FE94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21</w:t>
            </w:r>
          </w:p>
        </w:tc>
        <w:tc>
          <w:tcPr>
            <w:tcW w:w="700" w:type="dxa"/>
            <w:vAlign w:val="center"/>
          </w:tcPr>
          <w:p w14:paraId="32257CD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633356D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43965C6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860" w:type="dxa"/>
            <w:vAlign w:val="center"/>
          </w:tcPr>
          <w:p w14:paraId="7A64ACE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0349AB3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Deficiente supervisión o interventoría: falta de seguimiento técnico, administrativo, financiero, contable y jurídico.</w:t>
            </w:r>
          </w:p>
        </w:tc>
        <w:tc>
          <w:tcPr>
            <w:tcW w:w="860" w:type="dxa"/>
            <w:vAlign w:val="center"/>
          </w:tcPr>
          <w:p w14:paraId="3C3AA86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Pagos de obra no ejecutada; pérdida de control del contrato.</w:t>
            </w:r>
          </w:p>
        </w:tc>
        <w:tc>
          <w:tcPr>
            <w:tcW w:w="300" w:type="dxa"/>
            <w:vAlign w:val="center"/>
          </w:tcPr>
          <w:p w14:paraId="315BA3E8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3ABCB0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1097C96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2A15EDF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265751D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7EEB3330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 xml:space="preserve">Designación oportuna de supervisor idóneo o contratación 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 interventoría; informes periódicos (arts. 83 y 84 Ley 1474 de 2011).</w:t>
            </w:r>
          </w:p>
        </w:tc>
        <w:tc>
          <w:tcPr>
            <w:tcW w:w="300" w:type="dxa"/>
            <w:vAlign w:val="center"/>
          </w:tcPr>
          <w:p w14:paraId="2017BE5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49EDB37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3F0BE93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46FE301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208848D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Sí</w:t>
            </w:r>
          </w:p>
        </w:tc>
        <w:tc>
          <w:tcPr>
            <w:tcW w:w="720" w:type="dxa"/>
            <w:vAlign w:val="center"/>
          </w:tcPr>
          <w:p w14:paraId="275F091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Ordenador del gasto</w:t>
            </w:r>
          </w:p>
        </w:tc>
        <w:tc>
          <w:tcPr>
            <w:tcW w:w="720" w:type="dxa"/>
            <w:vAlign w:val="center"/>
          </w:tcPr>
          <w:p w14:paraId="03EC9EE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Antes del acta de inicio</w:t>
            </w:r>
          </w:p>
        </w:tc>
        <w:tc>
          <w:tcPr>
            <w:tcW w:w="820" w:type="dxa"/>
            <w:vAlign w:val="center"/>
          </w:tcPr>
          <w:p w14:paraId="2799052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Revisión de informes de supervisión</w:t>
            </w:r>
          </w:p>
        </w:tc>
        <w:tc>
          <w:tcPr>
            <w:tcW w:w="640" w:type="dxa"/>
            <w:vAlign w:val="center"/>
          </w:tcPr>
          <w:p w14:paraId="3468292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</w:t>
            </w:r>
          </w:p>
        </w:tc>
      </w:tr>
      <w:tr w:rsidR="007E513C" w14:paraId="21532AB1" w14:textId="77777777">
        <w:trPr>
          <w:cantSplit/>
        </w:trPr>
        <w:tc>
          <w:tcPr>
            <w:tcW w:w="260" w:type="dxa"/>
            <w:vAlign w:val="center"/>
          </w:tcPr>
          <w:p w14:paraId="2F1BEB0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22</w:t>
            </w:r>
          </w:p>
        </w:tc>
        <w:tc>
          <w:tcPr>
            <w:tcW w:w="700" w:type="dxa"/>
            <w:vAlign w:val="center"/>
          </w:tcPr>
          <w:p w14:paraId="5D14EC2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06B53266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705B216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860" w:type="dxa"/>
            <w:vAlign w:val="center"/>
          </w:tcPr>
          <w:p w14:paraId="731E89D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759C153D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Que el contrato no se liquide dentro de los plazos legales (art. 11 Ley 1150 de 2007) o que existan diferencias en el balance final.</w:t>
            </w:r>
          </w:p>
        </w:tc>
        <w:tc>
          <w:tcPr>
            <w:tcW w:w="860" w:type="dxa"/>
            <w:vAlign w:val="center"/>
          </w:tcPr>
          <w:p w14:paraId="7FE7AE4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Pérdida de competencia para liquidar; recursos sin liberar; reclamaciones.</w:t>
            </w:r>
          </w:p>
        </w:tc>
        <w:tc>
          <w:tcPr>
            <w:tcW w:w="300" w:type="dxa"/>
            <w:vAlign w:val="center"/>
          </w:tcPr>
          <w:p w14:paraId="7615FA5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4432A584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660489CC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572756F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760" w:type="dxa"/>
            <w:vAlign w:val="center"/>
          </w:tcPr>
          <w:p w14:paraId="1B3F0A6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1400" w:type="dxa"/>
            <w:vAlign w:val="center"/>
          </w:tcPr>
          <w:p w14:paraId="5C7E193B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Acta de recibo final con bal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ance de obra; cronograma de liquidación; paz y salvos.</w:t>
            </w:r>
          </w:p>
        </w:tc>
        <w:tc>
          <w:tcPr>
            <w:tcW w:w="300" w:type="dxa"/>
            <w:vAlign w:val="center"/>
          </w:tcPr>
          <w:p w14:paraId="6C9ADF2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00" w:type="dxa"/>
            <w:vAlign w:val="center"/>
          </w:tcPr>
          <w:p w14:paraId="0C6F922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F473BB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00" w:type="dxa"/>
            <w:shd w:val="clear" w:color="auto" w:fill="C6EFCE"/>
            <w:vAlign w:val="center"/>
          </w:tcPr>
          <w:p w14:paraId="5AC98E0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320" w:type="dxa"/>
            <w:vAlign w:val="center"/>
          </w:tcPr>
          <w:p w14:paraId="015A7A2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070C5128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Supervisor / Oficina jurídica</w:t>
            </w:r>
          </w:p>
        </w:tc>
        <w:tc>
          <w:tcPr>
            <w:tcW w:w="720" w:type="dxa"/>
            <w:vAlign w:val="center"/>
          </w:tcPr>
          <w:p w14:paraId="7E92271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Dentro del plazo de liquidación</w:t>
            </w:r>
          </w:p>
        </w:tc>
        <w:tc>
          <w:tcPr>
            <w:tcW w:w="820" w:type="dxa"/>
            <w:vAlign w:val="center"/>
          </w:tcPr>
          <w:p w14:paraId="47F2DEEF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Control de términos</w:t>
            </w:r>
          </w:p>
        </w:tc>
        <w:tc>
          <w:tcPr>
            <w:tcW w:w="640" w:type="dxa"/>
            <w:vAlign w:val="center"/>
          </w:tcPr>
          <w:p w14:paraId="4B5F47D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Mensual tras la terminación</w:t>
            </w:r>
          </w:p>
        </w:tc>
      </w:tr>
      <w:tr w:rsidR="007E513C" w14:paraId="0E3407DB" w14:textId="77777777">
        <w:trPr>
          <w:cantSplit/>
        </w:trPr>
        <w:tc>
          <w:tcPr>
            <w:tcW w:w="260" w:type="dxa"/>
            <w:vAlign w:val="center"/>
          </w:tcPr>
          <w:p w14:paraId="0E99954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lastRenderedPageBreak/>
              <w:t>23</w:t>
            </w:r>
          </w:p>
        </w:tc>
        <w:tc>
          <w:tcPr>
            <w:tcW w:w="700" w:type="dxa"/>
            <w:vAlign w:val="center"/>
          </w:tcPr>
          <w:p w14:paraId="34FFA6FF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600" w:type="dxa"/>
            <w:vAlign w:val="center"/>
          </w:tcPr>
          <w:p w14:paraId="4EB649F2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820" w:type="dxa"/>
            <w:vAlign w:val="center"/>
          </w:tcPr>
          <w:p w14:paraId="423FA36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Poscontractual</w:t>
            </w:r>
          </w:p>
        </w:tc>
        <w:tc>
          <w:tcPr>
            <w:tcW w:w="860" w:type="dxa"/>
            <w:vAlign w:val="center"/>
          </w:tcPr>
          <w:p w14:paraId="1E6D76A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300" w:type="dxa"/>
            <w:vAlign w:val="center"/>
          </w:tcPr>
          <w:p w14:paraId="686C8C6C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Fallas en la estabilidad o calidad de la obra después del recibo final.</w:t>
            </w:r>
          </w:p>
        </w:tc>
        <w:tc>
          <w:tcPr>
            <w:tcW w:w="860" w:type="dxa"/>
            <w:vAlign w:val="center"/>
          </w:tcPr>
          <w:p w14:paraId="27540332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Costos de reparación; uso inseguro de los espacios.</w:t>
            </w:r>
          </w:p>
        </w:tc>
        <w:tc>
          <w:tcPr>
            <w:tcW w:w="300" w:type="dxa"/>
            <w:vAlign w:val="center"/>
          </w:tcPr>
          <w:p w14:paraId="5D0B6795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1991B7D7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4</w:t>
            </w:r>
          </w:p>
        </w:tc>
        <w:tc>
          <w:tcPr>
            <w:tcW w:w="300" w:type="dxa"/>
            <w:vAlign w:val="center"/>
          </w:tcPr>
          <w:p w14:paraId="06467E7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00" w:type="dxa"/>
            <w:shd w:val="clear" w:color="auto" w:fill="F8CBAD"/>
            <w:vAlign w:val="center"/>
          </w:tcPr>
          <w:p w14:paraId="596F2A8B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760" w:type="dxa"/>
            <w:vAlign w:val="center"/>
          </w:tcPr>
          <w:p w14:paraId="18C00BF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400" w:type="dxa"/>
            <w:vAlign w:val="center"/>
          </w:tcPr>
          <w:p w14:paraId="1A989532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Garantía de estabilidad y calidad de la obra (Decreto 1082 de 2015); visitas de inspección posteriores a la e</w:t>
            </w: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ntrega.</w:t>
            </w:r>
          </w:p>
        </w:tc>
        <w:tc>
          <w:tcPr>
            <w:tcW w:w="300" w:type="dxa"/>
            <w:vAlign w:val="center"/>
          </w:tcPr>
          <w:p w14:paraId="6AA0600D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00" w:type="dxa"/>
            <w:vAlign w:val="center"/>
          </w:tcPr>
          <w:p w14:paraId="2591B81A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dxa"/>
            <w:vAlign w:val="center"/>
          </w:tcPr>
          <w:p w14:paraId="62508E11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0" w:type="dxa"/>
            <w:shd w:val="clear" w:color="auto" w:fill="FFEB9C"/>
            <w:vAlign w:val="center"/>
          </w:tcPr>
          <w:p w14:paraId="47670D19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z w:val="12"/>
                <w:szCs w:val="12"/>
              </w:rPr>
              <w:t>Medio</w:t>
            </w:r>
          </w:p>
        </w:tc>
        <w:tc>
          <w:tcPr>
            <w:tcW w:w="320" w:type="dxa"/>
            <w:vAlign w:val="center"/>
          </w:tcPr>
          <w:p w14:paraId="576E59A3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720" w:type="dxa"/>
            <w:vAlign w:val="center"/>
          </w:tcPr>
          <w:p w14:paraId="3F71AF16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Contratista / Entidad (reclamación)</w:t>
            </w:r>
          </w:p>
        </w:tc>
        <w:tc>
          <w:tcPr>
            <w:tcW w:w="720" w:type="dxa"/>
            <w:vAlign w:val="center"/>
          </w:tcPr>
          <w:p w14:paraId="0756B5EA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Vigencia de la garantía</w:t>
            </w:r>
          </w:p>
        </w:tc>
        <w:tc>
          <w:tcPr>
            <w:tcW w:w="820" w:type="dxa"/>
            <w:vAlign w:val="center"/>
          </w:tcPr>
          <w:p w14:paraId="248D7A19" w14:textId="77777777" w:rsidR="007E513C" w:rsidRDefault="001931D7">
            <w:pPr>
              <w:spacing w:before="20" w:after="20"/>
              <w:jc w:val="left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Visitas de inspección</w:t>
            </w:r>
          </w:p>
        </w:tc>
        <w:tc>
          <w:tcPr>
            <w:tcW w:w="640" w:type="dxa"/>
            <w:vAlign w:val="center"/>
          </w:tcPr>
          <w:p w14:paraId="6291CB60" w14:textId="77777777" w:rsidR="007E513C" w:rsidRDefault="001931D7">
            <w:pPr>
              <w:spacing w:before="20" w:after="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  <w:sz w:val="12"/>
                <w:szCs w:val="12"/>
              </w:rPr>
              <w:t>Anual</w:t>
            </w:r>
          </w:p>
        </w:tc>
      </w:tr>
    </w:tbl>
    <w:p w14:paraId="7D1E1833" w14:textId="77777777" w:rsidR="007E513C" w:rsidRDefault="001931D7">
      <w:pPr>
        <w:spacing w:before="6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000000"/>
          <w:sz w:val="16"/>
          <w:szCs w:val="16"/>
        </w:rPr>
        <w:t>Convenciones (Manual para la Identificación y Cobertura del Riesgo en los Procesos de Contratación – Colombia Compra Eficiente):</w:t>
      </w:r>
    </w:p>
    <w:p w14:paraId="06934CD9" w14:textId="77777777" w:rsidR="007E513C" w:rsidRDefault="001931D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Probabilidad: 1 Raro · 2 Improbable · 3 Posible · 4 Probable · 5 Casi cierto.</w:t>
      </w:r>
    </w:p>
    <w:p w14:paraId="5BF7DF19" w14:textId="77777777" w:rsidR="007E513C" w:rsidRDefault="001931D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Impacto: 1 Insignificante · 2 Menor · 3 Moderado · 4 Mayor · 5 Catastrófico.</w:t>
      </w:r>
    </w:p>
    <w:p w14:paraId="4F3699BF" w14:textId="77777777" w:rsidR="007E513C" w:rsidRDefault="001931D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Valoración = Probabilidad + Impacto. Categoría: 2 a 4 Riesgo bajo · 5 Riesgo medio · 6 y 7 Riesgo alto · 8 a 10 Riesgo extremo.</w:t>
      </w:r>
    </w:p>
    <w:p w14:paraId="7CB52227" w14:textId="77777777" w:rsidR="007E513C" w:rsidRDefault="007E513C">
      <w:pPr>
        <w:jc w:val="center"/>
        <w:rPr>
          <w:rFonts w:ascii="Verdana" w:eastAsia="Verdana" w:hAnsi="Verdana" w:cs="Verdana"/>
        </w:rPr>
      </w:pPr>
    </w:p>
    <w:p w14:paraId="4BEC3657" w14:textId="77777777" w:rsidR="007E513C" w:rsidRDefault="001931D7">
      <w:pPr>
        <w:tabs>
          <w:tab w:val="left" w:pos="6690"/>
        </w:tabs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ab/>
      </w:r>
    </w:p>
    <w:sectPr w:rsidR="007E513C">
      <w:headerReference w:type="default" r:id="rId10"/>
      <w:footerReference w:type="default" r:id="rId11"/>
      <w:pgSz w:w="15840" w:h="12240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48444" w14:textId="77777777" w:rsidR="001931D7" w:rsidRDefault="001931D7">
      <w:pPr>
        <w:spacing w:line="240" w:lineRule="auto"/>
      </w:pPr>
      <w:r>
        <w:separator/>
      </w:r>
    </w:p>
  </w:endnote>
  <w:endnote w:type="continuationSeparator" w:id="0">
    <w:p w14:paraId="2A6B740B" w14:textId="77777777" w:rsidR="001931D7" w:rsidRDefault="00193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0AB0952-B0E4-44AA-9554-203D8EFE7D3D}"/>
    <w:embedBold r:id="rId2" w:fontKey="{C59F0C11-8DEE-41BB-ABDA-504E767CF998}"/>
    <w:embedItalic r:id="rId3" w:fontKey="{335F5996-1768-4B9A-8992-37587CF61ECD}"/>
    <w:embedBoldItalic r:id="rId4" w:fontKey="{11DF3786-0EF9-4ECD-85DD-10CFD33224B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C2EB22BE-EF6C-4A49-BB1B-3D6FAA43D73E}"/>
    <w:embedBold r:id="rId6" w:fontKey="{2B87B3E1-A368-425A-913A-A1DA79A7033F}"/>
    <w:embedItalic r:id="rId7" w:fontKey="{CE53EE9A-E3C7-4013-B76A-9607D7FED12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696F871-621D-4DD9-A114-475F2B62282B}"/>
    <w:embedItalic r:id="rId9" w:fontKey="{0B38A6B8-4680-4F69-88C8-24770B8B7938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0" w:fontKey="{7839B656-360B-4FC5-8C61-1E0E4C642F8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49DE2CC3-78C2-4358-8EC3-025E7D41BFFF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2" w:fontKey="{87B4E463-A1B2-4981-A32B-E1C74DDE8014}"/>
    <w:embedBold r:id="rId13" w:fontKey="{F717AA9F-916A-4586-8B8A-3BBF539D4E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D98F" w14:textId="77777777" w:rsidR="007E513C" w:rsidRDefault="007E51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Verdana" w:eastAsia="Verdana" w:hAnsi="Verdana" w:cs="Verdana"/>
        <w:color w:val="000000"/>
        <w:sz w:val="18"/>
        <w:szCs w:val="18"/>
      </w:rPr>
    </w:pPr>
  </w:p>
  <w:p w14:paraId="6FFA0AF4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Verdana" w:eastAsia="Verdana" w:hAnsi="Verdana" w:cs="Verdana"/>
        <w:color w:val="000000"/>
        <w:sz w:val="18"/>
        <w:szCs w:val="18"/>
      </w:rPr>
    </w:pPr>
    <w:r>
      <w:rPr>
        <w:rFonts w:ascii="Verdana" w:eastAsia="Verdana" w:hAnsi="Verdana" w:cs="Verdana"/>
        <w:color w:val="000000"/>
        <w:sz w:val="18"/>
        <w:szCs w:val="18"/>
      </w:rPr>
      <w:t>Versión: 1 de 21 de agosto de 2025</w:t>
    </w:r>
  </w:p>
  <w:p w14:paraId="668321D5" w14:textId="77777777" w:rsidR="007E513C" w:rsidRDefault="007E51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5336" w14:textId="77777777" w:rsidR="007E513C" w:rsidRDefault="007E51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Verdana" w:eastAsia="Verdana" w:hAnsi="Verdana" w:cs="Verdana"/>
        <w:color w:val="000000"/>
        <w:sz w:val="18"/>
        <w:szCs w:val="18"/>
      </w:rPr>
    </w:pPr>
  </w:p>
  <w:p w14:paraId="2EC41C47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Verdana" w:eastAsia="Verdana" w:hAnsi="Verdana" w:cs="Verdana"/>
        <w:color w:val="000000"/>
        <w:sz w:val="18"/>
        <w:szCs w:val="18"/>
      </w:rPr>
    </w:pPr>
    <w:r>
      <w:rPr>
        <w:rFonts w:ascii="Verdana" w:eastAsia="Verdana" w:hAnsi="Verdana" w:cs="Verdana"/>
        <w:color w:val="000000"/>
        <w:sz w:val="18"/>
        <w:szCs w:val="18"/>
      </w:rPr>
      <w:t>Versión: 1 de 21 de agosto de 2025</w:t>
    </w:r>
  </w:p>
  <w:p w14:paraId="347DAB95" w14:textId="77777777" w:rsidR="007E513C" w:rsidRDefault="007E51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9A46A" w14:textId="77777777" w:rsidR="001931D7" w:rsidRDefault="001931D7">
      <w:pPr>
        <w:spacing w:line="240" w:lineRule="auto"/>
      </w:pPr>
      <w:r>
        <w:separator/>
      </w:r>
    </w:p>
  </w:footnote>
  <w:footnote w:type="continuationSeparator" w:id="0">
    <w:p w14:paraId="1F80974E" w14:textId="77777777" w:rsidR="001931D7" w:rsidRDefault="001931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A4F8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Verdana" w:eastAsia="Verdana" w:hAnsi="Verdana" w:cs="Verdana"/>
        <w:b/>
        <w:bCs/>
        <w:color w:val="000000"/>
        <w:sz w:val="20"/>
        <w:szCs w:val="20"/>
      </w:rPr>
    </w:pPr>
    <w:r>
      <w:rPr>
        <w:rFonts w:ascii="Verdana" w:eastAsia="Verdana" w:hAnsi="Verdana" w:cs="Verdana"/>
        <w:b/>
        <w:bCs/>
        <w:color w:val="000000"/>
        <w:sz w:val="20"/>
        <w:szCs w:val="20"/>
      </w:rPr>
      <w:t>MATRIZ 3 - RIESGOS</w:t>
    </w:r>
  </w:p>
  <w:p w14:paraId="2297B562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Verdana" w:eastAsia="Verdana" w:hAnsi="Verdana" w:cs="Verdana"/>
        <w:color w:val="000000"/>
        <w:sz w:val="28"/>
        <w:szCs w:val="28"/>
      </w:rPr>
    </w:pPr>
    <w:r>
      <w:rPr>
        <w:rFonts w:ascii="Verdana" w:eastAsia="Verdana" w:hAnsi="Verdana" w:cs="Verdana"/>
        <w:b/>
        <w:bCs/>
        <w:color w:val="000000"/>
        <w:sz w:val="20"/>
        <w:szCs w:val="20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0B4A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Verdana" w:eastAsia="Verdana" w:hAnsi="Verdana" w:cs="Verdana"/>
        <w:b/>
        <w:bCs/>
        <w:color w:val="000000"/>
        <w:sz w:val="20"/>
        <w:szCs w:val="20"/>
      </w:rPr>
    </w:pPr>
    <w:r>
      <w:rPr>
        <w:rFonts w:ascii="Verdana" w:eastAsia="Verdana" w:hAnsi="Verdana" w:cs="Verdana"/>
        <w:b/>
        <w:bCs/>
        <w:color w:val="000000"/>
        <w:sz w:val="20"/>
        <w:szCs w:val="20"/>
      </w:rPr>
      <w:t>MATRIZ 3 - RIESGOS</w:t>
    </w:r>
  </w:p>
  <w:p w14:paraId="71D2DBCA" w14:textId="77777777" w:rsidR="007E513C" w:rsidRDefault="001931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Verdana" w:eastAsia="Verdana" w:hAnsi="Verdana" w:cs="Verdana"/>
        <w:color w:val="000000"/>
        <w:sz w:val="28"/>
        <w:szCs w:val="28"/>
      </w:rPr>
    </w:pPr>
    <w:r>
      <w:rPr>
        <w:rFonts w:ascii="Verdana" w:eastAsia="Verdana" w:hAnsi="Verdana" w:cs="Verdana"/>
        <w:b/>
        <w:bCs/>
        <w:color w:val="000000"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D44DF"/>
    <w:multiLevelType w:val="multilevel"/>
    <w:tmpl w:val="B8205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ParrafoNmerado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7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13C"/>
    <w:rsid w:val="00032761"/>
    <w:rsid w:val="001931D7"/>
    <w:rsid w:val="007E513C"/>
    <w:rsid w:val="008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6BC1D98C"/>
  <w15:docId w15:val="{BF7C7373-0991-4BC7-831B-79F14E4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ind w:left="511" w:hanging="454"/>
      <w:outlineLvl w:val="0"/>
    </w:pPr>
    <w:rPr>
      <w:b/>
      <w:bCs/>
      <w:color w:val="17365D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after="240"/>
      <w:outlineLvl w:val="1"/>
    </w:pPr>
    <w:rPr>
      <w:i/>
      <w:iCs/>
      <w:color w:val="17365D"/>
      <w:sz w:val="24"/>
      <w:szCs w:val="24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after="240"/>
      <w:ind w:left="851" w:hanging="397"/>
      <w:outlineLvl w:val="2"/>
    </w:pPr>
    <w:rPr>
      <w:color w:val="17365D"/>
      <w:sz w:val="26"/>
      <w:szCs w:val="26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after="240"/>
      <w:ind w:left="794"/>
      <w:outlineLvl w:val="3"/>
    </w:pPr>
    <w:rPr>
      <w:i/>
      <w:iCs/>
      <w:color w:val="17365D"/>
      <w:sz w:val="24"/>
      <w:szCs w:val="24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240"/>
      <w:ind w:left="567" w:hanging="510"/>
      <w:outlineLvl w:val="4"/>
    </w:pPr>
    <w:rPr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ind w:left="851" w:hanging="397"/>
      <w:outlineLvl w:val="5"/>
    </w:pPr>
    <w:rPr>
      <w:i/>
      <w:iCs/>
      <w:color w:val="243F61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1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1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12" w:space="4" w:color="17365D"/>
      </w:pBdr>
      <w:spacing w:after="300" w:line="240" w:lineRule="auto"/>
    </w:pPr>
    <w:rPr>
      <w:b/>
      <w:bCs/>
      <w:color w:val="17365D"/>
      <w:sz w:val="52"/>
      <w:szCs w:val="52"/>
    </w:rPr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1"/>
      </w:numPr>
      <w:spacing w:after="24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character" w:customStyle="1" w:styleId="TtuloCar">
    <w:name w:val="Título Car"/>
    <w:basedOn w:val="Fuentedeprrafopredeter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SubttuloCar">
    <w:name w:val="Subtítulo Car"/>
    <w:basedOn w:val="Fuentedeprrafopredeter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next w:val="Normal"/>
    <w:uiPriority w:val="39"/>
    <w:unhideWhenUsed/>
    <w:qFormat/>
    <w:rsid w:val="00874392"/>
    <w:pPr>
      <w:spacing w:before="480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81560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uiPriority w:val="11"/>
    <w:qFormat/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45" w:type="dxa"/>
        <w:bottom w:w="0" w:type="dxa"/>
        <w:right w:w="4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wB6qQpAs+TkeVxINkR03LRDL4g==">CgMxLjA4AHIhMTRFb29OTnRHcDgwdlVpUlQwUWhxbUFvX0VwTmpMT2dF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2536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INGENIERIA CIVIL: DARY ZULEMA LARGO PENAGOS</cp:lastModifiedBy>
  <cp:revision>2</cp:revision>
  <dcterms:created xsi:type="dcterms:W3CDTF">2026-10-06T20:58:00Z</dcterms:created>
  <dcterms:modified xsi:type="dcterms:W3CDTF">2026-10-09T14:33:00Z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