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4EBFDD" w14:textId="77777777" w:rsidR="00FE1A44" w:rsidRPr="00CB2A6B" w:rsidRDefault="00FE1A44" w:rsidP="0077727E">
      <w:pPr>
        <w:jc w:val="center"/>
        <w:rPr>
          <w:rFonts w:ascii="Verdana" w:hAnsi="Verdana" w:cs="Arial"/>
          <w:b/>
          <w:color w:val="000000" w:themeColor="text1"/>
        </w:rPr>
      </w:pPr>
    </w:p>
    <w:p w14:paraId="3146EDED" w14:textId="77777777" w:rsidR="00B81B1F" w:rsidRPr="00CB2A6B" w:rsidRDefault="00B81B1F" w:rsidP="007C702A">
      <w:pPr>
        <w:rPr>
          <w:rFonts w:ascii="Verdana" w:hAnsi="Verdana" w:cs="Arial"/>
          <w:color w:val="000000" w:themeColor="text1"/>
          <w:lang w:val="es-ES_tradnl" w:eastAsia="es-CO"/>
        </w:rPr>
      </w:pPr>
    </w:p>
    <w:p w14:paraId="09226901" w14:textId="77777777" w:rsidR="0058222E" w:rsidRPr="00CB2A6B" w:rsidRDefault="0058222E" w:rsidP="007C702A">
      <w:pPr>
        <w:rPr>
          <w:rFonts w:ascii="Verdana" w:hAnsi="Verdana" w:cs="Arial"/>
          <w:color w:val="000000" w:themeColor="text1"/>
          <w:lang w:val="es-ES_tradnl" w:eastAsia="es-CO"/>
        </w:rPr>
      </w:pPr>
    </w:p>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14484365" w:rsidR="00545461" w:rsidRPr="00CB2A6B"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77031AF6" w14:textId="250AF235" w:rsidR="0058222E" w:rsidRPr="00CB2A6B" w:rsidRDefault="0058222E" w:rsidP="007C702A">
      <w:pPr>
        <w:rPr>
          <w:rFonts w:ascii="Verdana" w:hAnsi="Verdana" w:cs="Arial"/>
          <w:color w:val="000000" w:themeColor="text1"/>
          <w:lang w:val="es-ES_tradnl" w:eastAsia="es-CO"/>
        </w:rPr>
      </w:pPr>
    </w:p>
    <w:p w14:paraId="4D84E88B" w14:textId="77777777" w:rsidR="0058222E" w:rsidRPr="00CB2A6B" w:rsidRDefault="00815604" w:rsidP="00D70D7B">
      <w:pPr>
        <w:spacing w:after="100" w:afterAutospacing="1"/>
        <w:rPr>
          <w:rFonts w:ascii="Verdana" w:eastAsia="SimSun" w:hAnsi="Verdana" w:cs="Arial"/>
          <w:color w:val="000000" w:themeColor="text1"/>
          <w:kern w:val="3"/>
          <w:lang w:eastAsia="zh-CN" w:bidi="hi-IN"/>
        </w:rPr>
      </w:pPr>
      <w:r w:rsidRPr="00CB2A6B">
        <w:rPr>
          <w:rFonts w:ascii="Verdana" w:eastAsia="SimSun" w:hAnsi="Verdana" w:cs="Arial"/>
          <w:b/>
          <w:color w:val="000000" w:themeColor="text1"/>
          <w:kern w:val="3"/>
          <w:u w:val="single"/>
          <w:lang w:eastAsia="zh-CN" w:bidi="hi-IN"/>
        </w:rPr>
        <w:t>Matriz de Riesgos</w:t>
      </w:r>
    </w:p>
    <w:p w14:paraId="7ED9F954" w14:textId="77777777" w:rsidR="00815604" w:rsidRPr="00CB2A6B" w:rsidRDefault="00815604" w:rsidP="00D70D7B">
      <w:pPr>
        <w:spacing w:after="100" w:afterAutospacing="1"/>
        <w:rPr>
          <w:rFonts w:ascii="Verdana" w:eastAsia="SimSun" w:hAnsi="Verdana" w:cs="Arial"/>
          <w:kern w:val="3"/>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
        <w:gridCol w:w="270"/>
        <w:gridCol w:w="270"/>
        <w:gridCol w:w="270"/>
        <w:gridCol w:w="270"/>
        <w:gridCol w:w="817"/>
        <w:gridCol w:w="817"/>
        <w:gridCol w:w="270"/>
        <w:gridCol w:w="270"/>
        <w:gridCol w:w="277"/>
        <w:gridCol w:w="277"/>
        <w:gridCol w:w="270"/>
        <w:gridCol w:w="801"/>
        <w:gridCol w:w="270"/>
        <w:gridCol w:w="270"/>
        <w:gridCol w:w="277"/>
        <w:gridCol w:w="277"/>
        <w:gridCol w:w="278"/>
        <w:gridCol w:w="827"/>
        <w:gridCol w:w="725"/>
        <w:gridCol w:w="725"/>
        <w:gridCol w:w="725"/>
        <w:gridCol w:w="270"/>
      </w:tblGrid>
      <w:tr w:rsidR="002B2315" w:rsidRPr="001F15F3" w14:paraId="2A907059" w14:textId="77777777" w:rsidTr="00530E08">
        <w:trPr>
          <w:cantSplit/>
          <w:trHeight w:val="567"/>
        </w:trPr>
        <w:tc>
          <w:tcPr>
            <w:tcW w:w="110" w:type="pct"/>
            <w:vMerge w:val="restart"/>
            <w:shd w:val="clear" w:color="000000" w:fill="808080"/>
            <w:textDirection w:val="btLr"/>
            <w:vAlign w:val="center"/>
            <w:hideMark/>
          </w:tcPr>
          <w:p w14:paraId="48F1E9DE"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No.</w:t>
            </w:r>
          </w:p>
        </w:tc>
        <w:tc>
          <w:tcPr>
            <w:tcW w:w="110" w:type="pct"/>
            <w:vMerge w:val="restart"/>
            <w:shd w:val="clear" w:color="000000" w:fill="808080"/>
            <w:textDirection w:val="btLr"/>
            <w:vAlign w:val="center"/>
            <w:hideMark/>
          </w:tcPr>
          <w:p w14:paraId="03A5C238"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Clase</w:t>
            </w:r>
          </w:p>
        </w:tc>
        <w:tc>
          <w:tcPr>
            <w:tcW w:w="110" w:type="pct"/>
            <w:vMerge w:val="restart"/>
            <w:shd w:val="clear" w:color="000000" w:fill="808080"/>
            <w:textDirection w:val="btLr"/>
            <w:vAlign w:val="center"/>
            <w:hideMark/>
          </w:tcPr>
          <w:p w14:paraId="09188649"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Fuente</w:t>
            </w:r>
          </w:p>
        </w:tc>
        <w:tc>
          <w:tcPr>
            <w:tcW w:w="110" w:type="pct"/>
            <w:vMerge w:val="restart"/>
            <w:shd w:val="clear" w:color="000000" w:fill="808080"/>
            <w:textDirection w:val="btLr"/>
            <w:vAlign w:val="center"/>
            <w:hideMark/>
          </w:tcPr>
          <w:p w14:paraId="0CE44AE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Etapa</w:t>
            </w:r>
          </w:p>
        </w:tc>
        <w:tc>
          <w:tcPr>
            <w:tcW w:w="166" w:type="pct"/>
            <w:vMerge w:val="restart"/>
            <w:shd w:val="clear" w:color="000000" w:fill="808080"/>
            <w:textDirection w:val="btLr"/>
            <w:vAlign w:val="center"/>
            <w:hideMark/>
          </w:tcPr>
          <w:p w14:paraId="2D196199"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Tipo</w:t>
            </w:r>
          </w:p>
        </w:tc>
        <w:tc>
          <w:tcPr>
            <w:tcW w:w="339" w:type="pct"/>
            <w:vMerge w:val="restart"/>
            <w:shd w:val="clear" w:color="000000" w:fill="808080"/>
            <w:textDirection w:val="btLr"/>
            <w:vAlign w:val="center"/>
            <w:hideMark/>
          </w:tcPr>
          <w:p w14:paraId="41C1E57A"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 xml:space="preserve">Descripción (Qué puede </w:t>
            </w:r>
          </w:p>
          <w:p w14:paraId="468D4A5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pasar y, cómo puede ocurrir)</w:t>
            </w:r>
          </w:p>
        </w:tc>
        <w:tc>
          <w:tcPr>
            <w:tcW w:w="453" w:type="pct"/>
            <w:vMerge w:val="restart"/>
            <w:shd w:val="clear" w:color="000000" w:fill="808080"/>
            <w:textDirection w:val="btLr"/>
            <w:vAlign w:val="center"/>
            <w:hideMark/>
          </w:tcPr>
          <w:p w14:paraId="3568ECD4"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 xml:space="preserve">Consecuencia de la </w:t>
            </w:r>
          </w:p>
          <w:p w14:paraId="15524DF8"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ocurrencia del evento</w:t>
            </w:r>
          </w:p>
        </w:tc>
        <w:tc>
          <w:tcPr>
            <w:tcW w:w="110" w:type="pct"/>
            <w:vMerge w:val="restart"/>
            <w:shd w:val="clear" w:color="000000" w:fill="808080"/>
            <w:textDirection w:val="btLr"/>
            <w:vAlign w:val="center"/>
            <w:hideMark/>
          </w:tcPr>
          <w:p w14:paraId="1185EB7A"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Probabilidad</w:t>
            </w:r>
          </w:p>
        </w:tc>
        <w:tc>
          <w:tcPr>
            <w:tcW w:w="110" w:type="pct"/>
            <w:vMerge w:val="restart"/>
            <w:shd w:val="clear" w:color="000000" w:fill="808080"/>
            <w:textDirection w:val="btLr"/>
            <w:vAlign w:val="center"/>
            <w:hideMark/>
          </w:tcPr>
          <w:p w14:paraId="59A76CA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Impacto</w:t>
            </w:r>
          </w:p>
        </w:tc>
        <w:tc>
          <w:tcPr>
            <w:tcW w:w="113" w:type="pct"/>
            <w:vMerge w:val="restart"/>
            <w:shd w:val="clear" w:color="000000" w:fill="808080"/>
            <w:textDirection w:val="btLr"/>
            <w:vAlign w:val="center"/>
            <w:hideMark/>
          </w:tcPr>
          <w:p w14:paraId="06FF370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Valoración del riesgo</w:t>
            </w:r>
          </w:p>
        </w:tc>
        <w:tc>
          <w:tcPr>
            <w:tcW w:w="115" w:type="pct"/>
            <w:vMerge w:val="restart"/>
            <w:shd w:val="clear" w:color="000000" w:fill="808080"/>
            <w:textDirection w:val="btLr"/>
            <w:vAlign w:val="center"/>
            <w:hideMark/>
          </w:tcPr>
          <w:p w14:paraId="07EDE507"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Categoría</w:t>
            </w:r>
          </w:p>
        </w:tc>
        <w:tc>
          <w:tcPr>
            <w:tcW w:w="166" w:type="pct"/>
            <w:vMerge w:val="restart"/>
            <w:shd w:val="clear" w:color="000000" w:fill="D9D9D9"/>
            <w:textDirection w:val="btLr"/>
            <w:vAlign w:val="center"/>
            <w:hideMark/>
          </w:tcPr>
          <w:p w14:paraId="4C77F1D8"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¿A quién se le asigna?</w:t>
            </w:r>
          </w:p>
        </w:tc>
        <w:tc>
          <w:tcPr>
            <w:tcW w:w="775" w:type="pct"/>
            <w:vMerge w:val="restart"/>
            <w:shd w:val="clear" w:color="000000" w:fill="D9D9D9"/>
            <w:textDirection w:val="btLr"/>
            <w:vAlign w:val="center"/>
            <w:hideMark/>
          </w:tcPr>
          <w:p w14:paraId="3085BD1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Tratamiento/Controles a ser implementados</w:t>
            </w:r>
          </w:p>
        </w:tc>
        <w:tc>
          <w:tcPr>
            <w:tcW w:w="436" w:type="pct"/>
            <w:gridSpan w:val="4"/>
            <w:shd w:val="clear" w:color="000000" w:fill="D9D9D9"/>
            <w:vAlign w:val="center"/>
            <w:hideMark/>
          </w:tcPr>
          <w:p w14:paraId="15B3079A"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Impacto después del tratamiento</w:t>
            </w:r>
          </w:p>
        </w:tc>
        <w:tc>
          <w:tcPr>
            <w:tcW w:w="145" w:type="pct"/>
            <w:vMerge w:val="restart"/>
            <w:shd w:val="clear" w:color="000000" w:fill="D9D9D9"/>
            <w:textDirection w:val="btLr"/>
            <w:vAlign w:val="center"/>
            <w:hideMark/>
          </w:tcPr>
          <w:p w14:paraId="10374AEE"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¿Afecta la ejecución del contrato?</w:t>
            </w:r>
          </w:p>
        </w:tc>
        <w:tc>
          <w:tcPr>
            <w:tcW w:w="340" w:type="pct"/>
            <w:vMerge w:val="restart"/>
            <w:shd w:val="clear" w:color="000000" w:fill="D9D9D9"/>
            <w:textDirection w:val="btLr"/>
            <w:vAlign w:val="center"/>
            <w:hideMark/>
          </w:tcPr>
          <w:p w14:paraId="344257D7"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Responsable por implementar el tratamiento</w:t>
            </w:r>
          </w:p>
        </w:tc>
        <w:tc>
          <w:tcPr>
            <w:tcW w:w="387" w:type="pct"/>
            <w:vMerge w:val="restart"/>
            <w:shd w:val="clear" w:color="000000" w:fill="D9D9D9"/>
            <w:textDirection w:val="btLr"/>
            <w:vAlign w:val="center"/>
            <w:hideMark/>
          </w:tcPr>
          <w:p w14:paraId="7030A29A"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Fecha estimada en que se inicia el tratamiento</w:t>
            </w:r>
          </w:p>
        </w:tc>
        <w:tc>
          <w:tcPr>
            <w:tcW w:w="388" w:type="pct"/>
            <w:vMerge w:val="restart"/>
            <w:shd w:val="clear" w:color="000000" w:fill="D9D9D9"/>
            <w:textDirection w:val="btLr"/>
            <w:vAlign w:val="center"/>
            <w:hideMark/>
          </w:tcPr>
          <w:p w14:paraId="14DAE370"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Fecha estimada en que se completa el tratamiento</w:t>
            </w:r>
          </w:p>
        </w:tc>
        <w:tc>
          <w:tcPr>
            <w:tcW w:w="516" w:type="pct"/>
            <w:gridSpan w:val="2"/>
            <w:shd w:val="clear" w:color="000000" w:fill="D9D9D9"/>
            <w:vAlign w:val="center"/>
            <w:hideMark/>
          </w:tcPr>
          <w:p w14:paraId="2C53EBF9"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Monitoreo y revisión</w:t>
            </w:r>
          </w:p>
        </w:tc>
      </w:tr>
      <w:tr w:rsidR="002B2315" w:rsidRPr="001F15F3" w14:paraId="34DC628F" w14:textId="77777777" w:rsidTr="00530E08">
        <w:trPr>
          <w:trHeight w:val="1701"/>
        </w:trPr>
        <w:tc>
          <w:tcPr>
            <w:tcW w:w="110" w:type="pct"/>
            <w:vMerge/>
            <w:vAlign w:val="center"/>
            <w:hideMark/>
          </w:tcPr>
          <w:p w14:paraId="0232C55A" w14:textId="77777777" w:rsidR="002B2315" w:rsidRPr="001F15F3" w:rsidRDefault="002B2315" w:rsidP="00530E08">
            <w:pPr>
              <w:rPr>
                <w:rFonts w:ascii="Arial" w:eastAsia="Times New Roman" w:hAnsi="Arial" w:cs="Arial"/>
                <w:b/>
                <w:bCs/>
                <w:sz w:val="14"/>
                <w:szCs w:val="14"/>
                <w:lang w:eastAsia="es-CO"/>
              </w:rPr>
            </w:pPr>
          </w:p>
        </w:tc>
        <w:tc>
          <w:tcPr>
            <w:tcW w:w="110" w:type="pct"/>
            <w:vMerge/>
            <w:vAlign w:val="center"/>
            <w:hideMark/>
          </w:tcPr>
          <w:p w14:paraId="70C9B7F4" w14:textId="77777777" w:rsidR="002B2315" w:rsidRPr="001F15F3" w:rsidRDefault="002B2315" w:rsidP="00530E08">
            <w:pPr>
              <w:rPr>
                <w:rFonts w:ascii="Arial" w:eastAsia="Times New Roman" w:hAnsi="Arial" w:cs="Arial"/>
                <w:b/>
                <w:bCs/>
                <w:sz w:val="14"/>
                <w:szCs w:val="14"/>
                <w:lang w:eastAsia="es-CO"/>
              </w:rPr>
            </w:pPr>
          </w:p>
        </w:tc>
        <w:tc>
          <w:tcPr>
            <w:tcW w:w="110" w:type="pct"/>
            <w:vMerge/>
            <w:vAlign w:val="center"/>
            <w:hideMark/>
          </w:tcPr>
          <w:p w14:paraId="05A2F692" w14:textId="77777777" w:rsidR="002B2315" w:rsidRPr="001F15F3" w:rsidRDefault="002B2315" w:rsidP="00530E08">
            <w:pPr>
              <w:rPr>
                <w:rFonts w:ascii="Arial" w:eastAsia="Times New Roman" w:hAnsi="Arial" w:cs="Arial"/>
                <w:b/>
                <w:bCs/>
                <w:sz w:val="14"/>
                <w:szCs w:val="14"/>
                <w:lang w:eastAsia="es-CO"/>
              </w:rPr>
            </w:pPr>
          </w:p>
        </w:tc>
        <w:tc>
          <w:tcPr>
            <w:tcW w:w="110" w:type="pct"/>
            <w:vMerge/>
            <w:vAlign w:val="center"/>
            <w:hideMark/>
          </w:tcPr>
          <w:p w14:paraId="57D9EADF" w14:textId="77777777" w:rsidR="002B2315" w:rsidRPr="001F15F3" w:rsidRDefault="002B2315" w:rsidP="00530E08">
            <w:pPr>
              <w:rPr>
                <w:rFonts w:ascii="Arial" w:eastAsia="Times New Roman" w:hAnsi="Arial" w:cs="Arial"/>
                <w:b/>
                <w:bCs/>
                <w:sz w:val="14"/>
                <w:szCs w:val="14"/>
                <w:lang w:eastAsia="es-CO"/>
              </w:rPr>
            </w:pPr>
          </w:p>
        </w:tc>
        <w:tc>
          <w:tcPr>
            <w:tcW w:w="166" w:type="pct"/>
            <w:vMerge/>
            <w:vAlign w:val="center"/>
            <w:hideMark/>
          </w:tcPr>
          <w:p w14:paraId="5E1450D1" w14:textId="77777777" w:rsidR="002B2315" w:rsidRPr="001F15F3" w:rsidRDefault="002B2315" w:rsidP="00530E08">
            <w:pPr>
              <w:rPr>
                <w:rFonts w:ascii="Arial" w:eastAsia="Times New Roman" w:hAnsi="Arial" w:cs="Arial"/>
                <w:b/>
                <w:bCs/>
                <w:sz w:val="14"/>
                <w:szCs w:val="14"/>
                <w:lang w:eastAsia="es-CO"/>
              </w:rPr>
            </w:pPr>
          </w:p>
        </w:tc>
        <w:tc>
          <w:tcPr>
            <w:tcW w:w="339" w:type="pct"/>
            <w:vMerge/>
            <w:vAlign w:val="center"/>
            <w:hideMark/>
          </w:tcPr>
          <w:p w14:paraId="4C6D39AB" w14:textId="77777777" w:rsidR="002B2315" w:rsidRPr="001F15F3" w:rsidRDefault="002B2315" w:rsidP="00530E08">
            <w:pPr>
              <w:rPr>
                <w:rFonts w:ascii="Arial" w:eastAsia="Times New Roman" w:hAnsi="Arial" w:cs="Arial"/>
                <w:b/>
                <w:bCs/>
                <w:sz w:val="14"/>
                <w:szCs w:val="14"/>
                <w:lang w:eastAsia="es-CO"/>
              </w:rPr>
            </w:pPr>
          </w:p>
        </w:tc>
        <w:tc>
          <w:tcPr>
            <w:tcW w:w="453" w:type="pct"/>
            <w:vMerge/>
            <w:vAlign w:val="center"/>
            <w:hideMark/>
          </w:tcPr>
          <w:p w14:paraId="154A2380" w14:textId="77777777" w:rsidR="002B2315" w:rsidRPr="001F15F3" w:rsidRDefault="002B2315" w:rsidP="00530E08">
            <w:pPr>
              <w:rPr>
                <w:rFonts w:ascii="Arial" w:eastAsia="Times New Roman" w:hAnsi="Arial" w:cs="Arial"/>
                <w:b/>
                <w:bCs/>
                <w:sz w:val="14"/>
                <w:szCs w:val="14"/>
                <w:lang w:eastAsia="es-CO"/>
              </w:rPr>
            </w:pPr>
          </w:p>
        </w:tc>
        <w:tc>
          <w:tcPr>
            <w:tcW w:w="110" w:type="pct"/>
            <w:vMerge/>
            <w:vAlign w:val="center"/>
            <w:hideMark/>
          </w:tcPr>
          <w:p w14:paraId="584098D3" w14:textId="77777777" w:rsidR="002B2315" w:rsidRPr="001F15F3" w:rsidRDefault="002B2315" w:rsidP="00530E08">
            <w:pPr>
              <w:rPr>
                <w:rFonts w:ascii="Arial" w:eastAsia="Times New Roman" w:hAnsi="Arial" w:cs="Arial"/>
                <w:b/>
                <w:bCs/>
                <w:sz w:val="14"/>
                <w:szCs w:val="14"/>
                <w:lang w:eastAsia="es-CO"/>
              </w:rPr>
            </w:pPr>
          </w:p>
        </w:tc>
        <w:tc>
          <w:tcPr>
            <w:tcW w:w="110" w:type="pct"/>
            <w:vMerge/>
            <w:vAlign w:val="center"/>
            <w:hideMark/>
          </w:tcPr>
          <w:p w14:paraId="4133C0C0" w14:textId="77777777" w:rsidR="002B2315" w:rsidRPr="001F15F3" w:rsidRDefault="002B2315" w:rsidP="00530E08">
            <w:pPr>
              <w:rPr>
                <w:rFonts w:ascii="Arial" w:eastAsia="Times New Roman" w:hAnsi="Arial" w:cs="Arial"/>
                <w:b/>
                <w:bCs/>
                <w:sz w:val="14"/>
                <w:szCs w:val="14"/>
                <w:lang w:eastAsia="es-CO"/>
              </w:rPr>
            </w:pPr>
          </w:p>
        </w:tc>
        <w:tc>
          <w:tcPr>
            <w:tcW w:w="113" w:type="pct"/>
            <w:vMerge/>
            <w:vAlign w:val="center"/>
            <w:hideMark/>
          </w:tcPr>
          <w:p w14:paraId="79766761" w14:textId="77777777" w:rsidR="002B2315" w:rsidRPr="001F15F3" w:rsidRDefault="002B2315" w:rsidP="00530E08">
            <w:pPr>
              <w:rPr>
                <w:rFonts w:ascii="Arial" w:eastAsia="Times New Roman" w:hAnsi="Arial" w:cs="Arial"/>
                <w:b/>
                <w:bCs/>
                <w:sz w:val="14"/>
                <w:szCs w:val="14"/>
                <w:lang w:eastAsia="es-CO"/>
              </w:rPr>
            </w:pPr>
          </w:p>
        </w:tc>
        <w:tc>
          <w:tcPr>
            <w:tcW w:w="115" w:type="pct"/>
            <w:vMerge/>
            <w:vAlign w:val="center"/>
            <w:hideMark/>
          </w:tcPr>
          <w:p w14:paraId="4E68E814" w14:textId="77777777" w:rsidR="002B2315" w:rsidRPr="001F15F3" w:rsidRDefault="002B2315" w:rsidP="00530E08">
            <w:pPr>
              <w:rPr>
                <w:rFonts w:ascii="Arial" w:eastAsia="Times New Roman" w:hAnsi="Arial" w:cs="Arial"/>
                <w:b/>
                <w:bCs/>
                <w:sz w:val="14"/>
                <w:szCs w:val="14"/>
                <w:lang w:eastAsia="es-CO"/>
              </w:rPr>
            </w:pPr>
          </w:p>
        </w:tc>
        <w:tc>
          <w:tcPr>
            <w:tcW w:w="166" w:type="pct"/>
            <w:vMerge/>
            <w:vAlign w:val="center"/>
            <w:hideMark/>
          </w:tcPr>
          <w:p w14:paraId="299C1A37" w14:textId="77777777" w:rsidR="002B2315" w:rsidRPr="001F15F3" w:rsidRDefault="002B2315" w:rsidP="00530E08">
            <w:pPr>
              <w:rPr>
                <w:rFonts w:ascii="Arial" w:eastAsia="Times New Roman" w:hAnsi="Arial" w:cs="Arial"/>
                <w:b/>
                <w:bCs/>
                <w:sz w:val="14"/>
                <w:szCs w:val="14"/>
                <w:lang w:eastAsia="es-CO"/>
              </w:rPr>
            </w:pPr>
          </w:p>
        </w:tc>
        <w:tc>
          <w:tcPr>
            <w:tcW w:w="775" w:type="pct"/>
            <w:vMerge/>
            <w:vAlign w:val="center"/>
            <w:hideMark/>
          </w:tcPr>
          <w:p w14:paraId="64A66660" w14:textId="77777777" w:rsidR="002B2315" w:rsidRPr="001F15F3" w:rsidRDefault="002B2315" w:rsidP="00530E08">
            <w:pPr>
              <w:rPr>
                <w:rFonts w:ascii="Arial" w:eastAsia="Times New Roman" w:hAnsi="Arial" w:cs="Arial"/>
                <w:b/>
                <w:bCs/>
                <w:sz w:val="14"/>
                <w:szCs w:val="14"/>
                <w:lang w:eastAsia="es-CO"/>
              </w:rPr>
            </w:pPr>
          </w:p>
        </w:tc>
        <w:tc>
          <w:tcPr>
            <w:tcW w:w="97" w:type="pct"/>
            <w:shd w:val="clear" w:color="000000" w:fill="D9D9D9"/>
            <w:textDirection w:val="btLr"/>
            <w:vAlign w:val="center"/>
            <w:hideMark/>
          </w:tcPr>
          <w:p w14:paraId="5EB26C21"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Probabilidad</w:t>
            </w:r>
          </w:p>
        </w:tc>
        <w:tc>
          <w:tcPr>
            <w:tcW w:w="97" w:type="pct"/>
            <w:shd w:val="clear" w:color="000000" w:fill="D9D9D9"/>
            <w:textDirection w:val="btLr"/>
            <w:vAlign w:val="center"/>
            <w:hideMark/>
          </w:tcPr>
          <w:p w14:paraId="7DEB2678"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Impacto</w:t>
            </w:r>
          </w:p>
        </w:tc>
        <w:tc>
          <w:tcPr>
            <w:tcW w:w="145" w:type="pct"/>
            <w:shd w:val="clear" w:color="000000" w:fill="D9D9D9"/>
            <w:textDirection w:val="btLr"/>
            <w:vAlign w:val="center"/>
            <w:hideMark/>
          </w:tcPr>
          <w:p w14:paraId="412FCCCB"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Valoración del riesgo</w:t>
            </w:r>
          </w:p>
        </w:tc>
        <w:tc>
          <w:tcPr>
            <w:tcW w:w="97" w:type="pct"/>
            <w:shd w:val="clear" w:color="000000" w:fill="D9D9D9"/>
            <w:textDirection w:val="btLr"/>
            <w:vAlign w:val="center"/>
            <w:hideMark/>
          </w:tcPr>
          <w:p w14:paraId="61D063AE" w14:textId="77777777" w:rsidR="002B2315" w:rsidRPr="001F15F3" w:rsidRDefault="002B2315" w:rsidP="00530E08">
            <w:pPr>
              <w:jc w:val="center"/>
              <w:rPr>
                <w:rFonts w:ascii="Arial" w:eastAsia="Times New Roman" w:hAnsi="Arial" w:cs="Arial"/>
                <w:b/>
                <w:bCs/>
                <w:sz w:val="14"/>
                <w:szCs w:val="14"/>
                <w:lang w:eastAsia="es-CO"/>
              </w:rPr>
            </w:pPr>
            <w:r w:rsidRPr="001F15F3">
              <w:rPr>
                <w:rFonts w:ascii="Arial" w:eastAsia="Times New Roman" w:hAnsi="Arial" w:cs="Arial"/>
                <w:b/>
                <w:bCs/>
                <w:sz w:val="14"/>
                <w:szCs w:val="14"/>
                <w:lang w:eastAsia="es-CO"/>
              </w:rPr>
              <w:t>Categoría</w:t>
            </w:r>
          </w:p>
        </w:tc>
        <w:tc>
          <w:tcPr>
            <w:tcW w:w="145" w:type="pct"/>
            <w:vMerge/>
            <w:vAlign w:val="center"/>
            <w:hideMark/>
          </w:tcPr>
          <w:p w14:paraId="128D058C" w14:textId="77777777" w:rsidR="002B2315" w:rsidRPr="001F15F3" w:rsidRDefault="002B2315" w:rsidP="00530E08">
            <w:pPr>
              <w:rPr>
                <w:rFonts w:ascii="Arial" w:eastAsia="Times New Roman" w:hAnsi="Arial" w:cs="Arial"/>
                <w:b/>
                <w:bCs/>
                <w:sz w:val="14"/>
                <w:szCs w:val="14"/>
                <w:lang w:eastAsia="es-CO"/>
              </w:rPr>
            </w:pPr>
          </w:p>
        </w:tc>
        <w:tc>
          <w:tcPr>
            <w:tcW w:w="340" w:type="pct"/>
            <w:vMerge/>
            <w:vAlign w:val="center"/>
            <w:hideMark/>
          </w:tcPr>
          <w:p w14:paraId="471A7E96" w14:textId="77777777" w:rsidR="002B2315" w:rsidRPr="001F15F3" w:rsidRDefault="002B2315" w:rsidP="00530E08">
            <w:pPr>
              <w:rPr>
                <w:rFonts w:ascii="Arial" w:eastAsia="Times New Roman" w:hAnsi="Arial" w:cs="Arial"/>
                <w:b/>
                <w:bCs/>
                <w:sz w:val="14"/>
                <w:szCs w:val="14"/>
                <w:lang w:eastAsia="es-CO"/>
              </w:rPr>
            </w:pPr>
          </w:p>
        </w:tc>
        <w:tc>
          <w:tcPr>
            <w:tcW w:w="387" w:type="pct"/>
            <w:vMerge/>
            <w:vAlign w:val="center"/>
            <w:hideMark/>
          </w:tcPr>
          <w:p w14:paraId="5E771935" w14:textId="77777777" w:rsidR="002B2315" w:rsidRPr="001F15F3" w:rsidRDefault="002B2315" w:rsidP="00530E08">
            <w:pPr>
              <w:rPr>
                <w:rFonts w:ascii="Arial" w:eastAsia="Times New Roman" w:hAnsi="Arial" w:cs="Arial"/>
                <w:b/>
                <w:bCs/>
                <w:sz w:val="14"/>
                <w:szCs w:val="14"/>
                <w:lang w:eastAsia="es-CO"/>
              </w:rPr>
            </w:pPr>
          </w:p>
        </w:tc>
        <w:tc>
          <w:tcPr>
            <w:tcW w:w="388" w:type="pct"/>
            <w:vMerge/>
            <w:vAlign w:val="center"/>
            <w:hideMark/>
          </w:tcPr>
          <w:p w14:paraId="1A0EE27E" w14:textId="77777777" w:rsidR="002B2315" w:rsidRPr="001F15F3" w:rsidRDefault="002B2315" w:rsidP="00530E08">
            <w:pPr>
              <w:rPr>
                <w:rFonts w:ascii="Arial" w:eastAsia="Times New Roman" w:hAnsi="Arial" w:cs="Arial"/>
                <w:b/>
                <w:bCs/>
                <w:sz w:val="14"/>
                <w:szCs w:val="14"/>
                <w:lang w:eastAsia="es-CO"/>
              </w:rPr>
            </w:pPr>
          </w:p>
        </w:tc>
        <w:tc>
          <w:tcPr>
            <w:tcW w:w="339" w:type="pct"/>
            <w:shd w:val="clear" w:color="000000" w:fill="D9D9D9"/>
            <w:textDirection w:val="btLr"/>
            <w:vAlign w:val="center"/>
            <w:hideMark/>
          </w:tcPr>
          <w:p w14:paraId="4813C64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¿Cómo se realiza  el monitoreo?</w:t>
            </w:r>
          </w:p>
        </w:tc>
        <w:tc>
          <w:tcPr>
            <w:tcW w:w="177" w:type="pct"/>
            <w:shd w:val="clear" w:color="000000" w:fill="D9D9D9"/>
            <w:textDirection w:val="btLr"/>
            <w:vAlign w:val="center"/>
            <w:hideMark/>
          </w:tcPr>
          <w:p w14:paraId="39A9743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Periodicidad</w:t>
            </w:r>
          </w:p>
        </w:tc>
      </w:tr>
      <w:tr w:rsidR="002B2315" w:rsidRPr="001F15F3" w14:paraId="30E16631" w14:textId="77777777" w:rsidTr="00530E08">
        <w:trPr>
          <w:cantSplit/>
          <w:trHeight w:val="2154"/>
        </w:trPr>
        <w:tc>
          <w:tcPr>
            <w:tcW w:w="110" w:type="pct"/>
            <w:noWrap/>
            <w:vAlign w:val="center"/>
            <w:hideMark/>
          </w:tcPr>
          <w:p w14:paraId="05BDD61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w:t>
            </w:r>
          </w:p>
        </w:tc>
        <w:tc>
          <w:tcPr>
            <w:tcW w:w="110" w:type="pct"/>
            <w:noWrap/>
            <w:textDirection w:val="btLr"/>
            <w:vAlign w:val="center"/>
            <w:hideMark/>
          </w:tcPr>
          <w:p w14:paraId="5ECB683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3C6A6F8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5A4594E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Selección</w:t>
            </w:r>
          </w:p>
        </w:tc>
        <w:tc>
          <w:tcPr>
            <w:tcW w:w="166" w:type="pct"/>
            <w:textDirection w:val="btLr"/>
            <w:vAlign w:val="center"/>
            <w:hideMark/>
          </w:tcPr>
          <w:p w14:paraId="3A6EAD0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Financieros</w:t>
            </w:r>
          </w:p>
        </w:tc>
        <w:tc>
          <w:tcPr>
            <w:tcW w:w="339" w:type="pct"/>
            <w:vAlign w:val="center"/>
            <w:hideMark/>
          </w:tcPr>
          <w:p w14:paraId="42F18F9C"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Estimación inadecuada de los costos por el oferente</w:t>
            </w:r>
          </w:p>
        </w:tc>
        <w:tc>
          <w:tcPr>
            <w:tcW w:w="453" w:type="pct"/>
            <w:vAlign w:val="center"/>
            <w:hideMark/>
          </w:tcPr>
          <w:p w14:paraId="481F1CE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Ocurre cuando la propuesta económica que presenta el oferente no estima adecuadamente los costos de los conceptos necesarios para el cumplimiento del objeto del contrato</w:t>
            </w:r>
          </w:p>
        </w:tc>
        <w:tc>
          <w:tcPr>
            <w:tcW w:w="110" w:type="pct"/>
            <w:noWrap/>
            <w:textDirection w:val="btLr"/>
            <w:vAlign w:val="center"/>
            <w:hideMark/>
          </w:tcPr>
          <w:p w14:paraId="6CA3A8F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5D962C0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3" w:type="pct"/>
            <w:shd w:val="clear" w:color="000000" w:fill="00B050"/>
            <w:noWrap/>
            <w:textDirection w:val="btLr"/>
            <w:vAlign w:val="center"/>
            <w:hideMark/>
          </w:tcPr>
          <w:p w14:paraId="6522EA3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0780479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5F47AFF1"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5C3597F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El proponente debe minimizar la probabilidad de ocurrencia del riesgo estudiado detalladamente los pliegos y utilizando el plazo para aclaración de dudas otorgado para resolver todas las incertidumbres que resulten en el proceso de elaboración de la propuesta</w:t>
            </w:r>
          </w:p>
        </w:tc>
        <w:tc>
          <w:tcPr>
            <w:tcW w:w="97" w:type="pct"/>
            <w:noWrap/>
            <w:textDirection w:val="btLr"/>
            <w:vAlign w:val="center"/>
            <w:hideMark/>
          </w:tcPr>
          <w:p w14:paraId="0F13389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6F6EE79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0CB7C44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00F0CC35"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30D6B18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376511D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shd w:val="clear" w:color="000000" w:fill="FFFFFF"/>
            <w:vAlign w:val="center"/>
            <w:hideMark/>
          </w:tcPr>
          <w:p w14:paraId="3B6B026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precontractual</w:t>
            </w:r>
          </w:p>
        </w:tc>
        <w:tc>
          <w:tcPr>
            <w:tcW w:w="388" w:type="pct"/>
            <w:shd w:val="clear" w:color="000000" w:fill="FFFFFF"/>
            <w:vAlign w:val="center"/>
            <w:hideMark/>
          </w:tcPr>
          <w:p w14:paraId="1347BA3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etapa precontractual</w:t>
            </w:r>
          </w:p>
        </w:tc>
        <w:tc>
          <w:tcPr>
            <w:tcW w:w="339" w:type="pct"/>
            <w:vAlign w:val="center"/>
            <w:hideMark/>
          </w:tcPr>
          <w:p w14:paraId="41BF2AB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de interventoría, visitas a los proyectos.</w:t>
            </w:r>
          </w:p>
        </w:tc>
        <w:tc>
          <w:tcPr>
            <w:tcW w:w="177" w:type="pct"/>
            <w:textDirection w:val="btLr"/>
            <w:vAlign w:val="center"/>
            <w:hideMark/>
          </w:tcPr>
          <w:p w14:paraId="5DD78A4C"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Diario</w:t>
            </w:r>
          </w:p>
        </w:tc>
      </w:tr>
      <w:tr w:rsidR="002B2315" w:rsidRPr="001F15F3" w14:paraId="69C8C63B" w14:textId="77777777" w:rsidTr="00530E08">
        <w:trPr>
          <w:cantSplit/>
          <w:trHeight w:val="2494"/>
        </w:trPr>
        <w:tc>
          <w:tcPr>
            <w:tcW w:w="110" w:type="pct"/>
            <w:noWrap/>
            <w:vAlign w:val="center"/>
            <w:hideMark/>
          </w:tcPr>
          <w:p w14:paraId="521A44C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2</w:t>
            </w:r>
          </w:p>
        </w:tc>
        <w:tc>
          <w:tcPr>
            <w:tcW w:w="110" w:type="pct"/>
            <w:noWrap/>
            <w:textDirection w:val="btLr"/>
            <w:vAlign w:val="center"/>
            <w:hideMark/>
          </w:tcPr>
          <w:p w14:paraId="54CE9F5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15C3231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7A2637C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27374C0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de la Naturaleza</w:t>
            </w:r>
          </w:p>
        </w:tc>
        <w:tc>
          <w:tcPr>
            <w:tcW w:w="339" w:type="pct"/>
            <w:vAlign w:val="center"/>
            <w:hideMark/>
          </w:tcPr>
          <w:p w14:paraId="0F6D5861"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Eventos de la naturaleza fuera del control de las partes que impiden continuar con la ejecución del contrato temporal o definitivamente</w:t>
            </w:r>
          </w:p>
        </w:tc>
        <w:tc>
          <w:tcPr>
            <w:tcW w:w="453" w:type="pct"/>
            <w:vAlign w:val="center"/>
            <w:hideMark/>
          </w:tcPr>
          <w:p w14:paraId="70E449EB"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Suspensión temporal de la ejecución del contrato</w:t>
            </w:r>
          </w:p>
        </w:tc>
        <w:tc>
          <w:tcPr>
            <w:tcW w:w="110" w:type="pct"/>
            <w:noWrap/>
            <w:textDirection w:val="btLr"/>
            <w:vAlign w:val="center"/>
            <w:hideMark/>
          </w:tcPr>
          <w:p w14:paraId="00F49D8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434D1AB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0005C46F"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7</w:t>
            </w:r>
          </w:p>
        </w:tc>
        <w:tc>
          <w:tcPr>
            <w:tcW w:w="115" w:type="pct"/>
            <w:shd w:val="clear" w:color="000000" w:fill="C65911"/>
            <w:textDirection w:val="btLr"/>
            <w:vAlign w:val="center"/>
            <w:hideMark/>
          </w:tcPr>
          <w:p w14:paraId="784D83E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50C9395D"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52AA785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El participante en el proceso de selección debe considerar en su oferta factores climáticos conocidos (como fenómenos del niño), geotécnicos, ambientales y demás que puedan afectar negativamente la ejecución de los estudios. Debe planear, en conformidad con lo anterior, planes de acción orientados a reducir el impacto de los fenómenos de la naturaleza en la ejecución de las obras</w:t>
            </w:r>
          </w:p>
        </w:tc>
        <w:tc>
          <w:tcPr>
            <w:tcW w:w="97" w:type="pct"/>
            <w:noWrap/>
            <w:textDirection w:val="btLr"/>
            <w:vAlign w:val="center"/>
            <w:hideMark/>
          </w:tcPr>
          <w:p w14:paraId="70D71CA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077359B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45" w:type="pct"/>
            <w:shd w:val="clear" w:color="000000" w:fill="FFFF00"/>
            <w:noWrap/>
            <w:textDirection w:val="btLr"/>
            <w:vAlign w:val="center"/>
            <w:hideMark/>
          </w:tcPr>
          <w:p w14:paraId="6F4463C4"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97" w:type="pct"/>
            <w:shd w:val="clear" w:color="000000" w:fill="FFFF00"/>
            <w:textDirection w:val="btLr"/>
            <w:vAlign w:val="center"/>
            <w:hideMark/>
          </w:tcPr>
          <w:p w14:paraId="2DB4443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77A924E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2EF8A91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y/o Supervisión</w:t>
            </w:r>
          </w:p>
        </w:tc>
        <w:tc>
          <w:tcPr>
            <w:tcW w:w="387" w:type="pct"/>
            <w:vAlign w:val="center"/>
            <w:hideMark/>
          </w:tcPr>
          <w:p w14:paraId="147C0A8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75AC02A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62EFA4C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de interventoría, visitas a los proyectos.</w:t>
            </w:r>
          </w:p>
        </w:tc>
        <w:tc>
          <w:tcPr>
            <w:tcW w:w="177" w:type="pct"/>
            <w:textDirection w:val="btLr"/>
            <w:vAlign w:val="center"/>
            <w:hideMark/>
          </w:tcPr>
          <w:p w14:paraId="1E92335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73361278" w14:textId="77777777" w:rsidTr="00530E08">
        <w:trPr>
          <w:cantSplit/>
          <w:trHeight w:val="2438"/>
        </w:trPr>
        <w:tc>
          <w:tcPr>
            <w:tcW w:w="110" w:type="pct"/>
            <w:noWrap/>
            <w:vAlign w:val="center"/>
            <w:hideMark/>
          </w:tcPr>
          <w:p w14:paraId="5669AAA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3</w:t>
            </w:r>
          </w:p>
        </w:tc>
        <w:tc>
          <w:tcPr>
            <w:tcW w:w="110" w:type="pct"/>
            <w:noWrap/>
            <w:textDirection w:val="btLr"/>
            <w:vAlign w:val="center"/>
            <w:hideMark/>
          </w:tcPr>
          <w:p w14:paraId="2EC4FE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5662283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0EADA6C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36E460E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Ambientales</w:t>
            </w:r>
          </w:p>
        </w:tc>
        <w:tc>
          <w:tcPr>
            <w:tcW w:w="339" w:type="pct"/>
            <w:vAlign w:val="center"/>
            <w:hideMark/>
          </w:tcPr>
          <w:p w14:paraId="72678A96"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Riesgo de no cumplimiento de la normatividad ambiental</w:t>
            </w:r>
          </w:p>
        </w:tc>
        <w:tc>
          <w:tcPr>
            <w:tcW w:w="453" w:type="pct"/>
            <w:vAlign w:val="center"/>
            <w:hideMark/>
          </w:tcPr>
          <w:p w14:paraId="093C8D9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Suspensión de la ejecución del contrato por daños al medio ambiente y/o a las personas relacionadas con el proyecto</w:t>
            </w:r>
          </w:p>
        </w:tc>
        <w:tc>
          <w:tcPr>
            <w:tcW w:w="110" w:type="pct"/>
            <w:noWrap/>
            <w:textDirection w:val="btLr"/>
            <w:vAlign w:val="center"/>
            <w:hideMark/>
          </w:tcPr>
          <w:p w14:paraId="730F848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355C509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13" w:type="pct"/>
            <w:shd w:val="clear" w:color="000000" w:fill="00B050"/>
            <w:noWrap/>
            <w:textDirection w:val="btLr"/>
            <w:vAlign w:val="center"/>
            <w:hideMark/>
          </w:tcPr>
          <w:p w14:paraId="318C7C0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757E39AE"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0677CA11"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3C8F996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El Participante en el proceso de selección debe considerar en su oferta factores climáticos conocidos (como el fenómeno del niño), geotécnicos, ambientales y demás que puedan afectar negativamente la ejecución de los estudios. Debe planear, en conformidad con lo anterior, planes de acción orientados a reducir el impacto de los fenómenos de la naturaleza en la ejecución de las obras</w:t>
            </w:r>
          </w:p>
        </w:tc>
        <w:tc>
          <w:tcPr>
            <w:tcW w:w="97" w:type="pct"/>
            <w:noWrap/>
            <w:textDirection w:val="btLr"/>
            <w:vAlign w:val="center"/>
            <w:hideMark/>
          </w:tcPr>
          <w:p w14:paraId="6BFD239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694A440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612065A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32E7CE5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01E2EAC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795640C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7CFF82E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714EF29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7CBDC7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de interventoría, visitas a los proyectos.</w:t>
            </w:r>
          </w:p>
        </w:tc>
        <w:tc>
          <w:tcPr>
            <w:tcW w:w="177" w:type="pct"/>
            <w:textDirection w:val="btLr"/>
            <w:vAlign w:val="center"/>
            <w:hideMark/>
          </w:tcPr>
          <w:p w14:paraId="179967F6"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6D1A349C" w14:textId="77777777" w:rsidTr="00530E08">
        <w:trPr>
          <w:cantSplit/>
          <w:trHeight w:val="1361"/>
        </w:trPr>
        <w:tc>
          <w:tcPr>
            <w:tcW w:w="110" w:type="pct"/>
            <w:noWrap/>
            <w:vAlign w:val="center"/>
            <w:hideMark/>
          </w:tcPr>
          <w:p w14:paraId="7C6F781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w:t>
            </w:r>
          </w:p>
        </w:tc>
        <w:tc>
          <w:tcPr>
            <w:tcW w:w="110" w:type="pct"/>
            <w:noWrap/>
            <w:textDirection w:val="btLr"/>
            <w:vAlign w:val="center"/>
            <w:hideMark/>
          </w:tcPr>
          <w:p w14:paraId="5B5EAC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5A0A842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607BC35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0702139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75B71F2F"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Disponibilidad del personal idóneo en el momento oportuno</w:t>
            </w:r>
          </w:p>
        </w:tc>
        <w:tc>
          <w:tcPr>
            <w:tcW w:w="453" w:type="pct"/>
            <w:vAlign w:val="center"/>
            <w:hideMark/>
          </w:tcPr>
          <w:p w14:paraId="0D345446"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Demoras en la ejecución de las obras por falta de personal idóneo para su ejecución</w:t>
            </w:r>
          </w:p>
        </w:tc>
        <w:tc>
          <w:tcPr>
            <w:tcW w:w="110" w:type="pct"/>
            <w:noWrap/>
            <w:textDirection w:val="btLr"/>
            <w:vAlign w:val="center"/>
            <w:hideMark/>
          </w:tcPr>
          <w:p w14:paraId="2B91C13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11AD64B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00B050"/>
            <w:noWrap/>
            <w:textDirection w:val="btLr"/>
            <w:vAlign w:val="center"/>
            <w:hideMark/>
          </w:tcPr>
          <w:p w14:paraId="43FEB51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1D76656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621C509E"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734DAC7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El proponente debe adjuntar a la propuesta Carta de Compromiso de cumplimiento con el Personal Mínimo Requerido en los pliegos de condiciones para la ejecución de las obras</w:t>
            </w:r>
          </w:p>
        </w:tc>
        <w:tc>
          <w:tcPr>
            <w:tcW w:w="97" w:type="pct"/>
            <w:noWrap/>
            <w:textDirection w:val="btLr"/>
            <w:vAlign w:val="center"/>
            <w:hideMark/>
          </w:tcPr>
          <w:p w14:paraId="05DD4C3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5C263E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5D7F610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7ABAD1D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6C100B3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3E8AA06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6739945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26FDD66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7316273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de interventoría, visitas a los proyectos.</w:t>
            </w:r>
          </w:p>
        </w:tc>
        <w:tc>
          <w:tcPr>
            <w:tcW w:w="177" w:type="pct"/>
            <w:textDirection w:val="btLr"/>
            <w:vAlign w:val="center"/>
            <w:hideMark/>
          </w:tcPr>
          <w:p w14:paraId="33EB8355"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154E8FF7" w14:textId="77777777" w:rsidTr="00530E08">
        <w:trPr>
          <w:cantSplit/>
          <w:trHeight w:val="1247"/>
        </w:trPr>
        <w:tc>
          <w:tcPr>
            <w:tcW w:w="110" w:type="pct"/>
            <w:noWrap/>
            <w:vAlign w:val="center"/>
            <w:hideMark/>
          </w:tcPr>
          <w:p w14:paraId="2161319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5</w:t>
            </w:r>
          </w:p>
        </w:tc>
        <w:tc>
          <w:tcPr>
            <w:tcW w:w="110" w:type="pct"/>
            <w:noWrap/>
            <w:textDirection w:val="btLr"/>
            <w:vAlign w:val="center"/>
            <w:hideMark/>
          </w:tcPr>
          <w:p w14:paraId="28B9586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6982729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4C72E3A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Selección</w:t>
            </w:r>
          </w:p>
        </w:tc>
        <w:tc>
          <w:tcPr>
            <w:tcW w:w="166" w:type="pct"/>
            <w:textDirection w:val="btLr"/>
            <w:vAlign w:val="center"/>
            <w:hideMark/>
          </w:tcPr>
          <w:p w14:paraId="6E94142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Económicos</w:t>
            </w:r>
          </w:p>
        </w:tc>
        <w:tc>
          <w:tcPr>
            <w:tcW w:w="339" w:type="pct"/>
            <w:vAlign w:val="center"/>
            <w:hideMark/>
          </w:tcPr>
          <w:p w14:paraId="41D5BC2A"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Riesgo de colusión</w:t>
            </w:r>
          </w:p>
        </w:tc>
        <w:tc>
          <w:tcPr>
            <w:tcW w:w="453" w:type="pct"/>
            <w:vAlign w:val="center"/>
            <w:hideMark/>
          </w:tcPr>
          <w:p w14:paraId="3FA0605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Especulación por parte de los oferentes que puede causar incrementos en los costos presupuestales</w:t>
            </w:r>
          </w:p>
        </w:tc>
        <w:tc>
          <w:tcPr>
            <w:tcW w:w="110" w:type="pct"/>
            <w:noWrap/>
            <w:textDirection w:val="btLr"/>
            <w:vAlign w:val="center"/>
            <w:hideMark/>
          </w:tcPr>
          <w:p w14:paraId="069BBAB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1F5726F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00B050"/>
            <w:noWrap/>
            <w:textDirection w:val="btLr"/>
            <w:vAlign w:val="center"/>
            <w:hideMark/>
          </w:tcPr>
          <w:p w14:paraId="6D7FCBA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5AB54074"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76767A2E"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3A3A20F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evaluación del valor de las ofertas conforme a la base previamente creada</w:t>
            </w:r>
          </w:p>
        </w:tc>
        <w:tc>
          <w:tcPr>
            <w:tcW w:w="97" w:type="pct"/>
            <w:noWrap/>
            <w:textDirection w:val="btLr"/>
            <w:vAlign w:val="center"/>
            <w:hideMark/>
          </w:tcPr>
          <w:p w14:paraId="630F46B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5C18FA6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454A268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48B56B0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72D7BEC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59BF1DA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13E17A9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4C28D46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5569AD0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Seguimiento realizado por la entidad en la etapa precontractual y hasta la ejecución.</w:t>
            </w:r>
          </w:p>
        </w:tc>
        <w:tc>
          <w:tcPr>
            <w:tcW w:w="177" w:type="pct"/>
            <w:textDirection w:val="btLr"/>
            <w:vAlign w:val="center"/>
            <w:hideMark/>
          </w:tcPr>
          <w:p w14:paraId="521F495F"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64BB820A" w14:textId="77777777" w:rsidTr="00530E08">
        <w:trPr>
          <w:cantSplit/>
          <w:trHeight w:val="2324"/>
        </w:trPr>
        <w:tc>
          <w:tcPr>
            <w:tcW w:w="110" w:type="pct"/>
            <w:noWrap/>
            <w:vAlign w:val="center"/>
            <w:hideMark/>
          </w:tcPr>
          <w:p w14:paraId="01F5B10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6</w:t>
            </w:r>
          </w:p>
        </w:tc>
        <w:tc>
          <w:tcPr>
            <w:tcW w:w="110" w:type="pct"/>
            <w:noWrap/>
            <w:textDirection w:val="btLr"/>
            <w:vAlign w:val="center"/>
            <w:hideMark/>
          </w:tcPr>
          <w:p w14:paraId="4995192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77F2F58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3EC2901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Contratación</w:t>
            </w:r>
          </w:p>
        </w:tc>
        <w:tc>
          <w:tcPr>
            <w:tcW w:w="166" w:type="pct"/>
            <w:textDirection w:val="btLr"/>
            <w:vAlign w:val="center"/>
            <w:hideMark/>
          </w:tcPr>
          <w:p w14:paraId="491E9DF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369FF8BC"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Riesgo que no se presenten las garantías requeridas con los documentos del proceso de contratación o que su presentación sea tardía</w:t>
            </w:r>
          </w:p>
        </w:tc>
        <w:tc>
          <w:tcPr>
            <w:tcW w:w="453" w:type="pct"/>
            <w:vAlign w:val="center"/>
            <w:hideMark/>
          </w:tcPr>
          <w:p w14:paraId="32160782"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Pérdida de tiempo en el proceso que a la postre puede afectar negativamente la disponibilidad presupuestal en la vigencia correspondiente</w:t>
            </w:r>
          </w:p>
        </w:tc>
        <w:tc>
          <w:tcPr>
            <w:tcW w:w="110" w:type="pct"/>
            <w:noWrap/>
            <w:textDirection w:val="btLr"/>
            <w:vAlign w:val="center"/>
            <w:hideMark/>
          </w:tcPr>
          <w:p w14:paraId="122ADD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117E226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13" w:type="pct"/>
            <w:shd w:val="clear" w:color="000000" w:fill="00B050"/>
            <w:noWrap/>
            <w:textDirection w:val="btLr"/>
            <w:vAlign w:val="center"/>
            <w:hideMark/>
          </w:tcPr>
          <w:p w14:paraId="2EF98D0D"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36A4ECD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701EA1A9"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y o proponente</w:t>
            </w:r>
          </w:p>
        </w:tc>
        <w:tc>
          <w:tcPr>
            <w:tcW w:w="775" w:type="pct"/>
            <w:vAlign w:val="center"/>
            <w:hideMark/>
          </w:tcPr>
          <w:p w14:paraId="622CBB0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Considerar la demora en la entrega como justificación para la ampliación del plazo del contrato, hacer efectivas las garantías que existan sobre el proceso.</w:t>
            </w:r>
          </w:p>
        </w:tc>
        <w:tc>
          <w:tcPr>
            <w:tcW w:w="97" w:type="pct"/>
            <w:noWrap/>
            <w:textDirection w:val="btLr"/>
            <w:vAlign w:val="center"/>
            <w:hideMark/>
          </w:tcPr>
          <w:p w14:paraId="690F749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0F8095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168C061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14D2308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5E9D00F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483ACD9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12EEB74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6AF933C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7544E44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Verificación de los informes de interventoría, visitas a los proyectos. </w:t>
            </w:r>
          </w:p>
        </w:tc>
        <w:tc>
          <w:tcPr>
            <w:tcW w:w="177" w:type="pct"/>
            <w:textDirection w:val="btLr"/>
            <w:vAlign w:val="center"/>
            <w:hideMark/>
          </w:tcPr>
          <w:p w14:paraId="6EF5BF5F"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74104498" w14:textId="77777777" w:rsidTr="00530E08">
        <w:trPr>
          <w:cantSplit/>
          <w:trHeight w:val="2948"/>
        </w:trPr>
        <w:tc>
          <w:tcPr>
            <w:tcW w:w="110" w:type="pct"/>
            <w:noWrap/>
            <w:vAlign w:val="center"/>
            <w:hideMark/>
          </w:tcPr>
          <w:p w14:paraId="0878B4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7</w:t>
            </w:r>
          </w:p>
        </w:tc>
        <w:tc>
          <w:tcPr>
            <w:tcW w:w="110" w:type="pct"/>
            <w:noWrap/>
            <w:textDirection w:val="btLr"/>
            <w:vAlign w:val="center"/>
            <w:hideMark/>
          </w:tcPr>
          <w:p w14:paraId="19AF21B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6EADABC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17A37E2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62C8DD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Sociales o Políticos</w:t>
            </w:r>
          </w:p>
        </w:tc>
        <w:tc>
          <w:tcPr>
            <w:tcW w:w="339" w:type="pct"/>
            <w:vAlign w:val="center"/>
            <w:hideMark/>
          </w:tcPr>
          <w:p w14:paraId="264A56DC"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Riesgos originados por acciones políticas como: Motín, Asonada, incursiones de grupos armados al margen de la Ley, Paros Públicos de labores de distinta índole, paro de las comunidades de sectores de influencia de los proyectos u obras. </w:t>
            </w:r>
          </w:p>
        </w:tc>
        <w:tc>
          <w:tcPr>
            <w:tcW w:w="453" w:type="pct"/>
            <w:vAlign w:val="center"/>
            <w:hideMark/>
          </w:tcPr>
          <w:p w14:paraId="0CF3032D"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Suspensión temporal del contrato y demora en el cumplimiento de los plazos establecidos</w:t>
            </w:r>
          </w:p>
        </w:tc>
        <w:tc>
          <w:tcPr>
            <w:tcW w:w="110" w:type="pct"/>
            <w:noWrap/>
            <w:textDirection w:val="btLr"/>
            <w:vAlign w:val="center"/>
            <w:hideMark/>
          </w:tcPr>
          <w:p w14:paraId="61CD933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2696665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FFFF00"/>
            <w:noWrap/>
            <w:textDirection w:val="btLr"/>
            <w:vAlign w:val="center"/>
            <w:hideMark/>
          </w:tcPr>
          <w:p w14:paraId="72E1405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115" w:type="pct"/>
            <w:shd w:val="clear" w:color="000000" w:fill="FFFF00"/>
            <w:textDirection w:val="btLr"/>
            <w:vAlign w:val="center"/>
            <w:hideMark/>
          </w:tcPr>
          <w:p w14:paraId="466E4BE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66" w:type="pct"/>
            <w:textDirection w:val="btLr"/>
            <w:vAlign w:val="center"/>
            <w:hideMark/>
          </w:tcPr>
          <w:p w14:paraId="1062D854"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3B11C83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Generación de stock de material que garantice eventos e imprevistos que dificulten la llegada de materiales a los puntos de intervención, el stock de materiales será por cuenta del contratista al igual que las bodegas para su custodia. </w:t>
            </w:r>
          </w:p>
        </w:tc>
        <w:tc>
          <w:tcPr>
            <w:tcW w:w="97" w:type="pct"/>
            <w:noWrap/>
            <w:textDirection w:val="btLr"/>
            <w:vAlign w:val="center"/>
            <w:hideMark/>
          </w:tcPr>
          <w:p w14:paraId="343A943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4654B83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3B2C7664"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33C6B4B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690EC66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76DDA6D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w:t>
            </w:r>
          </w:p>
        </w:tc>
        <w:tc>
          <w:tcPr>
            <w:tcW w:w="387" w:type="pct"/>
            <w:vAlign w:val="center"/>
            <w:hideMark/>
          </w:tcPr>
          <w:p w14:paraId="305789D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2950967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13A9090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56CC3B6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10C09AD5" w14:textId="77777777" w:rsidTr="00530E08">
        <w:trPr>
          <w:cantSplit/>
          <w:trHeight w:val="2211"/>
        </w:trPr>
        <w:tc>
          <w:tcPr>
            <w:tcW w:w="110" w:type="pct"/>
            <w:noWrap/>
            <w:vAlign w:val="center"/>
            <w:hideMark/>
          </w:tcPr>
          <w:p w14:paraId="2F247B6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8</w:t>
            </w:r>
          </w:p>
        </w:tc>
        <w:tc>
          <w:tcPr>
            <w:tcW w:w="110" w:type="pct"/>
            <w:noWrap/>
            <w:textDirection w:val="btLr"/>
            <w:vAlign w:val="center"/>
            <w:hideMark/>
          </w:tcPr>
          <w:p w14:paraId="259FAFF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7A2F108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7A9A6E9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1191D62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22D13F4E"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Hurto y daños en materiales y suministros</w:t>
            </w:r>
          </w:p>
        </w:tc>
        <w:tc>
          <w:tcPr>
            <w:tcW w:w="453" w:type="pct"/>
            <w:vAlign w:val="center"/>
            <w:hideMark/>
          </w:tcPr>
          <w:p w14:paraId="50766276"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Demoras en la entrega de los productos por robo de los equipos para ejecutar las labores propias de la actividad.                   Proceso de responsabilidad fiscal y/o penal de los bienes hurtados</w:t>
            </w:r>
          </w:p>
        </w:tc>
        <w:tc>
          <w:tcPr>
            <w:tcW w:w="110" w:type="pct"/>
            <w:noWrap/>
            <w:textDirection w:val="btLr"/>
            <w:vAlign w:val="center"/>
            <w:hideMark/>
          </w:tcPr>
          <w:p w14:paraId="68AC1B8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2DA857D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2E3EB87C"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tbRl"/>
            <w:vAlign w:val="center"/>
            <w:hideMark/>
          </w:tcPr>
          <w:p w14:paraId="37383DAC" w14:textId="77777777" w:rsidR="002B2315" w:rsidRPr="001F15F3" w:rsidRDefault="002B2315" w:rsidP="00530E08">
            <w:pPr>
              <w:ind w:left="113" w:right="113"/>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03A2B40C"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13E1EB8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Garantía y responsabilidad por parte del contratista de la vigilancia de los materiales y equipos del contrato. Sustitución inmediata de elementos, herramientas y equipos a cargo del contratista, sin generar costos para la entidad. </w:t>
            </w:r>
          </w:p>
        </w:tc>
        <w:tc>
          <w:tcPr>
            <w:tcW w:w="97" w:type="pct"/>
            <w:noWrap/>
            <w:textDirection w:val="btLr"/>
            <w:vAlign w:val="center"/>
            <w:hideMark/>
          </w:tcPr>
          <w:p w14:paraId="5D166D1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406408A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45" w:type="pct"/>
            <w:shd w:val="clear" w:color="000000" w:fill="00B050"/>
            <w:noWrap/>
            <w:textDirection w:val="btLr"/>
            <w:vAlign w:val="center"/>
            <w:hideMark/>
          </w:tcPr>
          <w:p w14:paraId="58AC23A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5EE1116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7B65F57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118778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w:t>
            </w:r>
            <w:r w:rsidRPr="001F15F3">
              <w:rPr>
                <w:rFonts w:ascii="Arial" w:eastAsia="Times New Roman" w:hAnsi="Arial" w:cs="Arial"/>
                <w:sz w:val="14"/>
                <w:szCs w:val="14"/>
                <w:lang w:eastAsia="es-CO"/>
              </w:rPr>
              <w:br/>
              <w:t xml:space="preserve">e interventoría </w:t>
            </w:r>
          </w:p>
        </w:tc>
        <w:tc>
          <w:tcPr>
            <w:tcW w:w="387" w:type="pct"/>
            <w:vAlign w:val="center"/>
            <w:hideMark/>
          </w:tcPr>
          <w:p w14:paraId="15157B0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741E132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40D2E92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7646AF51"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2C0A36F8" w14:textId="77777777" w:rsidTr="00530E08">
        <w:trPr>
          <w:cantSplit/>
          <w:trHeight w:val="2381"/>
        </w:trPr>
        <w:tc>
          <w:tcPr>
            <w:tcW w:w="110" w:type="pct"/>
            <w:noWrap/>
            <w:vAlign w:val="center"/>
            <w:hideMark/>
          </w:tcPr>
          <w:p w14:paraId="4800A02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9</w:t>
            </w:r>
          </w:p>
        </w:tc>
        <w:tc>
          <w:tcPr>
            <w:tcW w:w="110" w:type="pct"/>
            <w:noWrap/>
            <w:textDirection w:val="btLr"/>
            <w:vAlign w:val="center"/>
            <w:hideMark/>
          </w:tcPr>
          <w:p w14:paraId="5B0C58D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03B9598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78AC113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C1E4DC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319A34BE" w14:textId="77777777" w:rsidR="002B2315" w:rsidRPr="001F15F3" w:rsidRDefault="002B2315" w:rsidP="00530E08">
            <w:pPr>
              <w:rPr>
                <w:rFonts w:ascii="Arial" w:eastAsia="Times New Roman" w:hAnsi="Arial" w:cs="Arial"/>
                <w:sz w:val="13"/>
                <w:szCs w:val="13"/>
                <w:lang w:eastAsia="es-CO"/>
              </w:rPr>
            </w:pPr>
            <w:r w:rsidRPr="001F15F3">
              <w:rPr>
                <w:rFonts w:ascii="Arial" w:eastAsia="Times New Roman" w:hAnsi="Arial" w:cs="Arial"/>
                <w:sz w:val="13"/>
                <w:szCs w:val="13"/>
                <w:lang w:eastAsia="es-CO"/>
              </w:rPr>
              <w:t>Fallas en la logística y organización que afecten la ejecución del contrato tanto en fases preliminares como en transporte de materiales, almacenamiento, disponibilidad de maquinaria y equipos</w:t>
            </w:r>
          </w:p>
        </w:tc>
        <w:tc>
          <w:tcPr>
            <w:tcW w:w="453" w:type="pct"/>
            <w:vAlign w:val="center"/>
            <w:hideMark/>
          </w:tcPr>
          <w:p w14:paraId="03E61D17"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Incumplimiento en la prestación del servicio, construcción de las obras y ejecución del proyecto. </w:t>
            </w:r>
          </w:p>
        </w:tc>
        <w:tc>
          <w:tcPr>
            <w:tcW w:w="110" w:type="pct"/>
            <w:noWrap/>
            <w:textDirection w:val="btLr"/>
            <w:vAlign w:val="center"/>
            <w:hideMark/>
          </w:tcPr>
          <w:p w14:paraId="2DF6BA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6D5B7F0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C65911"/>
            <w:noWrap/>
            <w:textDirection w:val="btLr"/>
            <w:vAlign w:val="center"/>
            <w:hideMark/>
          </w:tcPr>
          <w:p w14:paraId="6A24302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09589D3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279323C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52D0BEB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Reducir la probabilidad de la ocurrencia del evento a través de la planeación respectiva para los mantenimientos y/o labor a realizar con la preparación de los equipos y personal adecuado, además disponer del personal extra que requiera la ejecución del contrato para cumplir el cronograma del proyecto. </w:t>
            </w:r>
          </w:p>
        </w:tc>
        <w:tc>
          <w:tcPr>
            <w:tcW w:w="97" w:type="pct"/>
            <w:noWrap/>
            <w:textDirection w:val="btLr"/>
            <w:vAlign w:val="center"/>
            <w:hideMark/>
          </w:tcPr>
          <w:p w14:paraId="2D3082F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391DF2F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4CFE930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5D5BF85E"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2C54132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306F935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43733D3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3700B9C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31E2F93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6B801749"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Semanal</w:t>
            </w:r>
          </w:p>
        </w:tc>
      </w:tr>
      <w:tr w:rsidR="002B2315" w:rsidRPr="001F15F3" w14:paraId="1B1C2EBF" w14:textId="77777777" w:rsidTr="00530E08">
        <w:trPr>
          <w:cantSplit/>
          <w:trHeight w:val="2098"/>
        </w:trPr>
        <w:tc>
          <w:tcPr>
            <w:tcW w:w="110" w:type="pct"/>
            <w:noWrap/>
            <w:vAlign w:val="center"/>
            <w:hideMark/>
          </w:tcPr>
          <w:p w14:paraId="1EEB8DD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10</w:t>
            </w:r>
          </w:p>
        </w:tc>
        <w:tc>
          <w:tcPr>
            <w:tcW w:w="110" w:type="pct"/>
            <w:noWrap/>
            <w:textDirection w:val="btLr"/>
            <w:vAlign w:val="center"/>
            <w:hideMark/>
          </w:tcPr>
          <w:p w14:paraId="4DADC22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1DFE49D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3F6326E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59D934E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de la Naturaleza</w:t>
            </w:r>
          </w:p>
        </w:tc>
        <w:tc>
          <w:tcPr>
            <w:tcW w:w="339" w:type="pct"/>
            <w:vAlign w:val="center"/>
            <w:hideMark/>
          </w:tcPr>
          <w:p w14:paraId="7CD05856"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Eventos de la naturaleza fuera del control de las partes que impiden continuar con la ejecución del contrato temporal o definitivamente</w:t>
            </w:r>
          </w:p>
        </w:tc>
        <w:tc>
          <w:tcPr>
            <w:tcW w:w="453" w:type="pct"/>
            <w:vAlign w:val="center"/>
            <w:hideMark/>
          </w:tcPr>
          <w:p w14:paraId="5FD9DF3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Suspensión de la prestación del servicio o de la ejecución de la obra</w:t>
            </w:r>
          </w:p>
        </w:tc>
        <w:tc>
          <w:tcPr>
            <w:tcW w:w="110" w:type="pct"/>
            <w:noWrap/>
            <w:textDirection w:val="btLr"/>
            <w:vAlign w:val="center"/>
            <w:hideMark/>
          </w:tcPr>
          <w:p w14:paraId="44542FB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6CB691C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FFFF00"/>
            <w:noWrap/>
            <w:textDirection w:val="btLr"/>
            <w:vAlign w:val="center"/>
            <w:hideMark/>
          </w:tcPr>
          <w:p w14:paraId="3303A8D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115" w:type="pct"/>
            <w:shd w:val="clear" w:color="000000" w:fill="FFFF00"/>
            <w:textDirection w:val="btLr"/>
            <w:vAlign w:val="center"/>
            <w:hideMark/>
          </w:tcPr>
          <w:p w14:paraId="2E71B57F"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66" w:type="pct"/>
            <w:textDirection w:val="btLr"/>
            <w:vAlign w:val="center"/>
            <w:hideMark/>
          </w:tcPr>
          <w:p w14:paraId="5B4C9E1B"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junto con la entidad</w:t>
            </w:r>
          </w:p>
        </w:tc>
        <w:tc>
          <w:tcPr>
            <w:tcW w:w="775" w:type="pct"/>
            <w:vAlign w:val="center"/>
            <w:hideMark/>
          </w:tcPr>
          <w:p w14:paraId="255A4AE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Reducir las consecuencias a través de la documentación y/o recopilación de información suministrada por los entes competentes de cada zona geográfica especifica o de acuerdo al evento que ocurra realizar mesa técnica entre las partes para determinar actuaciones a seguir. </w:t>
            </w:r>
          </w:p>
        </w:tc>
        <w:tc>
          <w:tcPr>
            <w:tcW w:w="97" w:type="pct"/>
            <w:noWrap/>
            <w:textDirection w:val="btLr"/>
            <w:vAlign w:val="center"/>
            <w:hideMark/>
          </w:tcPr>
          <w:p w14:paraId="13F8324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33AD5D4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1CE143D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08F3718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7E57489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7589C9E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Interventoría y la entidad. </w:t>
            </w:r>
          </w:p>
        </w:tc>
        <w:tc>
          <w:tcPr>
            <w:tcW w:w="387" w:type="pct"/>
            <w:vAlign w:val="center"/>
            <w:hideMark/>
          </w:tcPr>
          <w:p w14:paraId="4213DAD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0EC04DC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027521B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629C23F4"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5E494CA2" w14:textId="77777777" w:rsidTr="00530E08">
        <w:trPr>
          <w:cantSplit/>
          <w:trHeight w:val="2608"/>
        </w:trPr>
        <w:tc>
          <w:tcPr>
            <w:tcW w:w="110" w:type="pct"/>
            <w:noWrap/>
            <w:vAlign w:val="center"/>
            <w:hideMark/>
          </w:tcPr>
          <w:p w14:paraId="233A1D7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11</w:t>
            </w:r>
          </w:p>
        </w:tc>
        <w:tc>
          <w:tcPr>
            <w:tcW w:w="110" w:type="pct"/>
            <w:noWrap/>
            <w:textDirection w:val="btLr"/>
            <w:vAlign w:val="center"/>
            <w:hideMark/>
          </w:tcPr>
          <w:p w14:paraId="0789546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3A776B5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125D37A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1D2DD09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Económicos</w:t>
            </w:r>
          </w:p>
        </w:tc>
        <w:tc>
          <w:tcPr>
            <w:tcW w:w="339" w:type="pct"/>
            <w:vAlign w:val="center"/>
            <w:hideMark/>
          </w:tcPr>
          <w:p w14:paraId="01A854E1"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Riesgo en el incremento de los precios del mercado y/o incrementos en servicios a causa de fenómenos económicos moderados</w:t>
            </w:r>
          </w:p>
        </w:tc>
        <w:tc>
          <w:tcPr>
            <w:tcW w:w="453" w:type="pct"/>
            <w:vAlign w:val="center"/>
            <w:hideMark/>
          </w:tcPr>
          <w:p w14:paraId="31CCE04E"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Desequilibrio económico del contrato que lleve a paralizar las obras.</w:t>
            </w:r>
          </w:p>
        </w:tc>
        <w:tc>
          <w:tcPr>
            <w:tcW w:w="110" w:type="pct"/>
            <w:noWrap/>
            <w:textDirection w:val="btLr"/>
            <w:vAlign w:val="center"/>
            <w:hideMark/>
          </w:tcPr>
          <w:p w14:paraId="1BC5DC6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10A4B55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00B050"/>
            <w:noWrap/>
            <w:textDirection w:val="btLr"/>
            <w:vAlign w:val="center"/>
            <w:hideMark/>
          </w:tcPr>
          <w:p w14:paraId="19CCC37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5F73CF6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78E7E3A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e Interventoría </w:t>
            </w:r>
          </w:p>
        </w:tc>
        <w:tc>
          <w:tcPr>
            <w:tcW w:w="775" w:type="pct"/>
            <w:vAlign w:val="center"/>
            <w:hideMark/>
          </w:tcPr>
          <w:p w14:paraId="7315D9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Analizar las consecuencias en el incremento de los precios y mitigar a través de planes de contingencia, no obstante, el proponente al momento de presentar la propuesta que resulte adjudicataria debe prever un margen de riesgo sobre los precios del mercado, toda vez que son los proponentes los conocedores del mercado. Posibilidad de suspender el contrato o liquidar de forma anticipada si no es posible su continuidad</w:t>
            </w:r>
          </w:p>
        </w:tc>
        <w:tc>
          <w:tcPr>
            <w:tcW w:w="97" w:type="pct"/>
            <w:noWrap/>
            <w:textDirection w:val="btLr"/>
            <w:vAlign w:val="center"/>
            <w:hideMark/>
          </w:tcPr>
          <w:p w14:paraId="2834E84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0C068F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40880F9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97" w:type="pct"/>
            <w:shd w:val="clear" w:color="000000" w:fill="00B050"/>
            <w:textDirection w:val="btLr"/>
            <w:vAlign w:val="center"/>
            <w:hideMark/>
          </w:tcPr>
          <w:p w14:paraId="3ECB0CB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0EB3A1C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1C52D65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o supervisión</w:t>
            </w:r>
          </w:p>
        </w:tc>
        <w:tc>
          <w:tcPr>
            <w:tcW w:w="387" w:type="pct"/>
            <w:vAlign w:val="center"/>
            <w:hideMark/>
          </w:tcPr>
          <w:p w14:paraId="30F6A40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00FF45C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5C24EE0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w:t>
            </w:r>
          </w:p>
        </w:tc>
        <w:tc>
          <w:tcPr>
            <w:tcW w:w="177" w:type="pct"/>
            <w:textDirection w:val="btLr"/>
            <w:vAlign w:val="center"/>
            <w:hideMark/>
          </w:tcPr>
          <w:p w14:paraId="0FCD9E94"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546DE9BF" w14:textId="77777777" w:rsidTr="00530E08">
        <w:trPr>
          <w:cantSplit/>
          <w:trHeight w:val="2268"/>
        </w:trPr>
        <w:tc>
          <w:tcPr>
            <w:tcW w:w="110" w:type="pct"/>
            <w:noWrap/>
            <w:vAlign w:val="center"/>
            <w:hideMark/>
          </w:tcPr>
          <w:p w14:paraId="3D0DDDE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12</w:t>
            </w:r>
          </w:p>
        </w:tc>
        <w:tc>
          <w:tcPr>
            <w:tcW w:w="110" w:type="pct"/>
            <w:noWrap/>
            <w:textDirection w:val="btLr"/>
            <w:vAlign w:val="center"/>
            <w:hideMark/>
          </w:tcPr>
          <w:p w14:paraId="58060AA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7AD49E6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49CDFCE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E6B42B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73EC484A"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Mayor costo por remuneración al personal o mayor permanencia del personal en la obra por causas de demoras del contratista </w:t>
            </w:r>
          </w:p>
        </w:tc>
        <w:tc>
          <w:tcPr>
            <w:tcW w:w="453" w:type="pct"/>
            <w:vAlign w:val="center"/>
            <w:hideMark/>
          </w:tcPr>
          <w:p w14:paraId="4A9E33FF"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Número de personal es mayor al propuesto por el oferente para cumplir con sus obligaciones contractuales y mayor permanencia del personal en el proyecto al inicialmente previsto.</w:t>
            </w:r>
          </w:p>
        </w:tc>
        <w:tc>
          <w:tcPr>
            <w:tcW w:w="110" w:type="pct"/>
            <w:noWrap/>
            <w:textDirection w:val="btLr"/>
            <w:vAlign w:val="center"/>
            <w:hideMark/>
          </w:tcPr>
          <w:p w14:paraId="323D93E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7F5EFB3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FFFF00"/>
            <w:noWrap/>
            <w:textDirection w:val="btLr"/>
            <w:vAlign w:val="center"/>
            <w:hideMark/>
          </w:tcPr>
          <w:p w14:paraId="79D7B2E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115" w:type="pct"/>
            <w:shd w:val="clear" w:color="000000" w:fill="FFFF00"/>
            <w:textDirection w:val="btLr"/>
            <w:vAlign w:val="center"/>
            <w:hideMark/>
          </w:tcPr>
          <w:p w14:paraId="62F7775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66" w:type="pct"/>
            <w:textDirection w:val="btLr"/>
            <w:vAlign w:val="center"/>
            <w:hideMark/>
          </w:tcPr>
          <w:p w14:paraId="4AA98D88"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65A7873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Reducir las consecuencias a través de planes de contingencia y optimizar las actividades con mayores frentes de trabajo e incrementar la ejecución de actividades. </w:t>
            </w:r>
          </w:p>
        </w:tc>
        <w:tc>
          <w:tcPr>
            <w:tcW w:w="97" w:type="pct"/>
            <w:noWrap/>
            <w:textDirection w:val="btLr"/>
            <w:vAlign w:val="center"/>
            <w:hideMark/>
          </w:tcPr>
          <w:p w14:paraId="66FAA5D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38B8FBA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2B9BFC2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1A24677D"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01A2F6A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63DD797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y/o Supervisión</w:t>
            </w:r>
          </w:p>
        </w:tc>
        <w:tc>
          <w:tcPr>
            <w:tcW w:w="387" w:type="pct"/>
            <w:vAlign w:val="center"/>
            <w:hideMark/>
          </w:tcPr>
          <w:p w14:paraId="428A0D1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45262E5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64CD5FE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w:t>
            </w:r>
          </w:p>
        </w:tc>
        <w:tc>
          <w:tcPr>
            <w:tcW w:w="177" w:type="pct"/>
            <w:textDirection w:val="btLr"/>
            <w:vAlign w:val="center"/>
            <w:hideMark/>
          </w:tcPr>
          <w:p w14:paraId="35E60581"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115E3746" w14:textId="77777777" w:rsidTr="00530E08">
        <w:trPr>
          <w:cantSplit/>
          <w:trHeight w:val="1814"/>
        </w:trPr>
        <w:tc>
          <w:tcPr>
            <w:tcW w:w="110" w:type="pct"/>
            <w:noWrap/>
            <w:vAlign w:val="center"/>
            <w:hideMark/>
          </w:tcPr>
          <w:p w14:paraId="17AD33F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13</w:t>
            </w:r>
          </w:p>
        </w:tc>
        <w:tc>
          <w:tcPr>
            <w:tcW w:w="110" w:type="pct"/>
            <w:noWrap/>
            <w:textDirection w:val="btLr"/>
            <w:vAlign w:val="center"/>
            <w:hideMark/>
          </w:tcPr>
          <w:p w14:paraId="6AAF033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571C0EB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6A6CFD8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2474B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34175392"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Disponibilidad del personal idóneo en el momento oportuno</w:t>
            </w:r>
          </w:p>
        </w:tc>
        <w:tc>
          <w:tcPr>
            <w:tcW w:w="453" w:type="pct"/>
            <w:vAlign w:val="center"/>
            <w:hideMark/>
          </w:tcPr>
          <w:p w14:paraId="7DEDC8B3"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El oferente deberá mantener a disponibilidad del proyecto, el personal idóneo en el momento requerido para la ejecución del contrato.</w:t>
            </w:r>
          </w:p>
        </w:tc>
        <w:tc>
          <w:tcPr>
            <w:tcW w:w="110" w:type="pct"/>
            <w:noWrap/>
            <w:textDirection w:val="btLr"/>
            <w:vAlign w:val="center"/>
            <w:hideMark/>
          </w:tcPr>
          <w:p w14:paraId="263971D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04D2086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C65911"/>
            <w:noWrap/>
            <w:textDirection w:val="btLr"/>
            <w:vAlign w:val="center"/>
            <w:hideMark/>
          </w:tcPr>
          <w:p w14:paraId="0899E89C"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137D663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4CC61E25"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677F62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Reducir las consecuencias a través de planes de contingencia, y tener dispuesto un equipo de trabajo el cual pueda atender las necesidades que se presenten, adicionalmente disponer de personal extra por su cuenta y riesgo para cumplir el cronograma de actividades</w:t>
            </w:r>
          </w:p>
        </w:tc>
        <w:tc>
          <w:tcPr>
            <w:tcW w:w="97" w:type="pct"/>
            <w:noWrap/>
            <w:textDirection w:val="btLr"/>
            <w:vAlign w:val="center"/>
            <w:hideMark/>
          </w:tcPr>
          <w:p w14:paraId="1CE1B38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9B08F2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257131A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028A7CA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15DCFA3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5978113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o supervisión</w:t>
            </w:r>
          </w:p>
        </w:tc>
        <w:tc>
          <w:tcPr>
            <w:tcW w:w="387" w:type="pct"/>
            <w:vAlign w:val="center"/>
            <w:hideMark/>
          </w:tcPr>
          <w:p w14:paraId="6E3A01F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4269378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5984A3F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5092233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Diario</w:t>
            </w:r>
          </w:p>
        </w:tc>
      </w:tr>
      <w:tr w:rsidR="002B2315" w:rsidRPr="001F15F3" w14:paraId="06CECD4F" w14:textId="77777777" w:rsidTr="00530E08">
        <w:trPr>
          <w:cantSplit/>
          <w:trHeight w:val="3061"/>
        </w:trPr>
        <w:tc>
          <w:tcPr>
            <w:tcW w:w="110" w:type="pct"/>
            <w:noWrap/>
            <w:vAlign w:val="center"/>
            <w:hideMark/>
          </w:tcPr>
          <w:p w14:paraId="667B2BA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14</w:t>
            </w:r>
          </w:p>
        </w:tc>
        <w:tc>
          <w:tcPr>
            <w:tcW w:w="110" w:type="pct"/>
            <w:noWrap/>
            <w:textDirection w:val="btLr"/>
            <w:vAlign w:val="center"/>
            <w:hideMark/>
          </w:tcPr>
          <w:p w14:paraId="1E47955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3B39105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1735668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6AAF8F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181F3212"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Pérdida parcial o total de la información en medio digital por mal funcionamiento de los equipos o por la imposibilidad de continuar con uno de los miembros del equipo de trabajo.</w:t>
            </w:r>
          </w:p>
        </w:tc>
        <w:tc>
          <w:tcPr>
            <w:tcW w:w="453" w:type="pct"/>
            <w:vAlign w:val="center"/>
            <w:hideMark/>
          </w:tcPr>
          <w:p w14:paraId="7FD09183"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El oferente tiene a su cargo asumir a su costo y riesgo el cumplimiento del adecuado manejo de la información para el cumplimiento del objeto del proyecto.</w:t>
            </w:r>
          </w:p>
        </w:tc>
        <w:tc>
          <w:tcPr>
            <w:tcW w:w="110" w:type="pct"/>
            <w:noWrap/>
            <w:textDirection w:val="btLr"/>
            <w:vAlign w:val="center"/>
            <w:hideMark/>
          </w:tcPr>
          <w:p w14:paraId="7F6B388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4F64D9F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C65911"/>
            <w:noWrap/>
            <w:textDirection w:val="btLr"/>
            <w:vAlign w:val="center"/>
            <w:hideMark/>
          </w:tcPr>
          <w:p w14:paraId="6B0B2F8C"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272C04FF"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5EC87D48"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4C7B1A6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Realizar recolección periódica de información de ejecución del proyecto. Presentar informes semanales y mensuales de acuerdo como lo disponga el contrato, so pena de declarar los incumplimientos por parte de la entidad contratante. </w:t>
            </w:r>
          </w:p>
        </w:tc>
        <w:tc>
          <w:tcPr>
            <w:tcW w:w="97" w:type="pct"/>
            <w:noWrap/>
            <w:textDirection w:val="btLr"/>
            <w:vAlign w:val="center"/>
            <w:hideMark/>
          </w:tcPr>
          <w:p w14:paraId="29B0ED2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03870E8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6F44C8E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3CDB1AEF"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3CA5097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2269988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e interventoría o supervisión</w:t>
            </w:r>
          </w:p>
        </w:tc>
        <w:tc>
          <w:tcPr>
            <w:tcW w:w="387" w:type="pct"/>
            <w:vAlign w:val="center"/>
            <w:hideMark/>
          </w:tcPr>
          <w:p w14:paraId="480DAC5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4F99670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4B11BD0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028D6E58"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Diario</w:t>
            </w:r>
          </w:p>
        </w:tc>
      </w:tr>
      <w:tr w:rsidR="002B2315" w:rsidRPr="001F15F3" w14:paraId="6267863C" w14:textId="77777777" w:rsidTr="00530E08">
        <w:trPr>
          <w:cantSplit/>
          <w:trHeight w:val="2494"/>
        </w:trPr>
        <w:tc>
          <w:tcPr>
            <w:tcW w:w="110" w:type="pct"/>
            <w:noWrap/>
            <w:vAlign w:val="center"/>
            <w:hideMark/>
          </w:tcPr>
          <w:p w14:paraId="46A7110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15</w:t>
            </w:r>
          </w:p>
        </w:tc>
        <w:tc>
          <w:tcPr>
            <w:tcW w:w="110" w:type="pct"/>
            <w:noWrap/>
            <w:textDirection w:val="btLr"/>
            <w:vAlign w:val="center"/>
            <w:hideMark/>
          </w:tcPr>
          <w:p w14:paraId="1245861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1035E64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7ECF843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7A10E13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749CD8B6" w14:textId="77777777" w:rsidR="002B2315" w:rsidRPr="001F15F3" w:rsidRDefault="002B2315" w:rsidP="00530E08">
            <w:pPr>
              <w:rPr>
                <w:rFonts w:ascii="Arial" w:eastAsia="Times New Roman" w:hAnsi="Arial" w:cs="Arial"/>
                <w:sz w:val="13"/>
                <w:szCs w:val="13"/>
                <w:lang w:eastAsia="es-CO"/>
              </w:rPr>
            </w:pPr>
            <w:r w:rsidRPr="001F15F3">
              <w:rPr>
                <w:rFonts w:ascii="Arial" w:eastAsia="Times New Roman" w:hAnsi="Arial" w:cs="Arial"/>
                <w:sz w:val="13"/>
                <w:szCs w:val="13"/>
                <w:lang w:eastAsia="es-CO"/>
              </w:rPr>
              <w:t>Déficit en las Cargas Eléctricas, Presión de Agua Potable y/o Gas y/o gasolina requeridas por los equipos y herramientas utilizadas por el contratista  para el óptimo desarrollo del contrato.</w:t>
            </w:r>
          </w:p>
        </w:tc>
        <w:tc>
          <w:tcPr>
            <w:tcW w:w="453" w:type="pct"/>
            <w:vAlign w:val="center"/>
            <w:hideMark/>
          </w:tcPr>
          <w:p w14:paraId="4032C75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Demoras en la ejecución de la obra e incumplimiento del cronograma de actividades </w:t>
            </w:r>
          </w:p>
        </w:tc>
        <w:tc>
          <w:tcPr>
            <w:tcW w:w="110" w:type="pct"/>
            <w:noWrap/>
            <w:textDirection w:val="btLr"/>
            <w:vAlign w:val="center"/>
            <w:hideMark/>
          </w:tcPr>
          <w:p w14:paraId="7715120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7E61080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C65911"/>
            <w:noWrap/>
            <w:textDirection w:val="btLr"/>
            <w:vAlign w:val="center"/>
            <w:hideMark/>
          </w:tcPr>
          <w:p w14:paraId="6B7D059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364BB1F1"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10F646C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53067DD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Reducir las consecuencias a través de planes de contingencia presentados por el contratista y disponer de los elementos de forma previa para evitar paralizar las obras.</w:t>
            </w:r>
          </w:p>
        </w:tc>
        <w:tc>
          <w:tcPr>
            <w:tcW w:w="97" w:type="pct"/>
            <w:noWrap/>
            <w:textDirection w:val="btLr"/>
            <w:vAlign w:val="center"/>
            <w:hideMark/>
          </w:tcPr>
          <w:p w14:paraId="3B174FE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0860B80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45" w:type="pct"/>
            <w:shd w:val="clear" w:color="000000" w:fill="FFFF00"/>
            <w:noWrap/>
            <w:textDirection w:val="btLr"/>
            <w:vAlign w:val="center"/>
            <w:hideMark/>
          </w:tcPr>
          <w:p w14:paraId="01814C2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97" w:type="pct"/>
            <w:shd w:val="clear" w:color="000000" w:fill="FFFF00"/>
            <w:textDirection w:val="btLr"/>
            <w:vAlign w:val="center"/>
            <w:hideMark/>
          </w:tcPr>
          <w:p w14:paraId="5853129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45" w:type="pct"/>
            <w:noWrap/>
            <w:vAlign w:val="center"/>
            <w:hideMark/>
          </w:tcPr>
          <w:p w14:paraId="05FCFAF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55344E9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w:t>
            </w:r>
            <w:r w:rsidRPr="001F15F3">
              <w:rPr>
                <w:rFonts w:ascii="Arial" w:eastAsia="Times New Roman" w:hAnsi="Arial" w:cs="Arial"/>
                <w:sz w:val="14"/>
                <w:szCs w:val="14"/>
                <w:lang w:eastAsia="es-CO"/>
              </w:rPr>
              <w:br/>
              <w:t>e interventoría</w:t>
            </w:r>
          </w:p>
        </w:tc>
        <w:tc>
          <w:tcPr>
            <w:tcW w:w="387" w:type="pct"/>
            <w:vAlign w:val="center"/>
            <w:hideMark/>
          </w:tcPr>
          <w:p w14:paraId="52B8AD0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11D3F1F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0AF7531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4D3AC36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Semanal</w:t>
            </w:r>
          </w:p>
        </w:tc>
      </w:tr>
      <w:tr w:rsidR="002B2315" w:rsidRPr="001F15F3" w14:paraId="09F34E41" w14:textId="77777777" w:rsidTr="00530E08">
        <w:trPr>
          <w:cantSplit/>
          <w:trHeight w:val="2494"/>
        </w:trPr>
        <w:tc>
          <w:tcPr>
            <w:tcW w:w="110" w:type="pct"/>
            <w:noWrap/>
            <w:vAlign w:val="center"/>
            <w:hideMark/>
          </w:tcPr>
          <w:p w14:paraId="389585A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16</w:t>
            </w:r>
          </w:p>
        </w:tc>
        <w:tc>
          <w:tcPr>
            <w:tcW w:w="110" w:type="pct"/>
            <w:noWrap/>
            <w:textDirection w:val="btLr"/>
            <w:vAlign w:val="center"/>
            <w:hideMark/>
          </w:tcPr>
          <w:p w14:paraId="5B348FE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0A80D0D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0AD92FC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490AFDC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45B660E8"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Accidente laboral o muerte de personal adscrito al contratista en labores de construcción, limpieza y otras que ser relacionen directamente con la obra que se ejecuta</w:t>
            </w:r>
          </w:p>
        </w:tc>
        <w:tc>
          <w:tcPr>
            <w:tcW w:w="453" w:type="pct"/>
            <w:vAlign w:val="center"/>
            <w:hideMark/>
          </w:tcPr>
          <w:p w14:paraId="00B0852B"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Retardos en la ejecución de las obras y/o reclamaciones presentadas por víctimas o familiares del fallecido o del propio trabajador cuando sucede accidente laboral</w:t>
            </w:r>
          </w:p>
        </w:tc>
        <w:tc>
          <w:tcPr>
            <w:tcW w:w="110" w:type="pct"/>
            <w:noWrap/>
            <w:textDirection w:val="btLr"/>
            <w:vAlign w:val="center"/>
            <w:hideMark/>
          </w:tcPr>
          <w:p w14:paraId="0EF170C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5F8057F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59BA68C4"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5F520FCD"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6A351B30"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1260F9F9" w14:textId="77777777" w:rsidR="002B2315" w:rsidRPr="001F15F3" w:rsidRDefault="002B2315" w:rsidP="00530E08">
            <w:pPr>
              <w:jc w:val="center"/>
              <w:rPr>
                <w:rFonts w:ascii="Arial" w:eastAsia="Times New Roman" w:hAnsi="Arial" w:cs="Arial"/>
                <w:sz w:val="13"/>
                <w:szCs w:val="13"/>
                <w:lang w:eastAsia="es-CO"/>
              </w:rPr>
            </w:pPr>
            <w:r w:rsidRPr="001F15F3">
              <w:rPr>
                <w:rFonts w:ascii="Arial" w:eastAsia="Times New Roman" w:hAnsi="Arial" w:cs="Arial"/>
                <w:sz w:val="13"/>
                <w:szCs w:val="13"/>
                <w:lang w:eastAsia="es-CO"/>
              </w:rPr>
              <w:t xml:space="preserve">Tener personal idóneo de reemplazo y todos sus pagos parafiscales al día. Adicionalmente el contratista debe obligatoriamente tener afiliado a todo su personal al sistema de seguridad social integral que permita prever los riesgos de accidente laboral o muerte. El contratista debe proporcionar todos los elementos de seguridad y salud en el trabajo que requiera su personal.  Suscribir las pólizas correspondientes de responsabilidad extracontractual y de reclamaciones laborales a favor de la entidad. </w:t>
            </w:r>
          </w:p>
        </w:tc>
        <w:tc>
          <w:tcPr>
            <w:tcW w:w="97" w:type="pct"/>
            <w:noWrap/>
            <w:textDirection w:val="btLr"/>
            <w:vAlign w:val="center"/>
            <w:hideMark/>
          </w:tcPr>
          <w:p w14:paraId="2D6290C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3958515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0C367CC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215CF0C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058CBA2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02CE8A8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387" w:type="pct"/>
            <w:vAlign w:val="center"/>
            <w:hideMark/>
          </w:tcPr>
          <w:p w14:paraId="48A4B8B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724EA78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4E7F057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7A00C0D9"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0AF24DC3" w14:textId="77777777" w:rsidTr="00530E08">
        <w:trPr>
          <w:cantSplit/>
          <w:trHeight w:val="1701"/>
        </w:trPr>
        <w:tc>
          <w:tcPr>
            <w:tcW w:w="110" w:type="pct"/>
            <w:noWrap/>
            <w:vAlign w:val="center"/>
            <w:hideMark/>
          </w:tcPr>
          <w:p w14:paraId="560DCC2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17</w:t>
            </w:r>
          </w:p>
        </w:tc>
        <w:tc>
          <w:tcPr>
            <w:tcW w:w="110" w:type="pct"/>
            <w:noWrap/>
            <w:textDirection w:val="btLr"/>
            <w:vAlign w:val="center"/>
            <w:hideMark/>
          </w:tcPr>
          <w:p w14:paraId="6A5F063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5A7EF97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543664D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Planeación</w:t>
            </w:r>
          </w:p>
        </w:tc>
        <w:tc>
          <w:tcPr>
            <w:tcW w:w="166" w:type="pct"/>
            <w:textDirection w:val="btLr"/>
            <w:vAlign w:val="center"/>
            <w:hideMark/>
          </w:tcPr>
          <w:p w14:paraId="45C74E9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0A1DEEF0"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Modificación de las especificaciones técnicas o incumplimiento de los ítems de la obra por parte del contratista </w:t>
            </w:r>
          </w:p>
        </w:tc>
        <w:tc>
          <w:tcPr>
            <w:tcW w:w="453" w:type="pct"/>
            <w:vAlign w:val="center"/>
            <w:hideMark/>
          </w:tcPr>
          <w:p w14:paraId="396433FF"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Modificación del proceso contractual u obras contratadas</w:t>
            </w:r>
          </w:p>
        </w:tc>
        <w:tc>
          <w:tcPr>
            <w:tcW w:w="110" w:type="pct"/>
            <w:noWrap/>
            <w:textDirection w:val="btLr"/>
            <w:vAlign w:val="center"/>
            <w:hideMark/>
          </w:tcPr>
          <w:p w14:paraId="542B8A1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255C6C2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5= Catastrófico</w:t>
            </w:r>
          </w:p>
        </w:tc>
        <w:tc>
          <w:tcPr>
            <w:tcW w:w="113" w:type="pct"/>
            <w:shd w:val="clear" w:color="000000" w:fill="FF0000"/>
            <w:noWrap/>
            <w:textDirection w:val="btLr"/>
            <w:vAlign w:val="center"/>
            <w:hideMark/>
          </w:tcPr>
          <w:p w14:paraId="65AD833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8</w:t>
            </w:r>
          </w:p>
        </w:tc>
        <w:tc>
          <w:tcPr>
            <w:tcW w:w="115" w:type="pct"/>
            <w:shd w:val="clear" w:color="000000" w:fill="FF0000"/>
            <w:textDirection w:val="btLr"/>
            <w:vAlign w:val="center"/>
            <w:hideMark/>
          </w:tcPr>
          <w:p w14:paraId="4C906CB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Extremo</w:t>
            </w:r>
          </w:p>
        </w:tc>
        <w:tc>
          <w:tcPr>
            <w:tcW w:w="166" w:type="pct"/>
            <w:textDirection w:val="btLr"/>
            <w:vAlign w:val="center"/>
            <w:hideMark/>
          </w:tcPr>
          <w:p w14:paraId="5BA6783F"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1C6000B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Evitar el riesgo aplicando rigurosamente el principio de planeación contractual y realizar de forma previa los comités técnicos con los conceptos técnicos que deba rendir la interventoría para determinar previamente la viabilidad o no de las modificaciones </w:t>
            </w:r>
          </w:p>
        </w:tc>
        <w:tc>
          <w:tcPr>
            <w:tcW w:w="97" w:type="pct"/>
            <w:noWrap/>
            <w:textDirection w:val="btLr"/>
            <w:vAlign w:val="center"/>
            <w:hideMark/>
          </w:tcPr>
          <w:p w14:paraId="2A07978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004C572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45" w:type="pct"/>
            <w:shd w:val="clear" w:color="000000" w:fill="FFFF00"/>
            <w:noWrap/>
            <w:textDirection w:val="btLr"/>
            <w:vAlign w:val="center"/>
            <w:hideMark/>
          </w:tcPr>
          <w:p w14:paraId="0BB94A5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97" w:type="pct"/>
            <w:shd w:val="clear" w:color="000000" w:fill="FFFF00"/>
            <w:textDirection w:val="btLr"/>
            <w:vAlign w:val="center"/>
            <w:hideMark/>
          </w:tcPr>
          <w:p w14:paraId="5E65C22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45" w:type="pct"/>
            <w:noWrap/>
            <w:vAlign w:val="center"/>
            <w:hideMark/>
          </w:tcPr>
          <w:p w14:paraId="00D60C2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2E9D155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br/>
              <w:t>Contratista, interventoría y entidad</w:t>
            </w:r>
          </w:p>
        </w:tc>
        <w:tc>
          <w:tcPr>
            <w:tcW w:w="387" w:type="pct"/>
            <w:vAlign w:val="center"/>
            <w:hideMark/>
          </w:tcPr>
          <w:p w14:paraId="5B48E7B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16EE9B3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5AC601B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visitas al proyecto.</w:t>
            </w:r>
          </w:p>
        </w:tc>
        <w:tc>
          <w:tcPr>
            <w:tcW w:w="177" w:type="pct"/>
            <w:textDirection w:val="btLr"/>
            <w:vAlign w:val="center"/>
            <w:hideMark/>
          </w:tcPr>
          <w:p w14:paraId="793BECA4"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7FBE4339" w14:textId="77777777" w:rsidTr="00530E08">
        <w:trPr>
          <w:cantSplit/>
          <w:trHeight w:val="1644"/>
        </w:trPr>
        <w:tc>
          <w:tcPr>
            <w:tcW w:w="110" w:type="pct"/>
            <w:noWrap/>
            <w:vAlign w:val="center"/>
            <w:hideMark/>
          </w:tcPr>
          <w:p w14:paraId="0C9DE0D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18</w:t>
            </w:r>
          </w:p>
        </w:tc>
        <w:tc>
          <w:tcPr>
            <w:tcW w:w="110" w:type="pct"/>
            <w:noWrap/>
            <w:textDirection w:val="btLr"/>
            <w:vAlign w:val="center"/>
            <w:hideMark/>
          </w:tcPr>
          <w:p w14:paraId="1FC6ADD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2408950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784A320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Planeación</w:t>
            </w:r>
          </w:p>
        </w:tc>
        <w:tc>
          <w:tcPr>
            <w:tcW w:w="166" w:type="pct"/>
            <w:textDirection w:val="btLr"/>
            <w:vAlign w:val="center"/>
            <w:hideMark/>
          </w:tcPr>
          <w:p w14:paraId="516DA2B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76070EAE"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Que el contratista no proceda con la liquidación del contrato dentro de los términos de Ley</w:t>
            </w:r>
          </w:p>
        </w:tc>
        <w:tc>
          <w:tcPr>
            <w:tcW w:w="453" w:type="pct"/>
            <w:vAlign w:val="center"/>
            <w:hideMark/>
          </w:tcPr>
          <w:p w14:paraId="07CB13C3"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Incumplimiento de los términos para la liquidación del contrato</w:t>
            </w:r>
          </w:p>
        </w:tc>
        <w:tc>
          <w:tcPr>
            <w:tcW w:w="110" w:type="pct"/>
            <w:noWrap/>
            <w:textDirection w:val="btLr"/>
            <w:vAlign w:val="center"/>
            <w:hideMark/>
          </w:tcPr>
          <w:p w14:paraId="14C1DEB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6C89887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734423D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7</w:t>
            </w:r>
          </w:p>
        </w:tc>
        <w:tc>
          <w:tcPr>
            <w:tcW w:w="115" w:type="pct"/>
            <w:shd w:val="clear" w:color="000000" w:fill="C65911"/>
            <w:textDirection w:val="btLr"/>
            <w:vAlign w:val="center"/>
            <w:hideMark/>
          </w:tcPr>
          <w:p w14:paraId="18204315"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66" w:type="pct"/>
            <w:textDirection w:val="btLr"/>
            <w:vAlign w:val="center"/>
            <w:hideMark/>
          </w:tcPr>
          <w:p w14:paraId="28BA2ADD"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090B168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La entidad podrá proceder conforme a la ley para realizar la liquidación unilateral del contrato. La interventoría realizará los requerimientos necesarios para proceder. </w:t>
            </w:r>
          </w:p>
        </w:tc>
        <w:tc>
          <w:tcPr>
            <w:tcW w:w="97" w:type="pct"/>
            <w:noWrap/>
            <w:textDirection w:val="btLr"/>
            <w:vAlign w:val="center"/>
            <w:hideMark/>
          </w:tcPr>
          <w:p w14:paraId="096C4CB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AC855F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12958DE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0E72068E"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45" w:type="pct"/>
            <w:noWrap/>
            <w:vAlign w:val="center"/>
            <w:hideMark/>
          </w:tcPr>
          <w:p w14:paraId="4772201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NO</w:t>
            </w:r>
          </w:p>
        </w:tc>
        <w:tc>
          <w:tcPr>
            <w:tcW w:w="340" w:type="pct"/>
            <w:vAlign w:val="center"/>
            <w:hideMark/>
          </w:tcPr>
          <w:p w14:paraId="00452C0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Interventoría y entidad contratante</w:t>
            </w:r>
          </w:p>
        </w:tc>
        <w:tc>
          <w:tcPr>
            <w:tcW w:w="387" w:type="pct"/>
            <w:vAlign w:val="center"/>
            <w:hideMark/>
          </w:tcPr>
          <w:p w14:paraId="78B5F78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pos -contractual</w:t>
            </w:r>
          </w:p>
        </w:tc>
        <w:tc>
          <w:tcPr>
            <w:tcW w:w="388" w:type="pct"/>
            <w:shd w:val="clear" w:color="000000" w:fill="FFFFFF"/>
            <w:vAlign w:val="center"/>
            <w:hideMark/>
          </w:tcPr>
          <w:p w14:paraId="77E6F09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vAlign w:val="center"/>
            <w:hideMark/>
          </w:tcPr>
          <w:p w14:paraId="71A85ED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3"/>
                <w:szCs w:val="13"/>
                <w:lang w:eastAsia="es-CO"/>
              </w:rPr>
              <w:t>Verificación de informes, anexos, estados financieros y demás documentos surjan de la etapa contractual</w:t>
            </w:r>
          </w:p>
        </w:tc>
        <w:tc>
          <w:tcPr>
            <w:tcW w:w="177" w:type="pct"/>
            <w:textDirection w:val="btLr"/>
            <w:vAlign w:val="center"/>
            <w:hideMark/>
          </w:tcPr>
          <w:p w14:paraId="634C4349"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7F53DBBD" w14:textId="77777777" w:rsidTr="00530E08">
        <w:trPr>
          <w:cantSplit/>
          <w:trHeight w:val="1531"/>
        </w:trPr>
        <w:tc>
          <w:tcPr>
            <w:tcW w:w="110" w:type="pct"/>
            <w:noWrap/>
            <w:vAlign w:val="center"/>
            <w:hideMark/>
          </w:tcPr>
          <w:p w14:paraId="4125DDA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19</w:t>
            </w:r>
          </w:p>
        </w:tc>
        <w:tc>
          <w:tcPr>
            <w:tcW w:w="110" w:type="pct"/>
            <w:noWrap/>
            <w:textDirection w:val="btLr"/>
            <w:vAlign w:val="center"/>
            <w:hideMark/>
          </w:tcPr>
          <w:p w14:paraId="64B4A0D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008B1DC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7402A55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248F294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23300A53"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3"/>
                <w:szCs w:val="13"/>
                <w:lang w:eastAsia="es-CO"/>
              </w:rPr>
              <w:t>Variaciones constructivas, técnicas y operativas. Mala calidad en el proceso constructivo y en los materiales utilizados</w:t>
            </w:r>
          </w:p>
        </w:tc>
        <w:tc>
          <w:tcPr>
            <w:tcW w:w="453" w:type="pct"/>
            <w:vAlign w:val="center"/>
            <w:hideMark/>
          </w:tcPr>
          <w:p w14:paraId="0508D119"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Incumplimiento en la prestación del servicio o la ejecución de la obra</w:t>
            </w:r>
          </w:p>
        </w:tc>
        <w:tc>
          <w:tcPr>
            <w:tcW w:w="110" w:type="pct"/>
            <w:noWrap/>
            <w:textDirection w:val="btLr"/>
            <w:vAlign w:val="center"/>
            <w:hideMark/>
          </w:tcPr>
          <w:p w14:paraId="3E4A4F6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43D3DE8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320DCEC5"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7</w:t>
            </w:r>
          </w:p>
        </w:tc>
        <w:tc>
          <w:tcPr>
            <w:tcW w:w="115" w:type="pct"/>
            <w:shd w:val="clear" w:color="000000" w:fill="C65911"/>
            <w:textDirection w:val="btLr"/>
            <w:vAlign w:val="center"/>
            <w:hideMark/>
          </w:tcPr>
          <w:p w14:paraId="56C22598"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Alto</w:t>
            </w:r>
          </w:p>
        </w:tc>
        <w:tc>
          <w:tcPr>
            <w:tcW w:w="166" w:type="pct"/>
            <w:textDirection w:val="btLr"/>
            <w:vAlign w:val="center"/>
            <w:hideMark/>
          </w:tcPr>
          <w:p w14:paraId="712923BD"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524CFC99"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Seguimiento estricto por parte de la Interventoría a las actividades y plazos establecidos en el contrato. Hacer efectiva la  Garantía de Cumplimiento y Amparo de Estabilidad y calidad de las obras, según el estado en que se encuentre el contrato</w:t>
            </w:r>
          </w:p>
        </w:tc>
        <w:tc>
          <w:tcPr>
            <w:tcW w:w="97" w:type="pct"/>
            <w:noWrap/>
            <w:textDirection w:val="btLr"/>
            <w:vAlign w:val="center"/>
            <w:hideMark/>
          </w:tcPr>
          <w:p w14:paraId="6E836BF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42D2FD7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FFFF00"/>
            <w:noWrap/>
            <w:textDirection w:val="btLr"/>
            <w:vAlign w:val="center"/>
            <w:hideMark/>
          </w:tcPr>
          <w:p w14:paraId="335374F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5</w:t>
            </w:r>
          </w:p>
        </w:tc>
        <w:tc>
          <w:tcPr>
            <w:tcW w:w="97" w:type="pct"/>
            <w:shd w:val="clear" w:color="000000" w:fill="FFFF00"/>
            <w:textDirection w:val="btLr"/>
            <w:vAlign w:val="center"/>
            <w:hideMark/>
          </w:tcPr>
          <w:p w14:paraId="23BABEF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Medio</w:t>
            </w:r>
          </w:p>
        </w:tc>
        <w:tc>
          <w:tcPr>
            <w:tcW w:w="145" w:type="pct"/>
            <w:noWrap/>
            <w:vAlign w:val="center"/>
            <w:hideMark/>
          </w:tcPr>
          <w:p w14:paraId="4E3CA2A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0739D9B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interventoría y la entidad. </w:t>
            </w:r>
          </w:p>
        </w:tc>
        <w:tc>
          <w:tcPr>
            <w:tcW w:w="387" w:type="pct"/>
            <w:vAlign w:val="center"/>
            <w:hideMark/>
          </w:tcPr>
          <w:p w14:paraId="5161CF3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30566DD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Fin de la etapa de ejecución del contrato</w:t>
            </w:r>
          </w:p>
        </w:tc>
        <w:tc>
          <w:tcPr>
            <w:tcW w:w="339" w:type="pct"/>
            <w:shd w:val="clear" w:color="000000" w:fill="FFFFFF"/>
            <w:vAlign w:val="center"/>
            <w:hideMark/>
          </w:tcPr>
          <w:p w14:paraId="7EC1495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visita al proyecto </w:t>
            </w:r>
          </w:p>
        </w:tc>
        <w:tc>
          <w:tcPr>
            <w:tcW w:w="177" w:type="pct"/>
            <w:textDirection w:val="btLr"/>
            <w:vAlign w:val="center"/>
            <w:hideMark/>
          </w:tcPr>
          <w:p w14:paraId="58278631"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48543165" w14:textId="77777777" w:rsidTr="00530E08">
        <w:trPr>
          <w:cantSplit/>
          <w:trHeight w:val="1644"/>
        </w:trPr>
        <w:tc>
          <w:tcPr>
            <w:tcW w:w="110" w:type="pct"/>
            <w:noWrap/>
            <w:vAlign w:val="center"/>
            <w:hideMark/>
          </w:tcPr>
          <w:p w14:paraId="4F21EEF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20</w:t>
            </w:r>
          </w:p>
        </w:tc>
        <w:tc>
          <w:tcPr>
            <w:tcW w:w="110" w:type="pct"/>
            <w:noWrap/>
            <w:textDirection w:val="btLr"/>
            <w:vAlign w:val="center"/>
            <w:hideMark/>
          </w:tcPr>
          <w:p w14:paraId="63D9B67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Específico</w:t>
            </w:r>
          </w:p>
        </w:tc>
        <w:tc>
          <w:tcPr>
            <w:tcW w:w="110" w:type="pct"/>
            <w:noWrap/>
            <w:textDirection w:val="btLr"/>
            <w:vAlign w:val="center"/>
            <w:hideMark/>
          </w:tcPr>
          <w:p w14:paraId="323A2F0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7D29F42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4D89791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2DF7C5F8" w14:textId="77777777" w:rsidR="002B2315" w:rsidRPr="001F15F3" w:rsidRDefault="002B2315" w:rsidP="00530E08">
            <w:pPr>
              <w:rPr>
                <w:rFonts w:ascii="Arial" w:eastAsia="Times New Roman" w:hAnsi="Arial" w:cs="Arial"/>
                <w:sz w:val="13"/>
                <w:szCs w:val="13"/>
                <w:lang w:eastAsia="es-CO"/>
              </w:rPr>
            </w:pPr>
            <w:r w:rsidRPr="001F15F3">
              <w:rPr>
                <w:rFonts w:ascii="Arial" w:eastAsia="Times New Roman" w:hAnsi="Arial" w:cs="Arial"/>
                <w:sz w:val="13"/>
                <w:szCs w:val="13"/>
                <w:lang w:eastAsia="es-CO"/>
              </w:rPr>
              <w:t xml:space="preserve">Riesgo Arqueológico, o dificultades en la titulación, propiedad o posesión sobre los predios en los cuales se ejecuta la obra. </w:t>
            </w:r>
          </w:p>
        </w:tc>
        <w:tc>
          <w:tcPr>
            <w:tcW w:w="453" w:type="pct"/>
            <w:vAlign w:val="center"/>
            <w:hideMark/>
          </w:tcPr>
          <w:p w14:paraId="157287AC"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Demoras en la ejecución de las obras.</w:t>
            </w:r>
          </w:p>
        </w:tc>
        <w:tc>
          <w:tcPr>
            <w:tcW w:w="110" w:type="pct"/>
            <w:noWrap/>
            <w:textDirection w:val="btLr"/>
            <w:vAlign w:val="center"/>
            <w:hideMark/>
          </w:tcPr>
          <w:p w14:paraId="65CB9D6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4F61B8E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13" w:type="pct"/>
            <w:shd w:val="clear" w:color="000000" w:fill="00B050"/>
            <w:noWrap/>
            <w:textDirection w:val="btLr"/>
            <w:vAlign w:val="center"/>
            <w:hideMark/>
          </w:tcPr>
          <w:p w14:paraId="72FE686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115" w:type="pct"/>
            <w:shd w:val="clear" w:color="000000" w:fill="00B050"/>
            <w:textDirection w:val="btLr"/>
            <w:vAlign w:val="center"/>
            <w:hideMark/>
          </w:tcPr>
          <w:p w14:paraId="24F7268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388D17F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 y entidad</w:t>
            </w:r>
          </w:p>
        </w:tc>
        <w:tc>
          <w:tcPr>
            <w:tcW w:w="775" w:type="pct"/>
            <w:vAlign w:val="center"/>
            <w:hideMark/>
          </w:tcPr>
          <w:p w14:paraId="17DDA7F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Analizar las consecuencias en el incremento de los precios y mitigar a través de planes de contingencia y gestionar los permisos con las entidades competentes o realizar las aclaraciones sobre los títulos de los inmuebles donde se adelantan las obras. </w:t>
            </w:r>
          </w:p>
        </w:tc>
        <w:tc>
          <w:tcPr>
            <w:tcW w:w="97" w:type="pct"/>
            <w:noWrap/>
            <w:textDirection w:val="btLr"/>
            <w:vAlign w:val="center"/>
            <w:hideMark/>
          </w:tcPr>
          <w:p w14:paraId="2D826A6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7F38D4E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424D43F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293539AB"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79F20DE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560CBE1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interventoría y la entidad. </w:t>
            </w:r>
          </w:p>
        </w:tc>
        <w:tc>
          <w:tcPr>
            <w:tcW w:w="387" w:type="pct"/>
            <w:vAlign w:val="center"/>
            <w:hideMark/>
          </w:tcPr>
          <w:p w14:paraId="41E4A05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88" w:type="pct"/>
            <w:vAlign w:val="center"/>
            <w:hideMark/>
          </w:tcPr>
          <w:p w14:paraId="7AE70CD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Etapa de ejecución del contrato</w:t>
            </w:r>
          </w:p>
        </w:tc>
        <w:tc>
          <w:tcPr>
            <w:tcW w:w="339" w:type="pct"/>
            <w:vAlign w:val="center"/>
            <w:hideMark/>
          </w:tcPr>
          <w:p w14:paraId="0CE507B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Verificación de los informes de interventoría y  visitas a las obras.</w:t>
            </w:r>
          </w:p>
        </w:tc>
        <w:tc>
          <w:tcPr>
            <w:tcW w:w="177" w:type="pct"/>
            <w:textDirection w:val="btLr"/>
            <w:vAlign w:val="center"/>
            <w:hideMark/>
          </w:tcPr>
          <w:p w14:paraId="49652549"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Por ocurrencia.</w:t>
            </w:r>
          </w:p>
        </w:tc>
      </w:tr>
      <w:tr w:rsidR="002B2315" w:rsidRPr="001F15F3" w14:paraId="522BBC00" w14:textId="77777777" w:rsidTr="00530E08">
        <w:trPr>
          <w:cantSplit/>
          <w:trHeight w:val="2041"/>
        </w:trPr>
        <w:tc>
          <w:tcPr>
            <w:tcW w:w="110" w:type="pct"/>
            <w:noWrap/>
            <w:vAlign w:val="center"/>
            <w:hideMark/>
          </w:tcPr>
          <w:p w14:paraId="60F7BB4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21</w:t>
            </w:r>
          </w:p>
        </w:tc>
        <w:tc>
          <w:tcPr>
            <w:tcW w:w="110" w:type="pct"/>
            <w:noWrap/>
            <w:textDirection w:val="btLr"/>
            <w:vAlign w:val="center"/>
            <w:hideMark/>
          </w:tcPr>
          <w:p w14:paraId="1AD910A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1460996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Interno</w:t>
            </w:r>
          </w:p>
        </w:tc>
        <w:tc>
          <w:tcPr>
            <w:tcW w:w="110" w:type="pct"/>
            <w:noWrap/>
            <w:textDirection w:val="btLr"/>
            <w:vAlign w:val="center"/>
            <w:hideMark/>
          </w:tcPr>
          <w:p w14:paraId="58EAE4B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Planeación</w:t>
            </w:r>
          </w:p>
        </w:tc>
        <w:tc>
          <w:tcPr>
            <w:tcW w:w="166" w:type="pct"/>
            <w:textDirection w:val="btLr"/>
            <w:vAlign w:val="center"/>
            <w:hideMark/>
          </w:tcPr>
          <w:p w14:paraId="4655B69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614BBFAF"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Demora en la formulación y aprobación de los documentos del proceso de contratación</w:t>
            </w:r>
          </w:p>
        </w:tc>
        <w:tc>
          <w:tcPr>
            <w:tcW w:w="453" w:type="pct"/>
            <w:vAlign w:val="center"/>
            <w:hideMark/>
          </w:tcPr>
          <w:p w14:paraId="3205992E"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Retraso en el inicio del proceso de contratación y/o en el inicio de la ejecución del contrato.</w:t>
            </w:r>
          </w:p>
        </w:tc>
        <w:tc>
          <w:tcPr>
            <w:tcW w:w="110" w:type="pct"/>
            <w:noWrap/>
            <w:textDirection w:val="btLr"/>
            <w:vAlign w:val="center"/>
            <w:hideMark/>
          </w:tcPr>
          <w:p w14:paraId="1BD2562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110" w:type="pct"/>
            <w:noWrap/>
            <w:textDirection w:val="btLr"/>
            <w:vAlign w:val="center"/>
            <w:hideMark/>
          </w:tcPr>
          <w:p w14:paraId="6F40B55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4= Mayor</w:t>
            </w:r>
          </w:p>
        </w:tc>
        <w:tc>
          <w:tcPr>
            <w:tcW w:w="113" w:type="pct"/>
            <w:shd w:val="clear" w:color="000000" w:fill="C65911"/>
            <w:noWrap/>
            <w:textDirection w:val="btLr"/>
            <w:vAlign w:val="center"/>
            <w:hideMark/>
          </w:tcPr>
          <w:p w14:paraId="207AB9C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1F34FC74"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shd w:val="clear" w:color="000000" w:fill="FFFFFF"/>
            <w:textDirection w:val="btLr"/>
            <w:vAlign w:val="center"/>
            <w:hideMark/>
          </w:tcPr>
          <w:p w14:paraId="4EC5B1BA"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w:t>
            </w:r>
          </w:p>
        </w:tc>
        <w:tc>
          <w:tcPr>
            <w:tcW w:w="775" w:type="pct"/>
            <w:vAlign w:val="center"/>
            <w:hideMark/>
          </w:tcPr>
          <w:p w14:paraId="11400045"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Realizar cronograma para la contratación teniendo en cuenta los tiempos definidos  en las normatividad vigente, para garantizar el inicio oportuno de la ejecución.</w:t>
            </w:r>
            <w:r w:rsidRPr="001F15F3">
              <w:rPr>
                <w:rFonts w:ascii="Arial" w:eastAsia="Times New Roman" w:hAnsi="Arial" w:cs="Arial"/>
                <w:sz w:val="14"/>
                <w:szCs w:val="14"/>
                <w:lang w:eastAsia="es-CO"/>
              </w:rPr>
              <w:br/>
              <w:t>Articular las áreas involucradas en el proceso para definir tareas y tiempos.</w:t>
            </w:r>
          </w:p>
        </w:tc>
        <w:tc>
          <w:tcPr>
            <w:tcW w:w="97" w:type="pct"/>
            <w:noWrap/>
            <w:textDirection w:val="btLr"/>
            <w:vAlign w:val="center"/>
            <w:hideMark/>
          </w:tcPr>
          <w:p w14:paraId="5F57066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289E2F4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45" w:type="pct"/>
            <w:shd w:val="clear" w:color="000000" w:fill="00B050"/>
            <w:noWrap/>
            <w:textDirection w:val="btLr"/>
            <w:vAlign w:val="center"/>
            <w:hideMark/>
          </w:tcPr>
          <w:p w14:paraId="5788B30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3248CD2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2DF391E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74306BD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w:t>
            </w:r>
          </w:p>
        </w:tc>
        <w:tc>
          <w:tcPr>
            <w:tcW w:w="387" w:type="pct"/>
            <w:shd w:val="clear" w:color="000000" w:fill="FFFFFF"/>
            <w:vAlign w:val="center"/>
            <w:hideMark/>
          </w:tcPr>
          <w:p w14:paraId="00A5B75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Desde la inclusión de la contratación en el Plan Anual de Adquisición</w:t>
            </w:r>
          </w:p>
        </w:tc>
        <w:tc>
          <w:tcPr>
            <w:tcW w:w="388" w:type="pct"/>
            <w:shd w:val="clear" w:color="000000" w:fill="FFFFFF"/>
            <w:vAlign w:val="center"/>
            <w:hideMark/>
          </w:tcPr>
          <w:p w14:paraId="7076C92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Hasta la adjudicación</w:t>
            </w:r>
          </w:p>
        </w:tc>
        <w:tc>
          <w:tcPr>
            <w:tcW w:w="339" w:type="pct"/>
            <w:vAlign w:val="center"/>
            <w:hideMark/>
          </w:tcPr>
          <w:p w14:paraId="18110EB5" w14:textId="77777777" w:rsidR="002B2315" w:rsidRPr="001F15F3" w:rsidRDefault="002B2315" w:rsidP="00530E08">
            <w:pPr>
              <w:rPr>
                <w:rFonts w:ascii="Arial" w:eastAsia="Times New Roman" w:hAnsi="Arial" w:cs="Arial"/>
                <w:sz w:val="13"/>
                <w:szCs w:val="13"/>
                <w:lang w:eastAsia="es-CO"/>
              </w:rPr>
            </w:pPr>
            <w:r w:rsidRPr="001F15F3">
              <w:rPr>
                <w:rFonts w:ascii="Arial" w:eastAsia="Times New Roman" w:hAnsi="Arial" w:cs="Arial"/>
                <w:sz w:val="13"/>
                <w:szCs w:val="13"/>
                <w:lang w:eastAsia="es-CO"/>
              </w:rPr>
              <w:t>Seguimiento al cumplimiento del  cronograma de procesos de contratación de la Entidad y de los tiempos definidos en la normatividad vigente de acuerdo al tipo de proceso</w:t>
            </w:r>
          </w:p>
        </w:tc>
        <w:tc>
          <w:tcPr>
            <w:tcW w:w="177" w:type="pct"/>
            <w:textDirection w:val="btLr"/>
            <w:vAlign w:val="center"/>
            <w:hideMark/>
          </w:tcPr>
          <w:p w14:paraId="616DF3B8"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Semanal</w:t>
            </w:r>
          </w:p>
        </w:tc>
      </w:tr>
      <w:tr w:rsidR="002B2315" w:rsidRPr="001F15F3" w14:paraId="2032A309" w14:textId="77777777" w:rsidTr="00530E08">
        <w:trPr>
          <w:cantSplit/>
          <w:trHeight w:val="3685"/>
        </w:trPr>
        <w:tc>
          <w:tcPr>
            <w:tcW w:w="110" w:type="pct"/>
            <w:noWrap/>
            <w:vAlign w:val="center"/>
            <w:hideMark/>
          </w:tcPr>
          <w:p w14:paraId="72D823E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22</w:t>
            </w:r>
          </w:p>
        </w:tc>
        <w:tc>
          <w:tcPr>
            <w:tcW w:w="110" w:type="pct"/>
            <w:noWrap/>
            <w:textDirection w:val="btLr"/>
            <w:vAlign w:val="center"/>
            <w:hideMark/>
          </w:tcPr>
          <w:p w14:paraId="68E5BE2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50BC3C8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606ACB8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Planeación</w:t>
            </w:r>
          </w:p>
        </w:tc>
        <w:tc>
          <w:tcPr>
            <w:tcW w:w="166" w:type="pct"/>
            <w:textDirection w:val="btLr"/>
            <w:vAlign w:val="center"/>
            <w:hideMark/>
          </w:tcPr>
          <w:p w14:paraId="7C0ED4A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Económicos</w:t>
            </w:r>
          </w:p>
        </w:tc>
        <w:tc>
          <w:tcPr>
            <w:tcW w:w="339" w:type="pct"/>
            <w:vAlign w:val="center"/>
            <w:hideMark/>
          </w:tcPr>
          <w:p w14:paraId="6000157A"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3"/>
                <w:szCs w:val="13"/>
                <w:lang w:eastAsia="es-CO"/>
              </w:rPr>
              <w:t>Estimación inadecuada de los costos por parte de los oferentes o sustracción injustificada de las obligaciones contractuales por parte del contratista tanto, obligaciones técnicas, administrativas, laborales, financieras, y de cualquier índole a las que se obligue el contratista con la suscripción del contrato.</w:t>
            </w:r>
            <w:r w:rsidRPr="001F15F3">
              <w:rPr>
                <w:rFonts w:ascii="Arial" w:eastAsia="Times New Roman" w:hAnsi="Arial" w:cs="Arial"/>
                <w:sz w:val="14"/>
                <w:szCs w:val="14"/>
                <w:lang w:eastAsia="es-CO"/>
              </w:rPr>
              <w:t xml:space="preserve"> </w:t>
            </w:r>
          </w:p>
        </w:tc>
        <w:tc>
          <w:tcPr>
            <w:tcW w:w="453" w:type="pct"/>
            <w:vAlign w:val="center"/>
            <w:hideMark/>
          </w:tcPr>
          <w:p w14:paraId="7E44E639"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Desequilibrio económico para el contratista, que puede ocasionar retrasos en la ejecución del contrato y/o incumplimiento del objeto contractual</w:t>
            </w:r>
          </w:p>
        </w:tc>
        <w:tc>
          <w:tcPr>
            <w:tcW w:w="110" w:type="pct"/>
            <w:noWrap/>
            <w:textDirection w:val="btLr"/>
            <w:vAlign w:val="center"/>
            <w:hideMark/>
          </w:tcPr>
          <w:p w14:paraId="3441110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3=Posible</w:t>
            </w:r>
          </w:p>
        </w:tc>
        <w:tc>
          <w:tcPr>
            <w:tcW w:w="110" w:type="pct"/>
            <w:noWrap/>
            <w:textDirection w:val="btLr"/>
            <w:vAlign w:val="center"/>
            <w:hideMark/>
          </w:tcPr>
          <w:p w14:paraId="3F37A20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C65911"/>
            <w:noWrap/>
            <w:textDirection w:val="btLr"/>
            <w:vAlign w:val="center"/>
            <w:hideMark/>
          </w:tcPr>
          <w:p w14:paraId="5450720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6</w:t>
            </w:r>
          </w:p>
        </w:tc>
        <w:tc>
          <w:tcPr>
            <w:tcW w:w="115" w:type="pct"/>
            <w:shd w:val="clear" w:color="000000" w:fill="C65911"/>
            <w:textDirection w:val="btLr"/>
            <w:vAlign w:val="center"/>
            <w:hideMark/>
          </w:tcPr>
          <w:p w14:paraId="2D33AEA5"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32BFAE95"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Contratista</w:t>
            </w:r>
          </w:p>
        </w:tc>
        <w:tc>
          <w:tcPr>
            <w:tcW w:w="775" w:type="pct"/>
            <w:vAlign w:val="center"/>
            <w:hideMark/>
          </w:tcPr>
          <w:p w14:paraId="7E995E45"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La Entidad debe incluir en los documentos del proceso toda la información requerida por los oferentes para realizar una estimación adecuada de los riesgos.</w:t>
            </w:r>
            <w:r w:rsidRPr="001F15F3">
              <w:rPr>
                <w:rFonts w:ascii="Arial" w:eastAsia="Times New Roman" w:hAnsi="Arial" w:cs="Arial"/>
                <w:sz w:val="14"/>
                <w:szCs w:val="14"/>
                <w:lang w:eastAsia="es-CO"/>
              </w:rPr>
              <w:br/>
            </w:r>
            <w:r w:rsidRPr="001F15F3">
              <w:rPr>
                <w:rFonts w:ascii="Arial" w:eastAsia="Times New Roman" w:hAnsi="Arial" w:cs="Arial"/>
                <w:sz w:val="14"/>
                <w:szCs w:val="14"/>
                <w:lang w:eastAsia="es-CO"/>
              </w:rPr>
              <w:br/>
              <w:t>La Entidad debe establecer requisitos habilitantes mínimos acordes con las características del contrato.</w:t>
            </w:r>
            <w:r w:rsidRPr="001F15F3">
              <w:rPr>
                <w:rFonts w:ascii="Arial" w:eastAsia="Times New Roman" w:hAnsi="Arial" w:cs="Arial"/>
                <w:sz w:val="14"/>
                <w:szCs w:val="14"/>
                <w:lang w:eastAsia="es-CO"/>
              </w:rPr>
              <w:br/>
            </w:r>
            <w:r w:rsidRPr="001F15F3">
              <w:rPr>
                <w:rFonts w:ascii="Arial" w:eastAsia="Times New Roman" w:hAnsi="Arial" w:cs="Arial"/>
                <w:sz w:val="14"/>
                <w:szCs w:val="14"/>
                <w:lang w:eastAsia="es-CO"/>
              </w:rPr>
              <w:br/>
              <w:t>Los oferentes deben analizar detalladamente los documentos del proceso, utilizando el plazo para remitir observaciones, de modo que pueda realizar una adecuada planeación y estimación de los costos del contrato.</w:t>
            </w:r>
          </w:p>
        </w:tc>
        <w:tc>
          <w:tcPr>
            <w:tcW w:w="97" w:type="pct"/>
            <w:noWrap/>
            <w:textDirection w:val="btLr"/>
            <w:vAlign w:val="center"/>
            <w:hideMark/>
          </w:tcPr>
          <w:p w14:paraId="5CC27C9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2=Improbable</w:t>
            </w:r>
          </w:p>
        </w:tc>
        <w:tc>
          <w:tcPr>
            <w:tcW w:w="97" w:type="pct"/>
            <w:noWrap/>
            <w:textDirection w:val="btLr"/>
            <w:vAlign w:val="center"/>
            <w:hideMark/>
          </w:tcPr>
          <w:p w14:paraId="2C32B3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45" w:type="pct"/>
            <w:shd w:val="clear" w:color="000000" w:fill="00B050"/>
            <w:noWrap/>
            <w:textDirection w:val="btLr"/>
            <w:vAlign w:val="center"/>
            <w:hideMark/>
          </w:tcPr>
          <w:p w14:paraId="300BDFC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97" w:type="pct"/>
            <w:shd w:val="clear" w:color="000000" w:fill="00B050"/>
            <w:textDirection w:val="btLr"/>
            <w:vAlign w:val="center"/>
            <w:hideMark/>
          </w:tcPr>
          <w:p w14:paraId="529497E7"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2994651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3CF7EE7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Contratista e interventoría para diagnosticar incumplimientos. </w:t>
            </w:r>
          </w:p>
        </w:tc>
        <w:tc>
          <w:tcPr>
            <w:tcW w:w="387" w:type="pct"/>
            <w:vAlign w:val="center"/>
            <w:hideMark/>
          </w:tcPr>
          <w:p w14:paraId="0E84186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Desde la estructuración de los documentos del proceso</w:t>
            </w:r>
          </w:p>
        </w:tc>
        <w:tc>
          <w:tcPr>
            <w:tcW w:w="388" w:type="pct"/>
            <w:vAlign w:val="center"/>
            <w:hideMark/>
          </w:tcPr>
          <w:p w14:paraId="7CA92B1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Hasta la fecha de finalización del contrato</w:t>
            </w:r>
          </w:p>
        </w:tc>
        <w:tc>
          <w:tcPr>
            <w:tcW w:w="339" w:type="pct"/>
            <w:vAlign w:val="center"/>
            <w:hideMark/>
          </w:tcPr>
          <w:p w14:paraId="00E60A7D"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Revisión y seguimiento al cumplimiento de las obligaciones contractuales</w:t>
            </w:r>
          </w:p>
        </w:tc>
        <w:tc>
          <w:tcPr>
            <w:tcW w:w="177" w:type="pct"/>
            <w:textDirection w:val="btLr"/>
            <w:vAlign w:val="center"/>
            <w:hideMark/>
          </w:tcPr>
          <w:p w14:paraId="142D12B0"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Continuo</w:t>
            </w:r>
          </w:p>
        </w:tc>
      </w:tr>
      <w:tr w:rsidR="002B2315" w:rsidRPr="001F15F3" w14:paraId="70DE86CB" w14:textId="77777777" w:rsidTr="00530E08">
        <w:trPr>
          <w:cantSplit/>
          <w:trHeight w:val="1304"/>
        </w:trPr>
        <w:tc>
          <w:tcPr>
            <w:tcW w:w="110" w:type="pct"/>
            <w:noWrap/>
            <w:vAlign w:val="center"/>
            <w:hideMark/>
          </w:tcPr>
          <w:p w14:paraId="51A55EF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23</w:t>
            </w:r>
          </w:p>
        </w:tc>
        <w:tc>
          <w:tcPr>
            <w:tcW w:w="110" w:type="pct"/>
            <w:noWrap/>
            <w:textDirection w:val="btLr"/>
            <w:vAlign w:val="center"/>
            <w:hideMark/>
          </w:tcPr>
          <w:p w14:paraId="5039A90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4F171C0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449C381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3821105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regulatorio</w:t>
            </w:r>
          </w:p>
        </w:tc>
        <w:tc>
          <w:tcPr>
            <w:tcW w:w="339" w:type="pct"/>
            <w:vAlign w:val="center"/>
            <w:hideMark/>
          </w:tcPr>
          <w:p w14:paraId="677BC937"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3"/>
                <w:szCs w:val="13"/>
                <w:lang w:eastAsia="es-CO"/>
              </w:rPr>
              <w:t>Modificaciones del régimen tributario y normativos que implique afectación a la ejecución del contrato</w:t>
            </w:r>
          </w:p>
        </w:tc>
        <w:tc>
          <w:tcPr>
            <w:tcW w:w="453" w:type="pct"/>
            <w:vAlign w:val="center"/>
            <w:hideMark/>
          </w:tcPr>
          <w:p w14:paraId="12E3425D"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Desequilibrio de la ecuación contractual</w:t>
            </w:r>
          </w:p>
        </w:tc>
        <w:tc>
          <w:tcPr>
            <w:tcW w:w="110" w:type="pct"/>
            <w:noWrap/>
            <w:textDirection w:val="btLr"/>
            <w:vAlign w:val="center"/>
            <w:hideMark/>
          </w:tcPr>
          <w:p w14:paraId="3375952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40E872F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 Menor</w:t>
            </w:r>
          </w:p>
        </w:tc>
        <w:tc>
          <w:tcPr>
            <w:tcW w:w="113" w:type="pct"/>
            <w:shd w:val="clear" w:color="000000" w:fill="00B050"/>
            <w:noWrap/>
            <w:textDirection w:val="btLr"/>
            <w:vAlign w:val="center"/>
            <w:hideMark/>
          </w:tcPr>
          <w:p w14:paraId="308FD14A"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3</w:t>
            </w:r>
          </w:p>
        </w:tc>
        <w:tc>
          <w:tcPr>
            <w:tcW w:w="115" w:type="pct"/>
            <w:shd w:val="clear" w:color="000000" w:fill="00B050"/>
            <w:textDirection w:val="btLr"/>
            <w:vAlign w:val="center"/>
            <w:hideMark/>
          </w:tcPr>
          <w:p w14:paraId="185CD00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3BA4CB8C"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w:t>
            </w:r>
          </w:p>
        </w:tc>
        <w:tc>
          <w:tcPr>
            <w:tcW w:w="775" w:type="pct"/>
            <w:vAlign w:val="center"/>
            <w:hideMark/>
          </w:tcPr>
          <w:p w14:paraId="3C218623"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Reducir las consecuencias, tomando acciones conjuntas realizando modificaciones a las obligaciones contractuales que se vean afectadas por el cambio al régimen tributario o normativo (según corresponda)</w:t>
            </w:r>
          </w:p>
        </w:tc>
        <w:tc>
          <w:tcPr>
            <w:tcW w:w="97" w:type="pct"/>
            <w:noWrap/>
            <w:textDirection w:val="btLr"/>
            <w:vAlign w:val="center"/>
            <w:hideMark/>
          </w:tcPr>
          <w:p w14:paraId="6D23C31B"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1000CD3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09CD416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2252A30C"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5745D7A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No</w:t>
            </w:r>
          </w:p>
        </w:tc>
        <w:tc>
          <w:tcPr>
            <w:tcW w:w="340" w:type="pct"/>
            <w:vAlign w:val="center"/>
            <w:hideMark/>
          </w:tcPr>
          <w:p w14:paraId="2D6F08C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 y Contratista</w:t>
            </w:r>
          </w:p>
        </w:tc>
        <w:tc>
          <w:tcPr>
            <w:tcW w:w="387" w:type="pct"/>
            <w:vAlign w:val="center"/>
            <w:hideMark/>
          </w:tcPr>
          <w:p w14:paraId="17B0450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desde el inicio de la ejecución</w:t>
            </w:r>
          </w:p>
        </w:tc>
        <w:tc>
          <w:tcPr>
            <w:tcW w:w="388" w:type="pct"/>
            <w:vAlign w:val="center"/>
            <w:hideMark/>
          </w:tcPr>
          <w:p w14:paraId="6054369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hasta finalizar la ejecución</w:t>
            </w:r>
          </w:p>
        </w:tc>
        <w:tc>
          <w:tcPr>
            <w:tcW w:w="339" w:type="pct"/>
            <w:vAlign w:val="center"/>
            <w:hideMark/>
          </w:tcPr>
          <w:p w14:paraId="19BF2908"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reuniones de seguimiento</w:t>
            </w:r>
          </w:p>
        </w:tc>
        <w:tc>
          <w:tcPr>
            <w:tcW w:w="177" w:type="pct"/>
            <w:textDirection w:val="btLr"/>
            <w:vAlign w:val="center"/>
            <w:hideMark/>
          </w:tcPr>
          <w:p w14:paraId="5595DA24"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mensual</w:t>
            </w:r>
          </w:p>
        </w:tc>
      </w:tr>
      <w:tr w:rsidR="002B2315" w:rsidRPr="001F15F3" w14:paraId="2B5BA3E0" w14:textId="77777777" w:rsidTr="00530E08">
        <w:trPr>
          <w:cantSplit/>
          <w:trHeight w:val="2268"/>
        </w:trPr>
        <w:tc>
          <w:tcPr>
            <w:tcW w:w="110" w:type="pct"/>
            <w:noWrap/>
            <w:vAlign w:val="center"/>
            <w:hideMark/>
          </w:tcPr>
          <w:p w14:paraId="23E61348"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24</w:t>
            </w:r>
          </w:p>
        </w:tc>
        <w:tc>
          <w:tcPr>
            <w:tcW w:w="110" w:type="pct"/>
            <w:noWrap/>
            <w:textDirection w:val="btLr"/>
            <w:vAlign w:val="center"/>
            <w:hideMark/>
          </w:tcPr>
          <w:p w14:paraId="4C7E7C9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2B7F432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4C3F871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Selección</w:t>
            </w:r>
          </w:p>
        </w:tc>
        <w:tc>
          <w:tcPr>
            <w:tcW w:w="166" w:type="pct"/>
            <w:textDirection w:val="btLr"/>
            <w:vAlign w:val="center"/>
            <w:hideMark/>
          </w:tcPr>
          <w:p w14:paraId="3C2E03A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4C4EDB09"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Que no se presenten ofertas para la Convocatoria</w:t>
            </w:r>
          </w:p>
        </w:tc>
        <w:tc>
          <w:tcPr>
            <w:tcW w:w="453" w:type="pct"/>
            <w:vAlign w:val="center"/>
            <w:hideMark/>
          </w:tcPr>
          <w:p w14:paraId="0835B90C"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No poder ejecutar los recursos asignados al contrato y la consecuente afectación de los compromisos de la Entidad</w:t>
            </w:r>
          </w:p>
        </w:tc>
        <w:tc>
          <w:tcPr>
            <w:tcW w:w="110" w:type="pct"/>
            <w:noWrap/>
            <w:textDirection w:val="btLr"/>
            <w:vAlign w:val="center"/>
            <w:hideMark/>
          </w:tcPr>
          <w:p w14:paraId="1008AD7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37F49417"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00B050"/>
            <w:noWrap/>
            <w:textDirection w:val="btLr"/>
            <w:vAlign w:val="center"/>
            <w:hideMark/>
          </w:tcPr>
          <w:p w14:paraId="3CE1FD9D"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44CB3FE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445F993F"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w:t>
            </w:r>
          </w:p>
        </w:tc>
        <w:tc>
          <w:tcPr>
            <w:tcW w:w="775" w:type="pct"/>
            <w:vAlign w:val="center"/>
            <w:hideMark/>
          </w:tcPr>
          <w:p w14:paraId="2286EA4B"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br/>
              <w:t xml:space="preserve">Cumplimiento de los plazos establecidos de acuerdo a la modalidad de Contratación e identificación de las posibles razones que conlleven a los eventuales proponentes de no presentarse.    Declaratoria de desierto del proceso.                                                    </w:t>
            </w:r>
          </w:p>
        </w:tc>
        <w:tc>
          <w:tcPr>
            <w:tcW w:w="97" w:type="pct"/>
            <w:noWrap/>
            <w:textDirection w:val="btLr"/>
            <w:vAlign w:val="center"/>
            <w:hideMark/>
          </w:tcPr>
          <w:p w14:paraId="2CD70202"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4F74DA7F"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50EF16D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7F4B6A93"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0B44860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5ED5D743"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w:t>
            </w:r>
          </w:p>
        </w:tc>
        <w:tc>
          <w:tcPr>
            <w:tcW w:w="387" w:type="pct"/>
            <w:vAlign w:val="center"/>
            <w:hideMark/>
          </w:tcPr>
          <w:p w14:paraId="4CB00BB1"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Inicio de la etapa de selección </w:t>
            </w:r>
          </w:p>
        </w:tc>
        <w:tc>
          <w:tcPr>
            <w:tcW w:w="388" w:type="pct"/>
            <w:vAlign w:val="center"/>
            <w:hideMark/>
          </w:tcPr>
          <w:p w14:paraId="18BD63CA"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fin de la etapa de selección </w:t>
            </w:r>
          </w:p>
        </w:tc>
        <w:tc>
          <w:tcPr>
            <w:tcW w:w="339" w:type="pct"/>
            <w:vAlign w:val="center"/>
            <w:hideMark/>
          </w:tcPr>
          <w:p w14:paraId="34A9F1BC" w14:textId="77777777" w:rsidR="002B2315" w:rsidRPr="001F15F3" w:rsidRDefault="002B2315" w:rsidP="00530E08">
            <w:pPr>
              <w:rPr>
                <w:rFonts w:ascii="Arial" w:eastAsia="Times New Roman" w:hAnsi="Arial" w:cs="Arial"/>
                <w:sz w:val="13"/>
                <w:szCs w:val="13"/>
                <w:lang w:eastAsia="es-CO"/>
              </w:rPr>
            </w:pPr>
            <w:r w:rsidRPr="001F15F3">
              <w:rPr>
                <w:rFonts w:ascii="Arial" w:eastAsia="Times New Roman" w:hAnsi="Arial" w:cs="Arial"/>
                <w:sz w:val="13"/>
                <w:szCs w:val="13"/>
                <w:lang w:eastAsia="es-CO"/>
              </w:rPr>
              <w:t>Seguimiento al cumplimiento en los plazos establecidos  del proceso de selección de acuerdo a la modalidad de contratación y evaluación oportuna de las preguntas de eventuales proponentes.</w:t>
            </w:r>
          </w:p>
        </w:tc>
        <w:tc>
          <w:tcPr>
            <w:tcW w:w="177" w:type="pct"/>
            <w:textDirection w:val="btLr"/>
            <w:vAlign w:val="center"/>
            <w:hideMark/>
          </w:tcPr>
          <w:p w14:paraId="76AB795C"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semanal.</w:t>
            </w:r>
          </w:p>
        </w:tc>
      </w:tr>
      <w:tr w:rsidR="002B2315" w:rsidRPr="001F15F3" w14:paraId="5E51B51A" w14:textId="77777777" w:rsidTr="00530E08">
        <w:trPr>
          <w:cantSplit/>
          <w:trHeight w:val="3288"/>
        </w:trPr>
        <w:tc>
          <w:tcPr>
            <w:tcW w:w="110" w:type="pct"/>
            <w:noWrap/>
            <w:vAlign w:val="center"/>
            <w:hideMark/>
          </w:tcPr>
          <w:p w14:paraId="75AAA01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lastRenderedPageBreak/>
              <w:t>25</w:t>
            </w:r>
          </w:p>
        </w:tc>
        <w:tc>
          <w:tcPr>
            <w:tcW w:w="110" w:type="pct"/>
            <w:noWrap/>
            <w:textDirection w:val="btLr"/>
            <w:vAlign w:val="center"/>
            <w:hideMark/>
          </w:tcPr>
          <w:p w14:paraId="2DCD6D4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General</w:t>
            </w:r>
          </w:p>
        </w:tc>
        <w:tc>
          <w:tcPr>
            <w:tcW w:w="110" w:type="pct"/>
            <w:noWrap/>
            <w:textDirection w:val="btLr"/>
            <w:vAlign w:val="center"/>
            <w:hideMark/>
          </w:tcPr>
          <w:p w14:paraId="3CE5F04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Externo</w:t>
            </w:r>
          </w:p>
        </w:tc>
        <w:tc>
          <w:tcPr>
            <w:tcW w:w="110" w:type="pct"/>
            <w:noWrap/>
            <w:textDirection w:val="btLr"/>
            <w:vAlign w:val="center"/>
            <w:hideMark/>
          </w:tcPr>
          <w:p w14:paraId="5C3F58BD"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Ejecución</w:t>
            </w:r>
          </w:p>
        </w:tc>
        <w:tc>
          <w:tcPr>
            <w:tcW w:w="166" w:type="pct"/>
            <w:textDirection w:val="btLr"/>
            <w:vAlign w:val="center"/>
            <w:hideMark/>
          </w:tcPr>
          <w:p w14:paraId="053C240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Riesgos Operacionales</w:t>
            </w:r>
          </w:p>
        </w:tc>
        <w:tc>
          <w:tcPr>
            <w:tcW w:w="339" w:type="pct"/>
            <w:vAlign w:val="center"/>
            <w:hideMark/>
          </w:tcPr>
          <w:p w14:paraId="6F3FD4F2"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Malversación, indebida destinación, delitos que se cometan sobre los recursos para financiar el proyecto u obra, al igual que indebida destinación de los recursos del anticipo en caso de aplicar, que impidan la ejecución correcta de la obra o proyecto que impida </w:t>
            </w:r>
          </w:p>
        </w:tc>
        <w:tc>
          <w:tcPr>
            <w:tcW w:w="453" w:type="pct"/>
            <w:vAlign w:val="center"/>
            <w:hideMark/>
          </w:tcPr>
          <w:p w14:paraId="7ED93A07"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No poder ejecutar los recursos asignados al contrato y la consecuente afectación de los compromisos de la Entidad. Incumplimiento de las especificaciones del contrato, malversación de los recursos del anticipo, desviación de los recursos. </w:t>
            </w:r>
          </w:p>
        </w:tc>
        <w:tc>
          <w:tcPr>
            <w:tcW w:w="110" w:type="pct"/>
            <w:noWrap/>
            <w:textDirection w:val="btLr"/>
            <w:vAlign w:val="center"/>
            <w:hideMark/>
          </w:tcPr>
          <w:p w14:paraId="6E9410F5"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110" w:type="pct"/>
            <w:noWrap/>
            <w:textDirection w:val="btLr"/>
            <w:vAlign w:val="center"/>
            <w:hideMark/>
          </w:tcPr>
          <w:p w14:paraId="415B6EEE"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3= Moderado </w:t>
            </w:r>
          </w:p>
        </w:tc>
        <w:tc>
          <w:tcPr>
            <w:tcW w:w="113" w:type="pct"/>
            <w:shd w:val="clear" w:color="000000" w:fill="00B050"/>
            <w:noWrap/>
            <w:textDirection w:val="btLr"/>
            <w:vAlign w:val="center"/>
            <w:hideMark/>
          </w:tcPr>
          <w:p w14:paraId="6BBB77E6"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4</w:t>
            </w:r>
          </w:p>
        </w:tc>
        <w:tc>
          <w:tcPr>
            <w:tcW w:w="115" w:type="pct"/>
            <w:shd w:val="clear" w:color="000000" w:fill="00B050"/>
            <w:textDirection w:val="btLr"/>
            <w:vAlign w:val="center"/>
            <w:hideMark/>
          </w:tcPr>
          <w:p w14:paraId="11F3B1C9"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66" w:type="pct"/>
            <w:textDirection w:val="btLr"/>
            <w:vAlign w:val="center"/>
            <w:hideMark/>
          </w:tcPr>
          <w:p w14:paraId="4CF82FFB"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Entidad, Contratista, e interventoría</w:t>
            </w:r>
          </w:p>
        </w:tc>
        <w:tc>
          <w:tcPr>
            <w:tcW w:w="775" w:type="pct"/>
            <w:vAlign w:val="center"/>
            <w:hideMark/>
          </w:tcPr>
          <w:p w14:paraId="6855805B"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Incumplimiento de las obligaciones contractuales, procesos sancionatorios, hacer efectivas las pólizas de cumplimiento, y de correcto uso del anticipo en caso de entregar anticipo para la ejecución de la obra.                                                 </w:t>
            </w:r>
          </w:p>
        </w:tc>
        <w:tc>
          <w:tcPr>
            <w:tcW w:w="97" w:type="pct"/>
            <w:noWrap/>
            <w:textDirection w:val="btLr"/>
            <w:vAlign w:val="center"/>
            <w:hideMark/>
          </w:tcPr>
          <w:p w14:paraId="332A0A89"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1=Raro</w:t>
            </w:r>
          </w:p>
        </w:tc>
        <w:tc>
          <w:tcPr>
            <w:tcW w:w="97" w:type="pct"/>
            <w:noWrap/>
            <w:textDirection w:val="btLr"/>
            <w:vAlign w:val="center"/>
            <w:hideMark/>
          </w:tcPr>
          <w:p w14:paraId="6EE2FDB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1= Insignificante </w:t>
            </w:r>
          </w:p>
        </w:tc>
        <w:tc>
          <w:tcPr>
            <w:tcW w:w="145" w:type="pct"/>
            <w:shd w:val="clear" w:color="000000" w:fill="00B050"/>
            <w:noWrap/>
            <w:textDirection w:val="btLr"/>
            <w:vAlign w:val="center"/>
            <w:hideMark/>
          </w:tcPr>
          <w:p w14:paraId="152B3390"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2</w:t>
            </w:r>
          </w:p>
        </w:tc>
        <w:tc>
          <w:tcPr>
            <w:tcW w:w="97" w:type="pct"/>
            <w:shd w:val="clear" w:color="000000" w:fill="00B050"/>
            <w:textDirection w:val="btLr"/>
            <w:vAlign w:val="center"/>
            <w:hideMark/>
          </w:tcPr>
          <w:p w14:paraId="3565E112" w14:textId="77777777" w:rsidR="002B2315" w:rsidRPr="001F15F3" w:rsidRDefault="002B2315" w:rsidP="00530E08">
            <w:pPr>
              <w:jc w:val="center"/>
              <w:rPr>
                <w:rFonts w:ascii="Calibri" w:eastAsia="Times New Roman" w:hAnsi="Calibri" w:cs="Calibri"/>
                <w:sz w:val="14"/>
                <w:szCs w:val="14"/>
                <w:lang w:eastAsia="es-CO"/>
              </w:rPr>
            </w:pPr>
            <w:r w:rsidRPr="001F15F3">
              <w:rPr>
                <w:rFonts w:ascii="Calibri" w:eastAsia="Times New Roman" w:hAnsi="Calibri" w:cs="Calibri"/>
                <w:sz w:val="14"/>
                <w:szCs w:val="14"/>
                <w:lang w:eastAsia="es-CO"/>
              </w:rPr>
              <w:t>Riesgo Bajo</w:t>
            </w:r>
          </w:p>
        </w:tc>
        <w:tc>
          <w:tcPr>
            <w:tcW w:w="145" w:type="pct"/>
            <w:noWrap/>
            <w:vAlign w:val="center"/>
            <w:hideMark/>
          </w:tcPr>
          <w:p w14:paraId="20784D80"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SI</w:t>
            </w:r>
          </w:p>
        </w:tc>
        <w:tc>
          <w:tcPr>
            <w:tcW w:w="340" w:type="pct"/>
            <w:vAlign w:val="center"/>
            <w:hideMark/>
          </w:tcPr>
          <w:p w14:paraId="4241F8CC"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Entidad e Interventoría </w:t>
            </w:r>
          </w:p>
        </w:tc>
        <w:tc>
          <w:tcPr>
            <w:tcW w:w="387" w:type="pct"/>
            <w:vAlign w:val="center"/>
            <w:hideMark/>
          </w:tcPr>
          <w:p w14:paraId="77F28704"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Desde el inicio de la ejecución del contrato</w:t>
            </w:r>
          </w:p>
        </w:tc>
        <w:tc>
          <w:tcPr>
            <w:tcW w:w="388" w:type="pct"/>
            <w:vAlign w:val="center"/>
            <w:hideMark/>
          </w:tcPr>
          <w:p w14:paraId="2E32ADA6" w14:textId="77777777" w:rsidR="002B2315" w:rsidRPr="001F15F3" w:rsidRDefault="002B2315" w:rsidP="00530E08">
            <w:pPr>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Hasta la finalización del plazo contractual y liquidación si se da el caso. </w:t>
            </w:r>
          </w:p>
        </w:tc>
        <w:tc>
          <w:tcPr>
            <w:tcW w:w="339" w:type="pct"/>
            <w:vAlign w:val="center"/>
            <w:hideMark/>
          </w:tcPr>
          <w:p w14:paraId="693C8342" w14:textId="77777777" w:rsidR="002B2315" w:rsidRPr="001F15F3" w:rsidRDefault="002B2315" w:rsidP="00530E08">
            <w:pP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informes de interventoría y constante supervisión por parte de la  entidad </w:t>
            </w:r>
          </w:p>
        </w:tc>
        <w:tc>
          <w:tcPr>
            <w:tcW w:w="177" w:type="pct"/>
            <w:textDirection w:val="btLr"/>
            <w:vAlign w:val="center"/>
            <w:hideMark/>
          </w:tcPr>
          <w:p w14:paraId="51845F88" w14:textId="77777777" w:rsidR="002B2315" w:rsidRPr="001F15F3" w:rsidRDefault="002B2315" w:rsidP="00530E08">
            <w:pPr>
              <w:ind w:left="113" w:right="113"/>
              <w:jc w:val="center"/>
              <w:rPr>
                <w:rFonts w:ascii="Arial" w:eastAsia="Times New Roman" w:hAnsi="Arial" w:cs="Arial"/>
                <w:sz w:val="14"/>
                <w:szCs w:val="14"/>
                <w:lang w:eastAsia="es-CO"/>
              </w:rPr>
            </w:pPr>
            <w:r w:rsidRPr="001F15F3">
              <w:rPr>
                <w:rFonts w:ascii="Arial" w:eastAsia="Times New Roman" w:hAnsi="Arial" w:cs="Arial"/>
                <w:sz w:val="14"/>
                <w:szCs w:val="14"/>
                <w:lang w:eastAsia="es-CO"/>
              </w:rPr>
              <w:t xml:space="preserve">Mensual </w:t>
            </w:r>
          </w:p>
        </w:tc>
      </w:tr>
    </w:tbl>
    <w:p w14:paraId="74770F23" w14:textId="77777777" w:rsidR="00815604" w:rsidRPr="00CB2A6B" w:rsidRDefault="00815604" w:rsidP="004D7C35">
      <w:pPr>
        <w:spacing w:after="100" w:afterAutospacing="1"/>
        <w:jc w:val="center"/>
        <w:rPr>
          <w:rFonts w:ascii="Verdana" w:eastAsia="SimSun" w:hAnsi="Verdana" w:cs="Arial"/>
          <w:kern w:val="3"/>
          <w:lang w:eastAsia="zh-CN" w:bidi="hi-IN"/>
        </w:rPr>
      </w:pPr>
    </w:p>
    <w:p w14:paraId="168C9C57" w14:textId="1E93E6DC" w:rsidR="00D70D7B" w:rsidRPr="00CB2A6B" w:rsidRDefault="00241A33" w:rsidP="00241A33">
      <w:pPr>
        <w:tabs>
          <w:tab w:val="left" w:pos="6690"/>
        </w:tabs>
        <w:spacing w:after="100" w:afterAutospacing="1"/>
        <w:rPr>
          <w:rFonts w:ascii="Verdana" w:eastAsia="SimSun" w:hAnsi="Verdana" w:cs="Arial"/>
          <w:kern w:val="3"/>
          <w:lang w:eastAsia="zh-CN" w:bidi="hi-IN"/>
        </w:rPr>
      </w:pPr>
      <w:r w:rsidRPr="00CB2A6B">
        <w:rPr>
          <w:rFonts w:ascii="Verdana" w:eastAsia="SimSun" w:hAnsi="Verdana" w:cs="Arial"/>
          <w:kern w:val="3"/>
          <w:lang w:eastAsia="zh-CN" w:bidi="hi-IN"/>
        </w:rPr>
        <w:tab/>
      </w:r>
    </w:p>
    <w:sectPr w:rsidR="00D70D7B" w:rsidRPr="00CB2A6B"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AE8BF7" w14:textId="77777777" w:rsidR="00A41A47" w:rsidRDefault="00A41A47" w:rsidP="00091875">
      <w:pPr>
        <w:spacing w:line="240" w:lineRule="auto"/>
      </w:pPr>
      <w:r>
        <w:separator/>
      </w:r>
    </w:p>
  </w:endnote>
  <w:endnote w:type="continuationSeparator" w:id="0">
    <w:p w14:paraId="1A9BB707" w14:textId="77777777" w:rsidR="00A41A47" w:rsidRDefault="00A41A47"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Verdana" w:hAnsi="Verdana"/>
        <w:sz w:val="18"/>
        <w:szCs w:val="18"/>
      </w:rPr>
      <w:id w:val="552671562"/>
      <w:docPartObj>
        <w:docPartGallery w:val="Page Numbers (Bottom of Page)"/>
        <w:docPartUnique/>
      </w:docPartObj>
    </w:sdtPr>
    <w:sdtContent>
      <w:p w14:paraId="5899CA35" w14:textId="77777777" w:rsidR="007A656B" w:rsidRPr="002F36D9" w:rsidRDefault="007A656B">
        <w:pPr>
          <w:pStyle w:val="Piedepgina"/>
          <w:jc w:val="right"/>
          <w:rPr>
            <w:rFonts w:ascii="Verdana" w:hAnsi="Verdana"/>
            <w:sz w:val="18"/>
            <w:szCs w:val="18"/>
          </w:rPr>
        </w:pPr>
      </w:p>
      <w:p w14:paraId="56B6126B" w14:textId="76EFC3A2" w:rsidR="00091875" w:rsidRPr="002F36D9" w:rsidRDefault="002F36D9">
        <w:pPr>
          <w:pStyle w:val="Piedepgina"/>
          <w:jc w:val="right"/>
          <w:rPr>
            <w:rFonts w:ascii="Verdana" w:hAnsi="Verdana"/>
            <w:sz w:val="18"/>
            <w:szCs w:val="18"/>
          </w:rPr>
        </w:pPr>
        <w:r w:rsidRPr="002F36D9">
          <w:rPr>
            <w:rFonts w:ascii="Verdana" w:hAnsi="Verdana"/>
            <w:sz w:val="18"/>
            <w:szCs w:val="18"/>
          </w:rPr>
          <w:t xml:space="preserve">Versión: 1 de </w:t>
        </w:r>
        <w:r w:rsidR="00773673">
          <w:rPr>
            <w:rFonts w:ascii="Verdana" w:hAnsi="Verdana"/>
            <w:sz w:val="18"/>
            <w:szCs w:val="18"/>
          </w:rPr>
          <w:t>21</w:t>
        </w:r>
        <w:r w:rsidRPr="002F36D9">
          <w:rPr>
            <w:rFonts w:ascii="Verdana" w:hAnsi="Verdana"/>
            <w:sz w:val="18"/>
            <w:szCs w:val="18"/>
          </w:rPr>
          <w:t xml:space="preserve"> de </w:t>
        </w:r>
        <w:r w:rsidR="00773673">
          <w:rPr>
            <w:rFonts w:ascii="Verdana" w:hAnsi="Verdana"/>
            <w:sz w:val="18"/>
            <w:szCs w:val="18"/>
          </w:rPr>
          <w:t>agosto</w:t>
        </w:r>
        <w:r w:rsidRPr="002F36D9">
          <w:rPr>
            <w:rFonts w:ascii="Verdana" w:hAnsi="Verdana"/>
            <w:sz w:val="18"/>
            <w:szCs w:val="18"/>
          </w:rPr>
          <w:t xml:space="preserve"> de 2025</w:t>
        </w:r>
      </w:p>
    </w:sdtContent>
  </w:sdt>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1B5B9" w14:textId="77777777" w:rsidR="00A41A47" w:rsidRDefault="00A41A47" w:rsidP="00091875">
      <w:pPr>
        <w:spacing w:line="240" w:lineRule="auto"/>
      </w:pPr>
      <w:r>
        <w:separator/>
      </w:r>
    </w:p>
  </w:footnote>
  <w:footnote w:type="continuationSeparator" w:id="0">
    <w:p w14:paraId="1AEC6EB5" w14:textId="77777777" w:rsidR="00A41A47" w:rsidRDefault="00A41A47"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286AD" w14:textId="77777777" w:rsidR="00FE1A44" w:rsidRPr="00FE1A44" w:rsidRDefault="00FE1A44"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401574FD" w:rsidR="749F36F0" w:rsidRPr="00FE1A44" w:rsidRDefault="00FE1A44" w:rsidP="00FE1A44">
    <w:pPr>
      <w:pStyle w:val="Encabezado"/>
      <w:jc w:val="center"/>
      <w:rPr>
        <w:rFonts w:ascii="Verdana" w:hAnsi="Verdana"/>
        <w:sz w:val="28"/>
        <w:szCs w:val="28"/>
      </w:rPr>
    </w:pPr>
    <w:r w:rsidRPr="00FE1A44">
      <w:rPr>
        <w:rFonts w:ascii="Verdana" w:hAnsi="Verdana" w:cs="Arial"/>
        <w:b/>
        <w:bCs/>
        <w:sz w:val="20"/>
        <w:szCs w:val="20"/>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427434359">
    <w:abstractNumId w:val="6"/>
  </w:num>
  <w:num w:numId="2" w16cid:durableId="1347243842">
    <w:abstractNumId w:val="6"/>
  </w:num>
  <w:num w:numId="3" w16cid:durableId="201331189">
    <w:abstractNumId w:val="6"/>
  </w:num>
  <w:num w:numId="4" w16cid:durableId="930047376">
    <w:abstractNumId w:val="6"/>
  </w:num>
  <w:num w:numId="5" w16cid:durableId="840242724">
    <w:abstractNumId w:val="6"/>
  </w:num>
  <w:num w:numId="6" w16cid:durableId="371000795">
    <w:abstractNumId w:val="6"/>
  </w:num>
  <w:num w:numId="7" w16cid:durableId="629827319">
    <w:abstractNumId w:val="6"/>
  </w:num>
  <w:num w:numId="8" w16cid:durableId="153616969">
    <w:abstractNumId w:val="6"/>
  </w:num>
  <w:num w:numId="9" w16cid:durableId="1757554719">
    <w:abstractNumId w:val="6"/>
  </w:num>
  <w:num w:numId="10" w16cid:durableId="1487547731">
    <w:abstractNumId w:val="3"/>
  </w:num>
  <w:num w:numId="11" w16cid:durableId="1655988771">
    <w:abstractNumId w:val="1"/>
  </w:num>
  <w:num w:numId="12" w16cid:durableId="1910115760">
    <w:abstractNumId w:val="21"/>
  </w:num>
  <w:num w:numId="13" w16cid:durableId="1371420300">
    <w:abstractNumId w:val="29"/>
  </w:num>
  <w:num w:numId="14" w16cid:durableId="1524975819">
    <w:abstractNumId w:val="14"/>
  </w:num>
  <w:num w:numId="15" w16cid:durableId="911088161">
    <w:abstractNumId w:val="16"/>
  </w:num>
  <w:num w:numId="16" w16cid:durableId="159275622">
    <w:abstractNumId w:val="0"/>
  </w:num>
  <w:num w:numId="17" w16cid:durableId="1825731425">
    <w:abstractNumId w:val="2"/>
  </w:num>
  <w:num w:numId="18" w16cid:durableId="168761752">
    <w:abstractNumId w:val="9"/>
  </w:num>
  <w:num w:numId="19" w16cid:durableId="1710840415">
    <w:abstractNumId w:val="4"/>
  </w:num>
  <w:num w:numId="20" w16cid:durableId="1044986760">
    <w:abstractNumId w:val="18"/>
  </w:num>
  <w:num w:numId="21" w16cid:durableId="1631784011">
    <w:abstractNumId w:val="7"/>
  </w:num>
  <w:num w:numId="22" w16cid:durableId="1304307603">
    <w:abstractNumId w:val="27"/>
  </w:num>
  <w:num w:numId="23" w16cid:durableId="575163169">
    <w:abstractNumId w:val="11"/>
  </w:num>
  <w:num w:numId="24" w16cid:durableId="1001734586">
    <w:abstractNumId w:val="12"/>
  </w:num>
  <w:num w:numId="25" w16cid:durableId="853106686">
    <w:abstractNumId w:val="5"/>
  </w:num>
  <w:num w:numId="26" w16cid:durableId="1368990496">
    <w:abstractNumId w:val="17"/>
  </w:num>
  <w:num w:numId="27" w16cid:durableId="1813407402">
    <w:abstractNumId w:val="15"/>
  </w:num>
  <w:num w:numId="28" w16cid:durableId="864053076">
    <w:abstractNumId w:val="10"/>
  </w:num>
  <w:num w:numId="29" w16cid:durableId="281032420">
    <w:abstractNumId w:val="25"/>
  </w:num>
  <w:num w:numId="30" w16cid:durableId="2018654470">
    <w:abstractNumId w:val="26"/>
  </w:num>
  <w:num w:numId="31" w16cid:durableId="376979735">
    <w:abstractNumId w:val="24"/>
  </w:num>
  <w:num w:numId="32" w16cid:durableId="1079407720">
    <w:abstractNumId w:val="13"/>
  </w:num>
  <w:num w:numId="33" w16cid:durableId="648024804">
    <w:abstractNumId w:val="23"/>
  </w:num>
  <w:num w:numId="34" w16cid:durableId="1474370942">
    <w:abstractNumId w:val="8"/>
  </w:num>
  <w:num w:numId="35" w16cid:durableId="1999260254">
    <w:abstractNumId w:val="22"/>
  </w:num>
  <w:num w:numId="36" w16cid:durableId="1275795133">
    <w:abstractNumId w:val="28"/>
  </w:num>
  <w:num w:numId="37" w16cid:durableId="199904704">
    <w:abstractNumId w:val="20"/>
  </w:num>
  <w:num w:numId="38" w16cid:durableId="130719898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8460C"/>
    <w:rsid w:val="00091875"/>
    <w:rsid w:val="000A2F3B"/>
    <w:rsid w:val="000C2AAE"/>
    <w:rsid w:val="000F7C80"/>
    <w:rsid w:val="00101037"/>
    <w:rsid w:val="00103B17"/>
    <w:rsid w:val="00106362"/>
    <w:rsid w:val="001246B3"/>
    <w:rsid w:val="00136C78"/>
    <w:rsid w:val="001477DE"/>
    <w:rsid w:val="0015719E"/>
    <w:rsid w:val="001D1F23"/>
    <w:rsid w:val="001E7630"/>
    <w:rsid w:val="00241A33"/>
    <w:rsid w:val="00277255"/>
    <w:rsid w:val="002B2315"/>
    <w:rsid w:val="002D1AFB"/>
    <w:rsid w:val="002E30D7"/>
    <w:rsid w:val="002F36D9"/>
    <w:rsid w:val="00324251"/>
    <w:rsid w:val="003322F8"/>
    <w:rsid w:val="003558EC"/>
    <w:rsid w:val="00374B32"/>
    <w:rsid w:val="00375454"/>
    <w:rsid w:val="0039239D"/>
    <w:rsid w:val="003B7338"/>
    <w:rsid w:val="003E331F"/>
    <w:rsid w:val="003E4428"/>
    <w:rsid w:val="003F50E3"/>
    <w:rsid w:val="004338C5"/>
    <w:rsid w:val="004D7C35"/>
    <w:rsid w:val="00507FAA"/>
    <w:rsid w:val="00511F46"/>
    <w:rsid w:val="00513343"/>
    <w:rsid w:val="00540CF2"/>
    <w:rsid w:val="00545461"/>
    <w:rsid w:val="005752CE"/>
    <w:rsid w:val="0058222E"/>
    <w:rsid w:val="005E5030"/>
    <w:rsid w:val="00602088"/>
    <w:rsid w:val="00624AC2"/>
    <w:rsid w:val="00686C25"/>
    <w:rsid w:val="00697703"/>
    <w:rsid w:val="006A3288"/>
    <w:rsid w:val="006B4FEE"/>
    <w:rsid w:val="006E6D9B"/>
    <w:rsid w:val="007115DA"/>
    <w:rsid w:val="00721886"/>
    <w:rsid w:val="00762556"/>
    <w:rsid w:val="0076567A"/>
    <w:rsid w:val="00773673"/>
    <w:rsid w:val="0077727E"/>
    <w:rsid w:val="007A656B"/>
    <w:rsid w:val="007B33E6"/>
    <w:rsid w:val="007C5B18"/>
    <w:rsid w:val="007C702A"/>
    <w:rsid w:val="007F427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1351"/>
    <w:rsid w:val="00A1437D"/>
    <w:rsid w:val="00A411F2"/>
    <w:rsid w:val="00A41A47"/>
    <w:rsid w:val="00A802EF"/>
    <w:rsid w:val="00A9107A"/>
    <w:rsid w:val="00AB5F8B"/>
    <w:rsid w:val="00AE2ECB"/>
    <w:rsid w:val="00B26E25"/>
    <w:rsid w:val="00B544AB"/>
    <w:rsid w:val="00B60C9E"/>
    <w:rsid w:val="00B76DAD"/>
    <w:rsid w:val="00B773A4"/>
    <w:rsid w:val="00B81B1F"/>
    <w:rsid w:val="00B83621"/>
    <w:rsid w:val="00B92158"/>
    <w:rsid w:val="00B94790"/>
    <w:rsid w:val="00BA3870"/>
    <w:rsid w:val="00BC48AE"/>
    <w:rsid w:val="00C126A1"/>
    <w:rsid w:val="00C53FEB"/>
    <w:rsid w:val="00C61BDB"/>
    <w:rsid w:val="00C71F76"/>
    <w:rsid w:val="00CB2A6B"/>
    <w:rsid w:val="00CB7D17"/>
    <w:rsid w:val="00D13765"/>
    <w:rsid w:val="00D2740F"/>
    <w:rsid w:val="00D61CBF"/>
    <w:rsid w:val="00D70D7B"/>
    <w:rsid w:val="00D86ECC"/>
    <w:rsid w:val="00DA2321"/>
    <w:rsid w:val="00DD4300"/>
    <w:rsid w:val="00DF421A"/>
    <w:rsid w:val="00E20BE5"/>
    <w:rsid w:val="00E56873"/>
    <w:rsid w:val="00F6022F"/>
    <w:rsid w:val="00F63350"/>
    <w:rsid w:val="00F77C04"/>
    <w:rsid w:val="00FD3BD6"/>
    <w:rsid w:val="00FE1A44"/>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Fuerte">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0FDBF6-CFA6-48B8-BEB1-FF93D6470936}">
  <ds:schemaRefs>
    <ds:schemaRef ds:uri="http://schemas.openxmlformats.org/officeDocument/2006/bibliography"/>
  </ds:schemaRefs>
</ds:datastoreItem>
</file>

<file path=customXml/itemProps2.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3411</Words>
  <Characters>18761</Characters>
  <Application>Microsoft Office Word</Application>
  <DocSecurity>0</DocSecurity>
  <Lines>156</Lines>
  <Paragraphs>44</Paragraphs>
  <ScaleCrop>false</ScaleCrop>
  <Company>Hewlett-Packard Company</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JURIDICA ORITO</cp:lastModifiedBy>
  <cp:revision>10</cp:revision>
  <cp:lastPrinted>2020-11-13T23:50:00Z</cp:lastPrinted>
  <dcterms:created xsi:type="dcterms:W3CDTF">2022-08-01T21:31:00Z</dcterms:created>
  <dcterms:modified xsi:type="dcterms:W3CDTF">2026-09-02T16:22:00Z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