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7D7C85" w:rsidR="00882117" w:rsidRDefault="00882117" w14:paraId="021CD46C" w14:textId="77777777">
      <w:pPr>
        <w:pStyle w:val="Textoindependiente"/>
        <w:spacing w:before="41"/>
        <w:rPr>
          <w:rFonts w:ascii="Arial" w:hAnsi="Arial" w:cs="Arial"/>
        </w:rPr>
      </w:pPr>
    </w:p>
    <w:p w:rsidRPr="007D7C85" w:rsidR="00882117" w:rsidP="3A1B82FC" w:rsidRDefault="00000000" w14:paraId="270DF27A" w14:textId="77777777">
      <w:pPr>
        <w:pStyle w:val="Ttulo1"/>
        <w:ind w:left="1987" w:right="1664" w:firstLine="0"/>
        <w:jc w:val="center"/>
        <w:rPr>
          <w:rFonts w:ascii="Arial" w:hAnsi="Arial" w:cs="Arial"/>
          <w:sz w:val="22"/>
          <w:szCs w:val="22"/>
        </w:rPr>
      </w:pPr>
      <w:r w:rsidRPr="007D7C85" w:rsidR="38CAA4D6">
        <w:rPr>
          <w:rFonts w:ascii="Arial" w:hAnsi="Arial" w:cs="Arial"/>
          <w:sz w:val="22"/>
          <w:szCs w:val="22"/>
        </w:rPr>
        <w:t>ANEXO TÉCNICO ESPECIFICACIONES</w:t>
      </w:r>
      <w:r w:rsidRPr="007D7C85" w:rsidR="38CAA4D6">
        <w:rPr>
          <w:rFonts w:ascii="Arial" w:hAnsi="Arial" w:cs="Arial"/>
          <w:spacing w:val="-14"/>
          <w:sz w:val="22"/>
          <w:szCs w:val="22"/>
        </w:rPr>
        <w:t xml:space="preserve"> </w:t>
      </w:r>
      <w:r w:rsidRPr="007D7C85" w:rsidR="38CAA4D6">
        <w:rPr>
          <w:rFonts w:ascii="Arial" w:hAnsi="Arial" w:cs="Arial"/>
          <w:sz w:val="22"/>
          <w:szCs w:val="22"/>
        </w:rPr>
        <w:t>TÉCNICAS</w:t>
      </w:r>
      <w:r w:rsidRPr="007D7C85" w:rsidR="38CAA4D6">
        <w:rPr>
          <w:rFonts w:ascii="Arial" w:hAnsi="Arial" w:cs="Arial"/>
          <w:spacing w:val="-13"/>
          <w:sz w:val="22"/>
          <w:szCs w:val="22"/>
        </w:rPr>
        <w:t xml:space="preserve"> </w:t>
      </w:r>
      <w:r w:rsidRPr="007D7C85" w:rsidR="38CAA4D6">
        <w:rPr>
          <w:rFonts w:ascii="Arial" w:hAnsi="Arial" w:cs="Arial"/>
          <w:sz w:val="22"/>
          <w:szCs w:val="22"/>
        </w:rPr>
        <w:t>MINIMAS</w:t>
      </w:r>
      <w:r w:rsidRPr="007D7C85" w:rsidR="38CAA4D6">
        <w:rPr>
          <w:rFonts w:ascii="Arial" w:hAnsi="Arial" w:cs="Arial"/>
          <w:spacing w:val="-11"/>
          <w:sz w:val="22"/>
          <w:szCs w:val="22"/>
        </w:rPr>
        <w:t xml:space="preserve"> </w:t>
      </w:r>
      <w:r w:rsidRPr="007D7C85" w:rsidR="38CAA4D6">
        <w:rPr>
          <w:rFonts w:ascii="Arial" w:hAnsi="Arial" w:cs="Arial"/>
          <w:sz w:val="22"/>
          <w:szCs w:val="22"/>
        </w:rPr>
        <w:t>EXIGIDAS</w:t>
      </w:r>
    </w:p>
    <w:p w:rsidRPr="007D7C85" w:rsidR="003E33FD" w:rsidP="003E33FD" w:rsidRDefault="003E33FD" w14:paraId="67F0B6D3" w14:textId="77777777">
      <w:pPr>
        <w:pStyle w:val="Textoindependiente"/>
        <w:spacing w:before="47"/>
        <w:jc w:val="center"/>
        <w:rPr>
          <w:rFonts w:ascii="Arial" w:hAnsi="Arial" w:eastAsia="Times New Roman" w:cs="Arial"/>
          <w:lang w:val="es-CO" w:eastAsia="es-CO"/>
        </w:rPr>
      </w:pPr>
      <w:r w:rsidRPr="007D7C85">
        <w:rPr>
          <w:rFonts w:ascii="Arial" w:hAnsi="Arial" w:eastAsia="Times New Roman" w:cs="Arial"/>
          <w:lang w:val="es-CO" w:eastAsia="es-CO"/>
        </w:rPr>
        <w:t>ADQUIRIR UNA SOLUCIÓN DE DETECCIÓN Y RESPUESTA PARA ENDPOINTS (EDR) PARA LA PREVENCIÓN, DETECCIÓN, INVESTIGACIÓN Y RESPUESTA ANTE AMENAZAS INFORMÁTICAS EN LOS EQUIPOS TECNOLOGICOS DEL JARDÍN BOTÁNICO JOSÉ CELESTINO MUTIS DE BOGOTÁ</w:t>
      </w:r>
    </w:p>
    <w:p w:rsidRPr="007D7C85" w:rsidR="005F1523" w:rsidP="005F1523" w:rsidRDefault="005F1523" w14:paraId="7354E0D7" w14:textId="77777777">
      <w:pPr>
        <w:pStyle w:val="Textoindependiente"/>
        <w:spacing w:before="47"/>
        <w:rPr>
          <w:rFonts w:ascii="Arial" w:hAnsi="Arial" w:eastAsia="Times New Roman" w:cs="Arial"/>
          <w:lang w:val="es-CO" w:eastAsia="es-CO"/>
        </w:rPr>
      </w:pPr>
    </w:p>
    <w:p w:rsidRPr="007D7C85" w:rsidR="00801B95" w:rsidP="001E2851" w:rsidRDefault="00801B95" w14:paraId="7E39AE24" w14:textId="35310FC4">
      <w:pPr>
        <w:pStyle w:val="Textoindependiente"/>
        <w:spacing w:before="47"/>
        <w:jc w:val="center"/>
        <w:rPr>
          <w:rFonts w:ascii="Arial" w:hAnsi="Arial" w:cs="Arial"/>
          <w:b/>
        </w:rPr>
      </w:pPr>
      <w:r w:rsidRPr="007D7C85">
        <w:rPr>
          <w:rFonts w:ascii="Arial" w:hAnsi="Arial" w:cs="Arial"/>
          <w:b/>
        </w:rPr>
        <w:t>ESPECIFICACIONES</w:t>
      </w:r>
    </w:p>
    <w:tbl>
      <w:tblPr>
        <w:tblStyle w:val="TableNormal"/>
        <w:tblW w:w="0" w:type="auto"/>
        <w:tblInd w:w="27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9537"/>
      </w:tblGrid>
      <w:tr w:rsidRPr="007D7C85" w:rsidR="00882117" w:rsidTr="383CB3A7" w14:paraId="2B55F4A7" w14:textId="77777777">
        <w:trPr>
          <w:trHeight w:val="268"/>
        </w:trPr>
        <w:tc>
          <w:tcPr>
            <w:tcW w:w="9537" w:type="dxa"/>
            <w:tcMar/>
          </w:tcPr>
          <w:p w:rsidRPr="007D7C85" w:rsidR="00882117" w:rsidRDefault="001E2851" w14:paraId="2EF2954A" w14:textId="5C871B7E">
            <w:pPr>
              <w:pStyle w:val="TableParagraph"/>
              <w:spacing w:line="248" w:lineRule="exact"/>
              <w:rPr>
                <w:rFonts w:ascii="Arial" w:hAnsi="Arial" w:cs="Arial"/>
                <w:b/>
              </w:rPr>
            </w:pPr>
            <w:r w:rsidRPr="007D7C85">
              <w:rPr>
                <w:rFonts w:ascii="Arial" w:hAnsi="Arial" w:cs="Arial"/>
                <w:b/>
              </w:rPr>
              <w:t>Especificaciones Técnicas Solución de Detección y Respuesta en Endpoints (EDR)</w:t>
            </w:r>
          </w:p>
        </w:tc>
      </w:tr>
      <w:tr w:rsidRPr="007D7C85" w:rsidR="00882117" w:rsidTr="383CB3A7" w14:paraId="0293CA91" w14:textId="77777777">
        <w:trPr>
          <w:trHeight w:val="1391"/>
        </w:trPr>
        <w:tc>
          <w:tcPr>
            <w:tcW w:w="9537" w:type="dxa"/>
            <w:tcMar/>
          </w:tcPr>
          <w:p w:rsidRPr="007D7C85" w:rsidR="00882117" w:rsidP="00260542" w:rsidRDefault="002978B3" w14:paraId="34858D8B" w14:textId="0F2D2A1C">
            <w:pPr>
              <w:pStyle w:val="TableParagraph"/>
              <w:spacing w:line="247" w:lineRule="exact"/>
              <w:ind w:left="0"/>
              <w:rPr>
                <w:rFonts w:ascii="Arial" w:hAnsi="Arial" w:cs="Arial"/>
                <w:lang w:val="es-CO"/>
              </w:rPr>
            </w:pPr>
            <w:r w:rsidRPr="0AA731A5" w:rsidR="5D3868C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s-CO"/>
              </w:rPr>
              <w:t>La solución EDR debe contar con una suscripción para la protección</w:t>
            </w:r>
            <w:r w:rsidRPr="0AA731A5" w:rsidR="15358C0D">
              <w:rPr>
                <w:rFonts w:ascii="Arial" w:hAnsi="Arial" w:cs="Arial"/>
                <w:lang w:val="es-CO"/>
              </w:rPr>
              <w:t>, detección y respuesta en cuatrocientos cincuenta (450) dispositivos tecnológicos de la Entidad, incluyendo estaciones de trabajo, servidores físicos, servidores virtuales y cargas de trabajo alojadas en ambientes de nube, de acuerdo con la infraestructura tecnológica definida por el Jardín Botánico José Celestino Mutis.</w:t>
            </w:r>
          </w:p>
        </w:tc>
      </w:tr>
      <w:tr w:rsidRPr="007D7C85" w:rsidR="00F93B60" w:rsidTr="383CB3A7" w14:paraId="37C86663" w14:textId="77777777">
        <w:trPr>
          <w:trHeight w:val="742"/>
        </w:trPr>
        <w:tc>
          <w:tcPr>
            <w:tcW w:w="9537" w:type="dxa"/>
            <w:tcMar/>
          </w:tcPr>
          <w:p w:rsidRPr="007D7C85" w:rsidR="00F93B60" w:rsidRDefault="001E2851" w14:paraId="2A311391" w14:textId="466F86B6">
            <w:pPr>
              <w:pStyle w:val="TableParagraph"/>
              <w:spacing w:line="247" w:lineRule="exact"/>
              <w:rPr>
                <w:rFonts w:ascii="Arial" w:hAnsi="Arial" w:cs="Arial"/>
              </w:rPr>
            </w:pPr>
            <w:r w:rsidRPr="007D7C85">
              <w:rPr>
                <w:rFonts w:ascii="Arial" w:hAnsi="Arial" w:cs="Arial"/>
              </w:rPr>
              <w:t>La solución debe contar con un agente de software ligero instalado en las estaciones de trabajo y servidores, y una consola centralizada en la nube (SaaS) para la administración de los dispositivos.</w:t>
            </w:r>
          </w:p>
        </w:tc>
      </w:tr>
      <w:tr w:rsidRPr="007D7C85" w:rsidR="00F93B60" w:rsidTr="383CB3A7" w14:paraId="497AAC94" w14:textId="77777777">
        <w:trPr>
          <w:trHeight w:val="550"/>
        </w:trPr>
        <w:tc>
          <w:tcPr>
            <w:tcW w:w="9537" w:type="dxa"/>
            <w:tcMar/>
          </w:tcPr>
          <w:p w:rsidRPr="007D7C85" w:rsidR="00F93B60" w:rsidRDefault="001E2851" w14:paraId="73BD8A97" w14:textId="659EBF01">
            <w:pPr>
              <w:pStyle w:val="TableParagraph"/>
              <w:spacing w:line="247" w:lineRule="exact"/>
              <w:rPr>
                <w:rFonts w:ascii="Arial" w:hAnsi="Arial" w:cs="Arial"/>
              </w:rPr>
            </w:pPr>
            <w:r w:rsidRPr="007D7C85">
              <w:rPr>
                <w:rFonts w:ascii="Arial" w:hAnsi="Arial" w:cs="Arial"/>
              </w:rPr>
              <w:t>La solución debe integrar capacidades de detección basadas en análisis de comportamiento, heurística avanzada, Machine Learning y motores de IA para identificar amenazas desconocidas, ataques fileless (sin archivos), exploits de día cero, abuso de herramientas legítimas (</w:t>
            </w:r>
            <w:r w:rsidRPr="007D7C85">
              <w:rPr>
                <w:rFonts w:ascii="Arial" w:hAnsi="Arial" w:cs="Arial"/>
                <w:i/>
                <w:iCs/>
              </w:rPr>
              <w:t>Living off the Land</w:t>
            </w:r>
            <w:r w:rsidRPr="007D7C85">
              <w:rPr>
                <w:rFonts w:ascii="Arial" w:hAnsi="Arial" w:cs="Arial"/>
              </w:rPr>
              <w:t>) y ransomware en tiempo real, sin depender exclusivamente de firmas estáticas.</w:t>
            </w:r>
          </w:p>
        </w:tc>
      </w:tr>
      <w:tr w:rsidRPr="007D7C85" w:rsidR="00F93B60" w:rsidTr="383CB3A7" w14:paraId="382C2FF5" w14:textId="77777777">
        <w:trPr>
          <w:trHeight w:val="558"/>
        </w:trPr>
        <w:tc>
          <w:tcPr>
            <w:tcW w:w="9537" w:type="dxa"/>
            <w:tcMar/>
          </w:tcPr>
          <w:p w:rsidRPr="007D7C85" w:rsidR="00F93B60" w:rsidRDefault="001E2851" w14:paraId="41E98F53" w14:textId="33BD805F">
            <w:pPr>
              <w:pStyle w:val="TableParagraph"/>
              <w:spacing w:line="247" w:lineRule="exact"/>
              <w:rPr>
                <w:rFonts w:ascii="Arial" w:hAnsi="Arial" w:cs="Arial"/>
              </w:rPr>
            </w:pPr>
            <w:r w:rsidRPr="007D7C85">
              <w:rPr>
                <w:rFonts w:ascii="Arial" w:hAnsi="Arial" w:cs="Arial"/>
              </w:rPr>
              <w:t>El agente debe recolectar y transmitir en tiempo real telemetría detallada del sistema (eventos de procesos, modificaciones en el registro, conexiones de red, creación/modificación de archivos, ejecución de scripts y comportamiento de memoria), asociando cada evento al usuario y proceso correspondiente.</w:t>
            </w:r>
          </w:p>
        </w:tc>
      </w:tr>
      <w:tr w:rsidRPr="007D7C85" w:rsidR="00F93B60" w:rsidTr="383CB3A7" w14:paraId="2C9D55B7" w14:textId="77777777">
        <w:trPr>
          <w:trHeight w:val="566"/>
        </w:trPr>
        <w:tc>
          <w:tcPr>
            <w:tcW w:w="9537" w:type="dxa"/>
            <w:tcMar/>
          </w:tcPr>
          <w:p w:rsidRPr="007D7C85" w:rsidR="00F93B60" w:rsidRDefault="001E2851" w14:paraId="20B075A1" w14:textId="227BC213">
            <w:pPr>
              <w:pStyle w:val="TableParagraph"/>
              <w:spacing w:line="247" w:lineRule="exact"/>
              <w:rPr>
                <w:rFonts w:ascii="Arial" w:hAnsi="Arial" w:cs="Arial"/>
              </w:rPr>
            </w:pPr>
            <w:r w:rsidRPr="007D7C85">
              <w:rPr>
                <w:rFonts w:ascii="Arial" w:hAnsi="Arial" w:cs="Arial"/>
              </w:rPr>
              <w:t>La consola debe mapear automáticamente las detecciones, alertas y comportamientos sospechosos a las tácticas, técnicas y procedimientos (TTPs) del marco MITRE ATT&amp;CK, facilitando la investigación y contextualización de incidentes.</w:t>
            </w:r>
          </w:p>
        </w:tc>
      </w:tr>
      <w:tr w:rsidRPr="007D7C85" w:rsidR="00F93B60" w:rsidTr="383CB3A7" w14:paraId="738DAA55" w14:textId="77777777">
        <w:trPr>
          <w:trHeight w:val="546"/>
        </w:trPr>
        <w:tc>
          <w:tcPr>
            <w:tcW w:w="9537" w:type="dxa"/>
            <w:tcMar/>
          </w:tcPr>
          <w:p w:rsidRPr="007D7C85" w:rsidR="00F93B60" w:rsidRDefault="001E2851" w14:paraId="0AAB955C" w14:textId="05E94838">
            <w:pPr>
              <w:pStyle w:val="TableParagraph"/>
              <w:spacing w:line="247" w:lineRule="exact"/>
              <w:rPr>
                <w:rFonts w:ascii="Arial" w:hAnsi="Arial" w:cs="Arial"/>
              </w:rPr>
            </w:pPr>
            <w:r w:rsidRPr="007D7C85">
              <w:rPr>
                <w:rFonts w:ascii="Arial" w:hAnsi="Arial" w:cs="Arial"/>
              </w:rPr>
              <w:t>La solución debe generar visualizaciones gráficas del árbol de procesos (cadena de ataque / causa raíz) para cada incidente detectado, mostrando el origen del ataque, procesos padre e hijos, líneas de comando ejecutadas, conexiones de red asociadas y archivos modificados.</w:t>
            </w:r>
          </w:p>
        </w:tc>
      </w:tr>
      <w:tr w:rsidRPr="007D7C85" w:rsidR="00F93B60" w:rsidTr="383CB3A7" w14:paraId="6BDAFE4F" w14:textId="77777777">
        <w:trPr>
          <w:trHeight w:val="710"/>
        </w:trPr>
        <w:tc>
          <w:tcPr>
            <w:tcW w:w="9537" w:type="dxa"/>
            <w:tcMar/>
          </w:tcPr>
          <w:p w:rsidRPr="007D7C85" w:rsidR="00F93B60" w:rsidRDefault="001E2851" w14:paraId="1CCC7CC3" w14:textId="2AB70C21">
            <w:pPr>
              <w:pStyle w:val="TableParagraph"/>
              <w:spacing w:line="247" w:lineRule="exact"/>
              <w:rPr>
                <w:rFonts w:ascii="Arial" w:hAnsi="Arial" w:cs="Arial"/>
              </w:rPr>
            </w:pPr>
            <w:r w:rsidRPr="007D7C85">
              <w:rPr>
                <w:rFonts w:ascii="Arial" w:hAnsi="Arial" w:cs="Arial"/>
              </w:rPr>
              <w:t>La solución debe permitir realizar búsquedas históricas y en tiempo real sobre la telemetría recolectada (Indicadores de Compromiso - IoCs e Indicadores de Ataque - IoAs) a través de un lenguaje de consultas flexible en la consola de administración.</w:t>
            </w:r>
          </w:p>
        </w:tc>
      </w:tr>
      <w:tr w:rsidRPr="007D7C85" w:rsidR="00F93B60" w:rsidTr="383CB3A7" w14:paraId="7D8568DF" w14:textId="77777777">
        <w:trPr>
          <w:trHeight w:val="806"/>
        </w:trPr>
        <w:tc>
          <w:tcPr>
            <w:tcW w:w="9537" w:type="dxa"/>
            <w:tcMar/>
          </w:tcPr>
          <w:p w:rsidRPr="007D7C85" w:rsidR="001E2851" w:rsidP="001E2851" w:rsidRDefault="001E2851" w14:paraId="288047CB" w14:textId="77777777">
            <w:pPr>
              <w:pStyle w:val="TableParagraph"/>
              <w:spacing w:line="247" w:lineRule="exact"/>
              <w:rPr>
                <w:rFonts w:ascii="Arial" w:hAnsi="Arial" w:cs="Arial"/>
                <w:lang w:val="es-CO"/>
              </w:rPr>
            </w:pPr>
            <w:r w:rsidRPr="007D7C85">
              <w:rPr>
                <w:rFonts w:ascii="Arial" w:hAnsi="Arial" w:cs="Arial"/>
                <w:lang w:val="es-CO"/>
              </w:rPr>
              <w:t>La solución debe permitir ejecutar acciones de respuesta automáticas y manuales ante la detección de eventos maliciosos, incluyendo:</w:t>
            </w:r>
          </w:p>
          <w:p w:rsidRPr="007D7C85" w:rsidR="001E2851" w:rsidP="001E2851" w:rsidRDefault="001E2851" w14:paraId="5C4F0319" w14:textId="77777777">
            <w:pPr>
              <w:pStyle w:val="TableParagraph"/>
              <w:numPr>
                <w:ilvl w:val="0"/>
                <w:numId w:val="11"/>
              </w:numPr>
              <w:spacing w:line="247" w:lineRule="exact"/>
              <w:rPr>
                <w:rFonts w:ascii="Arial" w:hAnsi="Arial" w:cs="Arial"/>
                <w:lang w:val="es-CO"/>
              </w:rPr>
            </w:pPr>
            <w:r w:rsidRPr="007D7C85">
              <w:rPr>
                <w:rFonts w:ascii="Arial" w:hAnsi="Arial" w:cs="Arial"/>
                <w:lang w:val="es-CO"/>
              </w:rPr>
              <w:t>Aislamiento de red del endpoint afectado, manteniendo de forma exclusiva la comunicación cifrada con la consola EDR.</w:t>
            </w:r>
          </w:p>
          <w:p w:rsidRPr="007D7C85" w:rsidR="001E2851" w:rsidP="001E2851" w:rsidRDefault="001E2851" w14:paraId="5E36B371" w14:textId="77777777">
            <w:pPr>
              <w:pStyle w:val="TableParagraph"/>
              <w:numPr>
                <w:ilvl w:val="0"/>
                <w:numId w:val="11"/>
              </w:numPr>
              <w:spacing w:line="247" w:lineRule="exact"/>
              <w:rPr>
                <w:rFonts w:ascii="Arial" w:hAnsi="Arial" w:cs="Arial"/>
                <w:lang w:val="es-CO"/>
              </w:rPr>
            </w:pPr>
            <w:r w:rsidRPr="007D7C85">
              <w:rPr>
                <w:rFonts w:ascii="Arial" w:hAnsi="Arial" w:cs="Arial"/>
                <w:lang w:val="es-CO"/>
              </w:rPr>
              <w:t>Terminación de procesos maliciosos y suspensión de hilos de memoria.</w:t>
            </w:r>
          </w:p>
          <w:p w:rsidRPr="007D7C85" w:rsidR="001E2851" w:rsidP="001E2851" w:rsidRDefault="001E2851" w14:paraId="738EDC53" w14:textId="77777777">
            <w:pPr>
              <w:pStyle w:val="TableParagraph"/>
              <w:numPr>
                <w:ilvl w:val="0"/>
                <w:numId w:val="11"/>
              </w:numPr>
              <w:spacing w:line="247" w:lineRule="exact"/>
              <w:rPr>
                <w:rFonts w:ascii="Arial" w:hAnsi="Arial" w:cs="Arial"/>
                <w:lang w:val="es-CO"/>
              </w:rPr>
            </w:pPr>
            <w:r w:rsidRPr="007D7C85">
              <w:rPr>
                <w:rFonts w:ascii="Arial" w:hAnsi="Arial" w:cs="Arial"/>
                <w:lang w:val="es-CO"/>
              </w:rPr>
              <w:t>Cuarentena automática o borrado de archivos maliciosos.</w:t>
            </w:r>
          </w:p>
          <w:p w:rsidRPr="007D7C85" w:rsidR="00F93B60" w:rsidRDefault="00F93B60" w14:paraId="4B5B02C0" w14:textId="54C8E788">
            <w:pPr>
              <w:pStyle w:val="TableParagraph"/>
              <w:spacing w:line="247" w:lineRule="exact"/>
              <w:rPr>
                <w:rFonts w:ascii="Arial" w:hAnsi="Arial" w:cs="Arial"/>
              </w:rPr>
            </w:pPr>
          </w:p>
        </w:tc>
      </w:tr>
      <w:tr w:rsidRPr="007D7C85" w:rsidR="00F93B60" w:rsidTr="383CB3A7" w14:paraId="0171C148" w14:textId="77777777">
        <w:trPr>
          <w:trHeight w:val="1002"/>
        </w:trPr>
        <w:tc>
          <w:tcPr>
            <w:tcW w:w="9537" w:type="dxa"/>
            <w:tcMar/>
          </w:tcPr>
          <w:p w:rsidRPr="007D7C85" w:rsidR="00660DE5" w:rsidP="00660DE5" w:rsidRDefault="001E2851" w14:paraId="02152D26" w14:textId="42FD15EF">
            <w:pPr>
              <w:rPr>
                <w:rFonts w:ascii="Arial" w:hAnsi="Arial" w:cs="Arial"/>
              </w:rPr>
            </w:pPr>
            <w:r w:rsidRPr="007D7C85">
              <w:rPr>
                <w:rFonts w:ascii="Arial" w:hAnsi="Arial" w:cs="Arial"/>
              </w:rPr>
              <w:t>La solución debe permitir a los analistas de seguridad establecer una sesión interactiva y segura de línea de comandos remota (</w:t>
            </w:r>
            <w:r w:rsidRPr="007D7C85">
              <w:rPr>
                <w:rFonts w:ascii="Arial" w:hAnsi="Arial" w:cs="Arial"/>
                <w:i/>
                <w:iCs/>
              </w:rPr>
              <w:t>Live Response</w:t>
            </w:r>
            <w:r w:rsidRPr="007D7C85">
              <w:rPr>
                <w:rFonts w:ascii="Arial" w:hAnsi="Arial" w:cs="Arial"/>
              </w:rPr>
              <w:t>) en el endpoint para extraer evidencias forenses, inspeccionar el sistema y ejecutar scripts de remediación.</w:t>
            </w:r>
          </w:p>
        </w:tc>
      </w:tr>
      <w:tr w:rsidRPr="007D7C85" w:rsidR="00F93B60" w:rsidTr="383CB3A7" w14:paraId="0C56BE08" w14:textId="77777777">
        <w:trPr>
          <w:trHeight w:val="416"/>
        </w:trPr>
        <w:tc>
          <w:tcPr>
            <w:tcW w:w="9537" w:type="dxa"/>
            <w:tcMar/>
          </w:tcPr>
          <w:p w:rsidRPr="007D7C85" w:rsidR="00F93B60" w:rsidRDefault="001E2851" w14:paraId="04109CA9" w14:textId="4E5A0D84">
            <w:pPr>
              <w:pStyle w:val="TableParagraph"/>
              <w:spacing w:line="247" w:lineRule="exact"/>
              <w:rPr>
                <w:rFonts w:ascii="Arial" w:hAnsi="Arial" w:cs="Arial"/>
              </w:rPr>
            </w:pPr>
            <w:r w:rsidRPr="007D7C85">
              <w:rPr>
                <w:rFonts w:ascii="Arial" w:hAnsi="Arial" w:cs="Arial"/>
              </w:rPr>
              <w:t>La solución debe monitorear y bloquear intentos de cifrado no autorizado en el sistema de archivos mediante el análisis continuo del comportamiento del proceso, permitiendo la restauración automática o el respaldo en memoria/disco de los archivos modificados durante la actividad sospechosa.</w:t>
            </w:r>
          </w:p>
        </w:tc>
      </w:tr>
      <w:tr w:rsidRPr="007D7C85" w:rsidR="00F93B60" w:rsidTr="383CB3A7" w14:paraId="7DB4CDE5" w14:textId="77777777">
        <w:trPr>
          <w:trHeight w:val="699"/>
        </w:trPr>
        <w:tc>
          <w:tcPr>
            <w:tcW w:w="9537" w:type="dxa"/>
            <w:tcMar/>
          </w:tcPr>
          <w:p w:rsidRPr="007D7C85" w:rsidR="00F93B60" w:rsidRDefault="001E2851" w14:paraId="76C4F9EC" w14:textId="39933638">
            <w:pPr>
              <w:pStyle w:val="TableParagraph"/>
              <w:spacing w:line="247" w:lineRule="exact"/>
              <w:rPr>
                <w:rFonts w:ascii="Arial" w:hAnsi="Arial" w:cs="Arial"/>
              </w:rPr>
            </w:pPr>
            <w:r w:rsidRPr="007D7C85">
              <w:rPr>
                <w:rFonts w:ascii="Arial" w:hAnsi="Arial" w:cs="Arial"/>
              </w:rPr>
              <w:t>El módulo anti-exploit debe proteger aplicaciones corporativas y navegadores contra ataques basados en memoria y desbordamientos de búfer, sin depender de firmas.</w:t>
            </w:r>
          </w:p>
        </w:tc>
      </w:tr>
      <w:tr w:rsidRPr="007D7C85" w:rsidR="00F93B60" w:rsidTr="383CB3A7" w14:paraId="219DA214" w14:textId="77777777">
        <w:trPr>
          <w:trHeight w:val="699"/>
        </w:trPr>
        <w:tc>
          <w:tcPr>
            <w:tcW w:w="9537" w:type="dxa"/>
            <w:tcMar/>
          </w:tcPr>
          <w:p w:rsidRPr="007D7C85" w:rsidR="00F93B60" w:rsidRDefault="001E2851" w14:paraId="1C4BC3A7" w14:textId="1BC74CC3">
            <w:pPr>
              <w:pStyle w:val="TableParagraph"/>
              <w:spacing w:line="247" w:lineRule="exact"/>
              <w:rPr>
                <w:rFonts w:ascii="Arial" w:hAnsi="Arial" w:cs="Arial"/>
              </w:rPr>
            </w:pPr>
            <w:r w:rsidRPr="007D7C85">
              <w:rPr>
                <w:rFonts w:ascii="Arial" w:hAnsi="Arial" w:cs="Arial"/>
              </w:rPr>
              <w:t>La consola de administración debe recibir alertas de brotes de amenazas globales para proteger la red y visualizar rápidamente los endpoints expuestos a dichas tácticas.</w:t>
            </w:r>
          </w:p>
        </w:tc>
      </w:tr>
      <w:tr w:rsidRPr="007D7C85" w:rsidR="00F93B60" w:rsidTr="383CB3A7" w14:paraId="0596D4F9" w14:textId="77777777">
        <w:trPr>
          <w:trHeight w:val="698"/>
        </w:trPr>
        <w:tc>
          <w:tcPr>
            <w:tcW w:w="9537" w:type="dxa"/>
            <w:tcMar/>
          </w:tcPr>
          <w:p w:rsidRPr="007D7C85" w:rsidR="00F93B60" w:rsidRDefault="001E2851" w14:paraId="633BBB8C" w14:textId="5C547332">
            <w:pPr>
              <w:pStyle w:val="TableParagraph"/>
              <w:spacing w:line="247" w:lineRule="exact"/>
              <w:rPr>
                <w:rFonts w:ascii="Arial" w:hAnsi="Arial" w:cs="Arial"/>
              </w:rPr>
            </w:pPr>
            <w:r w:rsidRPr="007D7C85">
              <w:rPr>
                <w:rFonts w:ascii="Arial" w:hAnsi="Arial" w:cs="Arial"/>
              </w:rPr>
              <w:t>Debe integrarse con el directorio activo de la Entidad para la identificación y correlación de usuarios y grupos en los eventos de seguridad.</w:t>
            </w:r>
          </w:p>
        </w:tc>
      </w:tr>
      <w:tr w:rsidRPr="007D7C85" w:rsidR="00F93B60" w:rsidTr="383CB3A7" w14:paraId="53A14347" w14:textId="77777777">
        <w:trPr>
          <w:trHeight w:val="949"/>
        </w:trPr>
        <w:tc>
          <w:tcPr>
            <w:tcW w:w="9537" w:type="dxa"/>
            <w:tcMar/>
          </w:tcPr>
          <w:p w:rsidRPr="007D7C85" w:rsidR="00F93B60" w:rsidRDefault="007F6CF1" w14:paraId="06750DDB" w14:textId="78ECA021">
            <w:pPr>
              <w:pStyle w:val="TableParagraph"/>
              <w:spacing w:line="247" w:lineRule="exact"/>
              <w:rPr>
                <w:rFonts w:ascii="Arial" w:hAnsi="Arial" w:cs="Arial"/>
              </w:rPr>
            </w:pPr>
            <w:r w:rsidRPr="007D7C85">
              <w:rPr>
                <w:rFonts w:ascii="Arial" w:hAnsi="Arial" w:cs="Arial"/>
              </w:rPr>
              <w:t>La solución debe proteger dispositivos Windows, Linux, soportando como mínimo los siguientes sistemas operativos:</w:t>
            </w:r>
            <w:r w:rsidRPr="007D7C85" w:rsidR="00DB4D78">
              <w:rPr>
                <w:rFonts w:ascii="Arial" w:hAnsi="Arial" w:cs="Arial"/>
              </w:rPr>
              <w:t xml:space="preserve"> </w:t>
            </w:r>
            <w:r w:rsidRPr="007D7C85">
              <w:rPr>
                <w:rFonts w:ascii="Arial" w:hAnsi="Arial" w:cs="Arial"/>
              </w:rPr>
              <w:t>Windows Server 20</w:t>
            </w:r>
            <w:r w:rsidRPr="007D7C85" w:rsidR="00DB4D78">
              <w:rPr>
                <w:rFonts w:ascii="Arial" w:hAnsi="Arial" w:cs="Arial"/>
              </w:rPr>
              <w:t>19 en adelante</w:t>
            </w:r>
            <w:r w:rsidRPr="007D7C85">
              <w:rPr>
                <w:rFonts w:ascii="Arial" w:hAnsi="Arial" w:cs="Arial"/>
              </w:rPr>
              <w:t xml:space="preserve"> o superior, o superior, Ubuntu 18.04 LTS o superior, superior, CentOS Stream 8/7.4 o superior</w:t>
            </w:r>
            <w:r w:rsidRPr="007D7C85" w:rsidR="00DB4D78">
              <w:rPr>
                <w:rFonts w:ascii="Arial" w:hAnsi="Arial" w:cs="Arial"/>
              </w:rPr>
              <w:t>.</w:t>
            </w:r>
          </w:p>
        </w:tc>
      </w:tr>
      <w:tr w:rsidRPr="007D7C85" w:rsidR="00882117" w:rsidTr="383CB3A7" w14:paraId="32B0F5B0" w14:textId="77777777">
        <w:trPr>
          <w:trHeight w:val="268"/>
        </w:trPr>
        <w:tc>
          <w:tcPr>
            <w:tcW w:w="9537" w:type="dxa"/>
            <w:tcMar/>
          </w:tcPr>
          <w:p w:rsidRPr="007D7C85" w:rsidR="00882117" w:rsidRDefault="00000000" w14:paraId="7F31C073" w14:textId="77777777">
            <w:pPr>
              <w:pStyle w:val="TableParagraph"/>
              <w:spacing w:line="248" w:lineRule="exact"/>
              <w:rPr>
                <w:rFonts w:ascii="Arial" w:hAnsi="Arial" w:cs="Arial"/>
                <w:b/>
              </w:rPr>
            </w:pPr>
            <w:r w:rsidRPr="007D7C85">
              <w:rPr>
                <w:rFonts w:ascii="Arial" w:hAnsi="Arial" w:cs="Arial"/>
                <w:b/>
              </w:rPr>
              <w:t>Especificaciones</w:t>
            </w:r>
            <w:r w:rsidRPr="007D7C85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7D7C85">
              <w:rPr>
                <w:rFonts w:ascii="Arial" w:hAnsi="Arial" w:cs="Arial"/>
                <w:b/>
              </w:rPr>
              <w:t>Técnicas</w:t>
            </w:r>
            <w:r w:rsidRPr="007D7C85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7D7C85">
              <w:rPr>
                <w:rFonts w:ascii="Arial" w:hAnsi="Arial" w:cs="Arial"/>
                <w:b/>
              </w:rPr>
              <w:t>del</w:t>
            </w:r>
            <w:r w:rsidRPr="007D7C85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7D7C85">
              <w:rPr>
                <w:rFonts w:ascii="Arial" w:hAnsi="Arial" w:cs="Arial"/>
                <w:b/>
                <w:spacing w:val="-2"/>
              </w:rPr>
              <w:t>agente</w:t>
            </w:r>
          </w:p>
        </w:tc>
      </w:tr>
      <w:tr w:rsidRPr="007D7C85" w:rsidR="00882117" w:rsidTr="383CB3A7" w14:paraId="659B585C" w14:textId="77777777">
        <w:trPr>
          <w:trHeight w:val="801"/>
        </w:trPr>
        <w:tc>
          <w:tcPr>
            <w:tcW w:w="9537" w:type="dxa"/>
            <w:tcMar/>
          </w:tcPr>
          <w:p w:rsidRPr="007D7C85" w:rsidR="00882117" w:rsidRDefault="007F6CF1" w14:paraId="04FFD502" w14:textId="058EBA66">
            <w:pPr>
              <w:pStyle w:val="TableParagraph"/>
              <w:spacing w:line="247" w:lineRule="exact"/>
              <w:rPr>
                <w:rFonts w:ascii="Arial" w:hAnsi="Arial" w:cs="Arial"/>
              </w:rPr>
            </w:pPr>
            <w:r w:rsidRPr="007D7C85">
              <w:rPr>
                <w:rFonts w:ascii="Arial" w:hAnsi="Arial" w:cs="Arial"/>
              </w:rPr>
              <w:t>La solución debe ser compatible con sistemas operativos Windows, incluyendo versiones soportadas activamente por el fabricante, como Windows Server 2016, 2019 y 2022, así como Windows 7 o superior en estaciones de trabajo.</w:t>
            </w:r>
          </w:p>
        </w:tc>
      </w:tr>
      <w:tr w:rsidRPr="007D7C85" w:rsidR="00882117" w:rsidTr="383CB3A7" w14:paraId="6FCC4B2F" w14:textId="77777777">
        <w:trPr>
          <w:trHeight w:val="533"/>
        </w:trPr>
        <w:tc>
          <w:tcPr>
            <w:tcW w:w="9537" w:type="dxa"/>
            <w:tcMar/>
          </w:tcPr>
          <w:p w:rsidRPr="007D7C85" w:rsidR="00882117" w:rsidRDefault="007F6CF1" w14:paraId="2AA7509C" w14:textId="78D8DC03">
            <w:pPr>
              <w:pStyle w:val="TableParagraph"/>
              <w:rPr>
                <w:rFonts w:ascii="Arial" w:hAnsi="Arial" w:cs="Arial"/>
              </w:rPr>
            </w:pPr>
            <w:r w:rsidRPr="007D7C85">
              <w:rPr>
                <w:rFonts w:ascii="Arial" w:hAnsi="Arial" w:cs="Arial"/>
              </w:rPr>
              <w:t>La solución debe ser compatible con sistemas operativos Linux, incluyendo distribuciones de RedHat Linux</w:t>
            </w:r>
            <w:r w:rsidRPr="007D7C85" w:rsidR="00DB4D78">
              <w:rPr>
                <w:rFonts w:ascii="Arial" w:hAnsi="Arial" w:cs="Arial"/>
              </w:rPr>
              <w:t xml:space="preserve"> desde versión 8 en adelante</w:t>
            </w:r>
            <w:r w:rsidRPr="007D7C85">
              <w:rPr>
                <w:rFonts w:ascii="Arial" w:hAnsi="Arial" w:cs="Arial"/>
              </w:rPr>
              <w:t>, Ubuntu</w:t>
            </w:r>
            <w:r w:rsidRPr="007D7C85" w:rsidR="00DB4D78">
              <w:rPr>
                <w:rFonts w:ascii="Arial" w:hAnsi="Arial" w:cs="Arial"/>
              </w:rPr>
              <w:t xml:space="preserve"> 22.04 en adelante</w:t>
            </w:r>
            <w:r w:rsidRPr="007D7C85">
              <w:rPr>
                <w:rFonts w:ascii="Arial" w:hAnsi="Arial" w:cs="Arial"/>
              </w:rPr>
              <w:t>, Oracle Linux</w:t>
            </w:r>
            <w:r w:rsidRPr="007D7C85" w:rsidR="00DB4D78">
              <w:rPr>
                <w:rFonts w:ascii="Arial" w:hAnsi="Arial" w:cs="Arial"/>
              </w:rPr>
              <w:t xml:space="preserve"> 8 en adelante</w:t>
            </w:r>
            <w:r w:rsidRPr="007D7C85">
              <w:rPr>
                <w:rFonts w:ascii="Arial" w:hAnsi="Arial" w:cs="Arial"/>
              </w:rPr>
              <w:t>.</w:t>
            </w:r>
          </w:p>
        </w:tc>
      </w:tr>
      <w:tr w:rsidRPr="007D7C85" w:rsidR="00882117" w:rsidTr="383CB3A7" w14:paraId="1BE5D503" w14:textId="77777777">
        <w:trPr>
          <w:trHeight w:val="534"/>
        </w:trPr>
        <w:tc>
          <w:tcPr>
            <w:tcW w:w="9537" w:type="dxa"/>
            <w:tcMar/>
          </w:tcPr>
          <w:p w:rsidRPr="007D7C85" w:rsidR="00882117" w:rsidRDefault="007F6CF1" w14:paraId="4B0BB9DB" w14:textId="09B680C0">
            <w:pPr>
              <w:pStyle w:val="TableParagraph"/>
              <w:rPr>
                <w:rFonts w:ascii="Arial" w:hAnsi="Arial" w:cs="Arial"/>
              </w:rPr>
            </w:pPr>
            <w:r w:rsidRPr="007D7C85">
              <w:rPr>
                <w:rFonts w:ascii="Arial" w:hAnsi="Arial" w:cs="Arial"/>
              </w:rPr>
              <w:t>El agente instalado debe tener bajo impacto en el rendimiento de los dispositivos, consumiendo recursos optimizados de memoria, CPU y almacenamiento para no afectar la operación normal de los usuarios.</w:t>
            </w:r>
          </w:p>
        </w:tc>
      </w:tr>
      <w:tr w:rsidRPr="007D7C85" w:rsidR="00882117" w:rsidTr="383CB3A7" w14:paraId="64482B94" w14:textId="77777777">
        <w:trPr>
          <w:trHeight w:val="534"/>
        </w:trPr>
        <w:tc>
          <w:tcPr>
            <w:tcW w:w="9537" w:type="dxa"/>
            <w:tcMar/>
          </w:tcPr>
          <w:p w:rsidRPr="007D7C85" w:rsidR="00882117" w:rsidRDefault="007F6CF1" w14:paraId="5B298E62" w14:textId="1E2013C3">
            <w:pPr>
              <w:pStyle w:val="TableParagraph"/>
              <w:rPr>
                <w:rFonts w:ascii="Arial" w:hAnsi="Arial" w:cs="Arial"/>
              </w:rPr>
            </w:pPr>
            <w:r w:rsidRPr="007D7C85">
              <w:rPr>
                <w:rFonts w:ascii="Arial" w:hAnsi="Arial" w:cs="Arial"/>
              </w:rPr>
              <w:t xml:space="preserve">La solución debe soportar despliegue masivo de agentes mediante </w:t>
            </w:r>
            <w:r w:rsidRPr="007D7C85" w:rsidR="00DB4D78">
              <w:rPr>
                <w:rFonts w:ascii="Arial" w:hAnsi="Arial" w:cs="Arial"/>
              </w:rPr>
              <w:t>gpo desde el directorio activo de la entidad</w:t>
            </w:r>
          </w:p>
        </w:tc>
      </w:tr>
      <w:tr w:rsidRPr="007D7C85" w:rsidR="00F3285F" w:rsidTr="383CB3A7" w14:paraId="5BA7C1E4" w14:textId="77777777">
        <w:trPr>
          <w:trHeight w:val="534"/>
        </w:trPr>
        <w:tc>
          <w:tcPr>
            <w:tcW w:w="9537" w:type="dxa"/>
            <w:tcMar/>
          </w:tcPr>
          <w:p w:rsidRPr="007D7C85" w:rsidR="00F3285F" w:rsidP="00F3285F" w:rsidRDefault="00F3285F" w14:paraId="140695A6" w14:textId="12094865">
            <w:pPr>
              <w:pStyle w:val="TableParagraph"/>
              <w:rPr>
                <w:rFonts w:ascii="Arial" w:hAnsi="Arial" w:cs="Arial"/>
              </w:rPr>
            </w:pPr>
            <w:r w:rsidRPr="007D7C85">
              <w:rPr>
                <w:rFonts w:ascii="Arial" w:hAnsi="Arial" w:cs="Arial"/>
              </w:rPr>
              <w:t>La solución debe permitir actualizaciones automáticas y transparentes del agente desde la consola de administración, sin interacción del usuario y sin requerir reinicio del dispositivo.</w:t>
            </w:r>
          </w:p>
        </w:tc>
      </w:tr>
      <w:tr w:rsidRPr="007D7C85" w:rsidR="00F3285F" w:rsidTr="383CB3A7" w14:paraId="47B2D6FE" w14:textId="77777777">
        <w:trPr>
          <w:trHeight w:val="534"/>
        </w:trPr>
        <w:tc>
          <w:tcPr>
            <w:tcW w:w="9537" w:type="dxa"/>
            <w:tcMar/>
          </w:tcPr>
          <w:p w:rsidRPr="007D7C85" w:rsidR="00F3285F" w:rsidP="00F3285F" w:rsidRDefault="00F3285F" w14:paraId="485388C5" w14:textId="092B16AC">
            <w:pPr>
              <w:pStyle w:val="TableParagraph"/>
              <w:rPr>
                <w:rFonts w:ascii="Arial" w:hAnsi="Arial" w:cs="Arial"/>
              </w:rPr>
            </w:pPr>
            <w:r w:rsidRPr="007D7C85">
              <w:rPr>
                <w:rFonts w:ascii="Arial" w:hAnsi="Arial" w:cs="Arial"/>
              </w:rPr>
              <w:t>El agente debe contar con mecanismos de protección “Anti-Tamper” (Anti-manipulación) que eviten su desinstalación, detención de servicios o modificación no autorizada por parte de usuarios locales o malware.</w:t>
            </w:r>
          </w:p>
        </w:tc>
      </w:tr>
      <w:tr w:rsidRPr="007D7C85" w:rsidR="00F3285F" w:rsidTr="383CB3A7" w14:paraId="512D8ACE" w14:textId="77777777">
        <w:trPr>
          <w:trHeight w:val="534"/>
        </w:trPr>
        <w:tc>
          <w:tcPr>
            <w:tcW w:w="9537" w:type="dxa"/>
            <w:tcMar/>
          </w:tcPr>
          <w:p w:rsidRPr="007D7C85" w:rsidR="00F3285F" w:rsidP="00F3285F" w:rsidRDefault="00F3285F" w14:paraId="0638EECB" w14:textId="55117F01">
            <w:pPr>
              <w:pStyle w:val="TableParagraph"/>
              <w:rPr>
                <w:rFonts w:ascii="Arial" w:hAnsi="Arial" w:cs="Arial"/>
              </w:rPr>
            </w:pPr>
            <w:r w:rsidRPr="007D7C85">
              <w:rPr>
                <w:rFonts w:ascii="Arial" w:hAnsi="Arial" w:cs="Arial"/>
              </w:rPr>
              <w:t>La solución debe permitir establecer contraseñas o tokens temporales de desinstalación generados desde la consola para desinstalar el agente en los dispositivos protegidos.</w:t>
            </w:r>
          </w:p>
        </w:tc>
      </w:tr>
      <w:tr w:rsidRPr="007D7C85" w:rsidR="00F3285F" w:rsidTr="383CB3A7" w14:paraId="68312187" w14:textId="77777777">
        <w:trPr>
          <w:trHeight w:val="534"/>
        </w:trPr>
        <w:tc>
          <w:tcPr>
            <w:tcW w:w="9537" w:type="dxa"/>
            <w:tcMar/>
          </w:tcPr>
          <w:p w:rsidRPr="007D7C85" w:rsidR="00F3285F" w:rsidP="00F3285F" w:rsidRDefault="00F3285F" w14:paraId="4C154CD3" w14:textId="1B421DE3">
            <w:pPr>
              <w:pStyle w:val="TableParagraph"/>
              <w:rPr>
                <w:rFonts w:ascii="Arial" w:hAnsi="Arial" w:cs="Arial"/>
              </w:rPr>
            </w:pPr>
            <w:r w:rsidRPr="007D7C85">
              <w:rPr>
                <w:rFonts w:ascii="Arial" w:hAnsi="Arial" w:cs="Arial"/>
              </w:rPr>
              <w:t>La solución debe permitir generar instaladores preconfigurados para despliegue en Windows o Linux según la política de la Entidad.</w:t>
            </w:r>
          </w:p>
        </w:tc>
      </w:tr>
      <w:tr w:rsidRPr="007D7C85" w:rsidR="00F3285F" w:rsidTr="383CB3A7" w14:paraId="40DD9558" w14:textId="77777777">
        <w:trPr>
          <w:trHeight w:val="534"/>
        </w:trPr>
        <w:tc>
          <w:tcPr>
            <w:tcW w:w="9537" w:type="dxa"/>
            <w:tcMar/>
          </w:tcPr>
          <w:p w:rsidRPr="007D7C85" w:rsidR="00F3285F" w:rsidP="00F3285F" w:rsidRDefault="00F3285F" w14:paraId="145CA2C8" w14:textId="52813CBE">
            <w:pPr>
              <w:pStyle w:val="TableParagraph"/>
              <w:rPr>
                <w:rFonts w:ascii="Arial" w:hAnsi="Arial" w:cs="Arial"/>
              </w:rPr>
            </w:pPr>
            <w:r w:rsidRPr="007D7C85">
              <w:rPr>
                <w:rFonts w:ascii="Arial" w:hAnsi="Arial" w:cs="Arial"/>
              </w:rPr>
              <w:t>En ausencia de conectividad a la red o a la consola, el agente debe mantener la capacidad de prevención y detección local en el endpoint y almacenar la telemetría en búfer local para su posterior sincronización al restablecer la conexión.</w:t>
            </w:r>
          </w:p>
        </w:tc>
      </w:tr>
      <w:tr w:rsidRPr="007D7C85" w:rsidR="00F3285F" w:rsidTr="383CB3A7" w14:paraId="4E96AF50" w14:textId="77777777">
        <w:trPr>
          <w:trHeight w:val="534"/>
        </w:trPr>
        <w:tc>
          <w:tcPr>
            <w:tcW w:w="9537" w:type="dxa"/>
            <w:tcMar/>
          </w:tcPr>
          <w:p w:rsidRPr="007D7C85" w:rsidR="00F3285F" w:rsidP="008E4FDC" w:rsidRDefault="00F3285F" w14:paraId="27A70C7C" w14:textId="27283858">
            <w:pPr>
              <w:pStyle w:val="TableParagraph"/>
              <w:jc w:val="center"/>
              <w:rPr>
                <w:rFonts w:ascii="Arial" w:hAnsi="Arial" w:cs="Arial"/>
              </w:rPr>
            </w:pPr>
            <w:r w:rsidRPr="007D7C85">
              <w:rPr>
                <w:rFonts w:ascii="Arial" w:hAnsi="Arial" w:cs="Arial"/>
                <w:b/>
              </w:rPr>
              <w:t>Especificaciones</w:t>
            </w:r>
            <w:r w:rsidRPr="007D7C85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7D7C85">
              <w:rPr>
                <w:rFonts w:ascii="Arial" w:hAnsi="Arial" w:cs="Arial"/>
                <w:b/>
              </w:rPr>
              <w:t>Consola</w:t>
            </w:r>
            <w:r w:rsidRPr="007D7C85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7D7C85">
              <w:rPr>
                <w:rFonts w:ascii="Arial" w:hAnsi="Arial" w:cs="Arial"/>
                <w:b/>
              </w:rPr>
              <w:t>de</w:t>
            </w:r>
            <w:r w:rsidRPr="007D7C85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7D7C85">
              <w:rPr>
                <w:rFonts w:ascii="Arial" w:hAnsi="Arial" w:cs="Arial"/>
                <w:b/>
                <w:spacing w:val="-2"/>
              </w:rPr>
              <w:t>Administración</w:t>
            </w:r>
          </w:p>
        </w:tc>
      </w:tr>
      <w:tr w:rsidRPr="007D7C85" w:rsidR="00F3285F" w:rsidTr="383CB3A7" w14:paraId="523E4F96" w14:textId="77777777">
        <w:trPr>
          <w:trHeight w:val="534"/>
        </w:trPr>
        <w:tc>
          <w:tcPr>
            <w:tcW w:w="9537" w:type="dxa"/>
            <w:tcMar/>
          </w:tcPr>
          <w:p w:rsidRPr="007D7C85" w:rsidR="00F3285F" w:rsidP="00F3285F" w:rsidRDefault="00F3285F" w14:paraId="03BBAF3C" w14:textId="0149F16B">
            <w:pPr>
              <w:pStyle w:val="TableParagraph"/>
              <w:rPr>
                <w:rFonts w:ascii="Arial" w:hAnsi="Arial" w:cs="Arial"/>
                <w:b/>
              </w:rPr>
            </w:pPr>
            <w:r w:rsidRPr="007D7C85">
              <w:rPr>
                <w:rFonts w:ascii="Arial" w:hAnsi="Arial" w:cs="Arial"/>
              </w:rPr>
              <w:t>La solución debe ser gestionada completamente en modalidad cloud (SaaS), sin requerimiento de infraestructura ni servidores adicionales en las instalaciones de la Entidad.</w:t>
            </w:r>
          </w:p>
        </w:tc>
      </w:tr>
      <w:tr w:rsidRPr="007D7C85" w:rsidR="00F3285F" w:rsidTr="383CB3A7" w14:paraId="16708F97" w14:textId="77777777">
        <w:trPr>
          <w:trHeight w:val="534"/>
        </w:trPr>
        <w:tc>
          <w:tcPr>
            <w:tcW w:w="9537" w:type="dxa"/>
            <w:tcMar/>
          </w:tcPr>
          <w:p w:rsidRPr="007D7C85" w:rsidR="00F3285F" w:rsidP="00F3285F" w:rsidRDefault="00F3285F" w14:paraId="3AE24B53" w14:textId="0CBF33EC">
            <w:pPr>
              <w:pStyle w:val="TableParagraph"/>
              <w:rPr>
                <w:rFonts w:ascii="Arial" w:hAnsi="Arial" w:cs="Arial"/>
                <w:b/>
              </w:rPr>
            </w:pPr>
            <w:r w:rsidRPr="007D7C85">
              <w:rPr>
                <w:rFonts w:ascii="Arial" w:hAnsi="Arial" w:cs="Arial"/>
              </w:rPr>
              <w:t>La consola de administración de la solución debe permitir la integración con servicios de directorio corporativo (Active Directory, LDAP) para garantizar la autenticación y control de acceso.</w:t>
            </w:r>
          </w:p>
        </w:tc>
      </w:tr>
      <w:tr w:rsidRPr="007D7C85" w:rsidR="00F3285F" w:rsidTr="383CB3A7" w14:paraId="24FBEA7B" w14:textId="77777777">
        <w:trPr>
          <w:trHeight w:val="534"/>
        </w:trPr>
        <w:tc>
          <w:tcPr>
            <w:tcW w:w="9537" w:type="dxa"/>
            <w:tcMar/>
          </w:tcPr>
          <w:p w:rsidRPr="007D7C85" w:rsidR="00F3285F" w:rsidP="00F3285F" w:rsidRDefault="00F3285F" w14:paraId="1D0A08AF" w14:textId="1E3791FF">
            <w:pPr>
              <w:pStyle w:val="TableParagraph"/>
              <w:rPr>
                <w:rFonts w:ascii="Arial" w:hAnsi="Arial" w:cs="Arial"/>
                <w:b/>
              </w:rPr>
            </w:pPr>
            <w:r w:rsidRPr="007D7C85">
              <w:rPr>
                <w:rFonts w:ascii="Arial" w:hAnsi="Arial" w:cs="Arial"/>
              </w:rPr>
              <w:t>La consola debe requerir el uso de autenticación multifactor (MFA/2FA) para el acceso de administradores y analistas.</w:t>
            </w:r>
          </w:p>
        </w:tc>
      </w:tr>
      <w:tr w:rsidRPr="007D7C85" w:rsidR="00F3285F" w:rsidTr="383CB3A7" w14:paraId="328326EC" w14:textId="77777777">
        <w:trPr>
          <w:trHeight w:val="534"/>
        </w:trPr>
        <w:tc>
          <w:tcPr>
            <w:tcW w:w="9537" w:type="dxa"/>
            <w:tcMar/>
          </w:tcPr>
          <w:p w:rsidRPr="007D7C85" w:rsidR="00F3285F" w:rsidP="00F3285F" w:rsidRDefault="00F3285F" w14:paraId="3436B9D0" w14:textId="54E89786">
            <w:pPr>
              <w:pStyle w:val="TableParagraph"/>
              <w:rPr>
                <w:rFonts w:ascii="Arial" w:hAnsi="Arial" w:cs="Arial"/>
                <w:b/>
              </w:rPr>
            </w:pPr>
            <w:r w:rsidRPr="007D7C85">
              <w:rPr>
                <w:rFonts w:ascii="Arial" w:hAnsi="Arial" w:cs="Arial"/>
              </w:rPr>
              <w:t>La solución debe permitir la integración nativa con servicios de actualización de inteligencia de amenazas (Threat Intelligence Feeds) de fabricantes o terceros para la correlación automática de IoCs.</w:t>
            </w:r>
          </w:p>
        </w:tc>
      </w:tr>
      <w:tr w:rsidRPr="007D7C85" w:rsidR="00F3285F" w:rsidTr="383CB3A7" w14:paraId="75C162F7" w14:textId="77777777">
        <w:trPr>
          <w:trHeight w:val="534"/>
        </w:trPr>
        <w:tc>
          <w:tcPr>
            <w:tcW w:w="9537" w:type="dxa"/>
            <w:tcMar/>
          </w:tcPr>
          <w:p w:rsidRPr="007D7C85" w:rsidR="00F3285F" w:rsidP="00F3285F" w:rsidRDefault="00F3285F" w14:paraId="7750E72B" w14:textId="7A09D47E">
            <w:pPr>
              <w:pStyle w:val="TableParagraph"/>
              <w:rPr>
                <w:rFonts w:ascii="Arial" w:hAnsi="Arial" w:cs="Arial"/>
                <w:b/>
              </w:rPr>
            </w:pPr>
            <w:r w:rsidRPr="007D7C85">
              <w:rPr>
                <w:rFonts w:ascii="Arial" w:hAnsi="Arial" w:cs="Arial"/>
              </w:rPr>
              <w:t>La consola debe permitir la visualización detallada y en tiempo real de los eventos de seguridad y telemetría registrada en los dispositivos protegidos.</w:t>
            </w:r>
          </w:p>
        </w:tc>
      </w:tr>
      <w:tr w:rsidRPr="007D7C85" w:rsidR="00F3285F" w:rsidTr="383CB3A7" w14:paraId="161CDE1D" w14:textId="77777777">
        <w:trPr>
          <w:trHeight w:val="534"/>
        </w:trPr>
        <w:tc>
          <w:tcPr>
            <w:tcW w:w="9537" w:type="dxa"/>
            <w:tcMar/>
          </w:tcPr>
          <w:p w:rsidRPr="007D7C85" w:rsidR="00F3285F" w:rsidP="00F3285F" w:rsidRDefault="00F3285F" w14:paraId="3F2C0086" w14:textId="6629E201">
            <w:pPr>
              <w:pStyle w:val="TableParagraph"/>
              <w:rPr>
                <w:rFonts w:ascii="Arial" w:hAnsi="Arial" w:cs="Arial"/>
                <w:b/>
              </w:rPr>
            </w:pPr>
            <w:r w:rsidRPr="007D7C85">
              <w:rPr>
                <w:rFonts w:ascii="Arial" w:hAnsi="Arial" w:cs="Arial"/>
              </w:rPr>
              <w:t>La consola debe permitir visualizar el estado de salud, conectividad y sincronización de los agentes instalados en los dispositivos.</w:t>
            </w:r>
          </w:p>
        </w:tc>
      </w:tr>
      <w:tr w:rsidRPr="007D7C85" w:rsidR="00F3285F" w:rsidTr="383CB3A7" w14:paraId="606C2FF1" w14:textId="77777777">
        <w:trPr>
          <w:trHeight w:val="534"/>
        </w:trPr>
        <w:tc>
          <w:tcPr>
            <w:tcW w:w="9537" w:type="dxa"/>
            <w:tcMar/>
          </w:tcPr>
          <w:p w:rsidRPr="007D7C85" w:rsidR="00F3285F" w:rsidP="00F3285F" w:rsidRDefault="00F3285F" w14:paraId="46A26E3F" w14:textId="6FD0207E">
            <w:pPr>
              <w:pStyle w:val="TableParagraph"/>
              <w:rPr>
                <w:rFonts w:ascii="Arial" w:hAnsi="Arial" w:cs="Arial"/>
                <w:b/>
              </w:rPr>
            </w:pPr>
            <w:r w:rsidRPr="007D7C85">
              <w:rPr>
                <w:rFonts w:ascii="Arial" w:hAnsi="Arial" w:cs="Arial"/>
              </w:rPr>
              <w:t>La consola debe permitir la activación, desactivación, actualización y desinstalación remota de los agentes instalados.</w:t>
            </w:r>
          </w:p>
        </w:tc>
      </w:tr>
      <w:tr w:rsidRPr="007D7C85" w:rsidR="00F3285F" w:rsidTr="383CB3A7" w14:paraId="7963A1CF" w14:textId="77777777">
        <w:trPr>
          <w:trHeight w:val="534"/>
        </w:trPr>
        <w:tc>
          <w:tcPr>
            <w:tcW w:w="9537" w:type="dxa"/>
            <w:tcMar/>
          </w:tcPr>
          <w:p w:rsidRPr="007D7C85" w:rsidR="00F3285F" w:rsidP="00F3285F" w:rsidRDefault="00F3285F" w14:paraId="65C60967" w14:textId="1E7B83B4">
            <w:pPr>
              <w:pStyle w:val="TableParagraph"/>
              <w:rPr>
                <w:rFonts w:ascii="Arial" w:hAnsi="Arial" w:cs="Arial"/>
                <w:b/>
              </w:rPr>
            </w:pPr>
            <w:r w:rsidRPr="007D7C85">
              <w:rPr>
                <w:rFonts w:ascii="Arial" w:hAnsi="Arial" w:cs="Arial"/>
              </w:rPr>
              <w:t>La consola debe permitir la creación de reportes ejecutivos y forenses que resuman el estado de riesgo, incidentes detectados y tendencias de amenazas.</w:t>
            </w:r>
          </w:p>
        </w:tc>
      </w:tr>
      <w:tr w:rsidRPr="007D7C85" w:rsidR="00F3285F" w:rsidTr="383CB3A7" w14:paraId="317937C2" w14:textId="77777777">
        <w:trPr>
          <w:trHeight w:val="534"/>
        </w:trPr>
        <w:tc>
          <w:tcPr>
            <w:tcW w:w="9537" w:type="dxa"/>
            <w:tcMar/>
          </w:tcPr>
          <w:p w:rsidRPr="007D7C85" w:rsidR="00F3285F" w:rsidP="00F3285F" w:rsidRDefault="00F3285F" w14:paraId="000DEE3D" w14:textId="037842AC">
            <w:pPr>
              <w:pStyle w:val="TableParagraph"/>
              <w:rPr>
                <w:rFonts w:ascii="Arial" w:hAnsi="Arial" w:cs="Arial"/>
                <w:b/>
              </w:rPr>
            </w:pPr>
            <w:r w:rsidRPr="007D7C85">
              <w:rPr>
                <w:rFonts w:ascii="Arial" w:hAnsi="Arial" w:cs="Arial"/>
              </w:rPr>
              <w:t>La consola debe permitir la creación de grupos de dispositivos con reglas y políticas de detección/respuesta independientes para cada grupo.</w:t>
            </w:r>
          </w:p>
        </w:tc>
      </w:tr>
      <w:tr w:rsidRPr="007D7C85" w:rsidR="00F3285F" w:rsidTr="383CB3A7" w14:paraId="728BC509" w14:textId="77777777">
        <w:trPr>
          <w:trHeight w:val="534"/>
        </w:trPr>
        <w:tc>
          <w:tcPr>
            <w:tcW w:w="9537" w:type="dxa"/>
            <w:tcMar/>
          </w:tcPr>
          <w:p w:rsidRPr="007D7C85" w:rsidR="00F3285F" w:rsidP="00F3285F" w:rsidRDefault="00F3285F" w14:paraId="0FB01E6C" w14:textId="37A26F64">
            <w:pPr>
              <w:pStyle w:val="TableParagraph"/>
              <w:rPr>
                <w:rFonts w:ascii="Arial" w:hAnsi="Arial" w:cs="Arial"/>
                <w:b/>
              </w:rPr>
            </w:pPr>
            <w:r w:rsidRPr="007D7C85">
              <w:rPr>
                <w:rFonts w:ascii="Arial" w:hAnsi="Arial" w:cs="Arial"/>
              </w:rPr>
              <w:t>La consola debe permitir la exportación de bitácoras y registros de eventos generados por los agentes.</w:t>
            </w:r>
          </w:p>
        </w:tc>
      </w:tr>
      <w:tr w:rsidRPr="007D7C85" w:rsidR="00F3285F" w:rsidTr="383CB3A7" w14:paraId="1C1FDD2B" w14:textId="77777777">
        <w:trPr>
          <w:trHeight w:val="534"/>
        </w:trPr>
        <w:tc>
          <w:tcPr>
            <w:tcW w:w="9537" w:type="dxa"/>
            <w:tcMar/>
          </w:tcPr>
          <w:p w:rsidRPr="007D7C85" w:rsidR="00F3285F" w:rsidP="00F3285F" w:rsidRDefault="00F3285F" w14:paraId="2B133D35" w14:textId="6D981DED">
            <w:pPr>
              <w:pStyle w:val="TableParagraph"/>
              <w:rPr>
                <w:rFonts w:ascii="Arial" w:hAnsi="Arial" w:cs="Arial"/>
                <w:b/>
              </w:rPr>
            </w:pPr>
            <w:r w:rsidRPr="007D7C85">
              <w:rPr>
                <w:rFonts w:ascii="Arial" w:hAnsi="Arial" w:cs="Arial"/>
              </w:rPr>
              <w:t>La consola debe permitir la creación de reportes de inventario de los agentes desplegados, incluyendo: dirección IP, hostname, sistema operativo, dirección MAC, versión del agente, estado y última conexión registrada.</w:t>
            </w:r>
          </w:p>
        </w:tc>
      </w:tr>
      <w:tr w:rsidRPr="007D7C85" w:rsidR="00F3285F" w:rsidTr="383CB3A7" w14:paraId="380FE206" w14:textId="77777777">
        <w:trPr>
          <w:trHeight w:val="534"/>
        </w:trPr>
        <w:tc>
          <w:tcPr>
            <w:tcW w:w="9537" w:type="dxa"/>
            <w:tcMar/>
          </w:tcPr>
          <w:p w:rsidRPr="007D7C85" w:rsidR="00F3285F" w:rsidP="00F3285F" w:rsidRDefault="00F3285F" w14:paraId="47DE592D" w14:textId="7FC0FBB0">
            <w:pPr>
              <w:pStyle w:val="TableParagraph"/>
              <w:rPr>
                <w:rFonts w:ascii="Arial" w:hAnsi="Arial" w:cs="Arial"/>
                <w:b/>
              </w:rPr>
            </w:pPr>
            <w:r w:rsidRPr="007D7C85">
              <w:rPr>
                <w:rFonts w:ascii="Arial" w:hAnsi="Arial" w:cs="Arial"/>
              </w:rPr>
              <w:t>La consola debe permitir la integración de un servidor SMTP externo para envío de alertas críticas por correo electrónico o integración vía Webhooks.</w:t>
            </w:r>
          </w:p>
        </w:tc>
      </w:tr>
      <w:tr w:rsidRPr="007D7C85" w:rsidR="00F3285F" w:rsidTr="383CB3A7" w14:paraId="32EFAF54" w14:textId="77777777">
        <w:trPr>
          <w:trHeight w:val="534"/>
        </w:trPr>
        <w:tc>
          <w:tcPr>
            <w:tcW w:w="9537" w:type="dxa"/>
            <w:tcMar/>
          </w:tcPr>
          <w:p w:rsidRPr="007D7C85" w:rsidR="00F3285F" w:rsidP="00F3285F" w:rsidRDefault="00F3285F" w14:paraId="544695DA" w14:textId="2984930A">
            <w:pPr>
              <w:pStyle w:val="TableParagraph"/>
              <w:rPr>
                <w:rFonts w:ascii="Arial" w:hAnsi="Arial" w:cs="Arial"/>
                <w:b/>
              </w:rPr>
            </w:pPr>
            <w:r w:rsidRPr="007D7C85">
              <w:rPr>
                <w:rFonts w:ascii="Arial" w:hAnsi="Arial" w:cs="Arial"/>
              </w:rPr>
              <w:t>La consola debe permitir la realización de auditorías de cambios (Audit Logs) sobre las acciones realizadas por administradores y analistas, con capacidad de exportación en formato CSV o JSON.</w:t>
            </w:r>
          </w:p>
        </w:tc>
      </w:tr>
      <w:tr w:rsidRPr="007D7C85" w:rsidR="00F3285F" w:rsidTr="383CB3A7" w14:paraId="6CF45AEB" w14:textId="77777777">
        <w:trPr>
          <w:trHeight w:val="534"/>
        </w:trPr>
        <w:tc>
          <w:tcPr>
            <w:tcW w:w="9537" w:type="dxa"/>
            <w:tcMar/>
          </w:tcPr>
          <w:p w:rsidRPr="007D7C85" w:rsidR="00F3285F" w:rsidP="00F3285F" w:rsidRDefault="00F3285F" w14:paraId="3964D962" w14:textId="5E09A319">
            <w:pPr>
              <w:pStyle w:val="TableParagraph"/>
              <w:rPr>
                <w:rFonts w:ascii="Arial" w:hAnsi="Arial" w:cs="Arial"/>
                <w:b/>
              </w:rPr>
            </w:pPr>
            <w:r w:rsidRPr="007D7C85">
              <w:rPr>
                <w:rFonts w:ascii="Arial" w:hAnsi="Arial" w:cs="Arial"/>
              </w:rPr>
              <w:t>La consola debe entregar información contextual de inteligencia de amenazas generada en la nube para apoyar la toma de decisiones e investigación de los incidentes detectados.</w:t>
            </w:r>
          </w:p>
        </w:tc>
      </w:tr>
      <w:tr w:rsidRPr="007D7C85" w:rsidR="00F3285F" w:rsidTr="383CB3A7" w14:paraId="68DE8238" w14:textId="77777777">
        <w:trPr>
          <w:trHeight w:val="534"/>
        </w:trPr>
        <w:tc>
          <w:tcPr>
            <w:tcW w:w="9537" w:type="dxa"/>
            <w:tcMar/>
          </w:tcPr>
          <w:p w:rsidRPr="007D7C85" w:rsidR="00F3285F" w:rsidP="00F3285F" w:rsidRDefault="00F3285F" w14:paraId="37CDAFD0" w14:textId="32C2E653">
            <w:pPr>
              <w:pStyle w:val="TableParagraph"/>
              <w:rPr>
                <w:rFonts w:ascii="Arial" w:hAnsi="Arial" w:cs="Arial"/>
                <w:b/>
              </w:rPr>
            </w:pPr>
            <w:r w:rsidRPr="007D7C85">
              <w:rPr>
                <w:rFonts w:ascii="Arial" w:hAnsi="Arial" w:cs="Arial"/>
              </w:rPr>
              <w:t>La consola debe permitir a los administradores gestionar el ciclo de vida de las alertas (asignación, severidad, estado, notas de investigación) y configurar reglas de exclusión/blanqueo basadas en comportamiento para reducir falsos positivos.</w:t>
            </w:r>
          </w:p>
        </w:tc>
      </w:tr>
      <w:tr w:rsidRPr="007D7C85" w:rsidR="00110992" w:rsidTr="383CB3A7" w14:paraId="552712A4" w14:textId="77777777">
        <w:trPr>
          <w:trHeight w:val="534"/>
        </w:trPr>
        <w:tc>
          <w:tcPr>
            <w:tcW w:w="9537" w:type="dxa"/>
            <w:tcMar/>
          </w:tcPr>
          <w:p w:rsidRPr="007D7C85" w:rsidR="00110992" w:rsidP="008F328C" w:rsidRDefault="00110992" w14:paraId="1D3D565E" w14:textId="041C08BC">
            <w:pPr>
              <w:pStyle w:val="Textoindependiente"/>
              <w:spacing w:before="47"/>
              <w:jc w:val="center"/>
              <w:rPr>
                <w:rFonts w:ascii="Arial" w:hAnsi="Arial" w:cs="Arial"/>
                <w:b/>
                <w:bCs/>
                <w:lang w:val="es-CO"/>
              </w:rPr>
            </w:pPr>
            <w:r w:rsidRPr="007D7C85">
              <w:rPr>
                <w:rFonts w:ascii="Arial" w:hAnsi="Arial" w:cs="Arial"/>
                <w:b/>
                <w:bCs/>
                <w:lang w:val="es-CO"/>
              </w:rPr>
              <w:t>Integración nativa con la infraestructura de ciberseguridad existente</w:t>
            </w:r>
          </w:p>
        </w:tc>
      </w:tr>
      <w:tr w:rsidRPr="007D7C85" w:rsidR="00110992" w:rsidTr="383CB3A7" w14:paraId="78A73A9E" w14:textId="77777777">
        <w:trPr>
          <w:trHeight w:val="534"/>
        </w:trPr>
        <w:tc>
          <w:tcPr>
            <w:tcW w:w="9537" w:type="dxa"/>
            <w:tcMar/>
          </w:tcPr>
          <w:p w:rsidRPr="007D7C85" w:rsidR="00110992" w:rsidP="00110992" w:rsidRDefault="00110992" w14:paraId="76EAE3AA" w14:textId="77777777">
            <w:pPr>
              <w:pStyle w:val="Textoindependiente"/>
              <w:spacing w:before="47"/>
              <w:jc w:val="both"/>
              <w:rPr>
                <w:rFonts w:ascii="Arial" w:hAnsi="Arial" w:cs="Arial"/>
                <w:lang w:val="es-CO"/>
              </w:rPr>
            </w:pPr>
            <w:r w:rsidRPr="007D7C85">
              <w:rPr>
                <w:rFonts w:ascii="Arial" w:hAnsi="Arial" w:cs="Arial"/>
                <w:lang w:val="es-CO"/>
              </w:rPr>
              <w:t xml:space="preserve">La solución EDR deberá integrarse de manera nativa, directa y bidireccional con la plataforma de seguridad actualmente implementada por el Jardín Botánico, incluyendo sus firewalls de próxima generación (FortiGate), Switch (Fortiswitch) servicios de inteligencia de amenazas (FortiGuard), mecanismos de análisis y herramientas de administración pertenecientes al ecosistema tecnológico existente. Esta integración deberá permitir, sin necesidad de intermediarios, middleware, gateways, desarrollos personalizados, conectores de terceros o plataformas adicionales, el intercambio automático y en tiempo real de indicadores de compromiso (IOC), direcciones IP maliciosas, dominios, archivos, hashes, eventos de seguridad e información de postura de los endpoints, así como habilitar acciones coordinadas de respuesta tales como bloqueo de comunicaciones maliciosas, aislamiento de equipos comprometidos, actualización dinámica de políticas y contención automatizada de amenazas. </w:t>
            </w:r>
          </w:p>
          <w:p w:rsidRPr="007D7C85" w:rsidR="00110992" w:rsidP="00347C57" w:rsidRDefault="00110992" w14:paraId="5D03DFA2" w14:textId="403BADD6">
            <w:pPr>
              <w:pStyle w:val="Textoindependiente"/>
              <w:spacing w:before="47"/>
              <w:jc w:val="both"/>
              <w:rPr>
                <w:rFonts w:ascii="Arial" w:hAnsi="Arial" w:cs="Arial"/>
                <w:lang w:val="es-CO"/>
              </w:rPr>
            </w:pPr>
            <w:r w:rsidRPr="007D7C85">
              <w:rPr>
                <w:rFonts w:ascii="Arial" w:hAnsi="Arial" w:cs="Arial"/>
                <w:lang w:val="es-CO"/>
              </w:rPr>
              <w:t>La solución deberá consultar y compartir la misma inteligencia de amenazas utilizada por la infraestructura de seguridad actualmente instalada (FortiGuard), con el propósito de mantener una arquitectura de protección unificada, reducir los tiempos de detección y respuesta y garantizar la interoperabilidad y continuidad tecnológica de los controles existentes.</w:t>
            </w:r>
          </w:p>
        </w:tc>
      </w:tr>
      <w:tr w:rsidRPr="007D7C85" w:rsidR="00A201EE" w:rsidTr="383CB3A7" w14:paraId="716E3546" w14:textId="77777777">
        <w:trPr>
          <w:trHeight w:val="534"/>
        </w:trPr>
        <w:tc>
          <w:tcPr>
            <w:tcW w:w="9537" w:type="dxa"/>
            <w:tcMar/>
            <w:vAlign w:val="center"/>
          </w:tcPr>
          <w:p w:rsidRPr="007D7C85" w:rsidR="00A201EE" w:rsidP="008F328C" w:rsidRDefault="00A201EE" w14:paraId="53D36FA0" w14:textId="434CAD06">
            <w:pPr>
              <w:pStyle w:val="Textoindependiente"/>
              <w:spacing w:before="47"/>
              <w:jc w:val="center"/>
              <w:rPr>
                <w:rFonts w:ascii="Arial" w:hAnsi="Arial" w:cs="Arial"/>
                <w:lang w:val="es-CO"/>
              </w:rPr>
            </w:pPr>
            <w:r w:rsidRPr="007D7C85">
              <w:rPr>
                <w:rFonts w:ascii="Arial" w:hAnsi="Arial" w:cs="Arial"/>
                <w:b/>
                <w:bCs/>
                <w:lang w:val="es-CO"/>
              </w:rPr>
              <w:t>Instalación y soporte técnico</w:t>
            </w:r>
          </w:p>
        </w:tc>
      </w:tr>
      <w:tr w:rsidRPr="007D7C85" w:rsidR="00A201EE" w:rsidTr="383CB3A7" w14:paraId="2FE36AF5" w14:textId="77777777">
        <w:trPr>
          <w:trHeight w:val="534"/>
        </w:trPr>
        <w:tc>
          <w:tcPr>
            <w:tcW w:w="9537" w:type="dxa"/>
            <w:tcMar/>
          </w:tcPr>
          <w:p w:rsidRPr="007D7C85" w:rsidR="00A201EE" w:rsidP="00110992" w:rsidRDefault="00A201EE" w14:paraId="2D4AF69B" w14:textId="28561651">
            <w:pPr>
              <w:pStyle w:val="Textoindependiente"/>
              <w:spacing w:before="47"/>
              <w:jc w:val="both"/>
              <w:rPr>
                <w:rFonts w:ascii="Arial" w:hAnsi="Arial" w:cs="Arial"/>
                <w:b w:val="1"/>
                <w:bCs w:val="1"/>
                <w:lang w:val="es-CO"/>
              </w:rPr>
            </w:pPr>
            <w:r w:rsidRPr="383CB3A7" w:rsidR="7423BFA8">
              <w:rPr>
                <w:rFonts w:ascii="Arial" w:hAnsi="Arial" w:cs="Arial"/>
                <w:lang w:val="es-CO"/>
              </w:rPr>
              <w:t xml:space="preserve">Realizar la instalación, configuración y puesta en funcionamiento de la solución de Detección y Respuesta para </w:t>
            </w:r>
            <w:r w:rsidRPr="383CB3A7" w:rsidR="7423BFA8">
              <w:rPr>
                <w:rFonts w:ascii="Arial" w:hAnsi="Arial" w:cs="Arial"/>
                <w:lang w:val="es-CO"/>
              </w:rPr>
              <w:t>Endpoints</w:t>
            </w:r>
            <w:r w:rsidRPr="383CB3A7" w:rsidR="7423BFA8">
              <w:rPr>
                <w:rFonts w:ascii="Arial" w:hAnsi="Arial" w:cs="Arial"/>
                <w:lang w:val="es-CO"/>
              </w:rPr>
              <w:t xml:space="preserve"> (EDR), a través de personal técnico que cuente con conocimiento y experiencia en la solución ofertada, de conformidad con las especificaciones técnicas mínimas exigidas. Así mismo, brindar el soporte y la asistencia técnic</w:t>
            </w:r>
            <w:r w:rsidRPr="383CB3A7" w:rsidR="37DA53D6">
              <w:rPr>
                <w:rFonts w:ascii="Arial" w:hAnsi="Arial" w:cs="Arial"/>
                <w:lang w:val="es-CO"/>
              </w:rPr>
              <w:t>a</w:t>
            </w:r>
            <w:r w:rsidRPr="383CB3A7" w:rsidR="7423BFA8">
              <w:rPr>
                <w:rFonts w:ascii="Arial" w:hAnsi="Arial" w:cs="Arial"/>
                <w:lang w:val="es-CO"/>
              </w:rPr>
              <w:t xml:space="preserve"> requeridos durante la vigencia de doce (12) meses de la suscripción, contados a partir de su activación, de acuerdo con las condiciones establecidas en la obligación específica correspondiente</w:t>
            </w:r>
          </w:p>
        </w:tc>
      </w:tr>
    </w:tbl>
    <w:p w:rsidR="005B0F25" w:rsidP="005B0F25" w:rsidRDefault="005B0F25" w14:paraId="0DA4F1EC" w14:textId="77777777">
      <w:pPr>
        <w:rPr>
          <w:rFonts w:ascii="Arial" w:hAnsi="Arial" w:cs="Arial"/>
          <w:lang w:val="es-CO"/>
        </w:rPr>
      </w:pPr>
    </w:p>
    <w:p w:rsidRPr="007D7C85" w:rsidR="00CA5B68" w:rsidP="005B0F25" w:rsidRDefault="00CA5B68" w14:paraId="34E048F3" w14:textId="77777777">
      <w:pPr>
        <w:rPr>
          <w:rFonts w:ascii="Arial" w:hAnsi="Arial" w:cs="Arial"/>
          <w:lang w:val="es-CO"/>
        </w:rPr>
      </w:pPr>
    </w:p>
    <w:p w:rsidRPr="007D7C85" w:rsidR="00882117" w:rsidP="003D19DC" w:rsidRDefault="00000000" w14:paraId="5EBF31DD" w14:textId="420B3473">
      <w:pPr>
        <w:pStyle w:val="Ttulo2"/>
        <w:numPr>
          <w:ilvl w:val="0"/>
          <w:numId w:val="10"/>
        </w:numPr>
        <w:tabs>
          <w:tab w:val="left" w:pos="1086"/>
        </w:tabs>
        <w:spacing w:before="42"/>
        <w:rPr>
          <w:rFonts w:ascii="Arial" w:hAnsi="Arial" w:cs="Arial"/>
        </w:rPr>
      </w:pPr>
      <w:r w:rsidRPr="007D7C85">
        <w:rPr>
          <w:rFonts w:ascii="Arial" w:hAnsi="Arial" w:cs="Arial"/>
        </w:rPr>
        <w:t>Certificación</w:t>
      </w:r>
      <w:r w:rsidRPr="007D7C85">
        <w:rPr>
          <w:rFonts w:ascii="Arial" w:hAnsi="Arial" w:cs="Arial"/>
          <w:spacing w:val="-8"/>
        </w:rPr>
        <w:t xml:space="preserve"> </w:t>
      </w:r>
      <w:r w:rsidRPr="007D7C85">
        <w:rPr>
          <w:rFonts w:ascii="Arial" w:hAnsi="Arial" w:cs="Arial"/>
        </w:rPr>
        <w:t>de</w:t>
      </w:r>
      <w:r w:rsidRPr="007D7C85">
        <w:rPr>
          <w:rFonts w:ascii="Arial" w:hAnsi="Arial" w:cs="Arial"/>
          <w:spacing w:val="-5"/>
        </w:rPr>
        <w:t xml:space="preserve"> </w:t>
      </w:r>
      <w:r w:rsidRPr="007D7C85">
        <w:rPr>
          <w:rFonts w:ascii="Arial" w:hAnsi="Arial" w:cs="Arial"/>
          <w:spacing w:val="-2"/>
        </w:rPr>
        <w:t>Partner:</w:t>
      </w:r>
    </w:p>
    <w:p w:rsidRPr="007D7C85" w:rsidR="00785AAB" w:rsidP="00785AAB" w:rsidRDefault="00785AAB" w14:paraId="1A4616AD" w14:textId="77777777">
      <w:pPr>
        <w:jc w:val="both"/>
        <w:rPr>
          <w:rFonts w:ascii="Arial" w:hAnsi="Arial" w:cs="Arial"/>
          <w:bCs/>
          <w:lang w:val="es-CO"/>
        </w:rPr>
      </w:pPr>
    </w:p>
    <w:p w:rsidRPr="007D7C85" w:rsidR="00785AAB" w:rsidP="00785AAB" w:rsidRDefault="00785AAB" w14:paraId="0DE09BDB" w14:textId="61227912">
      <w:pPr>
        <w:jc w:val="both"/>
        <w:rPr>
          <w:rFonts w:ascii="Arial" w:hAnsi="Arial" w:cs="Arial"/>
          <w:bCs/>
          <w:lang w:val="es-CO"/>
        </w:rPr>
      </w:pPr>
      <w:r w:rsidRPr="007D7C85">
        <w:rPr>
          <w:rFonts w:ascii="Arial" w:hAnsi="Arial" w:cs="Arial"/>
          <w:bCs/>
          <w:lang w:val="es-CO"/>
        </w:rPr>
        <w:t xml:space="preserve">El oferente deberá acreditar que es </w:t>
      </w:r>
      <w:r w:rsidRPr="007D7C85">
        <w:rPr>
          <w:rFonts w:ascii="Arial" w:hAnsi="Arial" w:cs="Arial"/>
          <w:lang w:val="es-CO"/>
        </w:rPr>
        <w:t xml:space="preserve">Partner o canal autorizado por el fabricante de la solución EDR ofertada </w:t>
      </w:r>
      <w:r w:rsidRPr="007D7C85">
        <w:rPr>
          <w:rFonts w:ascii="Arial" w:hAnsi="Arial" w:cs="Arial"/>
        </w:rPr>
        <w:t>y estar en capacidad técnica de configurar, mantener y dar soporte técnico sobre la misma</w:t>
      </w:r>
      <w:r w:rsidRPr="007D7C85">
        <w:rPr>
          <w:rFonts w:ascii="Arial" w:hAnsi="Arial" w:cs="Arial"/>
          <w:bCs/>
          <w:lang w:val="es-CO"/>
        </w:rPr>
        <w:t>. Por lo tanto, deberá presentar certificación expedida por el fabricante que acredite dicha condición. Este documento debe ser expedido por el fabricante con fecha no mayor a 30 días previos a la presentación de la propuesta y dirigido a la entidad.</w:t>
      </w:r>
    </w:p>
    <w:p w:rsidRPr="007D7C85" w:rsidR="00785AAB" w:rsidP="007F6CF1" w:rsidRDefault="00785AAB" w14:paraId="21F39FCC" w14:textId="77777777">
      <w:pPr>
        <w:pStyle w:val="Textoindependiente"/>
        <w:spacing w:line="259" w:lineRule="auto"/>
        <w:ind w:left="622" w:right="613"/>
        <w:jc w:val="both"/>
        <w:rPr>
          <w:rFonts w:ascii="Arial" w:hAnsi="Arial" w:cs="Arial"/>
        </w:rPr>
      </w:pPr>
    </w:p>
    <w:sectPr w:rsidRPr="007D7C85" w:rsidR="00785AAB">
      <w:headerReference w:type="default" r:id="rId8"/>
      <w:pgSz w:w="12240" w:h="15840" w:orient="portrait"/>
      <w:pgMar w:top="1440" w:right="1080" w:bottom="280" w:left="1080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67756" w:rsidRDefault="00067756" w14:paraId="79DC7DE7" w14:textId="77777777">
      <w:r>
        <w:separator/>
      </w:r>
    </w:p>
  </w:endnote>
  <w:endnote w:type="continuationSeparator" w:id="0">
    <w:p w:rsidR="00067756" w:rsidRDefault="00067756" w14:paraId="42704DAB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67756" w:rsidRDefault="00067756" w14:paraId="714C9F56" w14:textId="77777777">
      <w:r>
        <w:separator/>
      </w:r>
    </w:p>
  </w:footnote>
  <w:footnote w:type="continuationSeparator" w:id="0">
    <w:p w:rsidR="00067756" w:rsidRDefault="00067756" w14:paraId="6FA9D8DA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882117" w:rsidRDefault="00000000" w14:paraId="5E4050F6" w14:textId="77777777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8240" behindDoc="1" locked="0" layoutInCell="1" allowOverlap="1" wp14:anchorId="65E91543" wp14:editId="39E18A20">
          <wp:simplePos x="0" y="0"/>
          <wp:positionH relativeFrom="page">
            <wp:posOffset>3120014</wp:posOffset>
          </wp:positionH>
          <wp:positionV relativeFrom="page">
            <wp:posOffset>467959</wp:posOffset>
          </wp:positionV>
          <wp:extent cx="1532116" cy="450286"/>
          <wp:effectExtent l="0" t="0" r="0" b="0"/>
          <wp:wrapNone/>
          <wp:docPr id="808594616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32116" cy="4502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35A35"/>
    <w:multiLevelType w:val="hybridMultilevel"/>
    <w:tmpl w:val="BDC4B6EE"/>
    <w:lvl w:ilvl="0" w:tplc="59B8400C"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0641256">
      <w:numFmt w:val="bullet"/>
      <w:lvlText w:val="•"/>
      <w:lvlJc w:val="left"/>
      <w:pPr>
        <w:ind w:left="1690" w:hanging="360"/>
      </w:pPr>
      <w:rPr>
        <w:rFonts w:hint="default"/>
        <w:lang w:val="es-ES" w:eastAsia="en-US" w:bidi="ar-SA"/>
      </w:rPr>
    </w:lvl>
    <w:lvl w:ilvl="2" w:tplc="AC34BDD0">
      <w:numFmt w:val="bullet"/>
      <w:lvlText w:val="•"/>
      <w:lvlJc w:val="left"/>
      <w:pPr>
        <w:ind w:left="2561" w:hanging="360"/>
      </w:pPr>
      <w:rPr>
        <w:rFonts w:hint="default"/>
        <w:lang w:val="es-ES" w:eastAsia="en-US" w:bidi="ar-SA"/>
      </w:rPr>
    </w:lvl>
    <w:lvl w:ilvl="3" w:tplc="6AA01B66">
      <w:numFmt w:val="bullet"/>
      <w:lvlText w:val="•"/>
      <w:lvlJc w:val="left"/>
      <w:pPr>
        <w:ind w:left="3432" w:hanging="360"/>
      </w:pPr>
      <w:rPr>
        <w:rFonts w:hint="default"/>
        <w:lang w:val="es-ES" w:eastAsia="en-US" w:bidi="ar-SA"/>
      </w:rPr>
    </w:lvl>
    <w:lvl w:ilvl="4" w:tplc="98AEC18E">
      <w:numFmt w:val="bullet"/>
      <w:lvlText w:val="•"/>
      <w:lvlJc w:val="left"/>
      <w:pPr>
        <w:ind w:left="4302" w:hanging="360"/>
      </w:pPr>
      <w:rPr>
        <w:rFonts w:hint="default"/>
        <w:lang w:val="es-ES" w:eastAsia="en-US" w:bidi="ar-SA"/>
      </w:rPr>
    </w:lvl>
    <w:lvl w:ilvl="5" w:tplc="D602ADAC">
      <w:numFmt w:val="bullet"/>
      <w:lvlText w:val="•"/>
      <w:lvlJc w:val="left"/>
      <w:pPr>
        <w:ind w:left="5173" w:hanging="360"/>
      </w:pPr>
      <w:rPr>
        <w:rFonts w:hint="default"/>
        <w:lang w:val="es-ES" w:eastAsia="en-US" w:bidi="ar-SA"/>
      </w:rPr>
    </w:lvl>
    <w:lvl w:ilvl="6" w:tplc="39D87312">
      <w:numFmt w:val="bullet"/>
      <w:lvlText w:val="•"/>
      <w:lvlJc w:val="left"/>
      <w:pPr>
        <w:ind w:left="6044" w:hanging="360"/>
      </w:pPr>
      <w:rPr>
        <w:rFonts w:hint="default"/>
        <w:lang w:val="es-ES" w:eastAsia="en-US" w:bidi="ar-SA"/>
      </w:rPr>
    </w:lvl>
    <w:lvl w:ilvl="7" w:tplc="0E1A74BA">
      <w:numFmt w:val="bullet"/>
      <w:lvlText w:val="•"/>
      <w:lvlJc w:val="left"/>
      <w:pPr>
        <w:ind w:left="6914" w:hanging="360"/>
      </w:pPr>
      <w:rPr>
        <w:rFonts w:hint="default"/>
        <w:lang w:val="es-ES" w:eastAsia="en-US" w:bidi="ar-SA"/>
      </w:rPr>
    </w:lvl>
    <w:lvl w:ilvl="8" w:tplc="8D7445CC">
      <w:numFmt w:val="bullet"/>
      <w:lvlText w:val="•"/>
      <w:lvlJc w:val="left"/>
      <w:pPr>
        <w:ind w:left="7785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33D5C86"/>
    <w:multiLevelType w:val="hybridMultilevel"/>
    <w:tmpl w:val="03C01B10"/>
    <w:lvl w:ilvl="0" w:tplc="C59C7A5E">
      <w:start w:val="1"/>
      <w:numFmt w:val="decimal"/>
      <w:lvlText w:val="%1."/>
      <w:lvlJc w:val="left"/>
      <w:pPr>
        <w:ind w:left="720" w:hanging="360"/>
      </w:pPr>
      <w:rPr>
        <w:rFonts w:hint="default" w:hAnsi="Times New Roman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56357F"/>
    <w:multiLevelType w:val="multilevel"/>
    <w:tmpl w:val="1C728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176D65F1"/>
    <w:multiLevelType w:val="hybridMultilevel"/>
    <w:tmpl w:val="3E84A2B0"/>
    <w:lvl w:ilvl="0" w:tplc="A20E9B1C"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024EE096">
      <w:numFmt w:val="bullet"/>
      <w:lvlText w:val="•"/>
      <w:lvlJc w:val="left"/>
      <w:pPr>
        <w:ind w:left="1690" w:hanging="360"/>
      </w:pPr>
      <w:rPr>
        <w:rFonts w:hint="default"/>
        <w:lang w:val="es-ES" w:eastAsia="en-US" w:bidi="ar-SA"/>
      </w:rPr>
    </w:lvl>
    <w:lvl w:ilvl="2" w:tplc="6D7A3DD8">
      <w:numFmt w:val="bullet"/>
      <w:lvlText w:val="•"/>
      <w:lvlJc w:val="left"/>
      <w:pPr>
        <w:ind w:left="2561" w:hanging="360"/>
      </w:pPr>
      <w:rPr>
        <w:rFonts w:hint="default"/>
        <w:lang w:val="es-ES" w:eastAsia="en-US" w:bidi="ar-SA"/>
      </w:rPr>
    </w:lvl>
    <w:lvl w:ilvl="3" w:tplc="F228908A">
      <w:numFmt w:val="bullet"/>
      <w:lvlText w:val="•"/>
      <w:lvlJc w:val="left"/>
      <w:pPr>
        <w:ind w:left="3432" w:hanging="360"/>
      </w:pPr>
      <w:rPr>
        <w:rFonts w:hint="default"/>
        <w:lang w:val="es-ES" w:eastAsia="en-US" w:bidi="ar-SA"/>
      </w:rPr>
    </w:lvl>
    <w:lvl w:ilvl="4" w:tplc="A760A4BA">
      <w:numFmt w:val="bullet"/>
      <w:lvlText w:val="•"/>
      <w:lvlJc w:val="left"/>
      <w:pPr>
        <w:ind w:left="4302" w:hanging="360"/>
      </w:pPr>
      <w:rPr>
        <w:rFonts w:hint="default"/>
        <w:lang w:val="es-ES" w:eastAsia="en-US" w:bidi="ar-SA"/>
      </w:rPr>
    </w:lvl>
    <w:lvl w:ilvl="5" w:tplc="1A3E2A96">
      <w:numFmt w:val="bullet"/>
      <w:lvlText w:val="•"/>
      <w:lvlJc w:val="left"/>
      <w:pPr>
        <w:ind w:left="5173" w:hanging="360"/>
      </w:pPr>
      <w:rPr>
        <w:rFonts w:hint="default"/>
        <w:lang w:val="es-ES" w:eastAsia="en-US" w:bidi="ar-SA"/>
      </w:rPr>
    </w:lvl>
    <w:lvl w:ilvl="6" w:tplc="3E582406">
      <w:numFmt w:val="bullet"/>
      <w:lvlText w:val="•"/>
      <w:lvlJc w:val="left"/>
      <w:pPr>
        <w:ind w:left="6044" w:hanging="360"/>
      </w:pPr>
      <w:rPr>
        <w:rFonts w:hint="default"/>
        <w:lang w:val="es-ES" w:eastAsia="en-US" w:bidi="ar-SA"/>
      </w:rPr>
    </w:lvl>
    <w:lvl w:ilvl="7" w:tplc="4B6821D6">
      <w:numFmt w:val="bullet"/>
      <w:lvlText w:val="•"/>
      <w:lvlJc w:val="left"/>
      <w:pPr>
        <w:ind w:left="6914" w:hanging="360"/>
      </w:pPr>
      <w:rPr>
        <w:rFonts w:hint="default"/>
        <w:lang w:val="es-ES" w:eastAsia="en-US" w:bidi="ar-SA"/>
      </w:rPr>
    </w:lvl>
    <w:lvl w:ilvl="8" w:tplc="66A897B6">
      <w:numFmt w:val="bullet"/>
      <w:lvlText w:val="•"/>
      <w:lvlJc w:val="left"/>
      <w:pPr>
        <w:ind w:left="7785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20B921B1"/>
    <w:multiLevelType w:val="hybridMultilevel"/>
    <w:tmpl w:val="60B8E290"/>
    <w:lvl w:ilvl="0" w:tplc="390E16DC"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6583DC0">
      <w:numFmt w:val="bullet"/>
      <w:lvlText w:val="•"/>
      <w:lvlJc w:val="left"/>
      <w:pPr>
        <w:ind w:left="1690" w:hanging="360"/>
      </w:pPr>
      <w:rPr>
        <w:rFonts w:hint="default"/>
        <w:lang w:val="es-ES" w:eastAsia="en-US" w:bidi="ar-SA"/>
      </w:rPr>
    </w:lvl>
    <w:lvl w:ilvl="2" w:tplc="4392C63C">
      <w:numFmt w:val="bullet"/>
      <w:lvlText w:val="•"/>
      <w:lvlJc w:val="left"/>
      <w:pPr>
        <w:ind w:left="2561" w:hanging="360"/>
      </w:pPr>
      <w:rPr>
        <w:rFonts w:hint="default"/>
        <w:lang w:val="es-ES" w:eastAsia="en-US" w:bidi="ar-SA"/>
      </w:rPr>
    </w:lvl>
    <w:lvl w:ilvl="3" w:tplc="665E93BC">
      <w:numFmt w:val="bullet"/>
      <w:lvlText w:val="•"/>
      <w:lvlJc w:val="left"/>
      <w:pPr>
        <w:ind w:left="3432" w:hanging="360"/>
      </w:pPr>
      <w:rPr>
        <w:rFonts w:hint="default"/>
        <w:lang w:val="es-ES" w:eastAsia="en-US" w:bidi="ar-SA"/>
      </w:rPr>
    </w:lvl>
    <w:lvl w:ilvl="4" w:tplc="2ECC8E30">
      <w:numFmt w:val="bullet"/>
      <w:lvlText w:val="•"/>
      <w:lvlJc w:val="left"/>
      <w:pPr>
        <w:ind w:left="4302" w:hanging="360"/>
      </w:pPr>
      <w:rPr>
        <w:rFonts w:hint="default"/>
        <w:lang w:val="es-ES" w:eastAsia="en-US" w:bidi="ar-SA"/>
      </w:rPr>
    </w:lvl>
    <w:lvl w:ilvl="5" w:tplc="45485196">
      <w:numFmt w:val="bullet"/>
      <w:lvlText w:val="•"/>
      <w:lvlJc w:val="left"/>
      <w:pPr>
        <w:ind w:left="5173" w:hanging="360"/>
      </w:pPr>
      <w:rPr>
        <w:rFonts w:hint="default"/>
        <w:lang w:val="es-ES" w:eastAsia="en-US" w:bidi="ar-SA"/>
      </w:rPr>
    </w:lvl>
    <w:lvl w:ilvl="6" w:tplc="4216D7E0">
      <w:numFmt w:val="bullet"/>
      <w:lvlText w:val="•"/>
      <w:lvlJc w:val="left"/>
      <w:pPr>
        <w:ind w:left="6044" w:hanging="360"/>
      </w:pPr>
      <w:rPr>
        <w:rFonts w:hint="default"/>
        <w:lang w:val="es-ES" w:eastAsia="en-US" w:bidi="ar-SA"/>
      </w:rPr>
    </w:lvl>
    <w:lvl w:ilvl="7" w:tplc="4622D972">
      <w:numFmt w:val="bullet"/>
      <w:lvlText w:val="•"/>
      <w:lvlJc w:val="left"/>
      <w:pPr>
        <w:ind w:left="6914" w:hanging="360"/>
      </w:pPr>
      <w:rPr>
        <w:rFonts w:hint="default"/>
        <w:lang w:val="es-ES" w:eastAsia="en-US" w:bidi="ar-SA"/>
      </w:rPr>
    </w:lvl>
    <w:lvl w:ilvl="8" w:tplc="A9D4A1BA">
      <w:numFmt w:val="bullet"/>
      <w:lvlText w:val="•"/>
      <w:lvlJc w:val="left"/>
      <w:pPr>
        <w:ind w:left="7785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25450CB2"/>
    <w:multiLevelType w:val="hybridMultilevel"/>
    <w:tmpl w:val="6DD62DEC"/>
    <w:lvl w:ilvl="0" w:tplc="00DA2D74"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3FD8CB5C">
      <w:numFmt w:val="bullet"/>
      <w:lvlText w:val="•"/>
      <w:lvlJc w:val="left"/>
      <w:pPr>
        <w:ind w:left="1690" w:hanging="360"/>
      </w:pPr>
      <w:rPr>
        <w:rFonts w:hint="default"/>
        <w:lang w:val="es-ES" w:eastAsia="en-US" w:bidi="ar-SA"/>
      </w:rPr>
    </w:lvl>
    <w:lvl w:ilvl="2" w:tplc="2A9E3460">
      <w:numFmt w:val="bullet"/>
      <w:lvlText w:val="•"/>
      <w:lvlJc w:val="left"/>
      <w:pPr>
        <w:ind w:left="2561" w:hanging="360"/>
      </w:pPr>
      <w:rPr>
        <w:rFonts w:hint="default"/>
        <w:lang w:val="es-ES" w:eastAsia="en-US" w:bidi="ar-SA"/>
      </w:rPr>
    </w:lvl>
    <w:lvl w:ilvl="3" w:tplc="D0EC9B12">
      <w:numFmt w:val="bullet"/>
      <w:lvlText w:val="•"/>
      <w:lvlJc w:val="left"/>
      <w:pPr>
        <w:ind w:left="3432" w:hanging="360"/>
      </w:pPr>
      <w:rPr>
        <w:rFonts w:hint="default"/>
        <w:lang w:val="es-ES" w:eastAsia="en-US" w:bidi="ar-SA"/>
      </w:rPr>
    </w:lvl>
    <w:lvl w:ilvl="4" w:tplc="A00A225C">
      <w:numFmt w:val="bullet"/>
      <w:lvlText w:val="•"/>
      <w:lvlJc w:val="left"/>
      <w:pPr>
        <w:ind w:left="4302" w:hanging="360"/>
      </w:pPr>
      <w:rPr>
        <w:rFonts w:hint="default"/>
        <w:lang w:val="es-ES" w:eastAsia="en-US" w:bidi="ar-SA"/>
      </w:rPr>
    </w:lvl>
    <w:lvl w:ilvl="5" w:tplc="794258DE">
      <w:numFmt w:val="bullet"/>
      <w:lvlText w:val="•"/>
      <w:lvlJc w:val="left"/>
      <w:pPr>
        <w:ind w:left="5173" w:hanging="360"/>
      </w:pPr>
      <w:rPr>
        <w:rFonts w:hint="default"/>
        <w:lang w:val="es-ES" w:eastAsia="en-US" w:bidi="ar-SA"/>
      </w:rPr>
    </w:lvl>
    <w:lvl w:ilvl="6" w:tplc="A936EB40">
      <w:numFmt w:val="bullet"/>
      <w:lvlText w:val="•"/>
      <w:lvlJc w:val="left"/>
      <w:pPr>
        <w:ind w:left="6044" w:hanging="360"/>
      </w:pPr>
      <w:rPr>
        <w:rFonts w:hint="default"/>
        <w:lang w:val="es-ES" w:eastAsia="en-US" w:bidi="ar-SA"/>
      </w:rPr>
    </w:lvl>
    <w:lvl w:ilvl="7" w:tplc="738651D0">
      <w:numFmt w:val="bullet"/>
      <w:lvlText w:val="•"/>
      <w:lvlJc w:val="left"/>
      <w:pPr>
        <w:ind w:left="6914" w:hanging="360"/>
      </w:pPr>
      <w:rPr>
        <w:rFonts w:hint="default"/>
        <w:lang w:val="es-ES" w:eastAsia="en-US" w:bidi="ar-SA"/>
      </w:rPr>
    </w:lvl>
    <w:lvl w:ilvl="8" w:tplc="FD1A55E8">
      <w:numFmt w:val="bullet"/>
      <w:lvlText w:val="•"/>
      <w:lvlJc w:val="left"/>
      <w:pPr>
        <w:ind w:left="7785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358620B8"/>
    <w:multiLevelType w:val="multilevel"/>
    <w:tmpl w:val="D8C80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411D31EA"/>
    <w:multiLevelType w:val="multilevel"/>
    <w:tmpl w:val="4A726B90"/>
    <w:lvl w:ilvl="0">
      <w:start w:val="2"/>
      <w:numFmt w:val="decimal"/>
      <w:lvlText w:val="%1."/>
      <w:lvlJc w:val="left"/>
      <w:pPr>
        <w:ind w:left="931" w:hanging="310"/>
      </w:pPr>
      <w:rPr>
        <w:rFonts w:hint="default" w:ascii="Verdana" w:hAnsi="Verdana" w:eastAsia="Verdana" w:cs="Verdana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58" w:hanging="437"/>
      </w:pPr>
      <w:rPr>
        <w:rFonts w:hint="default"/>
        <w:spacing w:val="-2"/>
        <w:w w:val="100"/>
        <w:lang w:val="es-ES" w:eastAsia="en-US" w:bidi="ar-SA"/>
      </w:rPr>
    </w:lvl>
    <w:lvl w:ilvl="2">
      <w:numFmt w:val="bullet"/>
      <w:lvlText w:val="•"/>
      <w:lvlJc w:val="left"/>
      <w:pPr>
        <w:ind w:left="2062" w:hanging="43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64" w:hanging="43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66" w:hanging="43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68" w:hanging="43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71" w:hanging="43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73" w:hanging="43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75" w:hanging="437"/>
      </w:pPr>
      <w:rPr>
        <w:rFonts w:hint="default"/>
        <w:lang w:val="es-ES" w:eastAsia="en-US" w:bidi="ar-SA"/>
      </w:rPr>
    </w:lvl>
  </w:abstractNum>
  <w:abstractNum w:abstractNumId="8" w15:restartNumberingAfterBreak="0">
    <w:nsid w:val="42AC79D5"/>
    <w:multiLevelType w:val="hybridMultilevel"/>
    <w:tmpl w:val="59B26D10"/>
    <w:lvl w:ilvl="0" w:tplc="891A1878">
      <w:numFmt w:val="bullet"/>
      <w:lvlText w:val=""/>
      <w:lvlJc w:val="left"/>
      <w:pPr>
        <w:ind w:left="1342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8B69D08">
      <w:numFmt w:val="bullet"/>
      <w:lvlText w:val="•"/>
      <w:lvlJc w:val="left"/>
      <w:pPr>
        <w:ind w:left="2214" w:hanging="360"/>
      </w:pPr>
      <w:rPr>
        <w:rFonts w:hint="default"/>
        <w:lang w:val="es-ES" w:eastAsia="en-US" w:bidi="ar-SA"/>
      </w:rPr>
    </w:lvl>
    <w:lvl w:ilvl="2" w:tplc="D28A8E62">
      <w:numFmt w:val="bullet"/>
      <w:lvlText w:val="•"/>
      <w:lvlJc w:val="left"/>
      <w:pPr>
        <w:ind w:left="3088" w:hanging="360"/>
      </w:pPr>
      <w:rPr>
        <w:rFonts w:hint="default"/>
        <w:lang w:val="es-ES" w:eastAsia="en-US" w:bidi="ar-SA"/>
      </w:rPr>
    </w:lvl>
    <w:lvl w:ilvl="3" w:tplc="C2CC9D70">
      <w:numFmt w:val="bullet"/>
      <w:lvlText w:val="•"/>
      <w:lvlJc w:val="left"/>
      <w:pPr>
        <w:ind w:left="3962" w:hanging="360"/>
      </w:pPr>
      <w:rPr>
        <w:rFonts w:hint="default"/>
        <w:lang w:val="es-ES" w:eastAsia="en-US" w:bidi="ar-SA"/>
      </w:rPr>
    </w:lvl>
    <w:lvl w:ilvl="4" w:tplc="37FC346C">
      <w:numFmt w:val="bullet"/>
      <w:lvlText w:val="•"/>
      <w:lvlJc w:val="left"/>
      <w:pPr>
        <w:ind w:left="4836" w:hanging="360"/>
      </w:pPr>
      <w:rPr>
        <w:rFonts w:hint="default"/>
        <w:lang w:val="es-ES" w:eastAsia="en-US" w:bidi="ar-SA"/>
      </w:rPr>
    </w:lvl>
    <w:lvl w:ilvl="5" w:tplc="8D768034">
      <w:numFmt w:val="bullet"/>
      <w:lvlText w:val="•"/>
      <w:lvlJc w:val="left"/>
      <w:pPr>
        <w:ind w:left="5710" w:hanging="360"/>
      </w:pPr>
      <w:rPr>
        <w:rFonts w:hint="default"/>
        <w:lang w:val="es-ES" w:eastAsia="en-US" w:bidi="ar-SA"/>
      </w:rPr>
    </w:lvl>
    <w:lvl w:ilvl="6" w:tplc="C21A1A7E">
      <w:numFmt w:val="bullet"/>
      <w:lvlText w:val="•"/>
      <w:lvlJc w:val="left"/>
      <w:pPr>
        <w:ind w:left="6584" w:hanging="360"/>
      </w:pPr>
      <w:rPr>
        <w:rFonts w:hint="default"/>
        <w:lang w:val="es-ES" w:eastAsia="en-US" w:bidi="ar-SA"/>
      </w:rPr>
    </w:lvl>
    <w:lvl w:ilvl="7" w:tplc="DA965856">
      <w:numFmt w:val="bullet"/>
      <w:lvlText w:val="•"/>
      <w:lvlJc w:val="left"/>
      <w:pPr>
        <w:ind w:left="7458" w:hanging="360"/>
      </w:pPr>
      <w:rPr>
        <w:rFonts w:hint="default"/>
        <w:lang w:val="es-ES" w:eastAsia="en-US" w:bidi="ar-SA"/>
      </w:rPr>
    </w:lvl>
    <w:lvl w:ilvl="8" w:tplc="777E801E">
      <w:numFmt w:val="bullet"/>
      <w:lvlText w:val="•"/>
      <w:lvlJc w:val="left"/>
      <w:pPr>
        <w:ind w:left="8332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489C5C8D"/>
    <w:multiLevelType w:val="hybridMultilevel"/>
    <w:tmpl w:val="8BC6CA8E"/>
    <w:lvl w:ilvl="0" w:tplc="5058AA9A"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71F8C1C6">
      <w:numFmt w:val="bullet"/>
      <w:lvlText w:val="•"/>
      <w:lvlJc w:val="left"/>
      <w:pPr>
        <w:ind w:left="1690" w:hanging="360"/>
      </w:pPr>
      <w:rPr>
        <w:rFonts w:hint="default"/>
        <w:lang w:val="es-ES" w:eastAsia="en-US" w:bidi="ar-SA"/>
      </w:rPr>
    </w:lvl>
    <w:lvl w:ilvl="2" w:tplc="422E42FE">
      <w:numFmt w:val="bullet"/>
      <w:lvlText w:val="•"/>
      <w:lvlJc w:val="left"/>
      <w:pPr>
        <w:ind w:left="2561" w:hanging="360"/>
      </w:pPr>
      <w:rPr>
        <w:rFonts w:hint="default"/>
        <w:lang w:val="es-ES" w:eastAsia="en-US" w:bidi="ar-SA"/>
      </w:rPr>
    </w:lvl>
    <w:lvl w:ilvl="3" w:tplc="84FACDE4">
      <w:numFmt w:val="bullet"/>
      <w:lvlText w:val="•"/>
      <w:lvlJc w:val="left"/>
      <w:pPr>
        <w:ind w:left="3432" w:hanging="360"/>
      </w:pPr>
      <w:rPr>
        <w:rFonts w:hint="default"/>
        <w:lang w:val="es-ES" w:eastAsia="en-US" w:bidi="ar-SA"/>
      </w:rPr>
    </w:lvl>
    <w:lvl w:ilvl="4" w:tplc="5776ACD6">
      <w:numFmt w:val="bullet"/>
      <w:lvlText w:val="•"/>
      <w:lvlJc w:val="left"/>
      <w:pPr>
        <w:ind w:left="4302" w:hanging="360"/>
      </w:pPr>
      <w:rPr>
        <w:rFonts w:hint="default"/>
        <w:lang w:val="es-ES" w:eastAsia="en-US" w:bidi="ar-SA"/>
      </w:rPr>
    </w:lvl>
    <w:lvl w:ilvl="5" w:tplc="15387638">
      <w:numFmt w:val="bullet"/>
      <w:lvlText w:val="•"/>
      <w:lvlJc w:val="left"/>
      <w:pPr>
        <w:ind w:left="5173" w:hanging="360"/>
      </w:pPr>
      <w:rPr>
        <w:rFonts w:hint="default"/>
        <w:lang w:val="es-ES" w:eastAsia="en-US" w:bidi="ar-SA"/>
      </w:rPr>
    </w:lvl>
    <w:lvl w:ilvl="6" w:tplc="B79C90AA">
      <w:numFmt w:val="bullet"/>
      <w:lvlText w:val="•"/>
      <w:lvlJc w:val="left"/>
      <w:pPr>
        <w:ind w:left="6044" w:hanging="360"/>
      </w:pPr>
      <w:rPr>
        <w:rFonts w:hint="default"/>
        <w:lang w:val="es-ES" w:eastAsia="en-US" w:bidi="ar-SA"/>
      </w:rPr>
    </w:lvl>
    <w:lvl w:ilvl="7" w:tplc="665E85AA">
      <w:numFmt w:val="bullet"/>
      <w:lvlText w:val="•"/>
      <w:lvlJc w:val="left"/>
      <w:pPr>
        <w:ind w:left="6914" w:hanging="360"/>
      </w:pPr>
      <w:rPr>
        <w:rFonts w:hint="default"/>
        <w:lang w:val="es-ES" w:eastAsia="en-US" w:bidi="ar-SA"/>
      </w:rPr>
    </w:lvl>
    <w:lvl w:ilvl="8" w:tplc="4232CDE0">
      <w:numFmt w:val="bullet"/>
      <w:lvlText w:val="•"/>
      <w:lvlJc w:val="left"/>
      <w:pPr>
        <w:ind w:left="7785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70111259"/>
    <w:multiLevelType w:val="hybridMultilevel"/>
    <w:tmpl w:val="23E21A82"/>
    <w:lvl w:ilvl="0" w:tplc="597A1BA2"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67F20A1A">
      <w:numFmt w:val="bullet"/>
      <w:lvlText w:val="•"/>
      <w:lvlJc w:val="left"/>
      <w:pPr>
        <w:ind w:left="1690" w:hanging="360"/>
      </w:pPr>
      <w:rPr>
        <w:rFonts w:hint="default"/>
        <w:lang w:val="es-ES" w:eastAsia="en-US" w:bidi="ar-SA"/>
      </w:rPr>
    </w:lvl>
    <w:lvl w:ilvl="2" w:tplc="E6C470D8">
      <w:numFmt w:val="bullet"/>
      <w:lvlText w:val="•"/>
      <w:lvlJc w:val="left"/>
      <w:pPr>
        <w:ind w:left="2561" w:hanging="360"/>
      </w:pPr>
      <w:rPr>
        <w:rFonts w:hint="default"/>
        <w:lang w:val="es-ES" w:eastAsia="en-US" w:bidi="ar-SA"/>
      </w:rPr>
    </w:lvl>
    <w:lvl w:ilvl="3" w:tplc="A5C8834A">
      <w:numFmt w:val="bullet"/>
      <w:lvlText w:val="•"/>
      <w:lvlJc w:val="left"/>
      <w:pPr>
        <w:ind w:left="3432" w:hanging="360"/>
      </w:pPr>
      <w:rPr>
        <w:rFonts w:hint="default"/>
        <w:lang w:val="es-ES" w:eastAsia="en-US" w:bidi="ar-SA"/>
      </w:rPr>
    </w:lvl>
    <w:lvl w:ilvl="4" w:tplc="48CC0670">
      <w:numFmt w:val="bullet"/>
      <w:lvlText w:val="•"/>
      <w:lvlJc w:val="left"/>
      <w:pPr>
        <w:ind w:left="4302" w:hanging="360"/>
      </w:pPr>
      <w:rPr>
        <w:rFonts w:hint="default"/>
        <w:lang w:val="es-ES" w:eastAsia="en-US" w:bidi="ar-SA"/>
      </w:rPr>
    </w:lvl>
    <w:lvl w:ilvl="5" w:tplc="35F0AD9A">
      <w:numFmt w:val="bullet"/>
      <w:lvlText w:val="•"/>
      <w:lvlJc w:val="left"/>
      <w:pPr>
        <w:ind w:left="5173" w:hanging="360"/>
      </w:pPr>
      <w:rPr>
        <w:rFonts w:hint="default"/>
        <w:lang w:val="es-ES" w:eastAsia="en-US" w:bidi="ar-SA"/>
      </w:rPr>
    </w:lvl>
    <w:lvl w:ilvl="6" w:tplc="7372634C">
      <w:numFmt w:val="bullet"/>
      <w:lvlText w:val="•"/>
      <w:lvlJc w:val="left"/>
      <w:pPr>
        <w:ind w:left="6044" w:hanging="360"/>
      </w:pPr>
      <w:rPr>
        <w:rFonts w:hint="default"/>
        <w:lang w:val="es-ES" w:eastAsia="en-US" w:bidi="ar-SA"/>
      </w:rPr>
    </w:lvl>
    <w:lvl w:ilvl="7" w:tplc="D9CC1DE0">
      <w:numFmt w:val="bullet"/>
      <w:lvlText w:val="•"/>
      <w:lvlJc w:val="left"/>
      <w:pPr>
        <w:ind w:left="6914" w:hanging="360"/>
      </w:pPr>
      <w:rPr>
        <w:rFonts w:hint="default"/>
        <w:lang w:val="es-ES" w:eastAsia="en-US" w:bidi="ar-SA"/>
      </w:rPr>
    </w:lvl>
    <w:lvl w:ilvl="8" w:tplc="5C8AAA5C">
      <w:numFmt w:val="bullet"/>
      <w:lvlText w:val="•"/>
      <w:lvlJc w:val="left"/>
      <w:pPr>
        <w:ind w:left="7785" w:hanging="360"/>
      </w:pPr>
      <w:rPr>
        <w:rFonts w:hint="default"/>
        <w:lang w:val="es-ES" w:eastAsia="en-US" w:bidi="ar-SA"/>
      </w:rPr>
    </w:lvl>
  </w:abstractNum>
  <w:num w:numId="1" w16cid:durableId="1291400946">
    <w:abstractNumId w:val="8"/>
  </w:num>
  <w:num w:numId="2" w16cid:durableId="1569849676">
    <w:abstractNumId w:val="7"/>
  </w:num>
  <w:num w:numId="3" w16cid:durableId="1482116358">
    <w:abstractNumId w:val="4"/>
  </w:num>
  <w:num w:numId="4" w16cid:durableId="1598100205">
    <w:abstractNumId w:val="3"/>
  </w:num>
  <w:num w:numId="5" w16cid:durableId="2051421026">
    <w:abstractNumId w:val="0"/>
  </w:num>
  <w:num w:numId="6" w16cid:durableId="1952394463">
    <w:abstractNumId w:val="9"/>
  </w:num>
  <w:num w:numId="7" w16cid:durableId="242027589">
    <w:abstractNumId w:val="5"/>
  </w:num>
  <w:num w:numId="8" w16cid:durableId="246156020">
    <w:abstractNumId w:val="10"/>
  </w:num>
  <w:num w:numId="9" w16cid:durableId="1515266187">
    <w:abstractNumId w:val="6"/>
  </w:num>
  <w:num w:numId="10" w16cid:durableId="347369231">
    <w:abstractNumId w:val="1"/>
  </w:num>
  <w:num w:numId="11" w16cid:durableId="1807090647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117"/>
    <w:rsid w:val="00000F17"/>
    <w:rsid w:val="00067756"/>
    <w:rsid w:val="00110992"/>
    <w:rsid w:val="0016569B"/>
    <w:rsid w:val="001E2851"/>
    <w:rsid w:val="0022597A"/>
    <w:rsid w:val="00251394"/>
    <w:rsid w:val="00260542"/>
    <w:rsid w:val="002978B3"/>
    <w:rsid w:val="003270A3"/>
    <w:rsid w:val="00347C57"/>
    <w:rsid w:val="003B0C8B"/>
    <w:rsid w:val="003D19DC"/>
    <w:rsid w:val="003D6BC7"/>
    <w:rsid w:val="003D72E6"/>
    <w:rsid w:val="003D7AE9"/>
    <w:rsid w:val="003E33FD"/>
    <w:rsid w:val="00412760"/>
    <w:rsid w:val="00413545"/>
    <w:rsid w:val="004A5BBB"/>
    <w:rsid w:val="004D6FAC"/>
    <w:rsid w:val="004F170E"/>
    <w:rsid w:val="00507D19"/>
    <w:rsid w:val="005521AC"/>
    <w:rsid w:val="005B0F25"/>
    <w:rsid w:val="005B3189"/>
    <w:rsid w:val="005F06DD"/>
    <w:rsid w:val="005F1523"/>
    <w:rsid w:val="006052CF"/>
    <w:rsid w:val="00660DE5"/>
    <w:rsid w:val="00785AAB"/>
    <w:rsid w:val="007D7C85"/>
    <w:rsid w:val="007F6CF1"/>
    <w:rsid w:val="00801B95"/>
    <w:rsid w:val="00802C5B"/>
    <w:rsid w:val="008558C0"/>
    <w:rsid w:val="00882117"/>
    <w:rsid w:val="008E4537"/>
    <w:rsid w:val="008E4CB2"/>
    <w:rsid w:val="008E4FDC"/>
    <w:rsid w:val="008F328C"/>
    <w:rsid w:val="009E191E"/>
    <w:rsid w:val="00A201EE"/>
    <w:rsid w:val="00A67B91"/>
    <w:rsid w:val="00AC4283"/>
    <w:rsid w:val="00AD1B80"/>
    <w:rsid w:val="00B75186"/>
    <w:rsid w:val="00BB3F1F"/>
    <w:rsid w:val="00BB6502"/>
    <w:rsid w:val="00BF2AA0"/>
    <w:rsid w:val="00C710FA"/>
    <w:rsid w:val="00CA5B68"/>
    <w:rsid w:val="00D76A1B"/>
    <w:rsid w:val="00DB4D78"/>
    <w:rsid w:val="00DE7E03"/>
    <w:rsid w:val="00ED2469"/>
    <w:rsid w:val="00F31E82"/>
    <w:rsid w:val="00F3285F"/>
    <w:rsid w:val="00F6523A"/>
    <w:rsid w:val="00F93B60"/>
    <w:rsid w:val="00FB4EBF"/>
    <w:rsid w:val="0AA731A5"/>
    <w:rsid w:val="0B584DB0"/>
    <w:rsid w:val="15358C0D"/>
    <w:rsid w:val="156224CE"/>
    <w:rsid w:val="37DA53D6"/>
    <w:rsid w:val="383CB3A7"/>
    <w:rsid w:val="38CAA4D6"/>
    <w:rsid w:val="3A1B82FC"/>
    <w:rsid w:val="437E5743"/>
    <w:rsid w:val="4A3045F6"/>
    <w:rsid w:val="4EB56930"/>
    <w:rsid w:val="5D3868CD"/>
    <w:rsid w:val="6447880B"/>
    <w:rsid w:val="703EE6C7"/>
    <w:rsid w:val="7423B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260C6"/>
  <w15:docId w15:val="{1FC2F280-B827-4FEB-9B69-366CA982D91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Verdana" w:hAnsi="Verdana" w:eastAsia="Verdana" w:cs="Verdana"/>
      <w:lang w:val="es-ES"/>
    </w:rPr>
  </w:style>
  <w:style w:type="paragraph" w:styleId="Ttulo1">
    <w:name w:val="heading 1"/>
    <w:basedOn w:val="Normal"/>
    <w:uiPriority w:val="9"/>
    <w:qFormat/>
    <w:pPr>
      <w:ind w:left="664" w:right="663"/>
      <w:outlineLvl w:val="0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622"/>
      <w:outlineLvl w:val="1"/>
    </w:pPr>
    <w:rPr>
      <w:b/>
      <w:bCs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eNormal" w:customStyle="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spacing w:before="18"/>
      <w:ind w:left="1341" w:hanging="360"/>
    </w:pPr>
  </w:style>
  <w:style w:type="paragraph" w:styleId="TableParagraph" w:customStyle="1">
    <w:name w:val="Table Paragraph"/>
    <w:basedOn w:val="Normal"/>
    <w:uiPriority w:val="1"/>
    <w:qFormat/>
    <w:pPr>
      <w:spacing w:line="266" w:lineRule="exact"/>
      <w:ind w:left="107"/>
    </w:pPr>
  </w:style>
  <w:style w:type="paragraph" w:styleId="NormalWeb">
    <w:name w:val="Normal (Web)"/>
    <w:basedOn w:val="Normal"/>
    <w:uiPriority w:val="99"/>
    <w:semiHidden/>
    <w:unhideWhenUsed/>
    <w:rsid w:val="001E2851"/>
    <w:pPr>
      <w:widowControl/>
      <w:autoSpaceDE/>
      <w:autoSpaceDN/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customXml" Target="../customXml/item4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customXml" Target="../customXml/item3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customXml" Target="../customXml/item2.xml" Id="rId11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53E0D4593DAB143A6673DF92EDBC018" ma:contentTypeVersion="22" ma:contentTypeDescription="Crear nuevo documento." ma:contentTypeScope="" ma:versionID="002969de0c9c5bcbb9e0b099f695d095">
  <xsd:schema xmlns:xsd="http://www.w3.org/2001/XMLSchema" xmlns:xs="http://www.w3.org/2001/XMLSchema" xmlns:p="http://schemas.microsoft.com/office/2006/metadata/properties" xmlns:ns2="11d5bf97-eed3-499d-8e88-e40b317772f8" xmlns:ns3="b6426149-0c18-42f9-b3aa-64487b7dc711" targetNamespace="http://schemas.microsoft.com/office/2006/metadata/properties" ma:root="true" ma:fieldsID="4b4b00b46aacc13c641c48dc5d587901" ns2:_="" ns3:_="">
    <xsd:import namespace="11d5bf97-eed3-499d-8e88-e40b317772f8"/>
    <xsd:import namespace="b6426149-0c18-42f9-b3aa-64487b7dc7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ABOGADOPROYECTA" minOccurs="0"/>
                <xsd:element ref="ns2:APOYOSECOP" minOccurs="0"/>
                <xsd:element ref="ns2:ESTADO" minOccurs="0"/>
                <xsd:element ref="ns2:OBSERVACIONE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5bf97-eed3-499d-8e88-e40b317772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ABOGADOPROYECTA" ma:index="19" nillable="true" ma:displayName="ABOGADO PROYECTA" ma:format="Dropdown" ma:internalName="ABOGADOPROYECTA">
      <xsd:simpleType>
        <xsd:restriction base="dms:Choice">
          <xsd:enumeration value="ANA MARIA CAMPO"/>
          <xsd:enumeration value="CAMILO ORTIZ"/>
          <xsd:enumeration value="DARWIN AGUIRRE"/>
          <xsd:enumeration value="ELIANA ROMERO"/>
          <xsd:enumeration value="MONICA DUARTE"/>
          <xsd:enumeration value="CLAUDIA RODRIGUEZ"/>
          <xsd:enumeration value="ZELENIA HERRERA"/>
        </xsd:restriction>
      </xsd:simpleType>
    </xsd:element>
    <xsd:element name="APOYOSECOP" ma:index="20" nillable="true" ma:displayName="APOYO SECOP" ma:format="Dropdown" ma:internalName="APOYOSECOP">
      <xsd:simpleType>
        <xsd:restriction base="dms:Choice">
          <xsd:enumeration value="ASTRYTH VELASQUEZ"/>
          <xsd:enumeration value="NUBIA FLORIDO"/>
          <xsd:enumeration value="JULIAN MOLANO"/>
          <xsd:enumeration value="JOEL LOPEZ"/>
          <xsd:enumeration value="ALEXANDRA GUZMAN"/>
        </xsd:restriction>
      </xsd:simpleType>
    </xsd:element>
    <xsd:element name="ESTADO" ma:index="21" nillable="true" ma:displayName="ESTADO" ma:format="Dropdown" ma:internalName="ESTADO">
      <xsd:simpleType>
        <xsd:restriction base="dms:Choice">
          <xsd:enumeration value="REVISION"/>
          <xsd:enumeration value="APROBADA"/>
          <xsd:enumeration value="RECHAZADA"/>
        </xsd:restriction>
      </xsd:simpleType>
    </xsd:element>
    <xsd:element name="OBSERVACIONES" ma:index="22" nillable="true" ma:displayName="OBSERVACIONES" ma:format="Dropdown" ma:internalName="OBSERVACIONES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5" nillable="true" ma:taxonomy="true" ma:internalName="lcf76f155ced4ddcb4097134ff3c332f" ma:taxonomyFieldName="MediaServiceImageTags" ma:displayName="Etiquetas de imagen" ma:readOnly="false" ma:fieldId="{5cf76f15-5ced-4ddc-b409-7134ff3c332f}" ma:taxonomyMulti="true" ma:sspId="2fe21213-fe70-40ed-b3c9-d592fa6670b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426149-0c18-42f9-b3aa-64487b7dc71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0b7029ac-8a16-48f3-8dd6-e4896e13802c}" ma:internalName="TaxCatchAll" ma:showField="CatchAllData" ma:web="b6426149-0c18-42f9-b3aa-64487b7dc7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BSERVACIONES xmlns="11d5bf97-eed3-499d-8e88-e40b317772f8" xsi:nil="true"/>
    <ESTADO xmlns="11d5bf97-eed3-499d-8e88-e40b317772f8" xsi:nil="true"/>
    <ABOGADOPROYECTA xmlns="11d5bf97-eed3-499d-8e88-e40b317772f8" xsi:nil="true"/>
    <TaxCatchAll xmlns="b6426149-0c18-42f9-b3aa-64487b7dc711" xsi:nil="true"/>
    <APOYOSECOP xmlns="11d5bf97-eed3-499d-8e88-e40b317772f8" xsi:nil="true"/>
    <lcf76f155ced4ddcb4097134ff3c332f xmlns="11d5bf97-eed3-499d-8e88-e40b317772f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5C1047E-C467-4564-9455-606642D58AB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745D374-C9DE-4DF0-918B-CF16BE37AAB9}"/>
</file>

<file path=customXml/itemProps3.xml><?xml version="1.0" encoding="utf-8"?>
<ds:datastoreItem xmlns:ds="http://schemas.openxmlformats.org/officeDocument/2006/customXml" ds:itemID="{90C502B1-36F5-44AC-A8AC-2433407D5E2D}"/>
</file>

<file path=customXml/itemProps4.xml><?xml version="1.0" encoding="utf-8"?>
<ds:datastoreItem xmlns:ds="http://schemas.openxmlformats.org/officeDocument/2006/customXml" ds:itemID="{DFC26B43-79F0-497C-B253-072ABC494DA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John Hincapie</dc:creator>
  <lastModifiedBy>Claudia Patricia Berrocal Conde</lastModifiedBy>
  <revision>38</revision>
  <dcterms:created xsi:type="dcterms:W3CDTF">2026-09-16T14:56:00.0000000Z</dcterms:created>
  <dcterms:modified xsi:type="dcterms:W3CDTF">2026-10-22T15:24:40.4528213Z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2025-06-17T00:00:00Z</vt:filetime>
  </property>
  <property fmtid="{D5CDD505-2E9C-101B-9397-08002B2CF9AE}" pid="4" name="Creator">
    <vt:lpwstr>Microsoft® Word para Microsoft 365</vt:lpwstr>
  </property>
  <property fmtid="{D5CDD505-2E9C-101B-9397-08002B2CF9AE}" pid="5" name="LastSaved">
    <vt:filetime>2026-07-20T00:00:00Z</vt:filetime>
  </property>
  <property fmtid="{D5CDD505-2E9C-101B-9397-08002B2CF9AE}" pid="6" name="Producer">
    <vt:lpwstr>Microsoft® Word para Microsoft 365</vt:lpwstr>
  </property>
  <property fmtid="{D5CDD505-2E9C-101B-9397-08002B2CF9AE}" pid="7" name="ContentTypeId">
    <vt:lpwstr>0x010100353E0D4593DAB143A6673DF92EDBC018</vt:lpwstr>
  </property>
  <property fmtid="{D5CDD505-2E9C-101B-9397-08002B2CF9AE}" pid="8" name="MediaServiceImageTags">
    <vt:lpwstr/>
  </property>
</Properties>
</file>