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sectPr w:rsidR="009C4E02" w:rsidRPr="006F6287" w:rsidSect="004B02DA">
          <w:headerReference w:type="default" r:id="rId11"/>
          <w:footerReference w:type="default" r:id="rId12"/>
          <w:pgSz w:w="12240" w:h="15840" w:code="1"/>
          <w:pgMar w:top="1134" w:right="1134" w:bottom="1134" w:left="1304" w:header="426" w:footer="544" w:gutter="0"/>
          <w:cols w:space="720"/>
          <w:noEndnote/>
          <w:docGrid w:linePitch="299"/>
        </w:sect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lastRenderedPageBreak/>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18708" w:type="dxa"/>
        <w:tblLook w:val="04A0" w:firstRow="1" w:lastRow="0" w:firstColumn="1" w:lastColumn="0" w:noHBand="0" w:noVBand="1"/>
      </w:tblPr>
      <w:tblGrid>
        <w:gridCol w:w="422"/>
        <w:gridCol w:w="807"/>
        <w:gridCol w:w="690"/>
        <w:gridCol w:w="788"/>
        <w:gridCol w:w="928"/>
        <w:gridCol w:w="1609"/>
        <w:gridCol w:w="1173"/>
        <w:gridCol w:w="422"/>
        <w:gridCol w:w="422"/>
        <w:gridCol w:w="422"/>
        <w:gridCol w:w="669"/>
        <w:gridCol w:w="1072"/>
        <w:gridCol w:w="1590"/>
        <w:gridCol w:w="422"/>
        <w:gridCol w:w="422"/>
        <w:gridCol w:w="422"/>
        <w:gridCol w:w="669"/>
        <w:gridCol w:w="809"/>
        <w:gridCol w:w="1040"/>
        <w:gridCol w:w="1251"/>
        <w:gridCol w:w="1408"/>
        <w:gridCol w:w="1251"/>
      </w:tblGrid>
      <w:tr w:rsidR="00843050" w:rsidRPr="006F6287" w14:paraId="64A698D4" w14:textId="77777777" w:rsidTr="00843050">
        <w:trPr>
          <w:cantSplit/>
          <w:trHeight w:val="1212"/>
          <w:tblHeader/>
        </w:trPr>
        <w:tc>
          <w:tcPr>
            <w:tcW w:w="422" w:type="dxa"/>
            <w:vMerge w:val="restart"/>
            <w:shd w:val="clear" w:color="auto" w:fill="4D4D4D"/>
            <w:textDirection w:val="btLr"/>
          </w:tcPr>
          <w:p w14:paraId="0B3F0DBF"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No.</w:t>
            </w:r>
          </w:p>
        </w:tc>
        <w:tc>
          <w:tcPr>
            <w:tcW w:w="807" w:type="dxa"/>
            <w:vMerge w:val="restart"/>
            <w:shd w:val="clear" w:color="auto" w:fill="4D4D4D"/>
            <w:textDirection w:val="btLr"/>
          </w:tcPr>
          <w:p w14:paraId="0CFF002D"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Clase</w:t>
            </w:r>
          </w:p>
        </w:tc>
        <w:tc>
          <w:tcPr>
            <w:tcW w:w="690" w:type="dxa"/>
            <w:vMerge w:val="restart"/>
            <w:shd w:val="clear" w:color="auto" w:fill="4D4D4D"/>
            <w:textDirection w:val="btLr"/>
          </w:tcPr>
          <w:p w14:paraId="2DB68322"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Fuente</w:t>
            </w:r>
          </w:p>
        </w:tc>
        <w:tc>
          <w:tcPr>
            <w:tcW w:w="788" w:type="dxa"/>
            <w:vMerge w:val="restart"/>
            <w:shd w:val="clear" w:color="auto" w:fill="4D4D4D"/>
            <w:textDirection w:val="btLr"/>
          </w:tcPr>
          <w:p w14:paraId="4DD17F73"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Etapa</w:t>
            </w:r>
          </w:p>
        </w:tc>
        <w:tc>
          <w:tcPr>
            <w:tcW w:w="928" w:type="dxa"/>
            <w:vMerge w:val="restart"/>
            <w:shd w:val="clear" w:color="auto" w:fill="4D4D4D"/>
            <w:textDirection w:val="btLr"/>
          </w:tcPr>
          <w:p w14:paraId="79133F48"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Tipo</w:t>
            </w:r>
          </w:p>
        </w:tc>
        <w:tc>
          <w:tcPr>
            <w:tcW w:w="1609" w:type="dxa"/>
            <w:vMerge w:val="restart"/>
            <w:shd w:val="clear" w:color="auto" w:fill="4D4D4D"/>
            <w:textDirection w:val="btLr"/>
          </w:tcPr>
          <w:p w14:paraId="726FAB8F"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Descripción</w:t>
            </w:r>
          </w:p>
          <w:p w14:paraId="41157746"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(Qué puede pasar y como puede ocurrir)</w:t>
            </w:r>
          </w:p>
          <w:p w14:paraId="6F8D88AD"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1173" w:type="dxa"/>
            <w:vMerge w:val="restart"/>
            <w:shd w:val="clear" w:color="auto" w:fill="4D4D4D"/>
            <w:textDirection w:val="btLr"/>
          </w:tcPr>
          <w:p w14:paraId="23C1434B"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Consecuencia de la ocurrencia del evento</w:t>
            </w:r>
          </w:p>
        </w:tc>
        <w:tc>
          <w:tcPr>
            <w:tcW w:w="422" w:type="dxa"/>
            <w:vMerge w:val="restart"/>
            <w:shd w:val="clear" w:color="auto" w:fill="4D4D4D"/>
            <w:textDirection w:val="btLr"/>
          </w:tcPr>
          <w:p w14:paraId="483F6432"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Probabilidad</w:t>
            </w:r>
          </w:p>
        </w:tc>
        <w:tc>
          <w:tcPr>
            <w:tcW w:w="422" w:type="dxa"/>
            <w:vMerge w:val="restart"/>
            <w:shd w:val="clear" w:color="auto" w:fill="4D4D4D"/>
            <w:textDirection w:val="btLr"/>
          </w:tcPr>
          <w:p w14:paraId="42F3A4BC"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Impacto</w:t>
            </w:r>
          </w:p>
        </w:tc>
        <w:tc>
          <w:tcPr>
            <w:tcW w:w="422" w:type="dxa"/>
            <w:vMerge w:val="restart"/>
            <w:shd w:val="clear" w:color="auto" w:fill="4D4D4D"/>
            <w:textDirection w:val="btLr"/>
          </w:tcPr>
          <w:p w14:paraId="1803A095" w14:textId="0E7D1BC4"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 xml:space="preserve">Valoración del </w:t>
            </w:r>
            <w:r w:rsidR="00F46773" w:rsidRPr="006F6287">
              <w:rPr>
                <w:rFonts w:ascii="Verdana" w:eastAsia="SimSun" w:hAnsi="Verdana" w:cs="Arial"/>
                <w:color w:val="FFFFFF" w:themeColor="background1"/>
                <w:kern w:val="3"/>
                <w:sz w:val="16"/>
                <w:szCs w:val="20"/>
                <w:lang w:eastAsia="zh-CN" w:bidi="hi-IN"/>
              </w:rPr>
              <w:t>R</w:t>
            </w:r>
            <w:r w:rsidRPr="006F6287">
              <w:rPr>
                <w:rFonts w:ascii="Verdana" w:eastAsia="SimSun" w:hAnsi="Verdana" w:cs="Arial"/>
                <w:color w:val="FFFFFF" w:themeColor="background1"/>
                <w:kern w:val="3"/>
                <w:sz w:val="16"/>
                <w:szCs w:val="20"/>
                <w:lang w:eastAsia="zh-CN" w:bidi="hi-IN"/>
              </w:rPr>
              <w:t>iesgo</w:t>
            </w:r>
          </w:p>
        </w:tc>
        <w:tc>
          <w:tcPr>
            <w:tcW w:w="669" w:type="dxa"/>
            <w:vMerge w:val="restart"/>
            <w:shd w:val="clear" w:color="auto" w:fill="4D4D4D"/>
            <w:textDirection w:val="btLr"/>
          </w:tcPr>
          <w:p w14:paraId="5E343743"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r w:rsidRPr="006F6287">
              <w:rPr>
                <w:rFonts w:ascii="Verdana" w:eastAsia="SimSun" w:hAnsi="Verdana" w:cs="Arial"/>
                <w:color w:val="FFFFFF" w:themeColor="background1"/>
                <w:kern w:val="3"/>
                <w:sz w:val="16"/>
                <w:szCs w:val="20"/>
                <w:lang w:eastAsia="zh-CN" w:bidi="hi-IN"/>
              </w:rPr>
              <w:t>Categoría</w:t>
            </w:r>
          </w:p>
        </w:tc>
        <w:tc>
          <w:tcPr>
            <w:tcW w:w="1072" w:type="dxa"/>
            <w:vMerge w:val="restart"/>
            <w:shd w:val="clear" w:color="auto" w:fill="BFBFBF" w:themeFill="background1" w:themeFillShade="BF"/>
            <w:textDirection w:val="btLr"/>
          </w:tcPr>
          <w:p w14:paraId="1438FBF4"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¿A quién se le asigna?</w:t>
            </w:r>
          </w:p>
        </w:tc>
        <w:tc>
          <w:tcPr>
            <w:tcW w:w="1590" w:type="dxa"/>
            <w:vMerge w:val="restart"/>
            <w:shd w:val="clear" w:color="auto" w:fill="BFBFBF" w:themeFill="background1" w:themeFillShade="BF"/>
            <w:textDirection w:val="btLr"/>
          </w:tcPr>
          <w:p w14:paraId="692687B8"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Tratamiento/Controles a ser implementados</w:t>
            </w:r>
          </w:p>
        </w:tc>
        <w:tc>
          <w:tcPr>
            <w:tcW w:w="1935" w:type="dxa"/>
            <w:gridSpan w:val="4"/>
            <w:shd w:val="clear" w:color="auto" w:fill="BFBFBF" w:themeFill="background1" w:themeFillShade="BF"/>
          </w:tcPr>
          <w:p w14:paraId="06319402"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3707D55D"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429112F2"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Impacto después del tratamiento</w:t>
            </w:r>
          </w:p>
        </w:tc>
        <w:tc>
          <w:tcPr>
            <w:tcW w:w="809" w:type="dxa"/>
            <w:vMerge w:val="restart"/>
            <w:shd w:val="clear" w:color="auto" w:fill="BFBFBF" w:themeFill="background1" w:themeFillShade="BF"/>
            <w:textDirection w:val="btLr"/>
          </w:tcPr>
          <w:p w14:paraId="5290B6AA"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¿Afecta la ejecución del contrato?</w:t>
            </w:r>
          </w:p>
        </w:tc>
        <w:tc>
          <w:tcPr>
            <w:tcW w:w="1040" w:type="dxa"/>
            <w:vMerge w:val="restart"/>
            <w:shd w:val="clear" w:color="auto" w:fill="BFBFBF" w:themeFill="background1" w:themeFillShade="BF"/>
            <w:textDirection w:val="btLr"/>
          </w:tcPr>
          <w:p w14:paraId="14BC6F0D" w14:textId="77777777" w:rsidR="0076567A" w:rsidRPr="006F6287" w:rsidRDefault="0076567A" w:rsidP="004D7C35">
            <w:pPr>
              <w:spacing w:after="100" w:afterAutospacing="1"/>
              <w:ind w:left="113" w:right="113"/>
              <w:jc w:val="center"/>
              <w:rPr>
                <w:rFonts w:ascii="Verdana" w:eastAsia="SimSun" w:hAnsi="Verdana" w:cs="Arial"/>
                <w:b/>
                <w:kern w:val="3"/>
                <w:sz w:val="14"/>
                <w:szCs w:val="14"/>
                <w:lang w:eastAsia="zh-CN" w:bidi="hi-IN"/>
              </w:rPr>
            </w:pPr>
            <w:r w:rsidRPr="006F6287">
              <w:rPr>
                <w:rFonts w:ascii="Verdana" w:eastAsia="SimSun" w:hAnsi="Verdana" w:cs="Arial"/>
                <w:b/>
                <w:kern w:val="3"/>
                <w:sz w:val="14"/>
                <w:szCs w:val="14"/>
                <w:lang w:eastAsia="zh-CN" w:bidi="hi-IN"/>
              </w:rPr>
              <w:t>Persona responsable por implementar el tratamiento</w:t>
            </w:r>
          </w:p>
        </w:tc>
        <w:tc>
          <w:tcPr>
            <w:tcW w:w="1251" w:type="dxa"/>
            <w:vMerge w:val="restart"/>
            <w:shd w:val="clear" w:color="auto" w:fill="BFBFBF" w:themeFill="background1" w:themeFillShade="BF"/>
            <w:textDirection w:val="btLr"/>
          </w:tcPr>
          <w:p w14:paraId="1BFD10A7" w14:textId="77777777" w:rsidR="0076567A" w:rsidRPr="006F6287" w:rsidRDefault="0076567A" w:rsidP="004D7C35">
            <w:pPr>
              <w:spacing w:after="100" w:afterAutospacing="1"/>
              <w:ind w:left="113" w:right="113"/>
              <w:jc w:val="center"/>
              <w:rPr>
                <w:rFonts w:ascii="Verdana" w:eastAsia="SimSun" w:hAnsi="Verdana" w:cs="Arial"/>
                <w:b/>
                <w:kern w:val="3"/>
                <w:sz w:val="14"/>
                <w:szCs w:val="14"/>
                <w:lang w:eastAsia="zh-CN" w:bidi="hi-IN"/>
              </w:rPr>
            </w:pPr>
            <w:r w:rsidRPr="006F6287">
              <w:rPr>
                <w:rFonts w:ascii="Verdana" w:eastAsia="SimSun" w:hAnsi="Verdana" w:cs="Arial"/>
                <w:b/>
                <w:kern w:val="3"/>
                <w:sz w:val="14"/>
                <w:szCs w:val="14"/>
                <w:lang w:eastAsia="zh-CN" w:bidi="hi-IN"/>
              </w:rPr>
              <w:t>Fecha estimada en que se completa el tratamiento</w:t>
            </w:r>
          </w:p>
        </w:tc>
        <w:tc>
          <w:tcPr>
            <w:tcW w:w="2659" w:type="dxa"/>
            <w:gridSpan w:val="2"/>
            <w:shd w:val="clear" w:color="auto" w:fill="BFBFBF" w:themeFill="background1" w:themeFillShade="BF"/>
          </w:tcPr>
          <w:p w14:paraId="5674A2B8"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539354B2"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p>
          <w:p w14:paraId="56250110" w14:textId="77777777" w:rsidR="0076567A" w:rsidRPr="006F6287" w:rsidRDefault="0076567A" w:rsidP="0076567A">
            <w:pPr>
              <w:spacing w:after="100" w:afterAutospacing="1"/>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Monitoreo y revisión</w:t>
            </w:r>
          </w:p>
        </w:tc>
      </w:tr>
      <w:tr w:rsidR="00843050" w:rsidRPr="006F6287" w14:paraId="678B7917" w14:textId="77777777" w:rsidTr="00843050">
        <w:trPr>
          <w:cantSplit/>
          <w:trHeight w:val="2063"/>
          <w:tblHeader/>
        </w:trPr>
        <w:tc>
          <w:tcPr>
            <w:tcW w:w="422" w:type="dxa"/>
            <w:vMerge/>
            <w:shd w:val="clear" w:color="auto" w:fill="4D4D4D"/>
            <w:textDirection w:val="btLr"/>
          </w:tcPr>
          <w:p w14:paraId="6641EAEF"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807" w:type="dxa"/>
            <w:vMerge/>
            <w:shd w:val="clear" w:color="auto" w:fill="4D4D4D"/>
            <w:textDirection w:val="btLr"/>
          </w:tcPr>
          <w:p w14:paraId="09DEBE93"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690" w:type="dxa"/>
            <w:vMerge/>
            <w:shd w:val="clear" w:color="auto" w:fill="4D4D4D"/>
            <w:textDirection w:val="btLr"/>
          </w:tcPr>
          <w:p w14:paraId="4141C885"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788" w:type="dxa"/>
            <w:vMerge/>
            <w:shd w:val="clear" w:color="auto" w:fill="4D4D4D"/>
            <w:textDirection w:val="btLr"/>
          </w:tcPr>
          <w:p w14:paraId="13B67C39"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928" w:type="dxa"/>
            <w:vMerge/>
            <w:shd w:val="clear" w:color="auto" w:fill="4D4D4D"/>
            <w:textDirection w:val="btLr"/>
          </w:tcPr>
          <w:p w14:paraId="5AC84B61"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1609" w:type="dxa"/>
            <w:vMerge/>
            <w:shd w:val="clear" w:color="auto" w:fill="4D4D4D"/>
            <w:textDirection w:val="btLr"/>
          </w:tcPr>
          <w:p w14:paraId="5100BCAD"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1173" w:type="dxa"/>
            <w:vMerge/>
            <w:shd w:val="clear" w:color="auto" w:fill="4D4D4D"/>
            <w:textDirection w:val="btLr"/>
          </w:tcPr>
          <w:p w14:paraId="24531D07"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22" w:type="dxa"/>
            <w:vMerge/>
            <w:shd w:val="clear" w:color="auto" w:fill="4D4D4D"/>
            <w:textDirection w:val="btLr"/>
          </w:tcPr>
          <w:p w14:paraId="238D69C4"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22" w:type="dxa"/>
            <w:vMerge/>
            <w:shd w:val="clear" w:color="auto" w:fill="4D4D4D"/>
            <w:textDirection w:val="btLr"/>
          </w:tcPr>
          <w:p w14:paraId="031F3DFA"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422" w:type="dxa"/>
            <w:vMerge/>
            <w:shd w:val="clear" w:color="auto" w:fill="4D4D4D"/>
            <w:textDirection w:val="btLr"/>
          </w:tcPr>
          <w:p w14:paraId="60995505"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669" w:type="dxa"/>
            <w:vMerge/>
            <w:shd w:val="clear" w:color="auto" w:fill="4D4D4D"/>
            <w:textDirection w:val="btLr"/>
          </w:tcPr>
          <w:p w14:paraId="755F794E" w14:textId="77777777" w:rsidR="0076567A" w:rsidRPr="006F6287" w:rsidRDefault="0076567A" w:rsidP="004D7C35">
            <w:pPr>
              <w:spacing w:after="100" w:afterAutospacing="1"/>
              <w:ind w:left="113" w:right="113"/>
              <w:jc w:val="center"/>
              <w:rPr>
                <w:rFonts w:ascii="Verdana" w:eastAsia="SimSun" w:hAnsi="Verdana" w:cs="Arial"/>
                <w:color w:val="FFFFFF" w:themeColor="background1"/>
                <w:kern w:val="3"/>
                <w:sz w:val="16"/>
                <w:szCs w:val="20"/>
                <w:lang w:eastAsia="zh-CN" w:bidi="hi-IN"/>
              </w:rPr>
            </w:pPr>
          </w:p>
        </w:tc>
        <w:tc>
          <w:tcPr>
            <w:tcW w:w="1072" w:type="dxa"/>
            <w:vMerge/>
            <w:shd w:val="clear" w:color="auto" w:fill="BFBFBF" w:themeFill="background1" w:themeFillShade="BF"/>
            <w:textDirection w:val="btLr"/>
          </w:tcPr>
          <w:p w14:paraId="6ABDAA08" w14:textId="77777777" w:rsidR="0076567A" w:rsidRPr="006F6287" w:rsidRDefault="0076567A" w:rsidP="004D7C35">
            <w:pPr>
              <w:spacing w:after="100" w:afterAutospacing="1"/>
              <w:ind w:left="113" w:right="113"/>
              <w:jc w:val="center"/>
              <w:rPr>
                <w:rFonts w:ascii="Verdana" w:eastAsia="SimSun" w:hAnsi="Verdana" w:cs="Arial"/>
                <w:b/>
                <w:color w:val="404040" w:themeColor="text1" w:themeTint="BF"/>
                <w:kern w:val="3"/>
                <w:sz w:val="16"/>
                <w:szCs w:val="20"/>
                <w:lang w:eastAsia="zh-CN" w:bidi="hi-IN"/>
              </w:rPr>
            </w:pPr>
          </w:p>
        </w:tc>
        <w:tc>
          <w:tcPr>
            <w:tcW w:w="1590" w:type="dxa"/>
            <w:vMerge/>
            <w:shd w:val="clear" w:color="auto" w:fill="BFBFBF" w:themeFill="background1" w:themeFillShade="BF"/>
            <w:textDirection w:val="btLr"/>
          </w:tcPr>
          <w:p w14:paraId="0930E920" w14:textId="77777777" w:rsidR="0076567A" w:rsidRPr="006F6287" w:rsidRDefault="0076567A" w:rsidP="004D7C35">
            <w:pPr>
              <w:spacing w:after="100" w:afterAutospacing="1"/>
              <w:ind w:left="113" w:right="113"/>
              <w:jc w:val="center"/>
              <w:rPr>
                <w:rFonts w:ascii="Verdana" w:eastAsia="SimSun" w:hAnsi="Verdana" w:cs="Arial"/>
                <w:b/>
                <w:color w:val="404040" w:themeColor="text1" w:themeTint="BF"/>
                <w:kern w:val="3"/>
                <w:sz w:val="16"/>
                <w:szCs w:val="20"/>
                <w:lang w:eastAsia="zh-CN" w:bidi="hi-IN"/>
              </w:rPr>
            </w:pPr>
          </w:p>
        </w:tc>
        <w:tc>
          <w:tcPr>
            <w:tcW w:w="422" w:type="dxa"/>
            <w:shd w:val="clear" w:color="auto" w:fill="BFBFBF" w:themeFill="background1" w:themeFillShade="BF"/>
            <w:textDirection w:val="btLr"/>
          </w:tcPr>
          <w:p w14:paraId="346C1989"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Probabilidad</w:t>
            </w:r>
          </w:p>
        </w:tc>
        <w:tc>
          <w:tcPr>
            <w:tcW w:w="422" w:type="dxa"/>
            <w:shd w:val="clear" w:color="auto" w:fill="BFBFBF" w:themeFill="background1" w:themeFillShade="BF"/>
            <w:textDirection w:val="btLr"/>
          </w:tcPr>
          <w:p w14:paraId="321C7D5A"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Impacto</w:t>
            </w:r>
          </w:p>
        </w:tc>
        <w:tc>
          <w:tcPr>
            <w:tcW w:w="422" w:type="dxa"/>
            <w:shd w:val="clear" w:color="auto" w:fill="BFBFBF" w:themeFill="background1" w:themeFillShade="BF"/>
            <w:textDirection w:val="btLr"/>
          </w:tcPr>
          <w:p w14:paraId="0A01C4B5"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Valoración del Riesgo</w:t>
            </w:r>
          </w:p>
        </w:tc>
        <w:tc>
          <w:tcPr>
            <w:tcW w:w="669" w:type="dxa"/>
            <w:shd w:val="clear" w:color="auto" w:fill="BFBFBF" w:themeFill="background1" w:themeFillShade="BF"/>
            <w:textDirection w:val="btLr"/>
          </w:tcPr>
          <w:p w14:paraId="00E41386"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Categoría</w:t>
            </w:r>
          </w:p>
        </w:tc>
        <w:tc>
          <w:tcPr>
            <w:tcW w:w="809" w:type="dxa"/>
            <w:vMerge/>
            <w:shd w:val="clear" w:color="auto" w:fill="BFBFBF" w:themeFill="background1" w:themeFillShade="BF"/>
            <w:textDirection w:val="btLr"/>
          </w:tcPr>
          <w:p w14:paraId="48CD9EE5"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1040" w:type="dxa"/>
            <w:vMerge/>
            <w:shd w:val="clear" w:color="auto" w:fill="BFBFBF" w:themeFill="background1" w:themeFillShade="BF"/>
            <w:textDirection w:val="btLr"/>
          </w:tcPr>
          <w:p w14:paraId="13559F45"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1251" w:type="dxa"/>
            <w:vMerge/>
            <w:shd w:val="clear" w:color="auto" w:fill="BFBFBF" w:themeFill="background1" w:themeFillShade="BF"/>
            <w:textDirection w:val="btLr"/>
          </w:tcPr>
          <w:p w14:paraId="56CBE478" w14:textId="77777777" w:rsidR="0076567A" w:rsidRPr="006F6287" w:rsidRDefault="0076567A" w:rsidP="004D7C35">
            <w:pPr>
              <w:spacing w:after="100" w:afterAutospacing="1"/>
              <w:ind w:left="113" w:right="113"/>
              <w:jc w:val="center"/>
              <w:rPr>
                <w:rFonts w:ascii="Verdana" w:eastAsia="SimSun" w:hAnsi="Verdana" w:cs="Arial"/>
                <w:b/>
                <w:color w:val="404040" w:themeColor="text1" w:themeTint="BF"/>
                <w:kern w:val="3"/>
                <w:sz w:val="16"/>
                <w:szCs w:val="20"/>
                <w:lang w:eastAsia="zh-CN" w:bidi="hi-IN"/>
              </w:rPr>
            </w:pPr>
          </w:p>
        </w:tc>
        <w:tc>
          <w:tcPr>
            <w:tcW w:w="1408" w:type="dxa"/>
            <w:shd w:val="clear" w:color="auto" w:fill="BFBFBF" w:themeFill="background1" w:themeFillShade="BF"/>
            <w:textDirection w:val="btLr"/>
          </w:tcPr>
          <w:p w14:paraId="6708B798" w14:textId="77777777" w:rsidR="0076567A" w:rsidRPr="006F6287" w:rsidRDefault="0076567A" w:rsidP="004D7C35">
            <w:pPr>
              <w:spacing w:after="100" w:afterAutospacing="1"/>
              <w:ind w:left="113" w:right="113"/>
              <w:jc w:val="center"/>
              <w:rPr>
                <w:rFonts w:ascii="Verdana" w:eastAsia="SimSun" w:hAnsi="Verdana" w:cs="Arial"/>
                <w:b/>
                <w:kern w:val="3"/>
                <w:sz w:val="14"/>
                <w:szCs w:val="14"/>
                <w:lang w:eastAsia="zh-CN" w:bidi="hi-IN"/>
              </w:rPr>
            </w:pPr>
            <w:r w:rsidRPr="006F6287">
              <w:rPr>
                <w:rFonts w:ascii="Verdana" w:eastAsia="SimSun" w:hAnsi="Verdana" w:cs="Arial"/>
                <w:b/>
                <w:kern w:val="3"/>
                <w:sz w:val="14"/>
                <w:szCs w:val="14"/>
                <w:lang w:eastAsia="zh-CN" w:bidi="hi-IN"/>
              </w:rPr>
              <w:t>¿Cómo se realiza el monitoreo?</w:t>
            </w:r>
          </w:p>
        </w:tc>
        <w:tc>
          <w:tcPr>
            <w:tcW w:w="1251" w:type="dxa"/>
            <w:shd w:val="clear" w:color="auto" w:fill="BFBFBF" w:themeFill="background1" w:themeFillShade="BF"/>
            <w:textDirection w:val="btLr"/>
          </w:tcPr>
          <w:p w14:paraId="5478208D"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Periodicidad</w:t>
            </w:r>
          </w:p>
          <w:p w14:paraId="1F85B55D" w14:textId="77777777" w:rsidR="0076567A" w:rsidRPr="006F6287" w:rsidRDefault="0076567A" w:rsidP="004D7C35">
            <w:pPr>
              <w:spacing w:after="100" w:afterAutospacing="1"/>
              <w:ind w:left="113" w:right="113"/>
              <w:jc w:val="center"/>
              <w:rPr>
                <w:rFonts w:ascii="Verdana" w:eastAsia="SimSun" w:hAnsi="Verdana" w:cs="Arial"/>
                <w:b/>
                <w:kern w:val="3"/>
                <w:sz w:val="16"/>
                <w:szCs w:val="20"/>
                <w:lang w:eastAsia="zh-CN" w:bidi="hi-IN"/>
              </w:rPr>
            </w:pPr>
            <w:r w:rsidRPr="006F6287">
              <w:rPr>
                <w:rFonts w:ascii="Verdana" w:eastAsia="SimSun" w:hAnsi="Verdana" w:cs="Arial"/>
                <w:b/>
                <w:kern w:val="3"/>
                <w:sz w:val="16"/>
                <w:szCs w:val="20"/>
                <w:lang w:eastAsia="zh-CN" w:bidi="hi-IN"/>
              </w:rPr>
              <w:t>¿Cuándo?</w:t>
            </w:r>
          </w:p>
        </w:tc>
      </w:tr>
      <w:tr w:rsidR="00843050" w:rsidRPr="006F6287" w14:paraId="7C020497" w14:textId="77777777" w:rsidTr="00843050">
        <w:trPr>
          <w:cantSplit/>
          <w:trHeight w:val="300"/>
        </w:trPr>
        <w:tc>
          <w:tcPr>
            <w:tcW w:w="422" w:type="dxa"/>
            <w:shd w:val="clear" w:color="auto" w:fill="auto"/>
            <w:vAlign w:val="center"/>
          </w:tcPr>
          <w:p w14:paraId="7CA1ABA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807" w:type="dxa"/>
            <w:shd w:val="clear" w:color="auto" w:fill="auto"/>
            <w:vAlign w:val="center"/>
          </w:tcPr>
          <w:p w14:paraId="6143E23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044B28A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5262ACF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Selección - Ejecucion</w:t>
            </w:r>
          </w:p>
        </w:tc>
        <w:tc>
          <w:tcPr>
            <w:tcW w:w="928" w:type="dxa"/>
            <w:shd w:val="clear" w:color="auto" w:fill="auto"/>
            <w:vAlign w:val="center"/>
          </w:tcPr>
          <w:p w14:paraId="2E92389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Economico - Riesgo Operacional</w:t>
            </w:r>
          </w:p>
        </w:tc>
        <w:tc>
          <w:tcPr>
            <w:tcW w:w="1609" w:type="dxa"/>
            <w:shd w:val="clear" w:color="auto" w:fill="auto"/>
            <w:vAlign w:val="center"/>
          </w:tcPr>
          <w:p w14:paraId="3A92409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Precios Artificialmente Bajos. Se refiere a la posibilidad de que la propuesta económica adjudicada disponga de precios muy por debajo del presupuesto oficial, ó por debajo de los ítems que lo conforman o  de  los insumos del APU del presupuesto oficial,  tales como equipos, materiales, mano de obra, transportes, AIU.</w:t>
            </w:r>
          </w:p>
        </w:tc>
        <w:tc>
          <w:tcPr>
            <w:tcW w:w="1173" w:type="dxa"/>
            <w:shd w:val="clear" w:color="auto" w:fill="auto"/>
            <w:vAlign w:val="center"/>
          </w:tcPr>
          <w:p w14:paraId="17C5AA9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Impacto económico desfavorable al Contratista</w:t>
            </w:r>
          </w:p>
        </w:tc>
        <w:tc>
          <w:tcPr>
            <w:tcW w:w="422" w:type="dxa"/>
            <w:shd w:val="clear" w:color="auto" w:fill="auto"/>
            <w:vAlign w:val="center"/>
          </w:tcPr>
          <w:p w14:paraId="152F323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4EA7028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8191A5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7614238A"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7DA45E4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25C23226"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Implementacion de Controles en la Fase precontractual y contractual que aseguren la eficiencia del contratista en la ejecucion del contrato conforme a la oferta tecnica y economica presentada.</w:t>
            </w:r>
          </w:p>
        </w:tc>
        <w:tc>
          <w:tcPr>
            <w:tcW w:w="422" w:type="dxa"/>
            <w:shd w:val="clear" w:color="auto" w:fill="auto"/>
            <w:vAlign w:val="center"/>
          </w:tcPr>
          <w:p w14:paraId="260A999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FB43CF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4094495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669" w:type="dxa"/>
            <w:shd w:val="clear" w:color="auto" w:fill="auto"/>
            <w:vAlign w:val="center"/>
          </w:tcPr>
          <w:p w14:paraId="13CD8411"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4E50394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 son muy bajos puede afectar la ejecución del contrato</w:t>
            </w:r>
          </w:p>
        </w:tc>
        <w:tc>
          <w:tcPr>
            <w:tcW w:w="1040" w:type="dxa"/>
            <w:shd w:val="clear" w:color="auto" w:fill="auto"/>
            <w:vAlign w:val="center"/>
          </w:tcPr>
          <w:p w14:paraId="76B1F5A3"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 Contratista</w:t>
            </w:r>
          </w:p>
        </w:tc>
        <w:tc>
          <w:tcPr>
            <w:tcW w:w="1251" w:type="dxa"/>
            <w:shd w:val="clear" w:color="auto" w:fill="auto"/>
            <w:vAlign w:val="center"/>
          </w:tcPr>
          <w:p w14:paraId="24296BC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64193511"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Control de la ejecución de los items de obra con la calidad requerida en especificaciones técnicas. Seguimiento al avance de la obra, al cumplimiento del programa de inversiones.   Comites Técnicos, Seguimiento a informes, requerimientos escritos-Retroalimentación en los procedimientos adelantados por los responsables del tratamiento.</w:t>
            </w:r>
          </w:p>
        </w:tc>
        <w:tc>
          <w:tcPr>
            <w:tcW w:w="1251" w:type="dxa"/>
            <w:shd w:val="clear" w:color="auto" w:fill="auto"/>
            <w:vAlign w:val="center"/>
          </w:tcPr>
          <w:p w14:paraId="3615C3B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1C31767E" w14:textId="77777777" w:rsidTr="00843050">
        <w:trPr>
          <w:cantSplit/>
          <w:trHeight w:val="300"/>
        </w:trPr>
        <w:tc>
          <w:tcPr>
            <w:tcW w:w="422" w:type="dxa"/>
            <w:shd w:val="clear" w:color="auto" w:fill="auto"/>
            <w:vAlign w:val="center"/>
          </w:tcPr>
          <w:p w14:paraId="0F32BEF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807" w:type="dxa"/>
            <w:shd w:val="clear" w:color="auto" w:fill="auto"/>
            <w:vAlign w:val="center"/>
          </w:tcPr>
          <w:p w14:paraId="28D5886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22DF0D3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620A03F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3546FB8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Economico</w:t>
            </w:r>
          </w:p>
        </w:tc>
        <w:tc>
          <w:tcPr>
            <w:tcW w:w="1609" w:type="dxa"/>
            <w:shd w:val="clear" w:color="auto" w:fill="auto"/>
            <w:vAlign w:val="center"/>
          </w:tcPr>
          <w:p w14:paraId="7F2CAAA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Desabastecimiento de materias primas e insumos. Se refiere a la posibilidad que durante la ejecución del contrato, se presenten limitaciones a la consecución de materia primas e insumos de las fuentes de suministros previstas o por el retiro del mercado por parte de sus productores.</w:t>
            </w:r>
          </w:p>
        </w:tc>
        <w:tc>
          <w:tcPr>
            <w:tcW w:w="1173" w:type="dxa"/>
            <w:shd w:val="clear" w:color="auto" w:fill="auto"/>
            <w:vAlign w:val="center"/>
          </w:tcPr>
          <w:p w14:paraId="6F9CD556"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Retrazos de las Obras, incumplimiento de cronogramas, mayores costos al contratista de las obras.</w:t>
            </w:r>
          </w:p>
        </w:tc>
        <w:tc>
          <w:tcPr>
            <w:tcW w:w="422" w:type="dxa"/>
            <w:shd w:val="clear" w:color="auto" w:fill="auto"/>
            <w:vAlign w:val="center"/>
          </w:tcPr>
          <w:p w14:paraId="6EB1357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1F5CB50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42999A3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669" w:type="dxa"/>
            <w:shd w:val="clear" w:color="auto" w:fill="auto"/>
            <w:vAlign w:val="center"/>
          </w:tcPr>
          <w:p w14:paraId="19BD430A"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0CC1861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7740ECD3"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Recopilación de datos estadísticos e información a partir  de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422" w:type="dxa"/>
            <w:shd w:val="clear" w:color="auto" w:fill="auto"/>
            <w:vAlign w:val="center"/>
          </w:tcPr>
          <w:p w14:paraId="10CA52C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3CD5E34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747CC58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669" w:type="dxa"/>
            <w:shd w:val="clear" w:color="auto" w:fill="auto"/>
            <w:vAlign w:val="center"/>
          </w:tcPr>
          <w:p w14:paraId="71B1ADDE"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48680CE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 el insumo es materia prima básica puede afectarla, mientras se acuerda solución alterna.</w:t>
            </w:r>
          </w:p>
        </w:tc>
        <w:tc>
          <w:tcPr>
            <w:tcW w:w="1040" w:type="dxa"/>
            <w:shd w:val="clear" w:color="auto" w:fill="auto"/>
            <w:vAlign w:val="center"/>
          </w:tcPr>
          <w:p w14:paraId="5AC4632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 Contratista</w:t>
            </w:r>
          </w:p>
        </w:tc>
        <w:tc>
          <w:tcPr>
            <w:tcW w:w="1251" w:type="dxa"/>
            <w:shd w:val="clear" w:color="auto" w:fill="auto"/>
            <w:vAlign w:val="center"/>
          </w:tcPr>
          <w:p w14:paraId="3B1D539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6F1DBCE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Atención al comportamiento del suministro de materias primas e insumos en el mercado. Retroalimentación en los procedimientos adelantados por los responsables del tratamiento.</w:t>
            </w:r>
          </w:p>
        </w:tc>
        <w:tc>
          <w:tcPr>
            <w:tcW w:w="1251" w:type="dxa"/>
            <w:shd w:val="clear" w:color="auto" w:fill="auto"/>
            <w:vAlign w:val="center"/>
          </w:tcPr>
          <w:p w14:paraId="62E5927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118CF48E" w14:textId="77777777" w:rsidTr="00843050">
        <w:trPr>
          <w:cantSplit/>
          <w:trHeight w:val="300"/>
        </w:trPr>
        <w:tc>
          <w:tcPr>
            <w:tcW w:w="422" w:type="dxa"/>
            <w:shd w:val="clear" w:color="auto" w:fill="auto"/>
            <w:vAlign w:val="center"/>
          </w:tcPr>
          <w:p w14:paraId="309B724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807" w:type="dxa"/>
            <w:shd w:val="clear" w:color="auto" w:fill="auto"/>
            <w:vAlign w:val="center"/>
          </w:tcPr>
          <w:p w14:paraId="567BD19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6724E98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0E20693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0C71362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Economico</w:t>
            </w:r>
          </w:p>
        </w:tc>
        <w:tc>
          <w:tcPr>
            <w:tcW w:w="1609" w:type="dxa"/>
            <w:shd w:val="clear" w:color="auto" w:fill="auto"/>
            <w:vAlign w:val="center"/>
          </w:tcPr>
          <w:p w14:paraId="6E37417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Variación de precios durante la ejecución del contrato. Se refiere a la posibilidad de que los precios ofrecidos en la propuesta y adjudicados sean influenciados con alzas previsibles.</w:t>
            </w:r>
          </w:p>
        </w:tc>
        <w:tc>
          <w:tcPr>
            <w:tcW w:w="1173" w:type="dxa"/>
            <w:shd w:val="clear" w:color="auto" w:fill="auto"/>
            <w:vAlign w:val="center"/>
          </w:tcPr>
          <w:p w14:paraId="58D7877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Afectación al equilibrio económico del contrato</w:t>
            </w:r>
          </w:p>
        </w:tc>
        <w:tc>
          <w:tcPr>
            <w:tcW w:w="422" w:type="dxa"/>
            <w:shd w:val="clear" w:color="auto" w:fill="auto"/>
            <w:vAlign w:val="center"/>
          </w:tcPr>
          <w:p w14:paraId="5F7599A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3D94944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080A38C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0B2FCB03"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438BDA7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 y Contratista</w:t>
            </w:r>
          </w:p>
        </w:tc>
        <w:tc>
          <w:tcPr>
            <w:tcW w:w="1590" w:type="dxa"/>
            <w:shd w:val="clear" w:color="auto" w:fill="auto"/>
            <w:vAlign w:val="center"/>
          </w:tcPr>
          <w:p w14:paraId="6749507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Recopilación de datos estadísticos e información sobre comportamiento histórico de precios, durante la etapa precontractual. Atención al comportamiento de precios en la etapa contractual</w:t>
            </w:r>
          </w:p>
        </w:tc>
        <w:tc>
          <w:tcPr>
            <w:tcW w:w="422" w:type="dxa"/>
            <w:shd w:val="clear" w:color="auto" w:fill="auto"/>
            <w:vAlign w:val="center"/>
          </w:tcPr>
          <w:p w14:paraId="02A1A0E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0DA6A16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4C8B8E7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669" w:type="dxa"/>
            <w:shd w:val="clear" w:color="auto" w:fill="auto"/>
            <w:vAlign w:val="center"/>
          </w:tcPr>
          <w:p w14:paraId="20E56118"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1ACAA4D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6B22C51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 Contratista</w:t>
            </w:r>
          </w:p>
        </w:tc>
        <w:tc>
          <w:tcPr>
            <w:tcW w:w="1251" w:type="dxa"/>
            <w:shd w:val="clear" w:color="auto" w:fill="auto"/>
            <w:vAlign w:val="center"/>
          </w:tcPr>
          <w:p w14:paraId="2FF0D0C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4486948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Atención al comportamiento de precios. Retroalimentación en los procedimientos adelantados por los responsables del tratamiento.</w:t>
            </w:r>
          </w:p>
        </w:tc>
        <w:tc>
          <w:tcPr>
            <w:tcW w:w="1251" w:type="dxa"/>
            <w:shd w:val="clear" w:color="auto" w:fill="auto"/>
            <w:vAlign w:val="center"/>
          </w:tcPr>
          <w:p w14:paraId="79FD9D6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04B6AF6F" w14:textId="77777777" w:rsidTr="00843050">
        <w:trPr>
          <w:cantSplit/>
          <w:trHeight w:val="300"/>
        </w:trPr>
        <w:tc>
          <w:tcPr>
            <w:tcW w:w="422" w:type="dxa"/>
            <w:shd w:val="clear" w:color="auto" w:fill="auto"/>
            <w:vAlign w:val="center"/>
          </w:tcPr>
          <w:p w14:paraId="678EA79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807" w:type="dxa"/>
            <w:shd w:val="clear" w:color="auto" w:fill="auto"/>
            <w:vAlign w:val="center"/>
          </w:tcPr>
          <w:p w14:paraId="66C0ABB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088967F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1A668E0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6B6382D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Sociales o Politicos</w:t>
            </w:r>
          </w:p>
        </w:tc>
        <w:tc>
          <w:tcPr>
            <w:tcW w:w="1609" w:type="dxa"/>
            <w:shd w:val="clear" w:color="auto" w:fill="auto"/>
            <w:vAlign w:val="center"/>
          </w:tcPr>
          <w:p w14:paraId="639EC226"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Orden público: Posible ocurrencia de actos terroristas, paros, huelgas, manifestaciones, disturbios y demás que afecten el orden público y se ubiquen en las zonas de influencia de las obras.</w:t>
            </w:r>
          </w:p>
        </w:tc>
        <w:tc>
          <w:tcPr>
            <w:tcW w:w="1173" w:type="dxa"/>
            <w:shd w:val="clear" w:color="auto" w:fill="auto"/>
            <w:vAlign w:val="center"/>
          </w:tcPr>
          <w:p w14:paraId="5C8B226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Posible pérdida de Bienes del contratista, daños en obras del proyecto, reprogramación de cronogramas, retrazos en la ejecución de las obras.</w:t>
            </w:r>
          </w:p>
        </w:tc>
        <w:tc>
          <w:tcPr>
            <w:tcW w:w="422" w:type="dxa"/>
            <w:shd w:val="clear" w:color="auto" w:fill="auto"/>
            <w:vAlign w:val="center"/>
          </w:tcPr>
          <w:p w14:paraId="60B42AF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422" w:type="dxa"/>
            <w:shd w:val="clear" w:color="auto" w:fill="auto"/>
            <w:vAlign w:val="center"/>
          </w:tcPr>
          <w:p w14:paraId="7AE0A27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16C48DB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7</w:t>
            </w:r>
          </w:p>
        </w:tc>
        <w:tc>
          <w:tcPr>
            <w:tcW w:w="669" w:type="dxa"/>
            <w:shd w:val="clear" w:color="auto" w:fill="auto"/>
            <w:vAlign w:val="center"/>
          </w:tcPr>
          <w:p w14:paraId="0D7C5B1A"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Alto</w:t>
            </w:r>
          </w:p>
        </w:tc>
        <w:tc>
          <w:tcPr>
            <w:tcW w:w="1072" w:type="dxa"/>
            <w:shd w:val="clear" w:color="auto" w:fill="auto"/>
            <w:vAlign w:val="center"/>
          </w:tcPr>
          <w:p w14:paraId="76BFB6D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 y Contratista</w:t>
            </w:r>
          </w:p>
        </w:tc>
        <w:tc>
          <w:tcPr>
            <w:tcW w:w="1590" w:type="dxa"/>
            <w:shd w:val="clear" w:color="auto" w:fill="auto"/>
            <w:vAlign w:val="center"/>
          </w:tcPr>
          <w:p w14:paraId="33D5E0A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 La Secretaría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422" w:type="dxa"/>
            <w:shd w:val="clear" w:color="auto" w:fill="auto"/>
            <w:vAlign w:val="center"/>
          </w:tcPr>
          <w:p w14:paraId="2F18F17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6AF51B6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582A2EB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654E0D25"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809" w:type="dxa"/>
            <w:shd w:val="clear" w:color="auto" w:fill="auto"/>
            <w:vAlign w:val="center"/>
          </w:tcPr>
          <w:p w14:paraId="7E5B444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0E56E043"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35E6320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ocurrencia del evento</w:t>
            </w:r>
          </w:p>
        </w:tc>
        <w:tc>
          <w:tcPr>
            <w:tcW w:w="1408" w:type="dxa"/>
            <w:shd w:val="clear" w:color="auto" w:fill="auto"/>
            <w:vAlign w:val="center"/>
          </w:tcPr>
          <w:p w14:paraId="5B1AC9A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partir de la información oficial, información del Interventor, del Contratista y de la Secretaría, se determinan acciones a seguir, para procurar la menor afectación al proyecto.</w:t>
            </w:r>
          </w:p>
        </w:tc>
        <w:tc>
          <w:tcPr>
            <w:tcW w:w="1251" w:type="dxa"/>
            <w:shd w:val="clear" w:color="auto" w:fill="auto"/>
            <w:vAlign w:val="center"/>
          </w:tcPr>
          <w:p w14:paraId="2DB7F17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Cuando se presente el evento</w:t>
            </w:r>
          </w:p>
        </w:tc>
      </w:tr>
      <w:tr w:rsidR="00843050" w:rsidRPr="006F6287" w14:paraId="739B9BAD" w14:textId="77777777" w:rsidTr="00843050">
        <w:trPr>
          <w:cantSplit/>
          <w:trHeight w:val="300"/>
        </w:trPr>
        <w:tc>
          <w:tcPr>
            <w:tcW w:w="422" w:type="dxa"/>
            <w:shd w:val="clear" w:color="auto" w:fill="auto"/>
            <w:vAlign w:val="center"/>
          </w:tcPr>
          <w:p w14:paraId="6F74E2F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807" w:type="dxa"/>
            <w:shd w:val="clear" w:color="auto" w:fill="auto"/>
            <w:vAlign w:val="center"/>
          </w:tcPr>
          <w:p w14:paraId="72339C3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40FD6B5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Interno</w:t>
            </w:r>
          </w:p>
        </w:tc>
        <w:tc>
          <w:tcPr>
            <w:tcW w:w="788" w:type="dxa"/>
            <w:shd w:val="clear" w:color="auto" w:fill="auto"/>
            <w:vAlign w:val="center"/>
          </w:tcPr>
          <w:p w14:paraId="550C7FD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5B921A2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Operacional</w:t>
            </w:r>
          </w:p>
        </w:tc>
        <w:tc>
          <w:tcPr>
            <w:tcW w:w="1609" w:type="dxa"/>
            <w:shd w:val="clear" w:color="auto" w:fill="auto"/>
            <w:vAlign w:val="center"/>
          </w:tcPr>
          <w:p w14:paraId="0F020DF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1173" w:type="dxa"/>
            <w:shd w:val="clear" w:color="auto" w:fill="auto"/>
            <w:vAlign w:val="center"/>
          </w:tcPr>
          <w:p w14:paraId="5CDF186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Impacto Negativo en el proyecto por la probable ocurrencia de accidentes de usuarios de la via y trabajadores de la obra, Inconformidad con la obra por parte de la comunidad.</w:t>
            </w:r>
          </w:p>
        </w:tc>
        <w:tc>
          <w:tcPr>
            <w:tcW w:w="422" w:type="dxa"/>
            <w:shd w:val="clear" w:color="auto" w:fill="auto"/>
            <w:vAlign w:val="center"/>
          </w:tcPr>
          <w:p w14:paraId="75B8B09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495B640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52192BF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2AB9AC1B"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1072" w:type="dxa"/>
            <w:shd w:val="clear" w:color="auto" w:fill="auto"/>
            <w:vAlign w:val="center"/>
          </w:tcPr>
          <w:p w14:paraId="300C52D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63D1C895"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422" w:type="dxa"/>
            <w:shd w:val="clear" w:color="auto" w:fill="auto"/>
            <w:vAlign w:val="center"/>
          </w:tcPr>
          <w:p w14:paraId="0208DFD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2980CBB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4D133E2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76449B36"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41034B2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3667A7D5"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419E6FD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763586A9"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Inspecciones diarias del Interventor. Comites Técnicos, Seguimiento a informes, requerimientos escritos-Retroalimentacio en los procedimientos adelantados por los responsables del tratamiento.</w:t>
            </w:r>
          </w:p>
        </w:tc>
        <w:tc>
          <w:tcPr>
            <w:tcW w:w="1251" w:type="dxa"/>
            <w:shd w:val="clear" w:color="auto" w:fill="auto"/>
            <w:vAlign w:val="center"/>
          </w:tcPr>
          <w:p w14:paraId="7E7BEF6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Diario</w:t>
            </w:r>
          </w:p>
        </w:tc>
      </w:tr>
      <w:tr w:rsidR="00843050" w:rsidRPr="006F6287" w14:paraId="56E880EC" w14:textId="77777777" w:rsidTr="00843050">
        <w:trPr>
          <w:cantSplit/>
          <w:trHeight w:val="300"/>
        </w:trPr>
        <w:tc>
          <w:tcPr>
            <w:tcW w:w="422" w:type="dxa"/>
            <w:shd w:val="clear" w:color="auto" w:fill="auto"/>
            <w:vAlign w:val="center"/>
          </w:tcPr>
          <w:p w14:paraId="33B03FA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6</w:t>
            </w:r>
          </w:p>
        </w:tc>
        <w:tc>
          <w:tcPr>
            <w:tcW w:w="807" w:type="dxa"/>
            <w:shd w:val="clear" w:color="auto" w:fill="auto"/>
            <w:vAlign w:val="center"/>
          </w:tcPr>
          <w:p w14:paraId="0B868A4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437306B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Interno</w:t>
            </w:r>
          </w:p>
        </w:tc>
        <w:tc>
          <w:tcPr>
            <w:tcW w:w="788" w:type="dxa"/>
            <w:shd w:val="clear" w:color="auto" w:fill="auto"/>
            <w:vAlign w:val="center"/>
          </w:tcPr>
          <w:p w14:paraId="2ED5037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3CF3423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Operacional</w:t>
            </w:r>
          </w:p>
        </w:tc>
        <w:tc>
          <w:tcPr>
            <w:tcW w:w="1609" w:type="dxa"/>
            <w:shd w:val="clear" w:color="auto" w:fill="auto"/>
            <w:vAlign w:val="center"/>
          </w:tcPr>
          <w:p w14:paraId="5B407BE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Por Ajuste y/0 Actualizacion  y/o Unificación y/o Modificación de estudios y diseños y/o elaboración de estudios complementarios realizados  por el Contratista: Ocurre cuando se presentan efectos originados por cambios o actualización de los estudios y/o diseños definitivos necesarios para la correcta ejecución y operación de las obras.</w:t>
            </w:r>
          </w:p>
        </w:tc>
        <w:tc>
          <w:tcPr>
            <w:tcW w:w="1173" w:type="dxa"/>
            <w:shd w:val="clear" w:color="auto" w:fill="auto"/>
            <w:vAlign w:val="center"/>
          </w:tcPr>
          <w:p w14:paraId="53DEBFD6"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Retrasos en el cronograma de ejecución, variación de algunas obras del contrato y por ende de cantidades de   obra.</w:t>
            </w:r>
          </w:p>
        </w:tc>
        <w:tc>
          <w:tcPr>
            <w:tcW w:w="422" w:type="dxa"/>
            <w:shd w:val="clear" w:color="auto" w:fill="auto"/>
            <w:vAlign w:val="center"/>
          </w:tcPr>
          <w:p w14:paraId="237249F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728B43D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63B59BA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4920C003"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1072" w:type="dxa"/>
            <w:shd w:val="clear" w:color="auto" w:fill="auto"/>
            <w:vAlign w:val="center"/>
          </w:tcPr>
          <w:p w14:paraId="0873205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43AC56A3"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Realizar una interventoría adecuada durante la etapa de Ajuste y/0 Actualizacion  y/o Unificación y/o Modificación de estudios y diseños y/o elaboración de estudios complementarios  para evitar cambios que impacten negativamente el proyecto.  Realizar las consultas pertinentes y oportunas cuando se encuentren diferencias o inconsistencias en los diseños.</w:t>
            </w:r>
          </w:p>
        </w:tc>
        <w:tc>
          <w:tcPr>
            <w:tcW w:w="422" w:type="dxa"/>
            <w:shd w:val="clear" w:color="auto" w:fill="auto"/>
            <w:vAlign w:val="center"/>
          </w:tcPr>
          <w:p w14:paraId="45848B6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08E590C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69EF839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2497661C"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5F35137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1239A20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480933B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Al final de la Ajuste y/0 Actualizacion  y/o Unificación y/o Modificación de estudios y diseños y/o elaboración de estudios complementarios</w:t>
            </w:r>
          </w:p>
        </w:tc>
        <w:tc>
          <w:tcPr>
            <w:tcW w:w="1408" w:type="dxa"/>
            <w:shd w:val="clear" w:color="auto" w:fill="auto"/>
            <w:vAlign w:val="center"/>
          </w:tcPr>
          <w:p w14:paraId="2412D405"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La Interventoría debe efectuar seguimiento contínuo  a través de sus Especialistas,  al Ajuste y/0 Actualizacion  y/o Unificación y/o Modificación de estudios y diseños y/o elaboración de estudios complementarios por parte del Contratista, de manera que los cambios que se requieran impacten lo menos posible al proyecto.</w:t>
            </w:r>
          </w:p>
        </w:tc>
        <w:tc>
          <w:tcPr>
            <w:tcW w:w="1251" w:type="dxa"/>
            <w:shd w:val="clear" w:color="auto" w:fill="auto"/>
            <w:vAlign w:val="center"/>
          </w:tcPr>
          <w:p w14:paraId="015C8F0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Semanal en la etapa de Ajuste y/0 Actualizacion  y/o Unificación y/o Modificación de estudios y diseños y/o elaboración de estudios complementarios</w:t>
            </w:r>
          </w:p>
        </w:tc>
      </w:tr>
      <w:tr w:rsidR="00843050" w:rsidRPr="006F6287" w14:paraId="479AC183" w14:textId="77777777" w:rsidTr="00843050">
        <w:trPr>
          <w:cantSplit/>
          <w:trHeight w:val="300"/>
        </w:trPr>
        <w:tc>
          <w:tcPr>
            <w:tcW w:w="422" w:type="dxa"/>
            <w:shd w:val="clear" w:color="auto" w:fill="auto"/>
            <w:vAlign w:val="center"/>
          </w:tcPr>
          <w:p w14:paraId="30A6B51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7</w:t>
            </w:r>
          </w:p>
        </w:tc>
        <w:tc>
          <w:tcPr>
            <w:tcW w:w="807" w:type="dxa"/>
            <w:shd w:val="clear" w:color="auto" w:fill="auto"/>
            <w:vAlign w:val="center"/>
          </w:tcPr>
          <w:p w14:paraId="067E83C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3E935C1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Interno</w:t>
            </w:r>
          </w:p>
        </w:tc>
        <w:tc>
          <w:tcPr>
            <w:tcW w:w="788" w:type="dxa"/>
            <w:shd w:val="clear" w:color="auto" w:fill="auto"/>
            <w:vAlign w:val="center"/>
          </w:tcPr>
          <w:p w14:paraId="36419C0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0E0C7E8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Operacional</w:t>
            </w:r>
          </w:p>
        </w:tc>
        <w:tc>
          <w:tcPr>
            <w:tcW w:w="1609" w:type="dxa"/>
            <w:shd w:val="clear" w:color="auto" w:fill="auto"/>
            <w:vAlign w:val="center"/>
          </w:tcPr>
          <w:p w14:paraId="105FF3A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Modificaciones a Estudios y Diseños. Se refiere a la posibilidad de que se deban realizar ajustes, actualizaciones, unificaciones o modificaciones a Estudios o diseños o Estudios Complementarios por parte del Contratista de Obra, debido a cambios de la naturaleza, redes de servicios y demás técnicos o sociales necesarios para la correcta ejecución y operación de las obras.</w:t>
            </w:r>
          </w:p>
        </w:tc>
        <w:tc>
          <w:tcPr>
            <w:tcW w:w="1173" w:type="dxa"/>
            <w:shd w:val="clear" w:color="auto" w:fill="auto"/>
            <w:vAlign w:val="center"/>
          </w:tcPr>
          <w:p w14:paraId="4C129D3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Retrasos en el cronograma de ejecución, variación de algunas obras del contrato y por ende de cantidades de   obra.</w:t>
            </w:r>
          </w:p>
        </w:tc>
        <w:tc>
          <w:tcPr>
            <w:tcW w:w="422" w:type="dxa"/>
            <w:shd w:val="clear" w:color="auto" w:fill="auto"/>
            <w:vAlign w:val="center"/>
          </w:tcPr>
          <w:p w14:paraId="012526A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0947F9C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29463AD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064BE62C"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1072" w:type="dxa"/>
            <w:shd w:val="clear" w:color="auto" w:fill="auto"/>
            <w:vAlign w:val="center"/>
          </w:tcPr>
          <w:p w14:paraId="28C9C73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5FEC6507"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Realizar una interventoría adecuada durante la etapa de Ajuste y/0 Actualizacion  y/o Unificación y/o Modificación de estudios y diseños y/o elaboración de estudios complementarios  para evitar cambios que impacten negativamente el proyecto.  Realizar las consultas pertinentes y oportunas cuando se encuentren diferencias o inconsistencias en los diseños.</w:t>
            </w:r>
          </w:p>
        </w:tc>
        <w:tc>
          <w:tcPr>
            <w:tcW w:w="422" w:type="dxa"/>
            <w:shd w:val="clear" w:color="auto" w:fill="auto"/>
            <w:vAlign w:val="center"/>
          </w:tcPr>
          <w:p w14:paraId="0AECB02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352E617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4F5F07B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0BB91696"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56A4370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74E1079F"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77EE626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Al final de la Ajuste y/0 Actualizacion  y/o Unificación y/o Modificación de estudios y diseños y/o elaboración de estudios complementarios</w:t>
            </w:r>
          </w:p>
        </w:tc>
        <w:tc>
          <w:tcPr>
            <w:tcW w:w="1408" w:type="dxa"/>
            <w:shd w:val="clear" w:color="auto" w:fill="auto"/>
            <w:vAlign w:val="center"/>
          </w:tcPr>
          <w:p w14:paraId="0F42358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La Interventoría debe efectuar seguimiento contínuo  a través de sus Especialistas,  al Ajuste y/0 Actualizacion  y/o Unificación y/o Modificación de estudios y diseños y/o elaboración de estudios complementarios por parte del Contratista, de manera que los cambios que se requieran impacten lo menos posible al proyecto.</w:t>
            </w:r>
          </w:p>
        </w:tc>
        <w:tc>
          <w:tcPr>
            <w:tcW w:w="1251" w:type="dxa"/>
            <w:shd w:val="clear" w:color="auto" w:fill="auto"/>
            <w:vAlign w:val="center"/>
          </w:tcPr>
          <w:p w14:paraId="7A0C5EB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Semanal en la etapa de Ajuste y/0 Actualizacion  y/o Unificación y/o Modificación de estudios y diseños y/o elaboración de estudios complementarios</w:t>
            </w:r>
          </w:p>
        </w:tc>
      </w:tr>
      <w:tr w:rsidR="00843050" w:rsidRPr="006F6287" w14:paraId="142AE6BA" w14:textId="77777777" w:rsidTr="00843050">
        <w:trPr>
          <w:cantSplit/>
          <w:trHeight w:val="300"/>
        </w:trPr>
        <w:tc>
          <w:tcPr>
            <w:tcW w:w="422" w:type="dxa"/>
            <w:shd w:val="clear" w:color="auto" w:fill="auto"/>
            <w:vAlign w:val="center"/>
          </w:tcPr>
          <w:p w14:paraId="16FEA46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8</w:t>
            </w:r>
          </w:p>
        </w:tc>
        <w:tc>
          <w:tcPr>
            <w:tcW w:w="807" w:type="dxa"/>
            <w:shd w:val="clear" w:color="auto" w:fill="auto"/>
            <w:vAlign w:val="center"/>
          </w:tcPr>
          <w:p w14:paraId="41F670F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Especifico</w:t>
            </w:r>
          </w:p>
        </w:tc>
        <w:tc>
          <w:tcPr>
            <w:tcW w:w="690" w:type="dxa"/>
            <w:shd w:val="clear" w:color="auto" w:fill="auto"/>
            <w:vAlign w:val="center"/>
          </w:tcPr>
          <w:p w14:paraId="26579FC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Interno</w:t>
            </w:r>
          </w:p>
        </w:tc>
        <w:tc>
          <w:tcPr>
            <w:tcW w:w="788" w:type="dxa"/>
            <w:shd w:val="clear" w:color="auto" w:fill="auto"/>
            <w:vAlign w:val="center"/>
          </w:tcPr>
          <w:p w14:paraId="0A98463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0EC99D8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Operacional</w:t>
            </w:r>
          </w:p>
        </w:tc>
        <w:tc>
          <w:tcPr>
            <w:tcW w:w="1609" w:type="dxa"/>
            <w:shd w:val="clear" w:color="auto" w:fill="auto"/>
            <w:vAlign w:val="center"/>
          </w:tcPr>
          <w:p w14:paraId="67ADABD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 de mayores cantidades de obra no autorizadas, por  materiales y/o procedimientos constructivos inadecuados, y/o por deficiente programación  de ejecución de las obras.</w:t>
            </w:r>
          </w:p>
        </w:tc>
        <w:tc>
          <w:tcPr>
            <w:tcW w:w="1173" w:type="dxa"/>
            <w:shd w:val="clear" w:color="auto" w:fill="auto"/>
            <w:vAlign w:val="center"/>
          </w:tcPr>
          <w:p w14:paraId="0CA763B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Demora en la ejecución de la obra  por correctivos necesarios.</w:t>
            </w:r>
          </w:p>
        </w:tc>
        <w:tc>
          <w:tcPr>
            <w:tcW w:w="422" w:type="dxa"/>
            <w:shd w:val="clear" w:color="auto" w:fill="auto"/>
            <w:vAlign w:val="center"/>
          </w:tcPr>
          <w:p w14:paraId="0CA8B42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3F13114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5989DE7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1927DAF0"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2906F80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0B65683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Interventoría permanente en la ejecución de las obras, para controlar obras autorizadas, materiales, procedimientos constructivos , ajustados a las obras requeridas y especificaciones técnicas contractuales.</w:t>
            </w:r>
          </w:p>
        </w:tc>
        <w:tc>
          <w:tcPr>
            <w:tcW w:w="422" w:type="dxa"/>
            <w:shd w:val="clear" w:color="auto" w:fill="auto"/>
            <w:vAlign w:val="center"/>
          </w:tcPr>
          <w:p w14:paraId="4C5C4A7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0BA0B4E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F49ED2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669" w:type="dxa"/>
            <w:shd w:val="clear" w:color="auto" w:fill="auto"/>
            <w:vAlign w:val="center"/>
          </w:tcPr>
          <w:p w14:paraId="421C7B3D"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59B0AD3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69F24A4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0F189F8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3EAD8D35"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Control permanente por parte del Interventor de la  ejecución de las obras requeridas del proyecto y del cumplimiento de especificaciones técnicas.</w:t>
            </w:r>
          </w:p>
        </w:tc>
        <w:tc>
          <w:tcPr>
            <w:tcW w:w="1251" w:type="dxa"/>
            <w:shd w:val="clear" w:color="auto" w:fill="auto"/>
            <w:vAlign w:val="center"/>
          </w:tcPr>
          <w:p w14:paraId="230F11C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Diario</w:t>
            </w:r>
          </w:p>
        </w:tc>
      </w:tr>
      <w:tr w:rsidR="00843050" w:rsidRPr="006F6287" w14:paraId="0D3020B6" w14:textId="77777777" w:rsidTr="00843050">
        <w:trPr>
          <w:cantSplit/>
          <w:trHeight w:val="300"/>
        </w:trPr>
        <w:tc>
          <w:tcPr>
            <w:tcW w:w="422" w:type="dxa"/>
            <w:shd w:val="clear" w:color="auto" w:fill="auto"/>
            <w:vAlign w:val="center"/>
          </w:tcPr>
          <w:p w14:paraId="4CE22DB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9</w:t>
            </w:r>
          </w:p>
        </w:tc>
        <w:tc>
          <w:tcPr>
            <w:tcW w:w="807" w:type="dxa"/>
            <w:shd w:val="clear" w:color="auto" w:fill="auto"/>
            <w:vAlign w:val="center"/>
          </w:tcPr>
          <w:p w14:paraId="1C00652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Especifico</w:t>
            </w:r>
          </w:p>
        </w:tc>
        <w:tc>
          <w:tcPr>
            <w:tcW w:w="690" w:type="dxa"/>
            <w:shd w:val="clear" w:color="auto" w:fill="auto"/>
            <w:vAlign w:val="center"/>
          </w:tcPr>
          <w:p w14:paraId="563642D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Interno</w:t>
            </w:r>
          </w:p>
        </w:tc>
        <w:tc>
          <w:tcPr>
            <w:tcW w:w="788" w:type="dxa"/>
            <w:shd w:val="clear" w:color="auto" w:fill="auto"/>
            <w:vAlign w:val="center"/>
          </w:tcPr>
          <w:p w14:paraId="7AAE331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07EB4AD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Operacional</w:t>
            </w:r>
          </w:p>
        </w:tc>
        <w:tc>
          <w:tcPr>
            <w:tcW w:w="1609" w:type="dxa"/>
            <w:shd w:val="clear" w:color="auto" w:fill="auto"/>
            <w:vAlign w:val="center"/>
          </w:tcPr>
          <w:p w14:paraId="68A3884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Variación de cantidades de obra debidamente justificadas: Son los efectos derivados de los cambios en las condiciones técnicas que incrementen o disminuyan las cantidades previstas  para la ejecución de las obras. La Secrearia asume las variaciones de las cantidades de obra técnicamente requeridas para la ejecución del proyecto y el Contratista asume el riesgo de ejecutar las cantidades de obra en las variaciones que sean necesarias.</w:t>
            </w:r>
          </w:p>
        </w:tc>
        <w:tc>
          <w:tcPr>
            <w:tcW w:w="1173" w:type="dxa"/>
            <w:shd w:val="clear" w:color="auto" w:fill="auto"/>
            <w:vAlign w:val="center"/>
          </w:tcPr>
          <w:p w14:paraId="64B0DC85"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 variación de las cantidades de obra previstas inicialmente, siendo necesario ajustes al balance de cantidades de obra, para ceñirse al presupuesto contractual.</w:t>
            </w:r>
          </w:p>
        </w:tc>
        <w:tc>
          <w:tcPr>
            <w:tcW w:w="422" w:type="dxa"/>
            <w:shd w:val="clear" w:color="auto" w:fill="auto"/>
            <w:vAlign w:val="center"/>
          </w:tcPr>
          <w:p w14:paraId="7008BF6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422" w:type="dxa"/>
            <w:shd w:val="clear" w:color="auto" w:fill="auto"/>
            <w:vAlign w:val="center"/>
          </w:tcPr>
          <w:p w14:paraId="1AA360C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08C593E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7</w:t>
            </w:r>
          </w:p>
        </w:tc>
        <w:tc>
          <w:tcPr>
            <w:tcW w:w="669" w:type="dxa"/>
            <w:shd w:val="clear" w:color="auto" w:fill="auto"/>
            <w:vAlign w:val="center"/>
          </w:tcPr>
          <w:p w14:paraId="1EC6FECC"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Alto</w:t>
            </w:r>
          </w:p>
        </w:tc>
        <w:tc>
          <w:tcPr>
            <w:tcW w:w="1072" w:type="dxa"/>
            <w:shd w:val="clear" w:color="auto" w:fill="auto"/>
            <w:vAlign w:val="center"/>
          </w:tcPr>
          <w:p w14:paraId="5329ACB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 y Contratista</w:t>
            </w:r>
          </w:p>
        </w:tc>
        <w:tc>
          <w:tcPr>
            <w:tcW w:w="1590" w:type="dxa"/>
            <w:shd w:val="clear" w:color="auto" w:fill="auto"/>
            <w:vAlign w:val="center"/>
          </w:tcPr>
          <w:p w14:paraId="00D35202"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Planeación, revisión, ajuste y seguimiento en la fase precontractual y contractual de forma adecuada de los diseños y cantidades de obra.</w:t>
            </w:r>
          </w:p>
        </w:tc>
        <w:tc>
          <w:tcPr>
            <w:tcW w:w="422" w:type="dxa"/>
            <w:shd w:val="clear" w:color="auto" w:fill="auto"/>
            <w:vAlign w:val="center"/>
          </w:tcPr>
          <w:p w14:paraId="45FDB75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316E9F2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BDC82B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558FA7BB"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809" w:type="dxa"/>
            <w:shd w:val="clear" w:color="auto" w:fill="auto"/>
            <w:vAlign w:val="center"/>
          </w:tcPr>
          <w:p w14:paraId="0322978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611B499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6EE401B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3C23FAF1"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Análisis y revisión de los estudios realizados y revisión de las cantidades contractuales, a medida que se va ejecutando el proyecto, para realizar ajustes de ser necesario.</w:t>
            </w:r>
          </w:p>
        </w:tc>
        <w:tc>
          <w:tcPr>
            <w:tcW w:w="1251" w:type="dxa"/>
            <w:shd w:val="clear" w:color="auto" w:fill="auto"/>
            <w:vAlign w:val="center"/>
          </w:tcPr>
          <w:p w14:paraId="4B5EC17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5357D047" w14:textId="77777777" w:rsidTr="00843050">
        <w:trPr>
          <w:cantSplit/>
          <w:trHeight w:val="300"/>
        </w:trPr>
        <w:tc>
          <w:tcPr>
            <w:tcW w:w="422" w:type="dxa"/>
            <w:shd w:val="clear" w:color="auto" w:fill="auto"/>
            <w:vAlign w:val="center"/>
          </w:tcPr>
          <w:p w14:paraId="0A63A7F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10</w:t>
            </w:r>
          </w:p>
        </w:tc>
        <w:tc>
          <w:tcPr>
            <w:tcW w:w="807" w:type="dxa"/>
            <w:shd w:val="clear" w:color="auto" w:fill="auto"/>
            <w:vAlign w:val="center"/>
          </w:tcPr>
          <w:p w14:paraId="2C30151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Especifico</w:t>
            </w:r>
          </w:p>
        </w:tc>
        <w:tc>
          <w:tcPr>
            <w:tcW w:w="690" w:type="dxa"/>
            <w:shd w:val="clear" w:color="auto" w:fill="auto"/>
            <w:vAlign w:val="center"/>
          </w:tcPr>
          <w:p w14:paraId="4BA4C83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Interno</w:t>
            </w:r>
          </w:p>
        </w:tc>
        <w:tc>
          <w:tcPr>
            <w:tcW w:w="788" w:type="dxa"/>
            <w:shd w:val="clear" w:color="auto" w:fill="auto"/>
            <w:vAlign w:val="center"/>
          </w:tcPr>
          <w:p w14:paraId="0BA2228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661262A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Operacional</w:t>
            </w:r>
          </w:p>
        </w:tc>
        <w:tc>
          <w:tcPr>
            <w:tcW w:w="1609" w:type="dxa"/>
            <w:shd w:val="clear" w:color="auto" w:fill="auto"/>
            <w:vAlign w:val="center"/>
          </w:tcPr>
          <w:p w14:paraId="6A5EF4C2"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Modificación y/o cambios de ubicación en las fuentes de materiales y/o Lugares de disposición de sobrantes, presentados y/o propuestos y/o proyectados  por el PROPONENTE Y/O CONTRATISTA. Hace referencia al riesgo técnico, económico, ambiental y/o social, en cuanto a calidad y cantidad del material, explotación y su distancia de acarreo para las 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w:t>
            </w:r>
          </w:p>
        </w:tc>
        <w:tc>
          <w:tcPr>
            <w:tcW w:w="1173" w:type="dxa"/>
            <w:shd w:val="clear" w:color="auto" w:fill="auto"/>
            <w:vAlign w:val="center"/>
          </w:tcPr>
          <w:p w14:paraId="57E0A5B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Impacto económico al Contratista</w:t>
            </w:r>
          </w:p>
        </w:tc>
        <w:tc>
          <w:tcPr>
            <w:tcW w:w="422" w:type="dxa"/>
            <w:shd w:val="clear" w:color="auto" w:fill="auto"/>
            <w:vAlign w:val="center"/>
          </w:tcPr>
          <w:p w14:paraId="6043601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13CAF63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6C53EF2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6B0B535B"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1072" w:type="dxa"/>
            <w:shd w:val="clear" w:color="auto" w:fill="auto"/>
            <w:vAlign w:val="center"/>
          </w:tcPr>
          <w:p w14:paraId="2C89CB5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3D497C47"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disposiciónde sobrantes.</w:t>
            </w:r>
          </w:p>
        </w:tc>
        <w:tc>
          <w:tcPr>
            <w:tcW w:w="422" w:type="dxa"/>
            <w:shd w:val="clear" w:color="auto" w:fill="auto"/>
            <w:vAlign w:val="center"/>
          </w:tcPr>
          <w:p w14:paraId="47317CD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508E53A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F2B7BC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4237E917"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75F5FDE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791B86D9"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3011288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1D4D442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Comites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informes de interventoría.</w:t>
            </w:r>
          </w:p>
        </w:tc>
        <w:tc>
          <w:tcPr>
            <w:tcW w:w="1251" w:type="dxa"/>
            <w:shd w:val="clear" w:color="auto" w:fill="auto"/>
            <w:vAlign w:val="center"/>
          </w:tcPr>
          <w:p w14:paraId="383B3B1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0DD6F81E" w14:textId="77777777" w:rsidTr="00843050">
        <w:trPr>
          <w:cantSplit/>
          <w:trHeight w:val="300"/>
        </w:trPr>
        <w:tc>
          <w:tcPr>
            <w:tcW w:w="422" w:type="dxa"/>
            <w:shd w:val="clear" w:color="auto" w:fill="auto"/>
            <w:vAlign w:val="center"/>
          </w:tcPr>
          <w:p w14:paraId="6ADE209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11</w:t>
            </w:r>
          </w:p>
        </w:tc>
        <w:tc>
          <w:tcPr>
            <w:tcW w:w="807" w:type="dxa"/>
            <w:shd w:val="clear" w:color="auto" w:fill="auto"/>
            <w:vAlign w:val="center"/>
          </w:tcPr>
          <w:p w14:paraId="669510C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7FB2817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7E1E32E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6794E05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Financiero</w:t>
            </w:r>
          </w:p>
        </w:tc>
        <w:tc>
          <w:tcPr>
            <w:tcW w:w="1609" w:type="dxa"/>
            <w:shd w:val="clear" w:color="auto" w:fill="auto"/>
            <w:vAlign w:val="center"/>
          </w:tcPr>
          <w:p w14:paraId="556FBB5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Financiero: Se deriva de los efectos provenientes de las variaciones de las tasas de interés, plazos, tasas de cambio, ajustes por inflación, devaluación,  variaciones cambiarias y financieras,  y otras variables del mercado por causas micro o macroeconomicas,  frente a las estimaciones iniciales del Contratista, que puedan afectar las utilidades esperadas o generar pérdidas.  Riesgos de las acciones encaminadas a la administración, consecución y disponibilidad oportuna de recursos financieros propios diferentes al Anticipo o por medio de créditos en moneda nacional o extranjera, para el cumplimiento del objeto contractual, en los plazos fijados para tal efecto.</w:t>
            </w:r>
          </w:p>
        </w:tc>
        <w:tc>
          <w:tcPr>
            <w:tcW w:w="1173" w:type="dxa"/>
            <w:shd w:val="clear" w:color="auto" w:fill="auto"/>
            <w:vAlign w:val="center"/>
          </w:tcPr>
          <w:p w14:paraId="3A726F2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Impacto económico al Contratista</w:t>
            </w:r>
          </w:p>
        </w:tc>
        <w:tc>
          <w:tcPr>
            <w:tcW w:w="422" w:type="dxa"/>
            <w:shd w:val="clear" w:color="auto" w:fill="auto"/>
            <w:vAlign w:val="center"/>
          </w:tcPr>
          <w:p w14:paraId="531F7C7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9F5E14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68CF4B2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738347EC"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0E6B156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3D2012C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422" w:type="dxa"/>
            <w:shd w:val="clear" w:color="auto" w:fill="auto"/>
            <w:vAlign w:val="center"/>
          </w:tcPr>
          <w:p w14:paraId="127CAB9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53CF972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5DE657B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669" w:type="dxa"/>
            <w:shd w:val="clear" w:color="auto" w:fill="auto"/>
            <w:vAlign w:val="center"/>
          </w:tcPr>
          <w:p w14:paraId="68C09359"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3EE1A52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718ACC7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251" w:type="dxa"/>
            <w:shd w:val="clear" w:color="auto" w:fill="auto"/>
            <w:vAlign w:val="center"/>
          </w:tcPr>
          <w:p w14:paraId="74D313F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60B2256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1251" w:type="dxa"/>
            <w:shd w:val="clear" w:color="auto" w:fill="auto"/>
            <w:vAlign w:val="center"/>
          </w:tcPr>
          <w:p w14:paraId="2D50BFB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77ECD682" w14:textId="77777777" w:rsidTr="00843050">
        <w:trPr>
          <w:cantSplit/>
          <w:trHeight w:val="300"/>
        </w:trPr>
        <w:tc>
          <w:tcPr>
            <w:tcW w:w="422" w:type="dxa"/>
            <w:shd w:val="clear" w:color="auto" w:fill="auto"/>
            <w:vAlign w:val="center"/>
          </w:tcPr>
          <w:p w14:paraId="0AF9525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12</w:t>
            </w:r>
          </w:p>
        </w:tc>
        <w:tc>
          <w:tcPr>
            <w:tcW w:w="807" w:type="dxa"/>
            <w:shd w:val="clear" w:color="auto" w:fill="auto"/>
            <w:vAlign w:val="center"/>
          </w:tcPr>
          <w:p w14:paraId="19D7C8D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0640AAA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79DFE4F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1D5FD43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Regulatorio</w:t>
            </w:r>
          </w:p>
        </w:tc>
        <w:tc>
          <w:tcPr>
            <w:tcW w:w="1609" w:type="dxa"/>
            <w:shd w:val="clear" w:color="auto" w:fill="auto"/>
            <w:vAlign w:val="center"/>
          </w:tcPr>
          <w:p w14:paraId="005C040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Expedición y/o modificación de normas: Ocurre por cambios normativos o por la expedición de normas posteriores  al cierre del proceso de licitación pública,  que afecten las condiciones económicas y/o  técnicas inicialmente pactadas.</w:t>
            </w:r>
          </w:p>
        </w:tc>
        <w:tc>
          <w:tcPr>
            <w:tcW w:w="1173" w:type="dxa"/>
            <w:shd w:val="clear" w:color="auto" w:fill="auto"/>
            <w:vAlign w:val="center"/>
          </w:tcPr>
          <w:p w14:paraId="6513BBD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Afectación del  desarrollo  del contrato previsto con la normatividad existente al cierre del proceso de selección</w:t>
            </w:r>
          </w:p>
        </w:tc>
        <w:tc>
          <w:tcPr>
            <w:tcW w:w="422" w:type="dxa"/>
            <w:shd w:val="clear" w:color="auto" w:fill="auto"/>
            <w:vAlign w:val="center"/>
          </w:tcPr>
          <w:p w14:paraId="411AEB0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40B70FF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49EC0E7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7FF474C6"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1072" w:type="dxa"/>
            <w:shd w:val="clear" w:color="auto" w:fill="auto"/>
            <w:vAlign w:val="center"/>
          </w:tcPr>
          <w:p w14:paraId="6030C5F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w:t>
            </w:r>
          </w:p>
        </w:tc>
        <w:tc>
          <w:tcPr>
            <w:tcW w:w="1590" w:type="dxa"/>
            <w:shd w:val="clear" w:color="auto" w:fill="auto"/>
            <w:vAlign w:val="center"/>
          </w:tcPr>
          <w:p w14:paraId="4A268BB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422" w:type="dxa"/>
            <w:shd w:val="clear" w:color="auto" w:fill="auto"/>
            <w:vAlign w:val="center"/>
          </w:tcPr>
          <w:p w14:paraId="43C9B04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B7DAA9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0F05CE7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669" w:type="dxa"/>
            <w:shd w:val="clear" w:color="auto" w:fill="auto"/>
            <w:vAlign w:val="center"/>
          </w:tcPr>
          <w:p w14:paraId="6CCEE892"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58BD297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6BECA0F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6FE7B1F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26A33E5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Seguimiento a la implementación de la nueva normatividad que aplique al proyecto,  y a las medidas tomadas para mitigar su efecto en el contrato.  Informes, requerimientos escritos.</w:t>
            </w:r>
          </w:p>
        </w:tc>
        <w:tc>
          <w:tcPr>
            <w:tcW w:w="1251" w:type="dxa"/>
            <w:shd w:val="clear" w:color="auto" w:fill="auto"/>
            <w:vAlign w:val="center"/>
          </w:tcPr>
          <w:p w14:paraId="5F9BD2A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3160F3AE" w14:textId="77777777" w:rsidTr="00843050">
        <w:trPr>
          <w:cantSplit/>
          <w:trHeight w:val="300"/>
        </w:trPr>
        <w:tc>
          <w:tcPr>
            <w:tcW w:w="422" w:type="dxa"/>
            <w:shd w:val="clear" w:color="auto" w:fill="auto"/>
            <w:vAlign w:val="center"/>
          </w:tcPr>
          <w:p w14:paraId="53EE3FD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13</w:t>
            </w:r>
          </w:p>
        </w:tc>
        <w:tc>
          <w:tcPr>
            <w:tcW w:w="807" w:type="dxa"/>
            <w:shd w:val="clear" w:color="auto" w:fill="auto"/>
            <w:vAlign w:val="center"/>
          </w:tcPr>
          <w:p w14:paraId="7615379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27024CB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1E45A61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71011D7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Economico</w:t>
            </w:r>
          </w:p>
        </w:tc>
        <w:tc>
          <w:tcPr>
            <w:tcW w:w="1609" w:type="dxa"/>
            <w:shd w:val="clear" w:color="auto" w:fill="auto"/>
            <w:vAlign w:val="center"/>
          </w:tcPr>
          <w:p w14:paraId="52D3392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de alteración del PAC por circunstancias no imputables a la Secretaria o por circunstancias de fuerza mayor o por estados de excepción decretados en el país.</w:t>
            </w:r>
          </w:p>
        </w:tc>
        <w:tc>
          <w:tcPr>
            <w:tcW w:w="1173" w:type="dxa"/>
            <w:shd w:val="clear" w:color="auto" w:fill="auto"/>
            <w:vAlign w:val="center"/>
          </w:tcPr>
          <w:p w14:paraId="0C44D442"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Impacto económico a los flujos financieros del contrato</w:t>
            </w:r>
          </w:p>
        </w:tc>
        <w:tc>
          <w:tcPr>
            <w:tcW w:w="422" w:type="dxa"/>
            <w:shd w:val="clear" w:color="auto" w:fill="auto"/>
            <w:vAlign w:val="center"/>
          </w:tcPr>
          <w:p w14:paraId="478F8CD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691AFC0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4B43964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7AE8CD53"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5019D77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 y Contratista</w:t>
            </w:r>
          </w:p>
        </w:tc>
        <w:tc>
          <w:tcPr>
            <w:tcW w:w="1590" w:type="dxa"/>
            <w:shd w:val="clear" w:color="auto" w:fill="auto"/>
            <w:vAlign w:val="center"/>
          </w:tcPr>
          <w:p w14:paraId="0A6B18A5"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EL Secretaria deberá efectuar los trámites adminsitrativos que garanticen la disponibilidad de los recursos para la totalidad del plazo del contrato, así como los trámites para contar con el PAC de manera oportuna. Así mismo, se hará monitoreo constante a cualquier cirucunstancia que impacte la disponibilidad del PAC con el fin de adoptar las medidas que puedan superarlas. En todo caso, el contratista deberá atemperarse  a los procedimientos internos para el pago de cada cuenta</w:t>
            </w:r>
          </w:p>
        </w:tc>
        <w:tc>
          <w:tcPr>
            <w:tcW w:w="422" w:type="dxa"/>
            <w:shd w:val="clear" w:color="auto" w:fill="auto"/>
            <w:vAlign w:val="center"/>
          </w:tcPr>
          <w:p w14:paraId="499D187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AC001E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3165DC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669" w:type="dxa"/>
            <w:shd w:val="clear" w:color="auto" w:fill="auto"/>
            <w:vAlign w:val="center"/>
          </w:tcPr>
          <w:p w14:paraId="2C195B9D"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63DC5D3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17F0F64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 Contratista</w:t>
            </w:r>
          </w:p>
        </w:tc>
        <w:tc>
          <w:tcPr>
            <w:tcW w:w="1251" w:type="dxa"/>
            <w:shd w:val="clear" w:color="auto" w:fill="auto"/>
            <w:vAlign w:val="center"/>
          </w:tcPr>
          <w:p w14:paraId="1223C4F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0148687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Verificación de las condiciones presupuestales del contrato</w:t>
            </w:r>
          </w:p>
        </w:tc>
        <w:tc>
          <w:tcPr>
            <w:tcW w:w="1251" w:type="dxa"/>
            <w:shd w:val="clear" w:color="auto" w:fill="auto"/>
            <w:vAlign w:val="center"/>
          </w:tcPr>
          <w:p w14:paraId="51DD49B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Mensual</w:t>
            </w:r>
          </w:p>
        </w:tc>
      </w:tr>
      <w:tr w:rsidR="00843050" w:rsidRPr="006F6287" w14:paraId="39399951" w14:textId="77777777" w:rsidTr="00843050">
        <w:trPr>
          <w:cantSplit/>
          <w:trHeight w:val="300"/>
        </w:trPr>
        <w:tc>
          <w:tcPr>
            <w:tcW w:w="422" w:type="dxa"/>
            <w:shd w:val="clear" w:color="auto" w:fill="auto"/>
            <w:vAlign w:val="center"/>
          </w:tcPr>
          <w:p w14:paraId="6F711A1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14</w:t>
            </w:r>
          </w:p>
        </w:tc>
        <w:tc>
          <w:tcPr>
            <w:tcW w:w="807" w:type="dxa"/>
            <w:shd w:val="clear" w:color="auto" w:fill="auto"/>
            <w:vAlign w:val="center"/>
          </w:tcPr>
          <w:p w14:paraId="6104152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74ABE5E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01A001B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726DF2C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Social</w:t>
            </w:r>
          </w:p>
        </w:tc>
        <w:tc>
          <w:tcPr>
            <w:tcW w:w="1609" w:type="dxa"/>
            <w:shd w:val="clear" w:color="auto" w:fill="auto"/>
            <w:vAlign w:val="center"/>
          </w:tcPr>
          <w:p w14:paraId="7F080326"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Manifestación Social:  Se refiere a la posibilidad de que la Comunidad presente inconformidades frente a la contrucción y puesta en servicio del la obra.Riesgo asociado a los procesos de Gestión Social que realice el Contratista y que esté en cabeza de éste.</w:t>
            </w:r>
          </w:p>
        </w:tc>
        <w:tc>
          <w:tcPr>
            <w:tcW w:w="1173" w:type="dxa"/>
            <w:shd w:val="clear" w:color="auto" w:fill="auto"/>
            <w:vAlign w:val="center"/>
          </w:tcPr>
          <w:p w14:paraId="716DD76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Inconformidad de la comunidad en proceso de Gestión Social por la socialización del proyecto y ejecución de  la obra, puede generar atrasos en la ejecución de la obra.</w:t>
            </w:r>
          </w:p>
        </w:tc>
        <w:tc>
          <w:tcPr>
            <w:tcW w:w="422" w:type="dxa"/>
            <w:shd w:val="clear" w:color="auto" w:fill="auto"/>
            <w:vAlign w:val="center"/>
          </w:tcPr>
          <w:p w14:paraId="1DED0AA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29BE246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E87295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22497846"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7797D98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1781613F"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422" w:type="dxa"/>
            <w:shd w:val="clear" w:color="auto" w:fill="auto"/>
            <w:vAlign w:val="center"/>
          </w:tcPr>
          <w:p w14:paraId="597C66C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147EF52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658F700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4AC95904"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2968C93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NO</w:t>
            </w:r>
          </w:p>
        </w:tc>
        <w:tc>
          <w:tcPr>
            <w:tcW w:w="1040" w:type="dxa"/>
            <w:shd w:val="clear" w:color="auto" w:fill="auto"/>
            <w:vAlign w:val="center"/>
          </w:tcPr>
          <w:p w14:paraId="33FB355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Gestores y/o Supervisores, Interventor-Contratista</w:t>
            </w:r>
          </w:p>
        </w:tc>
        <w:tc>
          <w:tcPr>
            <w:tcW w:w="1251" w:type="dxa"/>
            <w:shd w:val="clear" w:color="auto" w:fill="auto"/>
            <w:vAlign w:val="center"/>
          </w:tcPr>
          <w:p w14:paraId="473B257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liquidación del contrato con el cierre ambiental</w:t>
            </w:r>
          </w:p>
        </w:tc>
        <w:tc>
          <w:tcPr>
            <w:tcW w:w="1408" w:type="dxa"/>
            <w:shd w:val="clear" w:color="auto" w:fill="auto"/>
            <w:vAlign w:val="center"/>
          </w:tcPr>
          <w:p w14:paraId="43187F8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Visitas de seguimiento y control para garantizar el  Seguimiento a todos los protocolos y procesos de Gestión social de los proyectos  Socialización desde el comienzo del proyecto a las comunidades que se encuentran directamente afectadas.  Seguimiento al proceso en conjunto con el Ministerio del Interior, cuando sea requerido.</w:t>
            </w:r>
          </w:p>
        </w:tc>
        <w:tc>
          <w:tcPr>
            <w:tcW w:w="1251" w:type="dxa"/>
            <w:shd w:val="clear" w:color="auto" w:fill="auto"/>
            <w:vAlign w:val="center"/>
          </w:tcPr>
          <w:p w14:paraId="1DE0195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Semanal mientras se ejecute la Gestión social</w:t>
            </w:r>
          </w:p>
        </w:tc>
      </w:tr>
      <w:tr w:rsidR="00843050" w:rsidRPr="006F6287" w14:paraId="4E686666" w14:textId="77777777" w:rsidTr="00843050">
        <w:trPr>
          <w:cantSplit/>
          <w:trHeight w:val="300"/>
        </w:trPr>
        <w:tc>
          <w:tcPr>
            <w:tcW w:w="422" w:type="dxa"/>
            <w:shd w:val="clear" w:color="auto" w:fill="auto"/>
            <w:vAlign w:val="center"/>
          </w:tcPr>
          <w:p w14:paraId="71BB896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15</w:t>
            </w:r>
          </w:p>
        </w:tc>
        <w:tc>
          <w:tcPr>
            <w:tcW w:w="807" w:type="dxa"/>
            <w:shd w:val="clear" w:color="auto" w:fill="auto"/>
            <w:vAlign w:val="center"/>
          </w:tcPr>
          <w:p w14:paraId="4293DBA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3D5DC92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51FB3F0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2EACCEA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de la naturaleza</w:t>
            </w:r>
          </w:p>
        </w:tc>
        <w:tc>
          <w:tcPr>
            <w:tcW w:w="1609" w:type="dxa"/>
            <w:shd w:val="clear" w:color="auto" w:fill="auto"/>
            <w:vAlign w:val="center"/>
          </w:tcPr>
          <w:p w14:paraId="3681770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Fuerza mayor asegurable.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Ila Secretaria</w:t>
            </w:r>
          </w:p>
        </w:tc>
        <w:tc>
          <w:tcPr>
            <w:tcW w:w="1173" w:type="dxa"/>
            <w:shd w:val="clear" w:color="auto" w:fill="auto"/>
            <w:vAlign w:val="center"/>
          </w:tcPr>
          <w:p w14:paraId="1FBEFEA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Demora en la ejecución del proyecto. Pérdida de bienes del Contratista</w:t>
            </w:r>
          </w:p>
        </w:tc>
        <w:tc>
          <w:tcPr>
            <w:tcW w:w="422" w:type="dxa"/>
            <w:shd w:val="clear" w:color="auto" w:fill="auto"/>
            <w:vAlign w:val="center"/>
          </w:tcPr>
          <w:p w14:paraId="7D3C740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133D350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2E28DFD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7120ADDF"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0DBB31A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616BE3C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422" w:type="dxa"/>
            <w:shd w:val="clear" w:color="auto" w:fill="auto"/>
            <w:vAlign w:val="center"/>
          </w:tcPr>
          <w:p w14:paraId="030F020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1CE404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1084CD4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669" w:type="dxa"/>
            <w:shd w:val="clear" w:color="auto" w:fill="auto"/>
            <w:vAlign w:val="center"/>
          </w:tcPr>
          <w:p w14:paraId="51C49D92"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7EDDD66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1F76607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251" w:type="dxa"/>
            <w:shd w:val="clear" w:color="auto" w:fill="auto"/>
            <w:vAlign w:val="center"/>
          </w:tcPr>
          <w:p w14:paraId="1B5FA09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Una vez instalado el contratista en el proyecto e implementado el plan de seguridad industrial con las debidas revisiones.</w:t>
            </w:r>
          </w:p>
        </w:tc>
        <w:tc>
          <w:tcPr>
            <w:tcW w:w="1408" w:type="dxa"/>
            <w:shd w:val="clear" w:color="auto" w:fill="auto"/>
            <w:vAlign w:val="center"/>
          </w:tcPr>
          <w:p w14:paraId="3EA118F3"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Revisiones de expertos del contratista en los tratamientos y controles  a ser implementados</w:t>
            </w:r>
          </w:p>
        </w:tc>
        <w:tc>
          <w:tcPr>
            <w:tcW w:w="1251" w:type="dxa"/>
            <w:shd w:val="clear" w:color="auto" w:fill="auto"/>
            <w:vAlign w:val="center"/>
          </w:tcPr>
          <w:p w14:paraId="4546F66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Determinadas por los expertos del contratista en esta materia</w:t>
            </w:r>
          </w:p>
        </w:tc>
      </w:tr>
      <w:tr w:rsidR="00843050" w:rsidRPr="006F6287" w14:paraId="11FCCADF" w14:textId="77777777" w:rsidTr="00843050">
        <w:trPr>
          <w:cantSplit/>
          <w:trHeight w:val="300"/>
        </w:trPr>
        <w:tc>
          <w:tcPr>
            <w:tcW w:w="422" w:type="dxa"/>
            <w:shd w:val="clear" w:color="auto" w:fill="auto"/>
            <w:vAlign w:val="center"/>
          </w:tcPr>
          <w:p w14:paraId="162D36B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16</w:t>
            </w:r>
          </w:p>
        </w:tc>
        <w:tc>
          <w:tcPr>
            <w:tcW w:w="807" w:type="dxa"/>
            <w:shd w:val="clear" w:color="auto" w:fill="auto"/>
            <w:vAlign w:val="center"/>
          </w:tcPr>
          <w:p w14:paraId="5F99C8C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29B8452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1D4187E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7606FB6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 político-social, Riesgo de la naturaleza</w:t>
            </w:r>
          </w:p>
        </w:tc>
        <w:tc>
          <w:tcPr>
            <w:tcW w:w="1609" w:type="dxa"/>
            <w:shd w:val="clear" w:color="auto" w:fill="auto"/>
            <w:vAlign w:val="center"/>
          </w:tcPr>
          <w:p w14:paraId="04E8C7B7"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Fuerza mayor no asegurable.  Incertidumbre de ocurrencia de eventos de fuerza mayor no asegurables, tales como guerras, hallazgos arqueológicos,  yacimientos mineros.  Se define la Fuerza Mayor o Caso Fortuito, en los términos de la legislación existente.</w:t>
            </w:r>
          </w:p>
        </w:tc>
        <w:tc>
          <w:tcPr>
            <w:tcW w:w="1173" w:type="dxa"/>
            <w:shd w:val="clear" w:color="auto" w:fill="auto"/>
            <w:vAlign w:val="center"/>
          </w:tcPr>
          <w:p w14:paraId="71426AA7"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Interferencia  en la ejecución del proyecto, pérdidas de bienes de la nación ó del contratista,  cambios en las obras por necesidad de ajustar diseños</w:t>
            </w:r>
          </w:p>
        </w:tc>
        <w:tc>
          <w:tcPr>
            <w:tcW w:w="422" w:type="dxa"/>
            <w:shd w:val="clear" w:color="auto" w:fill="auto"/>
            <w:vAlign w:val="center"/>
          </w:tcPr>
          <w:p w14:paraId="1C028B3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8A2C0D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422" w:type="dxa"/>
            <w:shd w:val="clear" w:color="auto" w:fill="auto"/>
            <w:vAlign w:val="center"/>
          </w:tcPr>
          <w:p w14:paraId="06CC395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63BFAA05"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1072" w:type="dxa"/>
            <w:shd w:val="clear" w:color="auto" w:fill="auto"/>
            <w:vAlign w:val="center"/>
          </w:tcPr>
          <w:p w14:paraId="4AEA7A9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 y Contratista</w:t>
            </w:r>
          </w:p>
        </w:tc>
        <w:tc>
          <w:tcPr>
            <w:tcW w:w="1590" w:type="dxa"/>
            <w:shd w:val="clear" w:color="auto" w:fill="auto"/>
            <w:vAlign w:val="center"/>
          </w:tcPr>
          <w:p w14:paraId="206E384B"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lla Secretaria el tratamiento contractual al proyecto</w:t>
            </w:r>
          </w:p>
        </w:tc>
        <w:tc>
          <w:tcPr>
            <w:tcW w:w="422" w:type="dxa"/>
            <w:shd w:val="clear" w:color="auto" w:fill="auto"/>
            <w:vAlign w:val="center"/>
          </w:tcPr>
          <w:p w14:paraId="3F7260A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1F1A9A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4F052E4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669" w:type="dxa"/>
            <w:shd w:val="clear" w:color="auto" w:fill="auto"/>
            <w:vAlign w:val="center"/>
          </w:tcPr>
          <w:p w14:paraId="14CC1FE6"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75F07B7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25BC836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251" w:type="dxa"/>
            <w:shd w:val="clear" w:color="auto" w:fill="auto"/>
            <w:vAlign w:val="center"/>
          </w:tcPr>
          <w:p w14:paraId="4C0AE3A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 la ejecución del contrato</w:t>
            </w:r>
          </w:p>
        </w:tc>
        <w:tc>
          <w:tcPr>
            <w:tcW w:w="1408" w:type="dxa"/>
            <w:shd w:val="clear" w:color="auto" w:fill="auto"/>
            <w:vAlign w:val="center"/>
          </w:tcPr>
          <w:p w14:paraId="58CC95E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Revisión de la información obtenida, para tomar las medidas a que haya lugar</w:t>
            </w:r>
          </w:p>
        </w:tc>
        <w:tc>
          <w:tcPr>
            <w:tcW w:w="1251" w:type="dxa"/>
            <w:shd w:val="clear" w:color="auto" w:fill="auto"/>
            <w:vAlign w:val="center"/>
          </w:tcPr>
          <w:p w14:paraId="3BA05C2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 la etapa precontractual y en la contractual cuando se presente el evento.</w:t>
            </w:r>
          </w:p>
        </w:tc>
      </w:tr>
      <w:tr w:rsidR="00843050" w:rsidRPr="006F6287" w14:paraId="447E2D36" w14:textId="77777777" w:rsidTr="00843050">
        <w:trPr>
          <w:cantSplit/>
          <w:trHeight w:val="300"/>
        </w:trPr>
        <w:tc>
          <w:tcPr>
            <w:tcW w:w="422" w:type="dxa"/>
            <w:shd w:val="clear" w:color="auto" w:fill="auto"/>
            <w:vAlign w:val="center"/>
          </w:tcPr>
          <w:p w14:paraId="29FF7A0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17</w:t>
            </w:r>
          </w:p>
        </w:tc>
        <w:tc>
          <w:tcPr>
            <w:tcW w:w="807" w:type="dxa"/>
            <w:shd w:val="clear" w:color="auto" w:fill="auto"/>
            <w:vAlign w:val="center"/>
          </w:tcPr>
          <w:p w14:paraId="48F9D83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33E8256C"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6BF0749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Ejecución</w:t>
            </w:r>
          </w:p>
        </w:tc>
        <w:tc>
          <w:tcPr>
            <w:tcW w:w="928" w:type="dxa"/>
            <w:shd w:val="clear" w:color="auto" w:fill="auto"/>
            <w:vAlign w:val="center"/>
          </w:tcPr>
          <w:p w14:paraId="02B6260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Riesgos de la Salud</w:t>
            </w:r>
          </w:p>
        </w:tc>
        <w:tc>
          <w:tcPr>
            <w:tcW w:w="1609" w:type="dxa"/>
            <w:shd w:val="clear" w:color="auto" w:fill="auto"/>
            <w:vAlign w:val="center"/>
          </w:tcPr>
          <w:p w14:paraId="20DD3AD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Presencia de Riesgos Biológicos. Se refiere a la posibilidad que durante la ejecución del contrato, los colaboradores del Contratista, presenten sintomas de enfermedades altamente contagiosas y que afecten y deterioren la Salud del Personal.</w:t>
            </w:r>
          </w:p>
        </w:tc>
        <w:tc>
          <w:tcPr>
            <w:tcW w:w="1173" w:type="dxa"/>
            <w:shd w:val="clear" w:color="auto" w:fill="auto"/>
            <w:vAlign w:val="center"/>
          </w:tcPr>
          <w:p w14:paraId="6227770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Deterioro notorio y grave de la salud y posible contagio</w:t>
            </w:r>
          </w:p>
        </w:tc>
        <w:tc>
          <w:tcPr>
            <w:tcW w:w="422" w:type="dxa"/>
            <w:shd w:val="clear" w:color="auto" w:fill="auto"/>
            <w:vAlign w:val="center"/>
          </w:tcPr>
          <w:p w14:paraId="1F0EB42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1222A0E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422" w:type="dxa"/>
            <w:shd w:val="clear" w:color="auto" w:fill="auto"/>
            <w:vAlign w:val="center"/>
          </w:tcPr>
          <w:p w14:paraId="55846CA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7</w:t>
            </w:r>
          </w:p>
        </w:tc>
        <w:tc>
          <w:tcPr>
            <w:tcW w:w="669" w:type="dxa"/>
            <w:shd w:val="clear" w:color="auto" w:fill="auto"/>
            <w:vAlign w:val="center"/>
          </w:tcPr>
          <w:p w14:paraId="54482FBC"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Alto</w:t>
            </w:r>
          </w:p>
        </w:tc>
        <w:tc>
          <w:tcPr>
            <w:tcW w:w="1072" w:type="dxa"/>
            <w:shd w:val="clear" w:color="auto" w:fill="auto"/>
            <w:vAlign w:val="center"/>
          </w:tcPr>
          <w:p w14:paraId="705C119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171AD274"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La aplicación preventiva de las medidas de Bioseguridad establecidas por las Autoridades de Salud en Colombia y sus respectivos Protocolos, el cumplimiento de la Resolución 0312 de 2019, Informar de inmediato las novedades de salud.</w:t>
            </w:r>
          </w:p>
        </w:tc>
        <w:tc>
          <w:tcPr>
            <w:tcW w:w="422" w:type="dxa"/>
            <w:shd w:val="clear" w:color="auto" w:fill="auto"/>
            <w:vAlign w:val="center"/>
          </w:tcPr>
          <w:p w14:paraId="7B085978"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0A5D4CA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38535AE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70D2D90E"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809" w:type="dxa"/>
            <w:shd w:val="clear" w:color="auto" w:fill="auto"/>
            <w:vAlign w:val="center"/>
          </w:tcPr>
          <w:p w14:paraId="63DDF46E"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54F71406"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Contratistas de Obras, de Estudios y Diseños interventor, Supervisor</w:t>
            </w:r>
          </w:p>
        </w:tc>
        <w:tc>
          <w:tcPr>
            <w:tcW w:w="1251" w:type="dxa"/>
            <w:shd w:val="clear" w:color="auto" w:fill="auto"/>
            <w:vAlign w:val="center"/>
          </w:tcPr>
          <w:p w14:paraId="25C811E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del contrato</w:t>
            </w:r>
          </w:p>
        </w:tc>
        <w:tc>
          <w:tcPr>
            <w:tcW w:w="1408" w:type="dxa"/>
            <w:shd w:val="clear" w:color="auto" w:fill="auto"/>
            <w:vAlign w:val="center"/>
          </w:tcPr>
          <w:p w14:paraId="0762CD91"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1251" w:type="dxa"/>
            <w:shd w:val="clear" w:color="auto" w:fill="auto"/>
            <w:vAlign w:val="center"/>
          </w:tcPr>
          <w:p w14:paraId="7474EB92"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Cada vez que haya novedades de cambio de personal</w:t>
            </w:r>
          </w:p>
        </w:tc>
      </w:tr>
      <w:tr w:rsidR="00843050" w:rsidRPr="006F6287" w14:paraId="735B18F3" w14:textId="77777777" w:rsidTr="00843050">
        <w:trPr>
          <w:cantSplit/>
          <w:trHeight w:val="300"/>
        </w:trPr>
        <w:tc>
          <w:tcPr>
            <w:tcW w:w="422" w:type="dxa"/>
            <w:shd w:val="clear" w:color="auto" w:fill="auto"/>
            <w:vAlign w:val="center"/>
          </w:tcPr>
          <w:p w14:paraId="37993D1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18</w:t>
            </w:r>
          </w:p>
        </w:tc>
        <w:tc>
          <w:tcPr>
            <w:tcW w:w="807" w:type="dxa"/>
            <w:shd w:val="clear" w:color="auto" w:fill="auto"/>
            <w:vAlign w:val="center"/>
          </w:tcPr>
          <w:p w14:paraId="0CCA933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527DC333"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3DB653C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16B96B8A"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Riesgos de la Salud</w:t>
            </w:r>
          </w:p>
        </w:tc>
        <w:tc>
          <w:tcPr>
            <w:tcW w:w="1609" w:type="dxa"/>
            <w:shd w:val="clear" w:color="auto" w:fill="auto"/>
            <w:vAlign w:val="center"/>
          </w:tcPr>
          <w:p w14:paraId="625F49F9"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Disponibilidad de los Elementos de Protección Personal. Se refiere a la posibilidad de que el Contratista no disponga o suministre a sus colaboradores y demas, los Elementos de Protección Personal EPP y los de Riesgo Bilógico.</w:t>
            </w:r>
          </w:p>
        </w:tc>
        <w:tc>
          <w:tcPr>
            <w:tcW w:w="1173" w:type="dxa"/>
            <w:shd w:val="clear" w:color="auto" w:fill="auto"/>
            <w:vAlign w:val="center"/>
          </w:tcPr>
          <w:p w14:paraId="7CA5C22D"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Accidentes de trabajo y posible exposición a Riegos Biologicos</w:t>
            </w:r>
          </w:p>
        </w:tc>
        <w:tc>
          <w:tcPr>
            <w:tcW w:w="422" w:type="dxa"/>
            <w:shd w:val="clear" w:color="auto" w:fill="auto"/>
            <w:vAlign w:val="center"/>
          </w:tcPr>
          <w:p w14:paraId="7E1727B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595A8824"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4</w:t>
            </w:r>
          </w:p>
        </w:tc>
        <w:tc>
          <w:tcPr>
            <w:tcW w:w="422" w:type="dxa"/>
            <w:shd w:val="clear" w:color="auto" w:fill="auto"/>
            <w:vAlign w:val="center"/>
          </w:tcPr>
          <w:p w14:paraId="0125BB0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7</w:t>
            </w:r>
          </w:p>
        </w:tc>
        <w:tc>
          <w:tcPr>
            <w:tcW w:w="669" w:type="dxa"/>
            <w:shd w:val="clear" w:color="auto" w:fill="auto"/>
            <w:vAlign w:val="center"/>
          </w:tcPr>
          <w:p w14:paraId="1F83B463"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Alto</w:t>
            </w:r>
          </w:p>
        </w:tc>
        <w:tc>
          <w:tcPr>
            <w:tcW w:w="1072" w:type="dxa"/>
            <w:shd w:val="clear" w:color="auto" w:fill="auto"/>
            <w:vAlign w:val="center"/>
          </w:tcPr>
          <w:p w14:paraId="1AABF51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w:t>
            </w:r>
          </w:p>
        </w:tc>
        <w:tc>
          <w:tcPr>
            <w:tcW w:w="1590" w:type="dxa"/>
            <w:shd w:val="clear" w:color="auto" w:fill="auto"/>
            <w:vAlign w:val="center"/>
          </w:tcPr>
          <w:p w14:paraId="51E6180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El contratista deberá suministrar todos los EPP a sus colaboradores en las obras, o solicitar a la ARL que los suministre</w:t>
            </w:r>
          </w:p>
        </w:tc>
        <w:tc>
          <w:tcPr>
            <w:tcW w:w="422" w:type="dxa"/>
            <w:shd w:val="clear" w:color="auto" w:fill="auto"/>
            <w:vAlign w:val="center"/>
          </w:tcPr>
          <w:p w14:paraId="0334D49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1CCC99BF"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422" w:type="dxa"/>
            <w:shd w:val="clear" w:color="auto" w:fill="auto"/>
            <w:vAlign w:val="center"/>
          </w:tcPr>
          <w:p w14:paraId="7032F5A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5</w:t>
            </w:r>
          </w:p>
        </w:tc>
        <w:tc>
          <w:tcPr>
            <w:tcW w:w="669" w:type="dxa"/>
            <w:shd w:val="clear" w:color="auto" w:fill="auto"/>
            <w:vAlign w:val="center"/>
          </w:tcPr>
          <w:p w14:paraId="6E06DA29"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Medio</w:t>
            </w:r>
          </w:p>
        </w:tc>
        <w:tc>
          <w:tcPr>
            <w:tcW w:w="809" w:type="dxa"/>
            <w:shd w:val="clear" w:color="auto" w:fill="auto"/>
            <w:vAlign w:val="center"/>
          </w:tcPr>
          <w:p w14:paraId="17EC56A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60C4EC9A"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Contratistas de Obras, de Estudios y Diseños interventor, Supervisor</w:t>
            </w:r>
          </w:p>
        </w:tc>
        <w:tc>
          <w:tcPr>
            <w:tcW w:w="1251" w:type="dxa"/>
            <w:shd w:val="clear" w:color="auto" w:fill="auto"/>
            <w:vAlign w:val="center"/>
          </w:tcPr>
          <w:p w14:paraId="7DB5C907"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del contrato</w:t>
            </w:r>
          </w:p>
        </w:tc>
        <w:tc>
          <w:tcPr>
            <w:tcW w:w="1408" w:type="dxa"/>
            <w:shd w:val="clear" w:color="auto" w:fill="auto"/>
            <w:vAlign w:val="center"/>
          </w:tcPr>
          <w:p w14:paraId="41EDFFC3"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Vigilancia permanente de los cambios de salud de los colaboradores</w:t>
            </w:r>
          </w:p>
        </w:tc>
        <w:tc>
          <w:tcPr>
            <w:tcW w:w="1251" w:type="dxa"/>
            <w:shd w:val="clear" w:color="auto" w:fill="auto"/>
            <w:vAlign w:val="center"/>
          </w:tcPr>
          <w:p w14:paraId="6279BD2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Diario</w:t>
            </w:r>
          </w:p>
        </w:tc>
      </w:tr>
      <w:tr w:rsidR="00843050" w:rsidRPr="006F6287" w14:paraId="431917BF" w14:textId="77777777" w:rsidTr="00843050">
        <w:trPr>
          <w:cantSplit/>
          <w:trHeight w:val="300"/>
        </w:trPr>
        <w:tc>
          <w:tcPr>
            <w:tcW w:w="422" w:type="dxa"/>
            <w:shd w:val="clear" w:color="auto" w:fill="auto"/>
            <w:vAlign w:val="center"/>
          </w:tcPr>
          <w:p w14:paraId="08D9059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19</w:t>
            </w:r>
          </w:p>
        </w:tc>
        <w:tc>
          <w:tcPr>
            <w:tcW w:w="807" w:type="dxa"/>
            <w:shd w:val="clear" w:color="auto" w:fill="auto"/>
            <w:vAlign w:val="center"/>
          </w:tcPr>
          <w:p w14:paraId="08B70C5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General</w:t>
            </w:r>
          </w:p>
        </w:tc>
        <w:tc>
          <w:tcPr>
            <w:tcW w:w="690" w:type="dxa"/>
            <w:shd w:val="clear" w:color="auto" w:fill="auto"/>
            <w:vAlign w:val="center"/>
          </w:tcPr>
          <w:p w14:paraId="7161A48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Externo</w:t>
            </w:r>
          </w:p>
        </w:tc>
        <w:tc>
          <w:tcPr>
            <w:tcW w:w="788" w:type="dxa"/>
            <w:shd w:val="clear" w:color="auto" w:fill="auto"/>
            <w:vAlign w:val="center"/>
          </w:tcPr>
          <w:p w14:paraId="49F17BA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Ejecucion</w:t>
            </w:r>
          </w:p>
        </w:tc>
        <w:tc>
          <w:tcPr>
            <w:tcW w:w="928" w:type="dxa"/>
            <w:shd w:val="clear" w:color="auto" w:fill="auto"/>
            <w:vAlign w:val="center"/>
          </w:tcPr>
          <w:p w14:paraId="502085F6"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Riesgos de Corrupción</w:t>
            </w:r>
          </w:p>
        </w:tc>
        <w:tc>
          <w:tcPr>
            <w:tcW w:w="1609" w:type="dxa"/>
            <w:shd w:val="clear" w:color="auto" w:fill="auto"/>
            <w:vAlign w:val="center"/>
          </w:tcPr>
          <w:p w14:paraId="0AC00A3C"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Gestión Indebida y dolosa de los Recursos Financieros, de Insumos y Obras. Se refiere a la posibilidad de que el Contratista de las Obras, de la Interventoría y de funcionarios de la Secretaria, promuevan y participen de acciones fraudulentas en el manejo de los recursos destinados a las obras tanto en los aspectos financieros (anticipos), facturación, calidad y cantidad de materieles e insumos, diseños y obras sin justificar.</w:t>
            </w:r>
          </w:p>
        </w:tc>
        <w:tc>
          <w:tcPr>
            <w:tcW w:w="1173" w:type="dxa"/>
            <w:shd w:val="clear" w:color="auto" w:fill="auto"/>
            <w:vAlign w:val="center"/>
          </w:tcPr>
          <w:p w14:paraId="04554770"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Graves daños personales e Institucionales. Daño a la reputación de la entidad, pérdida de recursos y daños sociales.</w:t>
            </w:r>
          </w:p>
        </w:tc>
        <w:tc>
          <w:tcPr>
            <w:tcW w:w="422" w:type="dxa"/>
            <w:shd w:val="clear" w:color="auto" w:fill="auto"/>
            <w:vAlign w:val="center"/>
          </w:tcPr>
          <w:p w14:paraId="56A24A89"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2B12421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422" w:type="dxa"/>
            <w:shd w:val="clear" w:color="auto" w:fill="auto"/>
            <w:vAlign w:val="center"/>
          </w:tcPr>
          <w:p w14:paraId="767F0BE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3</w:t>
            </w:r>
          </w:p>
        </w:tc>
        <w:tc>
          <w:tcPr>
            <w:tcW w:w="669" w:type="dxa"/>
            <w:shd w:val="clear" w:color="auto" w:fill="auto"/>
            <w:vAlign w:val="center"/>
          </w:tcPr>
          <w:p w14:paraId="02F9888D"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1072" w:type="dxa"/>
            <w:shd w:val="clear" w:color="auto" w:fill="auto"/>
            <w:vAlign w:val="center"/>
          </w:tcPr>
          <w:p w14:paraId="39F829AB"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Entidad y Contratista</w:t>
            </w:r>
          </w:p>
        </w:tc>
        <w:tc>
          <w:tcPr>
            <w:tcW w:w="1590" w:type="dxa"/>
            <w:shd w:val="clear" w:color="auto" w:fill="auto"/>
            <w:vAlign w:val="center"/>
          </w:tcPr>
          <w:p w14:paraId="0063518E"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Todos los participantes de la Ejecución de los Proyectos (Contratistas, Interventores, Supervisores, Funcionarios, Proveedores y Cominidad en general) deberán actuar de manera diafana, con ética, altos valores y principios como regla de conducta imprescindible, y dar cumplimiento a la normatividad vigente en cuanto al manejo de los recursos publicos con transparencia y honestidad. Cualquier situación irregular deberá ser comunicada al Secretaria</w:t>
            </w:r>
          </w:p>
        </w:tc>
        <w:tc>
          <w:tcPr>
            <w:tcW w:w="422" w:type="dxa"/>
            <w:shd w:val="clear" w:color="auto" w:fill="auto"/>
            <w:vAlign w:val="center"/>
          </w:tcPr>
          <w:p w14:paraId="7D3C633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10B627E5"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1</w:t>
            </w:r>
          </w:p>
        </w:tc>
        <w:tc>
          <w:tcPr>
            <w:tcW w:w="422" w:type="dxa"/>
            <w:shd w:val="clear" w:color="auto" w:fill="auto"/>
            <w:vAlign w:val="center"/>
          </w:tcPr>
          <w:p w14:paraId="37253D01"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w:t>
            </w:r>
          </w:p>
        </w:tc>
        <w:tc>
          <w:tcPr>
            <w:tcW w:w="669" w:type="dxa"/>
            <w:shd w:val="clear" w:color="auto" w:fill="auto"/>
            <w:vAlign w:val="center"/>
          </w:tcPr>
          <w:p w14:paraId="2AA22DC6" w14:textId="77777777" w:rsidR="0076567A" w:rsidRPr="006F6287" w:rsidRDefault="0076567A" w:rsidP="0076567A">
            <w:pPr>
              <w:jc w:val="center"/>
              <w:rPr>
                <w:rFonts w:ascii="Verdana" w:eastAsia="SimSun" w:hAnsi="Verdana" w:cs="Arial"/>
                <w:b/>
                <w:kern w:val="3"/>
                <w:sz w:val="12"/>
                <w:szCs w:val="12"/>
                <w:lang w:eastAsia="zh-CN" w:bidi="hi-IN"/>
              </w:rPr>
            </w:pPr>
            <w:r>
              <w:rPr>
                <w:rFonts w:ascii="Verdana" w:eastAsia="SimSun" w:hAnsi="Verdana" w:cs="Arial"/>
                <w:b/>
                <w:kern w:val="3"/>
                <w:sz w:val="12"/>
                <w:szCs w:val="12"/>
                <w:lang w:eastAsia="zh-CN" w:bidi="hi-IN"/>
              </w:rPr>
              <w:t>Riesgo Bajo</w:t>
            </w:r>
          </w:p>
        </w:tc>
        <w:tc>
          <w:tcPr>
            <w:tcW w:w="809" w:type="dxa"/>
            <w:shd w:val="clear" w:color="auto" w:fill="auto"/>
            <w:vAlign w:val="center"/>
          </w:tcPr>
          <w:p w14:paraId="2AC2D9A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SI</w:t>
            </w:r>
          </w:p>
        </w:tc>
        <w:tc>
          <w:tcPr>
            <w:tcW w:w="1040" w:type="dxa"/>
            <w:shd w:val="clear" w:color="auto" w:fill="auto"/>
            <w:vAlign w:val="center"/>
          </w:tcPr>
          <w:p w14:paraId="10258609"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Contratistas de Obras, de Estudios y Diseños interventor, Supervisores y/o Gestores y/o Funcionarios</w:t>
            </w:r>
          </w:p>
        </w:tc>
        <w:tc>
          <w:tcPr>
            <w:tcW w:w="1251" w:type="dxa"/>
            <w:shd w:val="clear" w:color="auto" w:fill="auto"/>
            <w:vAlign w:val="center"/>
          </w:tcPr>
          <w:p w14:paraId="0A93C5FD"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A la terminación del contrato</w:t>
            </w:r>
          </w:p>
        </w:tc>
        <w:tc>
          <w:tcPr>
            <w:tcW w:w="1408" w:type="dxa"/>
            <w:shd w:val="clear" w:color="auto" w:fill="auto"/>
            <w:vAlign w:val="center"/>
          </w:tcPr>
          <w:p w14:paraId="621F2FA8" w14:textId="77777777" w:rsidR="0076567A" w:rsidRPr="006F6287" w:rsidRDefault="0076567A" w:rsidP="0076567A">
            <w:pPr>
              <w:jc w:val="left"/>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Vigilancia de cada una de las actuaciones de los participantes de las obras.</w:t>
            </w:r>
          </w:p>
        </w:tc>
        <w:tc>
          <w:tcPr>
            <w:tcW w:w="1251" w:type="dxa"/>
            <w:shd w:val="clear" w:color="auto" w:fill="auto"/>
            <w:vAlign w:val="center"/>
          </w:tcPr>
          <w:p w14:paraId="61743B70" w14:textId="77777777" w:rsidR="0076567A" w:rsidRPr="006F6287" w:rsidRDefault="0076567A" w:rsidP="0076567A">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Permanente</w:t>
            </w:r>
          </w:p>
        </w:tc>
      </w:tr>
      <w:tr w:rsidR="00843050" w:rsidRPr="006F6287" w14:paraId="3CECD4B2" w14:textId="77777777" w:rsidTr="00843050">
        <w:trPr>
          <w:cantSplit/>
          <w:trHeight w:val="300"/>
        </w:trPr>
        <w:tc>
          <w:tcPr>
            <w:tcW w:w="422" w:type="dxa"/>
            <w:shd w:val="clear" w:color="auto" w:fill="auto"/>
            <w:vAlign w:val="center"/>
          </w:tcPr>
          <w:p w14:paraId="271EFC57" w14:textId="31D05D49" w:rsidR="00843050" w:rsidRDefault="00843050" w:rsidP="00843050">
            <w:pPr>
              <w:jc w:val="center"/>
              <w:rPr>
                <w:rFonts w:ascii="Verdana" w:eastAsia="SimSun" w:hAnsi="Verdana" w:cs="Arial"/>
                <w:kern w:val="3"/>
                <w:sz w:val="12"/>
                <w:szCs w:val="12"/>
                <w:lang w:eastAsia="zh-CN" w:bidi="hi-IN"/>
              </w:rPr>
            </w:pPr>
            <w:r>
              <w:rPr>
                <w:rFonts w:ascii="Verdana" w:eastAsia="SimSun" w:hAnsi="Verdana" w:cs="Arial"/>
                <w:kern w:val="3"/>
                <w:sz w:val="12"/>
                <w:szCs w:val="12"/>
                <w:lang w:eastAsia="zh-CN" w:bidi="hi-IN"/>
              </w:rPr>
              <w:t>20</w:t>
            </w:r>
          </w:p>
        </w:tc>
        <w:tc>
          <w:tcPr>
            <w:tcW w:w="807" w:type="dxa"/>
            <w:shd w:val="clear" w:color="auto" w:fill="auto"/>
            <w:vAlign w:val="center"/>
          </w:tcPr>
          <w:p w14:paraId="6AC36866" w14:textId="131125DB"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General</w:t>
            </w:r>
          </w:p>
        </w:tc>
        <w:tc>
          <w:tcPr>
            <w:tcW w:w="690" w:type="dxa"/>
            <w:shd w:val="clear" w:color="auto" w:fill="auto"/>
            <w:vAlign w:val="center"/>
          </w:tcPr>
          <w:p w14:paraId="6589063E" w14:textId="13E5F271"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Externo</w:t>
            </w:r>
          </w:p>
        </w:tc>
        <w:tc>
          <w:tcPr>
            <w:tcW w:w="788" w:type="dxa"/>
            <w:shd w:val="clear" w:color="auto" w:fill="auto"/>
            <w:vAlign w:val="center"/>
          </w:tcPr>
          <w:p w14:paraId="54C155A9" w14:textId="77928F25" w:rsidR="00843050" w:rsidRDefault="00843050" w:rsidP="00843050">
            <w:pPr>
              <w:jc w:val="center"/>
              <w:rPr>
                <w:rFonts w:ascii="Verdana" w:eastAsia="SimSun" w:hAnsi="Verdana" w:cs="Arial"/>
                <w:kern w:val="3"/>
                <w:sz w:val="12"/>
                <w:szCs w:val="12"/>
                <w:lang w:eastAsia="zh-CN" w:bidi="hi-IN"/>
              </w:rPr>
            </w:pPr>
            <w:proofErr w:type="spellStart"/>
            <w:r w:rsidRPr="00843050">
              <w:rPr>
                <w:rFonts w:ascii="Verdana" w:eastAsia="SimSun" w:hAnsi="Verdana" w:cs="Arial"/>
                <w:kern w:val="3"/>
                <w:sz w:val="12"/>
                <w:szCs w:val="12"/>
                <w:lang w:eastAsia="zh-CN" w:bidi="hi-IN"/>
              </w:rPr>
              <w:t>Ejecucion</w:t>
            </w:r>
            <w:proofErr w:type="spellEnd"/>
          </w:p>
        </w:tc>
        <w:tc>
          <w:tcPr>
            <w:tcW w:w="928" w:type="dxa"/>
            <w:shd w:val="clear" w:color="auto" w:fill="auto"/>
            <w:vAlign w:val="center"/>
          </w:tcPr>
          <w:p w14:paraId="180005C5" w14:textId="4C8A8430"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Riesgo Operacional</w:t>
            </w:r>
          </w:p>
        </w:tc>
        <w:tc>
          <w:tcPr>
            <w:tcW w:w="1609" w:type="dxa"/>
            <w:shd w:val="clear" w:color="auto" w:fill="auto"/>
            <w:vAlign w:val="center"/>
          </w:tcPr>
          <w:p w14:paraId="53EA1415" w14:textId="78FE081D" w:rsidR="00843050" w:rsidRDefault="00843050" w:rsidP="00843050">
            <w:pPr>
              <w:jc w:val="left"/>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Mal manejo del anticipo</w:t>
            </w:r>
          </w:p>
        </w:tc>
        <w:tc>
          <w:tcPr>
            <w:tcW w:w="1173" w:type="dxa"/>
            <w:shd w:val="clear" w:color="auto" w:fill="auto"/>
            <w:vAlign w:val="center"/>
          </w:tcPr>
          <w:p w14:paraId="56114856" w14:textId="5D0DC374" w:rsidR="00843050" w:rsidRDefault="00843050" w:rsidP="00843050">
            <w:pPr>
              <w:jc w:val="left"/>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Afectación al equilibrio económico del contrato</w:t>
            </w:r>
          </w:p>
        </w:tc>
        <w:tc>
          <w:tcPr>
            <w:tcW w:w="422" w:type="dxa"/>
            <w:shd w:val="clear" w:color="auto" w:fill="auto"/>
            <w:vAlign w:val="center"/>
          </w:tcPr>
          <w:p w14:paraId="7010FBDB" w14:textId="5FAB6BEC" w:rsidR="00843050" w:rsidRDefault="00843050" w:rsidP="00843050">
            <w:pPr>
              <w:jc w:val="center"/>
              <w:rPr>
                <w:rFonts w:ascii="Verdana" w:eastAsia="SimSun" w:hAnsi="Verdana" w:cs="Arial"/>
                <w:kern w:val="3"/>
                <w:sz w:val="12"/>
                <w:szCs w:val="12"/>
                <w:lang w:eastAsia="zh-CN" w:bidi="hi-IN"/>
              </w:rPr>
            </w:pPr>
            <w:r>
              <w:rPr>
                <w:rFonts w:ascii="Calibri" w:hAnsi="Calibri" w:cs="Calibri"/>
                <w:color w:val="000000"/>
                <w:sz w:val="20"/>
                <w:szCs w:val="20"/>
              </w:rPr>
              <w:t>3</w:t>
            </w:r>
          </w:p>
        </w:tc>
        <w:tc>
          <w:tcPr>
            <w:tcW w:w="422" w:type="dxa"/>
            <w:shd w:val="clear" w:color="auto" w:fill="auto"/>
            <w:vAlign w:val="center"/>
          </w:tcPr>
          <w:p w14:paraId="569B00FC" w14:textId="4E583119" w:rsidR="00843050" w:rsidRDefault="00843050" w:rsidP="00843050">
            <w:pPr>
              <w:jc w:val="center"/>
              <w:rPr>
                <w:rFonts w:ascii="Verdana" w:eastAsia="SimSun" w:hAnsi="Verdana" w:cs="Arial"/>
                <w:kern w:val="3"/>
                <w:sz w:val="12"/>
                <w:szCs w:val="12"/>
                <w:lang w:eastAsia="zh-CN" w:bidi="hi-IN"/>
              </w:rPr>
            </w:pPr>
            <w:r>
              <w:rPr>
                <w:rFonts w:ascii="Calibri" w:hAnsi="Calibri" w:cs="Calibri"/>
                <w:color w:val="000000"/>
                <w:sz w:val="20"/>
                <w:szCs w:val="20"/>
              </w:rPr>
              <w:t>4</w:t>
            </w:r>
          </w:p>
        </w:tc>
        <w:tc>
          <w:tcPr>
            <w:tcW w:w="422" w:type="dxa"/>
            <w:shd w:val="clear" w:color="auto" w:fill="auto"/>
            <w:vAlign w:val="center"/>
          </w:tcPr>
          <w:p w14:paraId="1381AA47" w14:textId="2860694B" w:rsidR="00843050" w:rsidRDefault="00843050" w:rsidP="00843050">
            <w:pPr>
              <w:jc w:val="center"/>
              <w:rPr>
                <w:rFonts w:ascii="Verdana" w:eastAsia="SimSun" w:hAnsi="Verdana" w:cs="Arial"/>
                <w:kern w:val="3"/>
                <w:sz w:val="12"/>
                <w:szCs w:val="12"/>
                <w:lang w:eastAsia="zh-CN" w:bidi="hi-IN"/>
              </w:rPr>
            </w:pPr>
            <w:r>
              <w:rPr>
                <w:rFonts w:ascii="Calibri" w:hAnsi="Calibri" w:cs="Calibri"/>
                <w:color w:val="000000"/>
                <w:sz w:val="20"/>
                <w:szCs w:val="20"/>
              </w:rPr>
              <w:t>7</w:t>
            </w:r>
          </w:p>
        </w:tc>
        <w:tc>
          <w:tcPr>
            <w:tcW w:w="669" w:type="dxa"/>
            <w:shd w:val="clear" w:color="auto" w:fill="auto"/>
            <w:vAlign w:val="center"/>
          </w:tcPr>
          <w:p w14:paraId="706E1A64" w14:textId="15B43A97" w:rsidR="00843050" w:rsidRDefault="00843050" w:rsidP="00843050">
            <w:pPr>
              <w:jc w:val="center"/>
              <w:rPr>
                <w:rFonts w:ascii="Verdana" w:eastAsia="SimSun" w:hAnsi="Verdana" w:cs="Arial"/>
                <w:b/>
                <w:kern w:val="3"/>
                <w:sz w:val="12"/>
                <w:szCs w:val="12"/>
                <w:lang w:eastAsia="zh-CN" w:bidi="hi-IN"/>
              </w:rPr>
            </w:pPr>
            <w:r>
              <w:rPr>
                <w:rFonts w:ascii="Calibri" w:hAnsi="Calibri" w:cs="Calibri"/>
                <w:color w:val="000000"/>
                <w:sz w:val="20"/>
                <w:szCs w:val="20"/>
              </w:rPr>
              <w:t>Alto</w:t>
            </w:r>
          </w:p>
        </w:tc>
        <w:tc>
          <w:tcPr>
            <w:tcW w:w="1072" w:type="dxa"/>
            <w:shd w:val="clear" w:color="auto" w:fill="auto"/>
            <w:vAlign w:val="center"/>
          </w:tcPr>
          <w:p w14:paraId="4AF75BCC" w14:textId="75D56347"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PROPONENTE Y/O CONTRATISTA</w:t>
            </w:r>
          </w:p>
        </w:tc>
        <w:tc>
          <w:tcPr>
            <w:tcW w:w="1590" w:type="dxa"/>
            <w:shd w:val="clear" w:color="auto" w:fill="auto"/>
            <w:vAlign w:val="center"/>
          </w:tcPr>
          <w:p w14:paraId="565DA188" w14:textId="56FCEA99" w:rsidR="00843050" w:rsidRPr="00843050" w:rsidRDefault="00843050" w:rsidP="00843050">
            <w:pPr>
              <w:contextualSpacing w:val="0"/>
              <w:jc w:val="left"/>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El contratista deber</w:t>
            </w:r>
            <w:r>
              <w:rPr>
                <w:rFonts w:ascii="Verdana" w:eastAsia="SimSun" w:hAnsi="Verdana" w:cs="Arial"/>
                <w:kern w:val="3"/>
                <w:sz w:val="12"/>
                <w:szCs w:val="12"/>
                <w:lang w:eastAsia="zh-CN" w:bidi="hi-IN"/>
              </w:rPr>
              <w:t xml:space="preserve">á </w:t>
            </w:r>
            <w:r w:rsidRPr="00843050">
              <w:rPr>
                <w:rFonts w:ascii="Verdana" w:eastAsia="SimSun" w:hAnsi="Verdana" w:cs="Arial"/>
                <w:kern w:val="3"/>
                <w:sz w:val="12"/>
                <w:szCs w:val="12"/>
                <w:lang w:eastAsia="zh-CN" w:bidi="hi-IN"/>
              </w:rPr>
              <w:t>realizar un buen manejo e inversi</w:t>
            </w:r>
            <w:r>
              <w:rPr>
                <w:rFonts w:ascii="Verdana" w:eastAsia="SimSun" w:hAnsi="Verdana" w:cs="Arial"/>
                <w:kern w:val="3"/>
                <w:sz w:val="12"/>
                <w:szCs w:val="12"/>
                <w:lang w:eastAsia="zh-CN" w:bidi="hi-IN"/>
              </w:rPr>
              <w:t>ó</w:t>
            </w:r>
            <w:r w:rsidRPr="00843050">
              <w:rPr>
                <w:rFonts w:ascii="Verdana" w:eastAsia="SimSun" w:hAnsi="Verdana" w:cs="Arial"/>
                <w:kern w:val="3"/>
                <w:sz w:val="12"/>
                <w:szCs w:val="12"/>
                <w:lang w:eastAsia="zh-CN" w:bidi="hi-IN"/>
              </w:rPr>
              <w:t>n del anticipo correspondiente a la ejecuci</w:t>
            </w:r>
            <w:r>
              <w:rPr>
                <w:rFonts w:ascii="Verdana" w:eastAsia="SimSun" w:hAnsi="Verdana" w:cs="Arial"/>
                <w:kern w:val="3"/>
                <w:sz w:val="12"/>
                <w:szCs w:val="12"/>
                <w:lang w:eastAsia="zh-CN" w:bidi="hi-IN"/>
              </w:rPr>
              <w:t>ó</w:t>
            </w:r>
            <w:r w:rsidRPr="00843050">
              <w:rPr>
                <w:rFonts w:ascii="Verdana" w:eastAsia="SimSun" w:hAnsi="Verdana" w:cs="Arial"/>
                <w:kern w:val="3"/>
                <w:sz w:val="12"/>
                <w:szCs w:val="12"/>
                <w:lang w:eastAsia="zh-CN" w:bidi="hi-IN"/>
              </w:rPr>
              <w:t xml:space="preserve">n de la obra contar con una </w:t>
            </w:r>
            <w:proofErr w:type="spellStart"/>
            <w:r w:rsidRPr="00843050">
              <w:rPr>
                <w:rFonts w:ascii="Verdana" w:eastAsia="SimSun" w:hAnsi="Verdana" w:cs="Arial"/>
                <w:kern w:val="3"/>
                <w:sz w:val="12"/>
                <w:szCs w:val="12"/>
                <w:lang w:eastAsia="zh-CN" w:bidi="hi-IN"/>
              </w:rPr>
              <w:t>poliza</w:t>
            </w:r>
            <w:proofErr w:type="spellEnd"/>
            <w:r w:rsidRPr="00843050">
              <w:rPr>
                <w:rFonts w:ascii="Verdana" w:eastAsia="SimSun" w:hAnsi="Verdana" w:cs="Arial"/>
                <w:kern w:val="3"/>
                <w:sz w:val="12"/>
                <w:szCs w:val="12"/>
                <w:lang w:eastAsia="zh-CN" w:bidi="hi-IN"/>
              </w:rPr>
              <w:t xml:space="preserve"> de buen manejo de anticipo con cubrimiento del 100% del valor del mismo.</w:t>
            </w:r>
          </w:p>
          <w:p w14:paraId="0E89897D" w14:textId="77777777" w:rsidR="00843050" w:rsidRDefault="00843050" w:rsidP="00843050">
            <w:pPr>
              <w:jc w:val="left"/>
              <w:rPr>
                <w:rFonts w:ascii="Verdana" w:eastAsia="SimSun" w:hAnsi="Verdana" w:cs="Arial"/>
                <w:kern w:val="3"/>
                <w:sz w:val="12"/>
                <w:szCs w:val="12"/>
                <w:lang w:eastAsia="zh-CN" w:bidi="hi-IN"/>
              </w:rPr>
            </w:pPr>
          </w:p>
        </w:tc>
        <w:tc>
          <w:tcPr>
            <w:tcW w:w="422" w:type="dxa"/>
            <w:shd w:val="clear" w:color="auto" w:fill="auto"/>
          </w:tcPr>
          <w:p w14:paraId="1C9747D1" w14:textId="77777777" w:rsidR="00843050" w:rsidRDefault="00843050" w:rsidP="00843050">
            <w:pPr>
              <w:jc w:val="center"/>
              <w:rPr>
                <w:rFonts w:ascii="Verdana" w:eastAsia="SimSun" w:hAnsi="Verdana" w:cs="Arial"/>
                <w:kern w:val="3"/>
                <w:sz w:val="12"/>
                <w:szCs w:val="12"/>
                <w:lang w:eastAsia="zh-CN" w:bidi="hi-IN"/>
              </w:rPr>
            </w:pPr>
          </w:p>
          <w:p w14:paraId="1F03E5D7" w14:textId="77777777" w:rsidR="00843050" w:rsidRDefault="00843050" w:rsidP="00843050">
            <w:pPr>
              <w:jc w:val="center"/>
              <w:rPr>
                <w:rFonts w:ascii="Verdana" w:eastAsia="SimSun" w:hAnsi="Verdana" w:cs="Arial"/>
                <w:kern w:val="3"/>
                <w:sz w:val="12"/>
                <w:szCs w:val="12"/>
                <w:lang w:eastAsia="zh-CN" w:bidi="hi-IN"/>
              </w:rPr>
            </w:pPr>
          </w:p>
          <w:p w14:paraId="3E2AE720" w14:textId="77777777" w:rsidR="00843050" w:rsidRDefault="00843050" w:rsidP="00843050">
            <w:pPr>
              <w:jc w:val="center"/>
              <w:rPr>
                <w:rFonts w:ascii="Verdana" w:eastAsia="SimSun" w:hAnsi="Verdana" w:cs="Arial"/>
                <w:kern w:val="3"/>
                <w:sz w:val="12"/>
                <w:szCs w:val="12"/>
                <w:lang w:eastAsia="zh-CN" w:bidi="hi-IN"/>
              </w:rPr>
            </w:pPr>
          </w:p>
          <w:p w14:paraId="6199956C" w14:textId="77777777" w:rsidR="00843050" w:rsidRDefault="00843050" w:rsidP="00843050">
            <w:pPr>
              <w:jc w:val="center"/>
              <w:rPr>
                <w:rFonts w:ascii="Verdana" w:eastAsia="SimSun" w:hAnsi="Verdana" w:cs="Arial"/>
                <w:kern w:val="3"/>
                <w:sz w:val="12"/>
                <w:szCs w:val="12"/>
                <w:lang w:eastAsia="zh-CN" w:bidi="hi-IN"/>
              </w:rPr>
            </w:pPr>
          </w:p>
          <w:p w14:paraId="757D1612" w14:textId="77777777" w:rsidR="00843050" w:rsidRDefault="00843050" w:rsidP="00843050">
            <w:pPr>
              <w:jc w:val="center"/>
              <w:rPr>
                <w:rFonts w:ascii="Verdana" w:eastAsia="SimSun" w:hAnsi="Verdana" w:cs="Arial"/>
                <w:kern w:val="3"/>
                <w:sz w:val="12"/>
                <w:szCs w:val="12"/>
                <w:lang w:eastAsia="zh-CN" w:bidi="hi-IN"/>
              </w:rPr>
            </w:pPr>
          </w:p>
          <w:p w14:paraId="4D6C34DC" w14:textId="5C06371C"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1</w:t>
            </w:r>
          </w:p>
        </w:tc>
        <w:tc>
          <w:tcPr>
            <w:tcW w:w="422" w:type="dxa"/>
            <w:shd w:val="clear" w:color="auto" w:fill="auto"/>
          </w:tcPr>
          <w:p w14:paraId="42B26954" w14:textId="77777777" w:rsidR="00843050" w:rsidRDefault="00843050" w:rsidP="00843050">
            <w:pPr>
              <w:jc w:val="center"/>
              <w:rPr>
                <w:rFonts w:ascii="Verdana" w:eastAsia="SimSun" w:hAnsi="Verdana" w:cs="Arial"/>
                <w:kern w:val="3"/>
                <w:sz w:val="12"/>
                <w:szCs w:val="12"/>
                <w:lang w:eastAsia="zh-CN" w:bidi="hi-IN"/>
              </w:rPr>
            </w:pPr>
          </w:p>
          <w:p w14:paraId="25A8C035" w14:textId="77777777" w:rsidR="00843050" w:rsidRDefault="00843050" w:rsidP="00843050">
            <w:pPr>
              <w:jc w:val="center"/>
              <w:rPr>
                <w:rFonts w:ascii="Verdana" w:eastAsia="SimSun" w:hAnsi="Verdana" w:cs="Arial"/>
                <w:kern w:val="3"/>
                <w:sz w:val="12"/>
                <w:szCs w:val="12"/>
                <w:lang w:eastAsia="zh-CN" w:bidi="hi-IN"/>
              </w:rPr>
            </w:pPr>
          </w:p>
          <w:p w14:paraId="6D35DDF3" w14:textId="77777777" w:rsidR="00843050" w:rsidRDefault="00843050" w:rsidP="00843050">
            <w:pPr>
              <w:jc w:val="center"/>
              <w:rPr>
                <w:rFonts w:ascii="Verdana" w:eastAsia="SimSun" w:hAnsi="Verdana" w:cs="Arial"/>
                <w:kern w:val="3"/>
                <w:sz w:val="12"/>
                <w:szCs w:val="12"/>
                <w:lang w:eastAsia="zh-CN" w:bidi="hi-IN"/>
              </w:rPr>
            </w:pPr>
          </w:p>
          <w:p w14:paraId="38A6E2FB" w14:textId="77777777" w:rsidR="00843050" w:rsidRDefault="00843050" w:rsidP="00843050">
            <w:pPr>
              <w:jc w:val="center"/>
              <w:rPr>
                <w:rFonts w:ascii="Verdana" w:eastAsia="SimSun" w:hAnsi="Verdana" w:cs="Arial"/>
                <w:kern w:val="3"/>
                <w:sz w:val="12"/>
                <w:szCs w:val="12"/>
                <w:lang w:eastAsia="zh-CN" w:bidi="hi-IN"/>
              </w:rPr>
            </w:pPr>
          </w:p>
          <w:p w14:paraId="45959FE1" w14:textId="77777777" w:rsidR="00843050" w:rsidRDefault="00843050" w:rsidP="00843050">
            <w:pPr>
              <w:jc w:val="center"/>
              <w:rPr>
                <w:rFonts w:ascii="Verdana" w:eastAsia="SimSun" w:hAnsi="Verdana" w:cs="Arial"/>
                <w:kern w:val="3"/>
                <w:sz w:val="12"/>
                <w:szCs w:val="12"/>
                <w:lang w:eastAsia="zh-CN" w:bidi="hi-IN"/>
              </w:rPr>
            </w:pPr>
          </w:p>
          <w:p w14:paraId="4B34BB75" w14:textId="755E815C"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1</w:t>
            </w:r>
          </w:p>
        </w:tc>
        <w:tc>
          <w:tcPr>
            <w:tcW w:w="422" w:type="dxa"/>
            <w:shd w:val="clear" w:color="auto" w:fill="auto"/>
          </w:tcPr>
          <w:p w14:paraId="20FA2636" w14:textId="77777777" w:rsidR="00843050" w:rsidRDefault="00843050" w:rsidP="00843050">
            <w:pPr>
              <w:jc w:val="center"/>
              <w:rPr>
                <w:rFonts w:ascii="Verdana" w:eastAsia="SimSun" w:hAnsi="Verdana" w:cs="Arial"/>
                <w:kern w:val="3"/>
                <w:sz w:val="12"/>
                <w:szCs w:val="12"/>
                <w:lang w:eastAsia="zh-CN" w:bidi="hi-IN"/>
              </w:rPr>
            </w:pPr>
          </w:p>
          <w:p w14:paraId="784C5050" w14:textId="77777777" w:rsidR="00843050" w:rsidRDefault="00843050" w:rsidP="00843050">
            <w:pPr>
              <w:jc w:val="center"/>
              <w:rPr>
                <w:rFonts w:ascii="Verdana" w:eastAsia="SimSun" w:hAnsi="Verdana" w:cs="Arial"/>
                <w:kern w:val="3"/>
                <w:sz w:val="12"/>
                <w:szCs w:val="12"/>
                <w:lang w:eastAsia="zh-CN" w:bidi="hi-IN"/>
              </w:rPr>
            </w:pPr>
          </w:p>
          <w:p w14:paraId="230D02F4" w14:textId="77777777" w:rsidR="00843050" w:rsidRDefault="00843050" w:rsidP="00843050">
            <w:pPr>
              <w:jc w:val="center"/>
              <w:rPr>
                <w:rFonts w:ascii="Verdana" w:eastAsia="SimSun" w:hAnsi="Verdana" w:cs="Arial"/>
                <w:kern w:val="3"/>
                <w:sz w:val="12"/>
                <w:szCs w:val="12"/>
                <w:lang w:eastAsia="zh-CN" w:bidi="hi-IN"/>
              </w:rPr>
            </w:pPr>
          </w:p>
          <w:p w14:paraId="6C0CDC0E" w14:textId="77777777" w:rsidR="00843050" w:rsidRDefault="00843050" w:rsidP="00843050">
            <w:pPr>
              <w:jc w:val="center"/>
              <w:rPr>
                <w:rFonts w:ascii="Verdana" w:eastAsia="SimSun" w:hAnsi="Verdana" w:cs="Arial"/>
                <w:kern w:val="3"/>
                <w:sz w:val="12"/>
                <w:szCs w:val="12"/>
                <w:lang w:eastAsia="zh-CN" w:bidi="hi-IN"/>
              </w:rPr>
            </w:pPr>
          </w:p>
          <w:p w14:paraId="259DDBE8" w14:textId="77777777" w:rsidR="00843050" w:rsidRDefault="00843050" w:rsidP="00843050">
            <w:pPr>
              <w:jc w:val="center"/>
              <w:rPr>
                <w:rFonts w:ascii="Verdana" w:eastAsia="SimSun" w:hAnsi="Verdana" w:cs="Arial"/>
                <w:kern w:val="3"/>
                <w:sz w:val="12"/>
                <w:szCs w:val="12"/>
                <w:lang w:eastAsia="zh-CN" w:bidi="hi-IN"/>
              </w:rPr>
            </w:pPr>
          </w:p>
          <w:p w14:paraId="410841AF" w14:textId="44630404"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2</w:t>
            </w:r>
          </w:p>
        </w:tc>
        <w:tc>
          <w:tcPr>
            <w:tcW w:w="669" w:type="dxa"/>
            <w:shd w:val="clear" w:color="auto" w:fill="auto"/>
          </w:tcPr>
          <w:p w14:paraId="00B7A662" w14:textId="77777777" w:rsidR="00843050" w:rsidRDefault="00843050" w:rsidP="00843050">
            <w:pPr>
              <w:jc w:val="center"/>
              <w:rPr>
                <w:rFonts w:ascii="Verdana" w:eastAsia="SimSun" w:hAnsi="Verdana" w:cs="Arial"/>
                <w:kern w:val="3"/>
                <w:sz w:val="12"/>
                <w:szCs w:val="12"/>
                <w:lang w:eastAsia="zh-CN" w:bidi="hi-IN"/>
              </w:rPr>
            </w:pPr>
          </w:p>
          <w:p w14:paraId="05AD6FD9" w14:textId="77777777" w:rsidR="00843050" w:rsidRDefault="00843050" w:rsidP="00843050">
            <w:pPr>
              <w:jc w:val="center"/>
              <w:rPr>
                <w:rFonts w:ascii="Verdana" w:eastAsia="SimSun" w:hAnsi="Verdana" w:cs="Arial"/>
                <w:kern w:val="3"/>
                <w:sz w:val="12"/>
                <w:szCs w:val="12"/>
                <w:lang w:eastAsia="zh-CN" w:bidi="hi-IN"/>
              </w:rPr>
            </w:pPr>
          </w:p>
          <w:p w14:paraId="7F89B33D" w14:textId="77777777" w:rsidR="00843050" w:rsidRDefault="00843050" w:rsidP="00843050">
            <w:pPr>
              <w:jc w:val="center"/>
              <w:rPr>
                <w:rFonts w:ascii="Verdana" w:eastAsia="SimSun" w:hAnsi="Verdana" w:cs="Arial"/>
                <w:kern w:val="3"/>
                <w:sz w:val="12"/>
                <w:szCs w:val="12"/>
                <w:lang w:eastAsia="zh-CN" w:bidi="hi-IN"/>
              </w:rPr>
            </w:pPr>
          </w:p>
          <w:p w14:paraId="12AE9889" w14:textId="77777777" w:rsidR="00843050" w:rsidRDefault="00843050" w:rsidP="00843050">
            <w:pPr>
              <w:jc w:val="center"/>
              <w:rPr>
                <w:rFonts w:ascii="Verdana" w:eastAsia="SimSun" w:hAnsi="Verdana" w:cs="Arial"/>
                <w:kern w:val="3"/>
                <w:sz w:val="12"/>
                <w:szCs w:val="12"/>
                <w:lang w:eastAsia="zh-CN" w:bidi="hi-IN"/>
              </w:rPr>
            </w:pPr>
          </w:p>
          <w:p w14:paraId="5F829AAF" w14:textId="77777777" w:rsidR="00843050" w:rsidRDefault="00843050" w:rsidP="00843050">
            <w:pPr>
              <w:jc w:val="center"/>
              <w:rPr>
                <w:rFonts w:ascii="Verdana" w:eastAsia="SimSun" w:hAnsi="Verdana" w:cs="Arial"/>
                <w:kern w:val="3"/>
                <w:sz w:val="12"/>
                <w:szCs w:val="12"/>
                <w:lang w:eastAsia="zh-CN" w:bidi="hi-IN"/>
              </w:rPr>
            </w:pPr>
          </w:p>
          <w:p w14:paraId="74CCA9AB" w14:textId="4F1E7BDD" w:rsidR="00843050" w:rsidRP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Riesgo Bajo</w:t>
            </w:r>
          </w:p>
        </w:tc>
        <w:tc>
          <w:tcPr>
            <w:tcW w:w="809" w:type="dxa"/>
            <w:shd w:val="clear" w:color="auto" w:fill="auto"/>
            <w:vAlign w:val="center"/>
          </w:tcPr>
          <w:p w14:paraId="6A95EFD1" w14:textId="48C282F0"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SI</w:t>
            </w:r>
          </w:p>
        </w:tc>
        <w:tc>
          <w:tcPr>
            <w:tcW w:w="1040" w:type="dxa"/>
            <w:shd w:val="clear" w:color="auto" w:fill="auto"/>
            <w:vAlign w:val="center"/>
          </w:tcPr>
          <w:p w14:paraId="151E17F2" w14:textId="6926125E" w:rsidR="00843050" w:rsidRDefault="00843050" w:rsidP="00843050">
            <w:pPr>
              <w:jc w:val="left"/>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Proveedor</w:t>
            </w:r>
          </w:p>
        </w:tc>
        <w:tc>
          <w:tcPr>
            <w:tcW w:w="1251" w:type="dxa"/>
            <w:shd w:val="clear" w:color="auto" w:fill="auto"/>
            <w:vAlign w:val="center"/>
          </w:tcPr>
          <w:p w14:paraId="3E894B6C" w14:textId="749B908A"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Al inicio de la ejecución del contrato y durante la ejecución del mismo</w:t>
            </w:r>
          </w:p>
        </w:tc>
        <w:tc>
          <w:tcPr>
            <w:tcW w:w="1408" w:type="dxa"/>
            <w:shd w:val="clear" w:color="auto" w:fill="auto"/>
            <w:vAlign w:val="center"/>
          </w:tcPr>
          <w:p w14:paraId="341F4407" w14:textId="0F04E9A9" w:rsidR="00843050" w:rsidRDefault="00843050" w:rsidP="00843050">
            <w:pPr>
              <w:jc w:val="left"/>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A la terminación de la ejecución del contrato</w:t>
            </w:r>
          </w:p>
        </w:tc>
        <w:tc>
          <w:tcPr>
            <w:tcW w:w="1251" w:type="dxa"/>
            <w:shd w:val="clear" w:color="auto" w:fill="auto"/>
            <w:vAlign w:val="center"/>
          </w:tcPr>
          <w:p w14:paraId="2E81998F" w14:textId="4A849EAF" w:rsidR="00843050" w:rsidRDefault="00843050" w:rsidP="00843050">
            <w:pPr>
              <w:jc w:val="center"/>
              <w:rPr>
                <w:rFonts w:ascii="Verdana" w:eastAsia="SimSun" w:hAnsi="Verdana" w:cs="Arial"/>
                <w:kern w:val="3"/>
                <w:sz w:val="12"/>
                <w:szCs w:val="12"/>
                <w:lang w:eastAsia="zh-CN" w:bidi="hi-IN"/>
              </w:rPr>
            </w:pPr>
            <w:r w:rsidRPr="00843050">
              <w:rPr>
                <w:rFonts w:ascii="Verdana" w:eastAsia="SimSun" w:hAnsi="Verdana" w:cs="Arial"/>
                <w:kern w:val="3"/>
                <w:sz w:val="12"/>
                <w:szCs w:val="12"/>
                <w:lang w:eastAsia="zh-CN" w:bidi="hi-IN"/>
              </w:rPr>
              <w:t xml:space="preserve">Seguimiento del supervisor / interventor en la ejecución del contrato. Informes de Obra y </w:t>
            </w:r>
            <w:proofErr w:type="spellStart"/>
            <w:r w:rsidRPr="00843050">
              <w:rPr>
                <w:rFonts w:ascii="Verdana" w:eastAsia="SimSun" w:hAnsi="Verdana" w:cs="Arial"/>
                <w:kern w:val="3"/>
                <w:sz w:val="12"/>
                <w:szCs w:val="12"/>
                <w:lang w:eastAsia="zh-CN" w:bidi="hi-IN"/>
              </w:rPr>
              <w:t>bitacora</w:t>
            </w:r>
            <w:proofErr w:type="spellEnd"/>
          </w:p>
        </w:tc>
      </w:tr>
    </w:tbl>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4B02DA">
      <w:headerReference w:type="default" r:id="rId13"/>
      <w:footerReference w:type="default" r:id="rId14"/>
      <w:pgSz w:w="20160" w:h="12240" w:orient="landscape"/>
      <w:pgMar w:top="1000" w:right="720" w:bottom="900" w:left="720"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CBCCB" w14:textId="77777777" w:rsidR="007C2B8A" w:rsidRDefault="007C2B8A" w:rsidP="00091875">
      <w:pPr>
        <w:spacing w:line="240" w:lineRule="auto"/>
      </w:pPr>
      <w:r>
        <w:separator/>
      </w:r>
    </w:p>
  </w:endnote>
  <w:endnote w:type="continuationSeparator" w:id="0">
    <w:p w14:paraId="59A39ABB" w14:textId="77777777" w:rsidR="007C2B8A" w:rsidRDefault="007C2B8A" w:rsidP="00091875">
      <w:pPr>
        <w:spacing w:line="240" w:lineRule="auto"/>
      </w:pPr>
      <w:r>
        <w:continuationSeparator/>
      </w:r>
    </w:p>
  </w:endnote>
  <w:endnote w:type="continuationNotice" w:id="1">
    <w:p w14:paraId="1CDB6CBB" w14:textId="77777777" w:rsidR="007C2B8A" w:rsidRDefault="007C2B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690528"/>
      <w:docPartObj>
        <w:docPartGallery w:val="Page Numbers (Bottom of Page)"/>
        <w:docPartUnique/>
      </w:docPartObj>
    </w:sdtPr>
    <w:sdtEndPr/>
    <w:sdtContent>
      <w:p w14:paraId="1CA72524" w14:textId="77777777"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A1CD" w14:textId="77777777" w:rsidR="007C2B8A" w:rsidRDefault="007C2B8A" w:rsidP="00091875">
      <w:pPr>
        <w:spacing w:line="240" w:lineRule="auto"/>
      </w:pPr>
      <w:r>
        <w:separator/>
      </w:r>
    </w:p>
  </w:footnote>
  <w:footnote w:type="continuationSeparator" w:id="0">
    <w:p w14:paraId="4BB79488" w14:textId="77777777" w:rsidR="007C2B8A" w:rsidRDefault="007C2B8A" w:rsidP="00091875">
      <w:pPr>
        <w:spacing w:line="240" w:lineRule="auto"/>
      </w:pPr>
      <w:r>
        <w:continuationSeparator/>
      </w:r>
    </w:p>
  </w:footnote>
  <w:footnote w:type="continuationNotice" w:id="1">
    <w:p w14:paraId="4C26C77F" w14:textId="77777777" w:rsidR="007C2B8A" w:rsidRDefault="007C2B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14FCB" w14:textId="77777777"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135F0C12" w14:textId="77777777"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405EC29D" w14:textId="77777777"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2B8A"/>
    <w:rsid w:val="007C5B18"/>
    <w:rsid w:val="007C702A"/>
    <w:rsid w:val="007E1A1D"/>
    <w:rsid w:val="00805ECB"/>
    <w:rsid w:val="00815604"/>
    <w:rsid w:val="00833F3B"/>
    <w:rsid w:val="00841B5A"/>
    <w:rsid w:val="00843050"/>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304657312">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3865</Words>
  <Characters>21258</Characters>
  <Application>Microsoft Office Word</Application>
  <DocSecurity>0</DocSecurity>
  <Lines>177</Lines>
  <Paragraphs>50</Paragraphs>
  <ScaleCrop>false</ScaleCrop>
  <Company>Hewlett-Packard Company</Company>
  <LinksUpToDate>false</LinksUpToDate>
  <CharactersWithSpaces>25073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Ana Santamaria</cp:lastModifiedBy>
  <cp:revision>12</cp:revision>
  <cp:lastPrinted>2021-08-03T20:55:00Z</cp:lastPrinted>
  <dcterms:created xsi:type="dcterms:W3CDTF">2022-08-03T21:07:00Z</dcterms:created>
  <dcterms:modified xsi:type="dcterms:W3CDTF">2026-10-21T18:26:00Z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