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78BA7" w14:textId="77777777" w:rsidR="00C74620" w:rsidRPr="00F518F9" w:rsidRDefault="00C74620">
      <w:pPr>
        <w:jc w:val="center"/>
        <w:rPr>
          <w:rFonts w:ascii="Verdana" w:eastAsia="Verdana" w:hAnsi="Verdana" w:cs="Verdana"/>
          <w:b/>
          <w:sz w:val="20"/>
          <w:szCs w:val="20"/>
        </w:rPr>
      </w:pPr>
    </w:p>
    <w:p w14:paraId="08953A7F" w14:textId="77777777" w:rsidR="00C74620" w:rsidRPr="00F518F9" w:rsidRDefault="00C0503D">
      <w:pPr>
        <w:jc w:val="center"/>
        <w:rPr>
          <w:rFonts w:ascii="Verdana" w:eastAsia="Verdana" w:hAnsi="Verdana" w:cs="Verdana"/>
          <w:b/>
          <w:sz w:val="20"/>
          <w:szCs w:val="20"/>
        </w:rPr>
      </w:pPr>
      <w:r w:rsidRPr="00F518F9">
        <w:rPr>
          <w:rFonts w:ascii="Verdana" w:eastAsia="Verdana" w:hAnsi="Verdana" w:cs="Verdana"/>
          <w:b/>
          <w:sz w:val="20"/>
          <w:szCs w:val="20"/>
        </w:rPr>
        <w:t>AVISO DE CONVOCATORIA</w:t>
      </w:r>
    </w:p>
    <w:p w14:paraId="5FF1CFC9" w14:textId="77777777" w:rsidR="00C74620" w:rsidRPr="00F518F9" w:rsidRDefault="00C0503D">
      <w:pPr>
        <w:jc w:val="center"/>
        <w:rPr>
          <w:rFonts w:ascii="Verdana" w:eastAsia="Verdana" w:hAnsi="Verdana" w:cs="Verdana"/>
          <w:b/>
          <w:sz w:val="20"/>
          <w:szCs w:val="20"/>
        </w:rPr>
      </w:pPr>
      <w:r w:rsidRPr="00F518F9">
        <w:rPr>
          <w:rFonts w:ascii="Verdana" w:eastAsia="Verdana" w:hAnsi="Verdana" w:cs="Verdana"/>
          <w:b/>
          <w:sz w:val="20"/>
          <w:szCs w:val="20"/>
        </w:rPr>
        <w:t>SELECCIÓN ABREVIADA MEDIANTE SUBASTA INVERSA</w:t>
      </w:r>
    </w:p>
    <w:p w14:paraId="5ABD2DF5" w14:textId="18104967" w:rsidR="00C74620" w:rsidRPr="00F518F9" w:rsidRDefault="00C0503D">
      <w:pPr>
        <w:jc w:val="center"/>
        <w:rPr>
          <w:rFonts w:ascii="Verdana" w:eastAsia="Verdana" w:hAnsi="Verdana" w:cs="Verdana"/>
          <w:b/>
          <w:sz w:val="20"/>
          <w:szCs w:val="20"/>
        </w:rPr>
      </w:pPr>
      <w:r w:rsidRPr="00F518F9">
        <w:rPr>
          <w:rFonts w:ascii="Verdana" w:eastAsia="Verdana" w:hAnsi="Verdana" w:cs="Verdana"/>
          <w:b/>
          <w:sz w:val="20"/>
          <w:szCs w:val="20"/>
        </w:rPr>
        <w:t xml:space="preserve"> SGC-SASI-</w:t>
      </w:r>
      <w:r w:rsidR="00911C58">
        <w:rPr>
          <w:rFonts w:ascii="Verdana" w:eastAsia="Verdana" w:hAnsi="Verdana" w:cs="Verdana"/>
          <w:b/>
          <w:sz w:val="20"/>
          <w:szCs w:val="20"/>
        </w:rPr>
        <w:t>0</w:t>
      </w:r>
      <w:r w:rsidR="004F2320">
        <w:rPr>
          <w:rFonts w:ascii="Verdana" w:eastAsia="Verdana" w:hAnsi="Verdana" w:cs="Verdana"/>
          <w:b/>
          <w:sz w:val="20"/>
          <w:szCs w:val="20"/>
        </w:rPr>
        <w:t>1</w:t>
      </w:r>
      <w:r w:rsidR="00297396">
        <w:rPr>
          <w:rFonts w:ascii="Verdana" w:eastAsia="Verdana" w:hAnsi="Verdana" w:cs="Verdana"/>
          <w:b/>
          <w:sz w:val="20"/>
          <w:szCs w:val="20"/>
        </w:rPr>
        <w:t>8</w:t>
      </w:r>
      <w:r w:rsidRPr="00F518F9">
        <w:rPr>
          <w:rFonts w:ascii="Verdana" w:eastAsia="Verdana" w:hAnsi="Verdana" w:cs="Verdana"/>
          <w:b/>
          <w:sz w:val="20"/>
          <w:szCs w:val="20"/>
        </w:rPr>
        <w:t>-202</w:t>
      </w:r>
      <w:r w:rsidR="008D4C38" w:rsidRPr="00F518F9">
        <w:rPr>
          <w:rFonts w:ascii="Verdana" w:eastAsia="Verdana" w:hAnsi="Verdana" w:cs="Verdana"/>
          <w:b/>
          <w:sz w:val="20"/>
          <w:szCs w:val="20"/>
        </w:rPr>
        <w:t>6</w:t>
      </w:r>
      <w:r w:rsidR="00EF6DE1">
        <w:rPr>
          <w:rFonts w:ascii="Verdana" w:eastAsia="Verdana" w:hAnsi="Verdana" w:cs="Verdana"/>
          <w:b/>
          <w:sz w:val="20"/>
          <w:szCs w:val="20"/>
        </w:rPr>
        <w:t>.</w:t>
      </w:r>
    </w:p>
    <w:p w14:paraId="2698E4F9" w14:textId="77777777" w:rsidR="00C74620" w:rsidRPr="00F518F9" w:rsidRDefault="00C74620">
      <w:pPr>
        <w:spacing w:after="200"/>
        <w:jc w:val="center"/>
        <w:rPr>
          <w:rFonts w:ascii="Verdana" w:eastAsia="Verdana" w:hAnsi="Verdana" w:cs="Verdana"/>
          <w:b/>
          <w:sz w:val="20"/>
          <w:szCs w:val="20"/>
        </w:rPr>
      </w:pPr>
    </w:p>
    <w:p w14:paraId="38CFBC93" w14:textId="384B55BC" w:rsidR="00C74620" w:rsidRPr="00F518F9" w:rsidRDefault="00C0503D" w:rsidP="00DD1CFF">
      <w:pPr>
        <w:jc w:val="both"/>
        <w:rPr>
          <w:rFonts w:ascii="Verdana" w:eastAsia="Verdana" w:hAnsi="Verdana" w:cs="Verdana"/>
          <w:b/>
          <w:sz w:val="20"/>
          <w:szCs w:val="20"/>
        </w:rPr>
      </w:pPr>
      <w:r w:rsidRPr="00F518F9">
        <w:rPr>
          <w:rFonts w:ascii="Verdana" w:eastAsia="Verdana" w:hAnsi="Verdana" w:cs="Verdana"/>
          <w:sz w:val="20"/>
          <w:szCs w:val="20"/>
        </w:rPr>
        <w:t xml:space="preserve">De conformidad con lo dispuesto en el artículo 2.2.1.1.2.1.2 del Decreto 1082 de 2015, el SERVICIO GEOLÓGICO COLOMBIANO convoca a los interesados en participar en el proceso de </w:t>
      </w:r>
      <w:r w:rsidR="00DD1CFF">
        <w:rPr>
          <w:rFonts w:ascii="Verdana" w:eastAsia="Verdana" w:hAnsi="Verdana" w:cs="Verdana"/>
          <w:sz w:val="20"/>
          <w:szCs w:val="20"/>
        </w:rPr>
        <w:t xml:space="preserve"> </w:t>
      </w:r>
      <w:r w:rsidRPr="00F518F9">
        <w:rPr>
          <w:rFonts w:ascii="Verdana" w:eastAsia="Verdana" w:hAnsi="Verdana" w:cs="Verdana"/>
          <w:sz w:val="20"/>
          <w:szCs w:val="20"/>
        </w:rPr>
        <w:t xml:space="preserve">Selección Abreviada mediante Subasta Inversa  No. </w:t>
      </w:r>
      <w:r w:rsidRPr="00F518F9">
        <w:rPr>
          <w:rFonts w:ascii="Verdana" w:eastAsia="Verdana" w:hAnsi="Verdana" w:cs="Verdana"/>
          <w:b/>
          <w:sz w:val="20"/>
          <w:szCs w:val="20"/>
        </w:rPr>
        <w:t>SGC-SASI-</w:t>
      </w:r>
      <w:r w:rsidR="00213121" w:rsidRPr="00F518F9">
        <w:rPr>
          <w:rFonts w:ascii="Verdana" w:eastAsia="Verdana" w:hAnsi="Verdana" w:cs="Verdana"/>
          <w:b/>
          <w:sz w:val="20"/>
          <w:szCs w:val="20"/>
        </w:rPr>
        <w:t>0</w:t>
      </w:r>
      <w:r w:rsidR="004F2320">
        <w:rPr>
          <w:rFonts w:ascii="Verdana" w:eastAsia="Verdana" w:hAnsi="Verdana" w:cs="Verdana"/>
          <w:b/>
          <w:sz w:val="20"/>
          <w:szCs w:val="20"/>
        </w:rPr>
        <w:t>1</w:t>
      </w:r>
      <w:r w:rsidR="00297396">
        <w:rPr>
          <w:rFonts w:ascii="Verdana" w:eastAsia="Verdana" w:hAnsi="Verdana" w:cs="Verdana"/>
          <w:b/>
          <w:sz w:val="20"/>
          <w:szCs w:val="20"/>
        </w:rPr>
        <w:t>8</w:t>
      </w:r>
      <w:r w:rsidRPr="00F518F9">
        <w:rPr>
          <w:rFonts w:ascii="Verdana" w:eastAsia="Verdana" w:hAnsi="Verdana" w:cs="Verdana"/>
          <w:b/>
          <w:sz w:val="20"/>
          <w:szCs w:val="20"/>
        </w:rPr>
        <w:t>-202</w:t>
      </w:r>
      <w:r w:rsidR="008D4C38" w:rsidRPr="00F518F9">
        <w:rPr>
          <w:rFonts w:ascii="Verdana" w:eastAsia="Verdana" w:hAnsi="Verdana" w:cs="Verdana"/>
          <w:b/>
          <w:sz w:val="20"/>
          <w:szCs w:val="20"/>
        </w:rPr>
        <w:t>6</w:t>
      </w:r>
      <w:r w:rsidR="00EF6DE1">
        <w:rPr>
          <w:rFonts w:ascii="Verdana" w:eastAsia="Verdana" w:hAnsi="Verdana" w:cs="Verdana"/>
          <w:b/>
          <w:sz w:val="20"/>
          <w:szCs w:val="20"/>
        </w:rPr>
        <w:t>.</w:t>
      </w:r>
      <w:r w:rsidRPr="00F518F9">
        <w:rPr>
          <w:rFonts w:ascii="Verdana" w:eastAsia="Verdana" w:hAnsi="Verdana" w:cs="Verdana"/>
          <w:sz w:val="20"/>
          <w:szCs w:val="20"/>
        </w:rPr>
        <w:t>, cuyas principales características se describen a continuación:</w:t>
      </w:r>
    </w:p>
    <w:p w14:paraId="14822FA4" w14:textId="77777777" w:rsidR="00C74620" w:rsidRPr="00F518F9" w:rsidRDefault="00C74620">
      <w:pPr>
        <w:ind w:right="-234"/>
        <w:rPr>
          <w:rFonts w:ascii="Verdana" w:eastAsia="Verdana" w:hAnsi="Verdana" w:cs="Verdana"/>
          <w:sz w:val="20"/>
          <w:szCs w:val="20"/>
        </w:rPr>
      </w:pPr>
    </w:p>
    <w:p w14:paraId="616A710E"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NOMBRE Y DIRECCIÓN DE LA ENTIDAD CONTRATANTE</w:t>
      </w:r>
    </w:p>
    <w:p w14:paraId="4B80150E" w14:textId="77777777" w:rsidR="00C74620" w:rsidRPr="00F518F9" w:rsidRDefault="00C74620">
      <w:pPr>
        <w:rPr>
          <w:rFonts w:ascii="Verdana" w:eastAsia="Verdana" w:hAnsi="Verdana" w:cs="Verdana"/>
          <w:sz w:val="20"/>
          <w:szCs w:val="20"/>
        </w:rPr>
      </w:pPr>
    </w:p>
    <w:p w14:paraId="0BB4944E"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EL SERVICIO GEOLÓGICO COLOMBIANO identificado con NIT. 899.999.294-8, ubicado en la Diagonal 53 No.34-53 de la ciudad de Bogotá D.C.</w:t>
      </w:r>
    </w:p>
    <w:p w14:paraId="29AA1C20" w14:textId="77777777" w:rsidR="00C74620" w:rsidRPr="00F518F9" w:rsidRDefault="00C74620">
      <w:pPr>
        <w:rPr>
          <w:rFonts w:ascii="Verdana" w:eastAsia="Verdana" w:hAnsi="Verdana" w:cs="Verdana"/>
          <w:color w:val="000000"/>
          <w:sz w:val="20"/>
          <w:szCs w:val="20"/>
        </w:rPr>
      </w:pPr>
    </w:p>
    <w:p w14:paraId="7E05BC68" w14:textId="77777777" w:rsidR="00C74620" w:rsidRPr="00F518F9" w:rsidRDefault="00C0503D" w:rsidP="000668A8">
      <w:pPr>
        <w:numPr>
          <w:ilvl w:val="0"/>
          <w:numId w:val="1"/>
        </w:numPr>
        <w:pBdr>
          <w:top w:val="nil"/>
          <w:left w:val="nil"/>
          <w:bottom w:val="nil"/>
          <w:right w:val="nil"/>
          <w:between w:val="nil"/>
        </w:pBdr>
        <w:jc w:val="both"/>
        <w:rPr>
          <w:rFonts w:ascii="Verdana" w:eastAsia="Verdana" w:hAnsi="Verdana" w:cs="Verdana"/>
          <w:b/>
          <w:color w:val="000000"/>
          <w:sz w:val="20"/>
          <w:szCs w:val="20"/>
        </w:rPr>
      </w:pPr>
      <w:bookmarkStart w:id="0" w:name="_heading=h.l3dxu592fsdp" w:colFirst="0" w:colLast="0"/>
      <w:bookmarkEnd w:id="0"/>
      <w:r w:rsidRPr="00F518F9">
        <w:rPr>
          <w:rFonts w:ascii="Verdana" w:eastAsia="Verdana" w:hAnsi="Verdana" w:cs="Verdana"/>
          <w:b/>
          <w:color w:val="000000"/>
          <w:sz w:val="20"/>
          <w:szCs w:val="20"/>
        </w:rPr>
        <w:t>SITIO DONDE LA ENTIDAD ATENDERÁ A LOS INTERESADOS EN PARTICIPAR EN EL PROCESO DE SELECCIÓN Y DONDE LOS INTERESADOS DEBEN PRESENTAR LOS DOCUMENTOS EN DESARROLLO DEL MISMO</w:t>
      </w:r>
    </w:p>
    <w:p w14:paraId="3D19D83E" w14:textId="77777777" w:rsidR="00C74620" w:rsidRPr="00F518F9" w:rsidRDefault="00C74620">
      <w:pPr>
        <w:rPr>
          <w:rFonts w:ascii="Verdana" w:eastAsia="Verdana" w:hAnsi="Verdana" w:cs="Verdana"/>
          <w:b/>
          <w:color w:val="000000"/>
          <w:sz w:val="20"/>
          <w:szCs w:val="20"/>
        </w:rPr>
      </w:pPr>
    </w:p>
    <w:p w14:paraId="2389A31C" w14:textId="77777777" w:rsidR="00C74620" w:rsidRPr="00F518F9" w:rsidRDefault="00C0503D" w:rsidP="000668A8">
      <w:pPr>
        <w:jc w:val="both"/>
        <w:rPr>
          <w:rFonts w:ascii="Verdana" w:eastAsia="Verdana" w:hAnsi="Verdana" w:cs="Verdana"/>
          <w:color w:val="000000"/>
          <w:sz w:val="20"/>
          <w:szCs w:val="20"/>
        </w:rPr>
      </w:pPr>
      <w:r w:rsidRPr="00F518F9">
        <w:rPr>
          <w:rFonts w:ascii="Verdana" w:eastAsia="Verdana" w:hAnsi="Verdana" w:cs="Verdana"/>
          <w:sz w:val="20"/>
          <w:szCs w:val="20"/>
        </w:rPr>
        <w:t xml:space="preserve">La entidad atenderá a los interesados en participar en el proceso de selección, a través en el Portal Único de Contratación: </w:t>
      </w:r>
      <w:hyperlink r:id="rId8">
        <w:r w:rsidRPr="00F518F9">
          <w:rPr>
            <w:rFonts w:ascii="Verdana" w:eastAsia="Verdana" w:hAnsi="Verdana" w:cs="Verdana"/>
            <w:color w:val="0000FF"/>
            <w:sz w:val="20"/>
            <w:szCs w:val="20"/>
            <w:u w:val="single"/>
          </w:rPr>
          <w:t>www.colombiacompra.gov.co/secop-ii</w:t>
        </w:r>
      </w:hyperlink>
    </w:p>
    <w:p w14:paraId="724321D1" w14:textId="77777777" w:rsidR="00C74620" w:rsidRPr="00F518F9" w:rsidRDefault="00C74620" w:rsidP="000668A8">
      <w:pPr>
        <w:jc w:val="both"/>
        <w:rPr>
          <w:rFonts w:ascii="Verdana" w:eastAsia="Verdana" w:hAnsi="Verdana" w:cs="Verdana"/>
          <w:b/>
          <w:color w:val="000000"/>
          <w:sz w:val="20"/>
          <w:szCs w:val="20"/>
        </w:rPr>
      </w:pPr>
    </w:p>
    <w:p w14:paraId="1475350E" w14:textId="77777777" w:rsidR="00C74620" w:rsidRPr="00F518F9" w:rsidRDefault="00C0503D" w:rsidP="000668A8">
      <w:pPr>
        <w:jc w:val="both"/>
        <w:rPr>
          <w:rFonts w:ascii="Verdana" w:eastAsia="Verdana" w:hAnsi="Verdana" w:cs="Verdana"/>
          <w:color w:val="000000"/>
          <w:sz w:val="20"/>
          <w:szCs w:val="20"/>
        </w:rPr>
      </w:pPr>
      <w:r w:rsidRPr="00F518F9">
        <w:rPr>
          <w:rFonts w:ascii="Verdana" w:eastAsia="Verdana" w:hAnsi="Verdana" w:cs="Verdana"/>
          <w:color w:val="000000"/>
          <w:sz w:val="20"/>
          <w:szCs w:val="20"/>
        </w:rPr>
        <w:t xml:space="preserve">Los documentos que deben presentar los interesados en desarrollo del proceso de selección se recibirán a través de la citada plataforma.  </w:t>
      </w:r>
    </w:p>
    <w:p w14:paraId="6F8123BD" w14:textId="77777777" w:rsidR="00C74620" w:rsidRPr="00F518F9" w:rsidRDefault="00C74620" w:rsidP="000668A8">
      <w:pPr>
        <w:jc w:val="both"/>
        <w:rPr>
          <w:rFonts w:ascii="Verdana" w:eastAsia="Verdana" w:hAnsi="Verdana" w:cs="Verdana"/>
          <w:b/>
          <w:color w:val="000000"/>
          <w:sz w:val="20"/>
          <w:szCs w:val="20"/>
        </w:rPr>
      </w:pPr>
    </w:p>
    <w:p w14:paraId="4844F8B4" w14:textId="77777777" w:rsidR="00C74620" w:rsidRPr="00F518F9" w:rsidRDefault="00C0503D" w:rsidP="000668A8">
      <w:pPr>
        <w:jc w:val="both"/>
        <w:rPr>
          <w:rFonts w:ascii="Verdana" w:eastAsia="Verdana" w:hAnsi="Verdana" w:cs="Verdana"/>
          <w:color w:val="000000"/>
          <w:sz w:val="20"/>
          <w:szCs w:val="20"/>
        </w:rPr>
      </w:pPr>
      <w:r w:rsidRPr="00F518F9">
        <w:rPr>
          <w:rFonts w:ascii="Verdana" w:eastAsia="Verdana" w:hAnsi="Verdana" w:cs="Verdana"/>
          <w:color w:val="000000"/>
          <w:sz w:val="20"/>
          <w:szCs w:val="20"/>
        </w:rPr>
        <w:t xml:space="preserve">En el “Documento adicional al proyecto de pliego de condiciones” y del “Documento adicional pliego de condiciones definitivo, según cada etapa del proceso, se indicará el correo electrónico a través del cual, los interesados pueden comunicarse con la entidad, si la plataforma SECOP II no está disponible, en los casos que apliquen, de acuerdo con el PROTOCOLO DE INDISPONIBILIDAD DEL SECOP II. </w:t>
      </w:r>
    </w:p>
    <w:p w14:paraId="1905F2BA" w14:textId="77777777" w:rsidR="00C74620" w:rsidRPr="00F518F9" w:rsidRDefault="00C74620" w:rsidP="000668A8">
      <w:pPr>
        <w:jc w:val="both"/>
        <w:rPr>
          <w:rFonts w:ascii="Verdana" w:eastAsia="Verdana" w:hAnsi="Verdana" w:cs="Verdana"/>
          <w:color w:val="000000"/>
          <w:sz w:val="20"/>
          <w:szCs w:val="20"/>
        </w:rPr>
      </w:pPr>
    </w:p>
    <w:p w14:paraId="14B5E6C2" w14:textId="77777777" w:rsidR="007D7B01" w:rsidRPr="004E2C0B" w:rsidRDefault="00C0503D" w:rsidP="000668A8">
      <w:pPr>
        <w:numPr>
          <w:ilvl w:val="0"/>
          <w:numId w:val="1"/>
        </w:numPr>
        <w:pBdr>
          <w:top w:val="nil"/>
          <w:left w:val="nil"/>
          <w:bottom w:val="nil"/>
          <w:right w:val="nil"/>
          <w:between w:val="nil"/>
        </w:pBdr>
        <w:jc w:val="both"/>
        <w:rPr>
          <w:rFonts w:ascii="Verdana" w:eastAsia="Verdana" w:hAnsi="Verdana" w:cs="Verdana"/>
          <w:color w:val="000000"/>
          <w:sz w:val="20"/>
          <w:szCs w:val="20"/>
        </w:rPr>
      </w:pPr>
      <w:r w:rsidRPr="00F518F9">
        <w:rPr>
          <w:rFonts w:ascii="Verdana" w:eastAsia="Verdana" w:hAnsi="Verdana" w:cs="Verdana"/>
          <w:b/>
          <w:color w:val="000000"/>
          <w:sz w:val="20"/>
          <w:szCs w:val="20"/>
        </w:rPr>
        <w:t xml:space="preserve">OBJETO DEL CONTRATO A CELEBRAR: </w:t>
      </w:r>
    </w:p>
    <w:p w14:paraId="6C22B1D4" w14:textId="77777777" w:rsidR="004E2C0B" w:rsidRPr="00F518F9" w:rsidRDefault="004E2C0B" w:rsidP="004E2C0B">
      <w:pPr>
        <w:pBdr>
          <w:top w:val="nil"/>
          <w:left w:val="nil"/>
          <w:bottom w:val="nil"/>
          <w:right w:val="nil"/>
          <w:between w:val="nil"/>
        </w:pBdr>
        <w:ind w:left="720"/>
        <w:rPr>
          <w:rFonts w:ascii="Verdana" w:eastAsia="Verdana" w:hAnsi="Verdana" w:cs="Verdana"/>
          <w:color w:val="000000"/>
          <w:sz w:val="20"/>
          <w:szCs w:val="20"/>
        </w:rPr>
      </w:pPr>
    </w:p>
    <w:p w14:paraId="12DE062A" w14:textId="4A966EFA" w:rsidR="00F2190A" w:rsidRDefault="00F377D9">
      <w:pPr>
        <w:rPr>
          <w:rFonts w:ascii="Verdana" w:eastAsia="Verdana" w:hAnsi="Verdana" w:cs="Verdana"/>
          <w:color w:val="000000"/>
          <w:sz w:val="20"/>
          <w:szCs w:val="20"/>
        </w:rPr>
      </w:pPr>
      <w:r w:rsidRPr="00F377D9">
        <w:rPr>
          <w:rFonts w:ascii="Verdana" w:eastAsia="Verdana" w:hAnsi="Verdana" w:cs="Verdana"/>
          <w:color w:val="000000"/>
          <w:sz w:val="20"/>
          <w:szCs w:val="20"/>
        </w:rPr>
        <w:t>Realizar la adquisición de reactivos químicos para el Servicio Geológico Colombiano.</w:t>
      </w:r>
    </w:p>
    <w:p w14:paraId="73703967" w14:textId="77777777" w:rsidR="00F377D9" w:rsidRPr="00F518F9" w:rsidRDefault="00F377D9">
      <w:pPr>
        <w:rPr>
          <w:rFonts w:ascii="Verdana" w:eastAsia="Verdana" w:hAnsi="Verdana" w:cs="Verdana"/>
          <w:sz w:val="20"/>
          <w:szCs w:val="20"/>
        </w:rPr>
      </w:pPr>
    </w:p>
    <w:p w14:paraId="3A490074"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MODALIDAD DE SELECCIÓN DEL CONTRATISTA</w:t>
      </w:r>
    </w:p>
    <w:p w14:paraId="1DA33A8F" w14:textId="77777777" w:rsidR="00C74620" w:rsidRPr="00F518F9" w:rsidRDefault="00C74620">
      <w:pPr>
        <w:rPr>
          <w:rFonts w:ascii="Verdana" w:eastAsia="Verdana" w:hAnsi="Verdana" w:cs="Verdana"/>
          <w:sz w:val="20"/>
          <w:szCs w:val="20"/>
        </w:rPr>
      </w:pPr>
    </w:p>
    <w:p w14:paraId="1A0A4051"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 xml:space="preserve"> Selección Abreviada mediante Subasta Inversa Electrónica</w:t>
      </w:r>
    </w:p>
    <w:p w14:paraId="16521807" w14:textId="77777777" w:rsidR="00C74620" w:rsidRPr="00F518F9" w:rsidRDefault="00C74620">
      <w:pPr>
        <w:rPr>
          <w:rFonts w:ascii="Verdana" w:eastAsia="Verdana" w:hAnsi="Verdana" w:cs="Verdana"/>
          <w:b/>
          <w:color w:val="000000"/>
          <w:sz w:val="20"/>
          <w:szCs w:val="20"/>
        </w:rPr>
      </w:pPr>
    </w:p>
    <w:p w14:paraId="66708BA6"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PLAZO ESTIMADO DEL CONTRATO</w:t>
      </w:r>
    </w:p>
    <w:p w14:paraId="06AA479C" w14:textId="77777777" w:rsidR="00C74620" w:rsidRPr="00EF6DE1" w:rsidRDefault="00C74620">
      <w:pPr>
        <w:rPr>
          <w:rFonts w:ascii="Verdana" w:eastAsia="Verdana" w:hAnsi="Verdana" w:cs="Verdana"/>
          <w:sz w:val="20"/>
          <w:szCs w:val="20"/>
        </w:rPr>
      </w:pPr>
    </w:p>
    <w:p w14:paraId="7C733DBF" w14:textId="3B26CD82" w:rsidR="00977F4F" w:rsidRDefault="002E1B5E" w:rsidP="000668A8">
      <w:pPr>
        <w:autoSpaceDE w:val="0"/>
        <w:autoSpaceDN w:val="0"/>
        <w:adjustRightInd w:val="0"/>
        <w:jc w:val="both"/>
        <w:rPr>
          <w:rFonts w:ascii="Verdana" w:eastAsia="Verdana" w:hAnsi="Verdana" w:cs="Verdana"/>
          <w:sz w:val="20"/>
          <w:szCs w:val="20"/>
        </w:rPr>
      </w:pPr>
      <w:r w:rsidRPr="002E1B5E">
        <w:rPr>
          <w:rFonts w:ascii="Verdana" w:eastAsia="Verdana" w:hAnsi="Verdana" w:cs="Verdana"/>
          <w:sz w:val="20"/>
          <w:szCs w:val="20"/>
        </w:rPr>
        <w:t xml:space="preserve">El término de ejecución estimado será de </w:t>
      </w:r>
      <w:r w:rsidR="00952AF3">
        <w:rPr>
          <w:rFonts w:ascii="Verdana" w:eastAsia="Verdana" w:hAnsi="Verdana" w:cs="Verdana"/>
          <w:sz w:val="20"/>
          <w:szCs w:val="20"/>
        </w:rPr>
        <w:t>4</w:t>
      </w:r>
      <w:r w:rsidRPr="002E1B5E">
        <w:rPr>
          <w:rFonts w:ascii="Verdana" w:eastAsia="Verdana" w:hAnsi="Verdana" w:cs="Verdana"/>
          <w:sz w:val="20"/>
          <w:szCs w:val="20"/>
        </w:rPr>
        <w:t xml:space="preserve"> meses, contado a partir de la aprobación de las garantías por parte</w:t>
      </w:r>
      <w:r>
        <w:rPr>
          <w:rFonts w:ascii="Verdana" w:eastAsia="Verdana" w:hAnsi="Verdana" w:cs="Verdana"/>
          <w:sz w:val="20"/>
          <w:szCs w:val="20"/>
        </w:rPr>
        <w:t xml:space="preserve"> </w:t>
      </w:r>
      <w:r w:rsidRPr="002E1B5E">
        <w:rPr>
          <w:rFonts w:ascii="Verdana" w:eastAsia="Verdana" w:hAnsi="Verdana" w:cs="Verdana"/>
          <w:sz w:val="20"/>
          <w:szCs w:val="20"/>
        </w:rPr>
        <w:t>del Grupo de Contratos y Convenios, previa expedición del registro presupuestal.</w:t>
      </w:r>
    </w:p>
    <w:p w14:paraId="1CD1C2FA" w14:textId="77777777" w:rsidR="002E1B5E" w:rsidRPr="00911C58" w:rsidRDefault="002E1B5E" w:rsidP="002E1B5E">
      <w:pPr>
        <w:autoSpaceDE w:val="0"/>
        <w:autoSpaceDN w:val="0"/>
        <w:adjustRightInd w:val="0"/>
        <w:rPr>
          <w:rFonts w:ascii="NimbusSans-Regular" w:hAnsi="NimbusSans-Regular" w:cs="NimbusSans-Regular"/>
          <w:sz w:val="17"/>
          <w:szCs w:val="17"/>
          <w:lang w:eastAsia="es-CO"/>
        </w:rPr>
      </w:pPr>
    </w:p>
    <w:p w14:paraId="3CAD371F"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FECHA LÍMITE PARA LA PRESENTACIÓN DE LAS OFERTAS Y LUGAR Y FORMA DE PRESENTACIÓN DE LAS MISMAS.</w:t>
      </w:r>
    </w:p>
    <w:p w14:paraId="5C287933"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17BE8AAC" w14:textId="77777777" w:rsidR="00C74620" w:rsidRPr="00F518F9" w:rsidRDefault="00C0503D" w:rsidP="000668A8">
      <w:pPr>
        <w:jc w:val="both"/>
        <w:rPr>
          <w:rFonts w:ascii="Verdana" w:eastAsia="Verdana" w:hAnsi="Verdana" w:cs="Verdana"/>
          <w:sz w:val="20"/>
          <w:szCs w:val="20"/>
        </w:rPr>
      </w:pPr>
      <w:r w:rsidRPr="00F518F9">
        <w:rPr>
          <w:rFonts w:ascii="Verdana" w:eastAsia="Verdana" w:hAnsi="Verdana" w:cs="Verdana"/>
          <w:color w:val="000000"/>
          <w:sz w:val="20"/>
          <w:szCs w:val="20"/>
        </w:rPr>
        <w:t xml:space="preserve">La fecha y hora límites para la presentación de las propuestas, serán las que se establecen en la plataforma transaccional de SECOP II, </w:t>
      </w:r>
      <w:r w:rsidRPr="00F518F9">
        <w:rPr>
          <w:rFonts w:ascii="Verdana" w:eastAsia="Verdana" w:hAnsi="Verdana" w:cs="Verdana"/>
          <w:sz w:val="20"/>
          <w:szCs w:val="20"/>
        </w:rPr>
        <w:t>sin perjuicio de las modificaciones a que hubiere lugar en el curso del proceso de selección.</w:t>
      </w:r>
    </w:p>
    <w:p w14:paraId="03DAA69B" w14:textId="77777777" w:rsidR="00C74620" w:rsidRPr="00F518F9" w:rsidRDefault="00C74620" w:rsidP="000668A8">
      <w:pPr>
        <w:jc w:val="both"/>
        <w:rPr>
          <w:rFonts w:ascii="Verdana" w:eastAsia="Verdana" w:hAnsi="Verdana" w:cs="Verdana"/>
          <w:color w:val="000000"/>
          <w:sz w:val="20"/>
          <w:szCs w:val="20"/>
        </w:rPr>
      </w:pPr>
    </w:p>
    <w:p w14:paraId="76362BAC" w14:textId="77777777" w:rsidR="00C74620" w:rsidRPr="00F518F9" w:rsidRDefault="00C0503D" w:rsidP="000668A8">
      <w:pPr>
        <w:jc w:val="both"/>
        <w:rPr>
          <w:rFonts w:ascii="Verdana" w:eastAsia="Verdana" w:hAnsi="Verdana" w:cs="Verdana"/>
          <w:color w:val="000000"/>
          <w:sz w:val="20"/>
          <w:szCs w:val="20"/>
        </w:rPr>
      </w:pPr>
      <w:r w:rsidRPr="00F518F9">
        <w:rPr>
          <w:rFonts w:ascii="Verdana" w:eastAsia="Verdana" w:hAnsi="Verdana" w:cs="Verdana"/>
          <w:color w:val="000000"/>
          <w:sz w:val="20"/>
          <w:szCs w:val="20"/>
        </w:rPr>
        <w:t xml:space="preserve">Las ofertas se deben presentar a través de la plataforma transaccional de SECOP II. </w:t>
      </w:r>
    </w:p>
    <w:p w14:paraId="17365B80" w14:textId="77777777" w:rsidR="00C74620" w:rsidRPr="00F518F9" w:rsidRDefault="00C74620">
      <w:pPr>
        <w:rPr>
          <w:rFonts w:ascii="Verdana" w:eastAsia="Verdana" w:hAnsi="Verdana" w:cs="Verdana"/>
          <w:color w:val="000000"/>
          <w:sz w:val="20"/>
          <w:szCs w:val="20"/>
        </w:rPr>
      </w:pPr>
    </w:p>
    <w:p w14:paraId="1B60F446" w14:textId="77777777" w:rsidR="00C74620" w:rsidRPr="00F518F9" w:rsidRDefault="00C74620">
      <w:pPr>
        <w:ind w:left="360"/>
        <w:rPr>
          <w:rFonts w:ascii="Verdana" w:eastAsia="Verdana" w:hAnsi="Verdana" w:cs="Verdana"/>
          <w:b/>
          <w:color w:val="000000"/>
          <w:sz w:val="20"/>
          <w:szCs w:val="20"/>
        </w:rPr>
      </w:pPr>
    </w:p>
    <w:p w14:paraId="7187F2CD"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 xml:space="preserve">PRESUPUESTO OFICIAL ESTIMADO </w:t>
      </w:r>
    </w:p>
    <w:p w14:paraId="077A865B" w14:textId="77777777" w:rsidR="00C74620" w:rsidRPr="00F518F9" w:rsidRDefault="00C74620">
      <w:pPr>
        <w:ind w:left="360"/>
        <w:rPr>
          <w:rFonts w:ascii="Verdana" w:eastAsia="Verdana" w:hAnsi="Verdana" w:cs="Verdana"/>
          <w:b/>
          <w:color w:val="000000"/>
          <w:sz w:val="20"/>
          <w:szCs w:val="20"/>
        </w:rPr>
      </w:pPr>
    </w:p>
    <w:p w14:paraId="6304FCAE" w14:textId="4AFD7771" w:rsidR="00F518F9" w:rsidRDefault="00F518F9" w:rsidP="00477EDA">
      <w:pPr>
        <w:pStyle w:val="Textoindependiente"/>
        <w:spacing w:before="228"/>
        <w:ind w:right="258"/>
        <w:rPr>
          <w:rFonts w:ascii="Verdana" w:hAnsi="Verdana"/>
          <w:spacing w:val="-2"/>
          <w:sz w:val="20"/>
          <w:szCs w:val="20"/>
        </w:rPr>
      </w:pPr>
      <w:r w:rsidRPr="00F518F9">
        <w:rPr>
          <w:rFonts w:ascii="Verdana" w:hAnsi="Verdana"/>
          <w:spacing w:val="-2"/>
          <w:sz w:val="20"/>
          <w:szCs w:val="20"/>
        </w:rPr>
        <w:t xml:space="preserve">El presupuesto oficial para el presente proceso de contratación será hasta la suma de </w:t>
      </w:r>
      <w:r w:rsidR="00952AF3" w:rsidRPr="00952AF3">
        <w:rPr>
          <w:rFonts w:ascii="Verdana" w:hAnsi="Verdana"/>
          <w:b/>
          <w:spacing w:val="-2"/>
          <w:sz w:val="20"/>
          <w:szCs w:val="20"/>
        </w:rPr>
        <w:t>TRESCIENTOS NOVENTA Y DOS MILLONES SETECIENTOS CUARENTA Y CUATRO MIL SEISCIENTOS VENTINUEVE  PESOS M/CTE ($392.744.629</w:t>
      </w:r>
      <w:r w:rsidR="00924B1D" w:rsidRPr="00924B1D">
        <w:rPr>
          <w:rFonts w:ascii="Verdana" w:hAnsi="Verdana"/>
          <w:b/>
          <w:spacing w:val="-2"/>
          <w:sz w:val="20"/>
          <w:szCs w:val="20"/>
        </w:rPr>
        <w:t>)</w:t>
      </w:r>
      <w:r w:rsidR="00E1739A" w:rsidRPr="00EF6DE1">
        <w:rPr>
          <w:rFonts w:ascii="Verdana" w:hAnsi="Verdana"/>
          <w:b/>
          <w:spacing w:val="-2"/>
          <w:sz w:val="20"/>
          <w:szCs w:val="20"/>
        </w:rPr>
        <w:t>,</w:t>
      </w:r>
      <w:r w:rsidRPr="00EF6DE1">
        <w:rPr>
          <w:rFonts w:ascii="Verdana" w:hAnsi="Verdana"/>
          <w:b/>
          <w:spacing w:val="-2"/>
          <w:sz w:val="20"/>
          <w:szCs w:val="20"/>
        </w:rPr>
        <w:t xml:space="preserve"> incluido</w:t>
      </w:r>
      <w:r w:rsidRPr="00F518F9">
        <w:rPr>
          <w:rFonts w:ascii="Verdana" w:hAnsi="Verdana"/>
          <w:spacing w:val="-2"/>
          <w:sz w:val="20"/>
          <w:szCs w:val="20"/>
        </w:rPr>
        <w:t xml:space="preserve">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w:t>
      </w:r>
    </w:p>
    <w:p w14:paraId="3C53A36D" w14:textId="77777777" w:rsidR="00896AA2" w:rsidRPr="00896AA2" w:rsidRDefault="00896AA2" w:rsidP="00896AA2">
      <w:pPr>
        <w:rPr>
          <w:rFonts w:ascii="Verdana" w:eastAsia="Arial" w:hAnsi="Verdana" w:cs="Arial"/>
          <w:spacing w:val="-2"/>
          <w:sz w:val="20"/>
          <w:szCs w:val="20"/>
          <w:lang w:val="es-ES" w:eastAsia="es-ES"/>
        </w:rPr>
      </w:pPr>
    </w:p>
    <w:p w14:paraId="6FB15DAB" w14:textId="74300D93" w:rsidR="00896AA2" w:rsidRPr="00896AA2" w:rsidRDefault="00896AA2" w:rsidP="00896AA2">
      <w:pPr>
        <w:spacing w:after="200"/>
        <w:jc w:val="both"/>
        <w:rPr>
          <w:rFonts w:ascii="Verdana" w:eastAsia="Arial" w:hAnsi="Verdana" w:cs="Arial"/>
          <w:spacing w:val="-2"/>
          <w:sz w:val="20"/>
          <w:szCs w:val="20"/>
          <w:lang w:val="es-ES" w:eastAsia="es-ES"/>
        </w:rPr>
      </w:pPr>
      <w:r w:rsidRPr="00896AA2">
        <w:rPr>
          <w:rFonts w:ascii="Verdana" w:eastAsia="Arial" w:hAnsi="Verdana" w:cs="Arial"/>
          <w:spacing w:val="-2"/>
          <w:sz w:val="20"/>
          <w:szCs w:val="20"/>
          <w:lang w:val="es-ES" w:eastAsia="es-ES"/>
        </w:rPr>
        <w:t xml:space="preserve">El proceso incluye </w:t>
      </w:r>
      <w:r w:rsidR="00456E99">
        <w:rPr>
          <w:rFonts w:ascii="Verdana" w:eastAsia="Arial" w:hAnsi="Verdana" w:cs="Arial"/>
          <w:spacing w:val="-2"/>
          <w:sz w:val="20"/>
          <w:szCs w:val="20"/>
          <w:lang w:val="es-ES" w:eastAsia="es-ES"/>
        </w:rPr>
        <w:t>cinco</w:t>
      </w:r>
      <w:r w:rsidRPr="00896AA2">
        <w:rPr>
          <w:rFonts w:ascii="Verdana" w:eastAsia="Arial" w:hAnsi="Verdana" w:cs="Arial"/>
          <w:spacing w:val="-2"/>
          <w:sz w:val="20"/>
          <w:szCs w:val="20"/>
          <w:lang w:val="es-ES" w:eastAsia="es-ES"/>
        </w:rPr>
        <w:t xml:space="preserve"> lotes los cuales se encuentran presupuestados de la siguiente forma:</w:t>
      </w:r>
    </w:p>
    <w:tbl>
      <w:tblPr>
        <w:tblStyle w:val="TableNormal"/>
        <w:tblW w:w="6801" w:type="dxa"/>
        <w:tblInd w:w="1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2835"/>
      </w:tblGrid>
      <w:tr w:rsidR="00952AF3" w14:paraId="1D7D1607" w14:textId="77777777" w:rsidTr="00952AF3">
        <w:trPr>
          <w:trHeight w:val="241"/>
        </w:trPr>
        <w:tc>
          <w:tcPr>
            <w:tcW w:w="3966" w:type="dxa"/>
          </w:tcPr>
          <w:p w14:paraId="1447BA33" w14:textId="77777777" w:rsidR="00952AF3" w:rsidRDefault="00952AF3" w:rsidP="00871700">
            <w:pPr>
              <w:pStyle w:val="TableParagraph"/>
              <w:spacing w:line="222" w:lineRule="exact"/>
              <w:ind w:left="110"/>
              <w:jc w:val="left"/>
              <w:rPr>
                <w:rFonts w:ascii="Verdana"/>
                <w:b/>
                <w:sz w:val="20"/>
              </w:rPr>
            </w:pPr>
            <w:r>
              <w:rPr>
                <w:rFonts w:ascii="Verdana"/>
                <w:b/>
                <w:sz w:val="20"/>
              </w:rPr>
              <w:t>Nombre</w:t>
            </w:r>
            <w:r>
              <w:rPr>
                <w:rFonts w:ascii="Verdana"/>
                <w:b/>
                <w:spacing w:val="-11"/>
                <w:sz w:val="20"/>
              </w:rPr>
              <w:t xml:space="preserve"> </w:t>
            </w:r>
            <w:r>
              <w:rPr>
                <w:rFonts w:ascii="Verdana"/>
                <w:b/>
                <w:spacing w:val="-4"/>
                <w:sz w:val="20"/>
              </w:rPr>
              <w:t>lote</w:t>
            </w:r>
          </w:p>
        </w:tc>
        <w:tc>
          <w:tcPr>
            <w:tcW w:w="2835" w:type="dxa"/>
          </w:tcPr>
          <w:p w14:paraId="1EBEEC54" w14:textId="77777777" w:rsidR="00952AF3" w:rsidRDefault="00952AF3" w:rsidP="00871700">
            <w:pPr>
              <w:pStyle w:val="TableParagraph"/>
              <w:spacing w:line="222" w:lineRule="exact"/>
              <w:ind w:left="870"/>
              <w:jc w:val="left"/>
              <w:rPr>
                <w:rFonts w:ascii="Verdana"/>
                <w:b/>
                <w:sz w:val="20"/>
              </w:rPr>
            </w:pPr>
            <w:r>
              <w:rPr>
                <w:rFonts w:ascii="Verdana"/>
                <w:b/>
                <w:sz w:val="20"/>
              </w:rPr>
              <w:t>Valor</w:t>
            </w:r>
            <w:r>
              <w:rPr>
                <w:rFonts w:ascii="Verdana"/>
                <w:b/>
                <w:spacing w:val="-8"/>
                <w:sz w:val="20"/>
              </w:rPr>
              <w:t xml:space="preserve"> </w:t>
            </w:r>
            <w:r>
              <w:rPr>
                <w:rFonts w:ascii="Verdana"/>
                <w:b/>
                <w:spacing w:val="-4"/>
                <w:sz w:val="20"/>
              </w:rPr>
              <w:t>lote</w:t>
            </w:r>
          </w:p>
        </w:tc>
      </w:tr>
      <w:tr w:rsidR="00952AF3" w14:paraId="3071D4F4" w14:textId="77777777" w:rsidTr="00952AF3">
        <w:trPr>
          <w:trHeight w:val="268"/>
        </w:trPr>
        <w:tc>
          <w:tcPr>
            <w:tcW w:w="3966" w:type="dxa"/>
          </w:tcPr>
          <w:p w14:paraId="62C2D745" w14:textId="77777777" w:rsidR="00952AF3" w:rsidRDefault="00952AF3" w:rsidP="00871700">
            <w:pPr>
              <w:pStyle w:val="TableParagraph"/>
              <w:ind w:left="110"/>
              <w:jc w:val="left"/>
              <w:rPr>
                <w:rFonts w:ascii="Verdana" w:hAnsi="Verdana"/>
                <w:sz w:val="20"/>
              </w:rPr>
            </w:pPr>
            <w:r>
              <w:rPr>
                <w:rFonts w:ascii="Verdana" w:hAnsi="Verdana"/>
                <w:sz w:val="20"/>
              </w:rPr>
              <w:t>1.</w:t>
            </w:r>
            <w:r>
              <w:rPr>
                <w:rFonts w:ascii="Verdana" w:hAnsi="Verdana"/>
                <w:spacing w:val="-9"/>
                <w:sz w:val="20"/>
              </w:rPr>
              <w:t xml:space="preserve"> </w:t>
            </w:r>
            <w:r>
              <w:rPr>
                <w:rFonts w:ascii="Verdana" w:hAnsi="Verdana"/>
                <w:sz w:val="20"/>
              </w:rPr>
              <w:t>Reactivos</w:t>
            </w:r>
            <w:r>
              <w:rPr>
                <w:rFonts w:ascii="Verdana" w:hAnsi="Verdana"/>
                <w:spacing w:val="-8"/>
                <w:sz w:val="20"/>
              </w:rPr>
              <w:t xml:space="preserve"> </w:t>
            </w:r>
            <w:r>
              <w:rPr>
                <w:rFonts w:ascii="Verdana" w:hAnsi="Verdana"/>
                <w:spacing w:val="-2"/>
                <w:sz w:val="20"/>
              </w:rPr>
              <w:t>sólidos</w:t>
            </w:r>
          </w:p>
        </w:tc>
        <w:tc>
          <w:tcPr>
            <w:tcW w:w="2835" w:type="dxa"/>
          </w:tcPr>
          <w:p w14:paraId="67C94BE7" w14:textId="77777777" w:rsidR="00952AF3" w:rsidRDefault="00952AF3" w:rsidP="00871700">
            <w:pPr>
              <w:pStyle w:val="TableParagraph"/>
              <w:spacing w:line="248" w:lineRule="exact"/>
              <w:ind w:right="96"/>
              <w:jc w:val="right"/>
            </w:pPr>
            <w:r>
              <w:t>$</w:t>
            </w:r>
            <w:r>
              <w:rPr>
                <w:spacing w:val="1"/>
              </w:rPr>
              <w:t xml:space="preserve"> </w:t>
            </w:r>
            <w:r>
              <w:rPr>
                <w:spacing w:val="-2"/>
              </w:rPr>
              <w:t>230.621.967</w:t>
            </w:r>
          </w:p>
        </w:tc>
      </w:tr>
      <w:tr w:rsidR="00952AF3" w14:paraId="0A359F1C" w14:textId="77777777" w:rsidTr="00952AF3">
        <w:trPr>
          <w:trHeight w:val="268"/>
        </w:trPr>
        <w:tc>
          <w:tcPr>
            <w:tcW w:w="3966" w:type="dxa"/>
          </w:tcPr>
          <w:p w14:paraId="1A036E08" w14:textId="77777777" w:rsidR="00952AF3" w:rsidRDefault="00952AF3" w:rsidP="00871700">
            <w:pPr>
              <w:pStyle w:val="TableParagraph"/>
              <w:ind w:left="110"/>
              <w:jc w:val="left"/>
              <w:rPr>
                <w:rFonts w:ascii="Verdana" w:hAnsi="Verdana"/>
                <w:sz w:val="20"/>
              </w:rPr>
            </w:pPr>
            <w:r>
              <w:rPr>
                <w:rFonts w:ascii="Verdana" w:hAnsi="Verdana"/>
                <w:sz w:val="20"/>
              </w:rPr>
              <w:t>2.</w:t>
            </w:r>
            <w:r>
              <w:rPr>
                <w:rFonts w:ascii="Verdana" w:hAnsi="Verdana"/>
                <w:spacing w:val="-9"/>
                <w:sz w:val="20"/>
              </w:rPr>
              <w:t xml:space="preserve"> </w:t>
            </w:r>
            <w:r>
              <w:rPr>
                <w:rFonts w:ascii="Verdana" w:hAnsi="Verdana"/>
                <w:sz w:val="20"/>
              </w:rPr>
              <w:t>Reactivos</w:t>
            </w:r>
            <w:r>
              <w:rPr>
                <w:rFonts w:ascii="Verdana" w:hAnsi="Verdana"/>
                <w:spacing w:val="-8"/>
                <w:sz w:val="20"/>
              </w:rPr>
              <w:t xml:space="preserve"> </w:t>
            </w:r>
            <w:r>
              <w:rPr>
                <w:rFonts w:ascii="Verdana" w:hAnsi="Verdana"/>
                <w:spacing w:val="-2"/>
                <w:sz w:val="20"/>
              </w:rPr>
              <w:t>líquidos</w:t>
            </w:r>
          </w:p>
        </w:tc>
        <w:tc>
          <w:tcPr>
            <w:tcW w:w="2835" w:type="dxa"/>
          </w:tcPr>
          <w:p w14:paraId="10A0F722" w14:textId="77777777" w:rsidR="00952AF3" w:rsidRDefault="00952AF3" w:rsidP="00871700">
            <w:pPr>
              <w:pStyle w:val="TableParagraph"/>
              <w:spacing w:line="248" w:lineRule="exact"/>
              <w:ind w:right="96"/>
              <w:jc w:val="right"/>
            </w:pPr>
            <w:r>
              <w:t>$</w:t>
            </w:r>
            <w:r>
              <w:rPr>
                <w:spacing w:val="74"/>
                <w:w w:val="150"/>
              </w:rPr>
              <w:t xml:space="preserve"> </w:t>
            </w:r>
            <w:r>
              <w:rPr>
                <w:spacing w:val="-2"/>
              </w:rPr>
              <w:t>87.478.846</w:t>
            </w:r>
          </w:p>
        </w:tc>
      </w:tr>
      <w:tr w:rsidR="00952AF3" w14:paraId="17DFFF71" w14:textId="77777777" w:rsidTr="00952AF3">
        <w:trPr>
          <w:trHeight w:val="269"/>
        </w:trPr>
        <w:tc>
          <w:tcPr>
            <w:tcW w:w="3966" w:type="dxa"/>
          </w:tcPr>
          <w:p w14:paraId="46259AC9" w14:textId="77777777" w:rsidR="00952AF3" w:rsidRDefault="00952AF3" w:rsidP="00871700">
            <w:pPr>
              <w:pStyle w:val="TableParagraph"/>
              <w:spacing w:before="1"/>
              <w:ind w:left="110"/>
              <w:jc w:val="left"/>
              <w:rPr>
                <w:rFonts w:ascii="Verdana" w:hAnsi="Verdana"/>
                <w:sz w:val="20"/>
              </w:rPr>
            </w:pPr>
            <w:r>
              <w:rPr>
                <w:rFonts w:ascii="Verdana" w:hAnsi="Verdana"/>
                <w:sz w:val="20"/>
              </w:rPr>
              <w:t>3.</w:t>
            </w:r>
            <w:r>
              <w:rPr>
                <w:rFonts w:ascii="Verdana" w:hAnsi="Verdana"/>
                <w:spacing w:val="-9"/>
                <w:sz w:val="20"/>
              </w:rPr>
              <w:t xml:space="preserve"> </w:t>
            </w:r>
            <w:r>
              <w:rPr>
                <w:rFonts w:ascii="Verdana" w:hAnsi="Verdana"/>
                <w:sz w:val="20"/>
              </w:rPr>
              <w:t>Soluciones</w:t>
            </w:r>
            <w:r>
              <w:rPr>
                <w:rFonts w:ascii="Verdana" w:hAnsi="Verdana"/>
                <w:spacing w:val="-6"/>
                <w:sz w:val="20"/>
              </w:rPr>
              <w:t xml:space="preserve"> </w:t>
            </w:r>
            <w:r>
              <w:rPr>
                <w:rFonts w:ascii="Verdana" w:hAnsi="Verdana"/>
                <w:sz w:val="20"/>
              </w:rPr>
              <w:t>para</w:t>
            </w:r>
            <w:r>
              <w:rPr>
                <w:rFonts w:ascii="Verdana" w:hAnsi="Verdana"/>
                <w:spacing w:val="-6"/>
                <w:sz w:val="20"/>
              </w:rPr>
              <w:t xml:space="preserve"> </w:t>
            </w:r>
            <w:r>
              <w:rPr>
                <w:rFonts w:ascii="Verdana" w:hAnsi="Verdana"/>
                <w:spacing w:val="-2"/>
                <w:sz w:val="20"/>
              </w:rPr>
              <w:t>absorción</w:t>
            </w:r>
          </w:p>
        </w:tc>
        <w:tc>
          <w:tcPr>
            <w:tcW w:w="2835" w:type="dxa"/>
          </w:tcPr>
          <w:p w14:paraId="2BAFF1E7" w14:textId="77777777" w:rsidR="00952AF3" w:rsidRDefault="00952AF3" w:rsidP="00871700">
            <w:pPr>
              <w:pStyle w:val="TableParagraph"/>
              <w:spacing w:line="249" w:lineRule="exact"/>
              <w:ind w:right="96"/>
              <w:jc w:val="right"/>
            </w:pPr>
            <w:r>
              <w:t>$</w:t>
            </w:r>
            <w:r>
              <w:rPr>
                <w:spacing w:val="74"/>
                <w:w w:val="150"/>
              </w:rPr>
              <w:t xml:space="preserve"> </w:t>
            </w:r>
            <w:r>
              <w:rPr>
                <w:spacing w:val="-2"/>
              </w:rPr>
              <w:t>15.611.160</w:t>
            </w:r>
          </w:p>
        </w:tc>
      </w:tr>
      <w:tr w:rsidR="00952AF3" w14:paraId="6B00A4FE" w14:textId="77777777" w:rsidTr="00952AF3">
        <w:trPr>
          <w:trHeight w:val="268"/>
        </w:trPr>
        <w:tc>
          <w:tcPr>
            <w:tcW w:w="3966" w:type="dxa"/>
          </w:tcPr>
          <w:p w14:paraId="07574156" w14:textId="77777777" w:rsidR="00952AF3" w:rsidRDefault="00952AF3" w:rsidP="00871700">
            <w:pPr>
              <w:pStyle w:val="TableParagraph"/>
              <w:ind w:left="110"/>
              <w:jc w:val="left"/>
              <w:rPr>
                <w:rFonts w:ascii="Verdana" w:hAnsi="Verdana"/>
                <w:sz w:val="20"/>
              </w:rPr>
            </w:pPr>
            <w:r>
              <w:rPr>
                <w:rFonts w:ascii="Verdana" w:hAnsi="Verdana"/>
                <w:sz w:val="20"/>
              </w:rPr>
              <w:t>4.</w:t>
            </w:r>
            <w:r>
              <w:rPr>
                <w:rFonts w:ascii="Verdana" w:hAnsi="Verdana"/>
                <w:spacing w:val="-8"/>
                <w:sz w:val="20"/>
              </w:rPr>
              <w:t xml:space="preserve"> </w:t>
            </w:r>
            <w:r>
              <w:rPr>
                <w:rFonts w:ascii="Verdana" w:hAnsi="Verdana"/>
                <w:sz w:val="20"/>
              </w:rPr>
              <w:t>Soluciones</w:t>
            </w:r>
            <w:r>
              <w:rPr>
                <w:rFonts w:ascii="Verdana" w:hAnsi="Verdana"/>
                <w:spacing w:val="-5"/>
                <w:sz w:val="20"/>
              </w:rPr>
              <w:t xml:space="preserve"> </w:t>
            </w:r>
            <w:r>
              <w:rPr>
                <w:rFonts w:ascii="Verdana" w:hAnsi="Verdana"/>
                <w:sz w:val="20"/>
              </w:rPr>
              <w:t>de</w:t>
            </w:r>
            <w:r>
              <w:rPr>
                <w:rFonts w:ascii="Verdana" w:hAnsi="Verdana"/>
                <w:spacing w:val="-6"/>
                <w:sz w:val="20"/>
              </w:rPr>
              <w:t xml:space="preserve"> </w:t>
            </w:r>
            <w:r>
              <w:rPr>
                <w:rFonts w:ascii="Verdana" w:hAnsi="Verdana"/>
                <w:spacing w:val="-2"/>
                <w:sz w:val="20"/>
              </w:rPr>
              <w:t>calibración</w:t>
            </w:r>
          </w:p>
        </w:tc>
        <w:tc>
          <w:tcPr>
            <w:tcW w:w="2835" w:type="dxa"/>
          </w:tcPr>
          <w:p w14:paraId="397224F5" w14:textId="77777777" w:rsidR="00952AF3" w:rsidRDefault="00952AF3" w:rsidP="00871700">
            <w:pPr>
              <w:pStyle w:val="TableParagraph"/>
              <w:spacing w:line="248" w:lineRule="exact"/>
              <w:ind w:right="96"/>
              <w:jc w:val="right"/>
            </w:pPr>
            <w:r>
              <w:t>$</w:t>
            </w:r>
            <w:r>
              <w:rPr>
                <w:spacing w:val="74"/>
                <w:w w:val="150"/>
              </w:rPr>
              <w:t xml:space="preserve"> </w:t>
            </w:r>
            <w:r>
              <w:rPr>
                <w:spacing w:val="-2"/>
              </w:rPr>
              <w:t>33.499.764</w:t>
            </w:r>
          </w:p>
        </w:tc>
      </w:tr>
      <w:tr w:rsidR="00952AF3" w14:paraId="7299D439" w14:textId="77777777" w:rsidTr="00952AF3">
        <w:trPr>
          <w:trHeight w:val="268"/>
        </w:trPr>
        <w:tc>
          <w:tcPr>
            <w:tcW w:w="3966" w:type="dxa"/>
          </w:tcPr>
          <w:p w14:paraId="12C683E3" w14:textId="77777777" w:rsidR="00952AF3" w:rsidRDefault="00952AF3" w:rsidP="00871700">
            <w:pPr>
              <w:pStyle w:val="TableParagraph"/>
              <w:spacing w:before="2"/>
              <w:ind w:left="110"/>
              <w:jc w:val="left"/>
              <w:rPr>
                <w:rFonts w:ascii="Verdana"/>
                <w:sz w:val="20"/>
              </w:rPr>
            </w:pPr>
            <w:r>
              <w:rPr>
                <w:rFonts w:ascii="Verdana"/>
                <w:sz w:val="20"/>
              </w:rPr>
              <w:t>5.</w:t>
            </w:r>
            <w:r>
              <w:rPr>
                <w:rFonts w:ascii="Verdana"/>
                <w:spacing w:val="-6"/>
                <w:sz w:val="20"/>
              </w:rPr>
              <w:t xml:space="preserve"> </w:t>
            </w:r>
            <w:r>
              <w:rPr>
                <w:rFonts w:ascii="Verdana"/>
                <w:sz w:val="20"/>
              </w:rPr>
              <w:t>Ensayo</w:t>
            </w:r>
            <w:r>
              <w:rPr>
                <w:rFonts w:ascii="Verdana"/>
                <w:spacing w:val="-3"/>
                <w:sz w:val="20"/>
              </w:rPr>
              <w:t xml:space="preserve"> </w:t>
            </w:r>
            <w:r>
              <w:rPr>
                <w:rFonts w:ascii="Verdana"/>
                <w:sz w:val="20"/>
              </w:rPr>
              <w:t>al</w:t>
            </w:r>
            <w:r>
              <w:rPr>
                <w:rFonts w:ascii="Verdana"/>
                <w:spacing w:val="-4"/>
                <w:sz w:val="20"/>
              </w:rPr>
              <w:t xml:space="preserve"> fuego</w:t>
            </w:r>
          </w:p>
        </w:tc>
        <w:tc>
          <w:tcPr>
            <w:tcW w:w="2835" w:type="dxa"/>
          </w:tcPr>
          <w:p w14:paraId="64BE463F" w14:textId="77777777" w:rsidR="00952AF3" w:rsidRDefault="00952AF3" w:rsidP="00871700">
            <w:pPr>
              <w:pStyle w:val="TableParagraph"/>
              <w:spacing w:line="248" w:lineRule="exact"/>
              <w:ind w:right="96"/>
              <w:jc w:val="right"/>
            </w:pPr>
            <w:r>
              <w:t>$</w:t>
            </w:r>
            <w:r>
              <w:rPr>
                <w:spacing w:val="72"/>
                <w:w w:val="150"/>
              </w:rPr>
              <w:t xml:space="preserve"> </w:t>
            </w:r>
            <w:r>
              <w:rPr>
                <w:spacing w:val="-2"/>
              </w:rPr>
              <w:t>25.532.892</w:t>
            </w:r>
          </w:p>
        </w:tc>
      </w:tr>
      <w:tr w:rsidR="00952AF3" w14:paraId="5F370184" w14:textId="77777777" w:rsidTr="00952AF3">
        <w:trPr>
          <w:trHeight w:val="244"/>
        </w:trPr>
        <w:tc>
          <w:tcPr>
            <w:tcW w:w="3966" w:type="dxa"/>
          </w:tcPr>
          <w:p w14:paraId="126F79C8" w14:textId="77777777" w:rsidR="00952AF3" w:rsidRDefault="00952AF3" w:rsidP="00871700">
            <w:pPr>
              <w:pStyle w:val="TableParagraph"/>
              <w:spacing w:before="2" w:line="222" w:lineRule="exact"/>
              <w:ind w:left="110"/>
              <w:jc w:val="left"/>
              <w:rPr>
                <w:rFonts w:ascii="Verdana"/>
                <w:b/>
                <w:sz w:val="20"/>
              </w:rPr>
            </w:pPr>
            <w:r>
              <w:rPr>
                <w:rFonts w:ascii="Verdana"/>
                <w:b/>
                <w:spacing w:val="-2"/>
                <w:sz w:val="20"/>
              </w:rPr>
              <w:t>TOTAL</w:t>
            </w:r>
          </w:p>
        </w:tc>
        <w:tc>
          <w:tcPr>
            <w:tcW w:w="2835" w:type="dxa"/>
          </w:tcPr>
          <w:p w14:paraId="599FB6DC" w14:textId="77777777" w:rsidR="00952AF3" w:rsidRDefault="00952AF3" w:rsidP="00871700">
            <w:pPr>
              <w:pStyle w:val="TableParagraph"/>
              <w:spacing w:before="2" w:line="222" w:lineRule="exact"/>
              <w:ind w:right="99"/>
              <w:jc w:val="right"/>
              <w:rPr>
                <w:rFonts w:ascii="Verdana"/>
                <w:b/>
                <w:sz w:val="20"/>
              </w:rPr>
            </w:pPr>
            <w:r>
              <w:rPr>
                <w:rFonts w:ascii="Verdana"/>
                <w:b/>
                <w:sz w:val="20"/>
              </w:rPr>
              <w:t>$392.744.629</w:t>
            </w:r>
          </w:p>
        </w:tc>
      </w:tr>
    </w:tbl>
    <w:p w14:paraId="5184ED45" w14:textId="77777777" w:rsidR="00896AA2" w:rsidRDefault="00896AA2" w:rsidP="00896AA2"/>
    <w:p w14:paraId="59EA741F" w14:textId="77777777" w:rsidR="00952AF3" w:rsidRPr="00896AA2" w:rsidRDefault="00952AF3" w:rsidP="00896AA2"/>
    <w:p w14:paraId="16893A89" w14:textId="51CD2230" w:rsidR="001F333B" w:rsidRDefault="00BF3D33" w:rsidP="001F333B">
      <w:pPr>
        <w:widowControl w:val="0"/>
        <w:pBdr>
          <w:top w:val="nil"/>
          <w:left w:val="nil"/>
          <w:bottom w:val="nil"/>
          <w:right w:val="nil"/>
          <w:between w:val="nil"/>
        </w:pBdr>
        <w:jc w:val="both"/>
        <w:rPr>
          <w:rFonts w:ascii="Tahoma" w:hAnsi="Tahoma" w:cs="Tahoma"/>
          <w:color w:val="000000"/>
          <w:sz w:val="20"/>
          <w:szCs w:val="20"/>
        </w:rPr>
      </w:pPr>
      <w:r w:rsidRPr="00BF3D33">
        <w:rPr>
          <w:rFonts w:ascii="Tahoma" w:hAnsi="Tahoma" w:cs="Tahoma"/>
          <w:color w:val="000000"/>
          <w:sz w:val="20"/>
          <w:szCs w:val="20"/>
        </w:rPr>
        <w:t>Los oferentes deberán presentar su oferta para cada uno de los lotes en los que participen, teniendo en cuenta la sumatoria de los valores unitarios techo establecidos por la Entidad. La adjudicación de cada lote se realizará al oferente que efectúe el lance válido de menor valor. Para determinar el valor de adjudicación de cada lote, se aplicará el descuento resultante del lance a los valores unitarios de cada ítem que lo conforma y, posteriormente, el valor unitario resultante se multiplicará por las cantidades requeridas por la Entidad para cada ítem</w:t>
      </w:r>
    </w:p>
    <w:p w14:paraId="1CAA2C71" w14:textId="77777777" w:rsidR="00BF3D33" w:rsidRPr="001F333B" w:rsidRDefault="00BF3D33" w:rsidP="001F333B">
      <w:pPr>
        <w:widowControl w:val="0"/>
        <w:pBdr>
          <w:top w:val="nil"/>
          <w:left w:val="nil"/>
          <w:bottom w:val="nil"/>
          <w:right w:val="nil"/>
          <w:between w:val="nil"/>
        </w:pBdr>
        <w:jc w:val="both"/>
        <w:rPr>
          <w:rFonts w:ascii="Tahoma" w:hAnsi="Tahoma" w:cs="Tahoma"/>
          <w:color w:val="000000"/>
          <w:sz w:val="20"/>
          <w:szCs w:val="20"/>
        </w:rPr>
      </w:pPr>
    </w:p>
    <w:p w14:paraId="0873C031" w14:textId="2C4C515A" w:rsidR="00F518F9" w:rsidRDefault="001F333B" w:rsidP="001F333B">
      <w:pPr>
        <w:widowControl w:val="0"/>
        <w:pBdr>
          <w:top w:val="nil"/>
          <w:left w:val="nil"/>
          <w:bottom w:val="nil"/>
          <w:right w:val="nil"/>
          <w:between w:val="nil"/>
        </w:pBdr>
        <w:rPr>
          <w:rFonts w:ascii="Tahoma" w:hAnsi="Tahoma" w:cs="Tahoma"/>
          <w:color w:val="000000"/>
          <w:sz w:val="20"/>
          <w:szCs w:val="20"/>
        </w:rPr>
      </w:pPr>
      <w:r w:rsidRPr="001F333B">
        <w:rPr>
          <w:rFonts w:ascii="Tahoma" w:hAnsi="Tahoma" w:cs="Tahoma"/>
          <w:color w:val="000000"/>
          <w:sz w:val="20"/>
          <w:szCs w:val="20"/>
        </w:rPr>
        <w:t>Durante toda la subasta, se tendrá como margen mínimo de mejora de oferta el TRES POR CIENTO (3%) a partir de la oferta inicial de menor</w:t>
      </w:r>
      <w:r>
        <w:rPr>
          <w:rFonts w:ascii="Tahoma" w:hAnsi="Tahoma" w:cs="Tahoma"/>
          <w:color w:val="000000"/>
          <w:sz w:val="20"/>
          <w:szCs w:val="20"/>
        </w:rPr>
        <w:t xml:space="preserve"> </w:t>
      </w:r>
      <w:r w:rsidRPr="001F333B">
        <w:rPr>
          <w:rFonts w:ascii="Tahoma" w:hAnsi="Tahoma" w:cs="Tahoma"/>
          <w:color w:val="000000"/>
          <w:sz w:val="20"/>
          <w:szCs w:val="20"/>
        </w:rPr>
        <w:t>valor de las ofertas habilitadas. Los lances que no igualen o superen el margen indicado, no serán válidos.</w:t>
      </w:r>
    </w:p>
    <w:p w14:paraId="6AA256C7" w14:textId="77777777" w:rsidR="001F333B" w:rsidRPr="00F518F9" w:rsidRDefault="001F333B" w:rsidP="001F333B">
      <w:pPr>
        <w:widowControl w:val="0"/>
        <w:pBdr>
          <w:top w:val="nil"/>
          <w:left w:val="nil"/>
          <w:bottom w:val="nil"/>
          <w:right w:val="nil"/>
          <w:between w:val="nil"/>
        </w:pBdr>
        <w:rPr>
          <w:rFonts w:ascii="Verdana" w:eastAsia="Verdana" w:hAnsi="Verdana" w:cs="Verdana"/>
          <w:color w:val="000000"/>
          <w:sz w:val="20"/>
          <w:szCs w:val="20"/>
        </w:rPr>
      </w:pPr>
    </w:p>
    <w:p w14:paraId="350E0019" w14:textId="77777777" w:rsidR="00C74620" w:rsidRPr="00F518F9" w:rsidRDefault="00C0503D">
      <w:pPr>
        <w:numPr>
          <w:ilvl w:val="0"/>
          <w:numId w:val="1"/>
        </w:numPr>
        <w:pBdr>
          <w:top w:val="nil"/>
          <w:left w:val="nil"/>
          <w:bottom w:val="nil"/>
          <w:right w:val="nil"/>
          <w:between w:val="nil"/>
        </w:pBdr>
        <w:rPr>
          <w:rFonts w:ascii="Verdana" w:eastAsia="Verdana" w:hAnsi="Verdana" w:cs="Verdana"/>
          <w:color w:val="000000"/>
          <w:sz w:val="20"/>
          <w:szCs w:val="20"/>
        </w:rPr>
      </w:pPr>
      <w:r w:rsidRPr="00F518F9">
        <w:rPr>
          <w:rFonts w:ascii="Verdana" w:eastAsia="Verdana" w:hAnsi="Verdana" w:cs="Verdana"/>
          <w:b/>
          <w:color w:val="000000"/>
          <w:sz w:val="20"/>
          <w:szCs w:val="20"/>
        </w:rPr>
        <w:t xml:space="preserve">ACUERDOS COMERCIALES APLICABLES </w:t>
      </w:r>
    </w:p>
    <w:p w14:paraId="75268224"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615B8EB8"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Los acuerdos comerciales que rigen el presente proceso de selección son aquellos que se encuentran señalados en la plataforma SECOP II.</w:t>
      </w:r>
    </w:p>
    <w:p w14:paraId="107F1B90" w14:textId="77777777" w:rsidR="00C74620" w:rsidRPr="00F518F9" w:rsidRDefault="00C74620">
      <w:pPr>
        <w:rPr>
          <w:rFonts w:ascii="Verdana" w:eastAsia="Verdana" w:hAnsi="Verdana" w:cs="Verdana"/>
          <w:b/>
          <w:sz w:val="20"/>
          <w:szCs w:val="20"/>
        </w:rPr>
      </w:pPr>
    </w:p>
    <w:p w14:paraId="77511A4F"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LIMITACIÓN DE LA CONVOCATORIA A MIPYMES</w:t>
      </w:r>
    </w:p>
    <w:p w14:paraId="7D6B2EF9" w14:textId="77777777" w:rsidR="00C74620" w:rsidRPr="00F518F9" w:rsidRDefault="00C74620">
      <w:pPr>
        <w:rPr>
          <w:rFonts w:ascii="Verdana" w:eastAsia="Verdana" w:hAnsi="Verdana" w:cs="Verdana"/>
          <w:b/>
          <w:sz w:val="20"/>
          <w:szCs w:val="20"/>
        </w:rPr>
      </w:pPr>
    </w:p>
    <w:p w14:paraId="154A7607" w14:textId="5FEA9033" w:rsidR="004C6426" w:rsidRPr="004C6426" w:rsidRDefault="004C6426" w:rsidP="004C6426">
      <w:pPr>
        <w:pStyle w:val="Textoindependiente"/>
        <w:spacing w:before="230"/>
        <w:ind w:right="286"/>
        <w:rPr>
          <w:rFonts w:ascii="Verdana" w:hAnsi="Verdana"/>
          <w:sz w:val="20"/>
          <w:szCs w:val="20"/>
        </w:rPr>
      </w:pPr>
      <w:r w:rsidRPr="004C6426">
        <w:rPr>
          <w:rFonts w:ascii="Verdana" w:hAnsi="Verdana"/>
          <w:sz w:val="20"/>
          <w:szCs w:val="20"/>
        </w:rPr>
        <w:t>En cumplimiento del Artículo 2.2.1.2.4.2.18 del Decreto No. 1082 del 2015 adicionado por el Artículo 3 del Decreto 1860 del 2021 el cual señala:</w:t>
      </w:r>
      <w:r w:rsidR="002E729D">
        <w:rPr>
          <w:rFonts w:ascii="Verdana" w:hAnsi="Verdana"/>
          <w:sz w:val="20"/>
          <w:szCs w:val="20"/>
        </w:rPr>
        <w:t xml:space="preserve"> </w:t>
      </w:r>
      <w:r w:rsidRPr="004C6426">
        <w:rPr>
          <w:rFonts w:ascii="Verdana" w:hAnsi="Verdana"/>
          <w:sz w:val="20"/>
          <w:szCs w:val="20"/>
        </w:rPr>
        <w:t>“Criterios diferenciales para MiPymes en el sistema de compras públicas. De acuerdo con el numeral 1 del artículo 12 de la Ley 590 de 2000,</w:t>
      </w:r>
      <w:r w:rsidR="002E729D">
        <w:rPr>
          <w:rFonts w:ascii="Verdana" w:hAnsi="Verdana"/>
          <w:sz w:val="20"/>
          <w:szCs w:val="20"/>
        </w:rPr>
        <w:t xml:space="preserve"> </w:t>
      </w:r>
      <w:r w:rsidRPr="004C6426">
        <w:rPr>
          <w:rFonts w:ascii="Verdana" w:hAnsi="Verdana"/>
          <w:sz w:val="20"/>
          <w:szCs w:val="20"/>
        </w:rPr>
        <w:t>según los resultados del análisis del sector, las Entidades Estatales indistintamente de su régimen de contratación, los patrimonios autónomos</w:t>
      </w:r>
      <w:r w:rsidR="002E729D">
        <w:rPr>
          <w:rFonts w:ascii="Verdana" w:hAnsi="Verdana"/>
          <w:sz w:val="20"/>
          <w:szCs w:val="20"/>
        </w:rPr>
        <w:t xml:space="preserve"> </w:t>
      </w:r>
      <w:r w:rsidRPr="004C6426">
        <w:rPr>
          <w:rFonts w:ascii="Verdana" w:hAnsi="Verdana"/>
          <w:sz w:val="20"/>
          <w:szCs w:val="20"/>
        </w:rPr>
        <w:t xml:space="preserve">constituidos por Entidades Estatales y los particulares que ejecuten recursos públicos establecerán </w:t>
      </w:r>
      <w:r w:rsidRPr="004C6426">
        <w:rPr>
          <w:rFonts w:ascii="Verdana" w:hAnsi="Verdana"/>
          <w:sz w:val="20"/>
          <w:szCs w:val="20"/>
        </w:rPr>
        <w:lastRenderedPageBreak/>
        <w:t>condiciones habilitantes diferenciales que</w:t>
      </w:r>
      <w:r w:rsidR="002E729D">
        <w:rPr>
          <w:rFonts w:ascii="Verdana" w:hAnsi="Verdana"/>
          <w:sz w:val="20"/>
          <w:szCs w:val="20"/>
        </w:rPr>
        <w:t xml:space="preserve"> </w:t>
      </w:r>
      <w:r w:rsidRPr="004C6426">
        <w:rPr>
          <w:rFonts w:ascii="Verdana" w:hAnsi="Verdana"/>
          <w:sz w:val="20"/>
          <w:szCs w:val="20"/>
        </w:rPr>
        <w:t>promuevan y faciliten la participación en los procedimientos de selección competitivos de las MiPymes domiciliadas en Colombia”.</w:t>
      </w:r>
    </w:p>
    <w:p w14:paraId="37AD4E9F" w14:textId="4FF92D22" w:rsidR="004C6426" w:rsidRPr="004C6426" w:rsidRDefault="004C6426" w:rsidP="004C6426">
      <w:pPr>
        <w:pStyle w:val="Textoindependiente"/>
        <w:spacing w:before="230"/>
        <w:ind w:right="286"/>
        <w:rPr>
          <w:rFonts w:ascii="Verdana" w:hAnsi="Verdana"/>
          <w:sz w:val="20"/>
          <w:szCs w:val="20"/>
        </w:rPr>
      </w:pPr>
      <w:r w:rsidRPr="004C6426">
        <w:rPr>
          <w:rFonts w:ascii="Verdana" w:hAnsi="Verdana"/>
          <w:sz w:val="20"/>
          <w:szCs w:val="20"/>
        </w:rPr>
        <w:t>Para tal efecto, las empresas que manifiesten dentro de la carta de presentación de oferta el cumplimiento de las condiciones establecidas en el</w:t>
      </w:r>
      <w:r w:rsidR="002E729D">
        <w:rPr>
          <w:rFonts w:ascii="Verdana" w:hAnsi="Verdana"/>
          <w:sz w:val="20"/>
          <w:szCs w:val="20"/>
        </w:rPr>
        <w:t xml:space="preserve"> </w:t>
      </w:r>
      <w:r w:rsidRPr="004C6426">
        <w:rPr>
          <w:rFonts w:ascii="Verdana" w:hAnsi="Verdana"/>
          <w:sz w:val="20"/>
          <w:szCs w:val="20"/>
        </w:rPr>
        <w:t xml:space="preserve">mencionado artículo se les verificará la experiencia </w:t>
      </w:r>
      <w:proofErr w:type="gramStart"/>
      <w:r w:rsidRPr="004C6426">
        <w:rPr>
          <w:rFonts w:ascii="Verdana" w:hAnsi="Verdana"/>
          <w:sz w:val="20"/>
          <w:szCs w:val="20"/>
        </w:rPr>
        <w:t>de acuerdo a</w:t>
      </w:r>
      <w:proofErr w:type="gramEnd"/>
      <w:r w:rsidRPr="004C6426">
        <w:rPr>
          <w:rFonts w:ascii="Verdana" w:hAnsi="Verdana"/>
          <w:sz w:val="20"/>
          <w:szCs w:val="20"/>
        </w:rPr>
        <w:t xml:space="preserve"> lo establecido en el estudio previo del proceso.</w:t>
      </w:r>
    </w:p>
    <w:p w14:paraId="450C39C6" w14:textId="7919812C" w:rsidR="004C6426" w:rsidRPr="004C6426" w:rsidRDefault="004C6426" w:rsidP="004C6426">
      <w:pPr>
        <w:pStyle w:val="Textoindependiente"/>
        <w:spacing w:before="230"/>
        <w:ind w:right="286"/>
        <w:rPr>
          <w:rFonts w:ascii="Verdana" w:hAnsi="Verdana"/>
          <w:sz w:val="20"/>
          <w:szCs w:val="20"/>
        </w:rPr>
      </w:pPr>
      <w:r w:rsidRPr="004C6426">
        <w:rPr>
          <w:rFonts w:ascii="Verdana" w:hAnsi="Verdana"/>
          <w:sz w:val="20"/>
          <w:szCs w:val="20"/>
        </w:rPr>
        <w:t>En cumplimiento de lo previsto en el artículo 5 del Decreto 1860 de 2021, que modifica el artículo 2.2.1.2.4.2.2. del Decreto 1082 de 2015, envío</w:t>
      </w:r>
      <w:r w:rsidR="003B23D3">
        <w:rPr>
          <w:rFonts w:ascii="Verdana" w:hAnsi="Verdana"/>
          <w:sz w:val="20"/>
          <w:szCs w:val="20"/>
        </w:rPr>
        <w:t xml:space="preserve"> </w:t>
      </w:r>
      <w:r w:rsidRPr="004C6426">
        <w:rPr>
          <w:rFonts w:ascii="Verdana" w:hAnsi="Verdana"/>
          <w:sz w:val="20"/>
          <w:szCs w:val="20"/>
        </w:rPr>
        <w:t>el valor en pesos colombianos del Umbral de las MIPYMES para el año 2026, calculado por la Oficina de Estudios Económicos de este Ministerio.</w:t>
      </w:r>
    </w:p>
    <w:p w14:paraId="7568E33C" w14:textId="01112C63" w:rsidR="00213121" w:rsidRDefault="004C6426" w:rsidP="004C6426">
      <w:pPr>
        <w:pStyle w:val="Textoindependiente"/>
        <w:spacing w:before="230"/>
        <w:ind w:right="286"/>
        <w:rPr>
          <w:rFonts w:ascii="Verdana" w:hAnsi="Verdana"/>
          <w:sz w:val="20"/>
          <w:szCs w:val="20"/>
        </w:rPr>
      </w:pPr>
      <w:r w:rsidRPr="004C6426">
        <w:rPr>
          <w:rFonts w:ascii="Verdana" w:hAnsi="Verdana"/>
          <w:sz w:val="20"/>
          <w:szCs w:val="20"/>
        </w:rPr>
        <w:t>El umbral para MiPymes se ha previsto por la norma equivalente a ciento veinticinco mil dólares de los Estados Unidos de América (US$125.000).</w:t>
      </w:r>
    </w:p>
    <w:p w14:paraId="7E28B0AB" w14:textId="77777777" w:rsidR="003B23D3" w:rsidRDefault="003B23D3" w:rsidP="004C6426">
      <w:pPr>
        <w:pStyle w:val="Textoindependiente"/>
        <w:spacing w:before="230"/>
        <w:ind w:right="286"/>
        <w:rPr>
          <w:rFonts w:ascii="Verdana" w:hAnsi="Verdana"/>
          <w:sz w:val="20"/>
          <w:szCs w:val="20"/>
        </w:rPr>
      </w:pPr>
    </w:p>
    <w:tbl>
      <w:tblPr>
        <w:tblStyle w:val="Tablaconcuadrcula"/>
        <w:tblW w:w="0" w:type="auto"/>
        <w:tblInd w:w="2263" w:type="dxa"/>
        <w:tblLook w:val="04A0" w:firstRow="1" w:lastRow="0" w:firstColumn="1" w:lastColumn="0" w:noHBand="0" w:noVBand="1"/>
      </w:tblPr>
      <w:tblGrid>
        <w:gridCol w:w="2435"/>
        <w:gridCol w:w="2385"/>
      </w:tblGrid>
      <w:tr w:rsidR="00DC6314" w14:paraId="5C5DB173" w14:textId="77777777" w:rsidTr="00FC0A87">
        <w:tc>
          <w:tcPr>
            <w:tcW w:w="4820" w:type="dxa"/>
            <w:gridSpan w:val="2"/>
          </w:tcPr>
          <w:p w14:paraId="15587C68" w14:textId="77777777" w:rsidR="00AD6D75" w:rsidRDefault="00AD6D75" w:rsidP="00AD6D75">
            <w:pPr>
              <w:pStyle w:val="Textoindependiente"/>
              <w:tabs>
                <w:tab w:val="left" w:pos="2631"/>
              </w:tabs>
              <w:spacing w:before="230"/>
              <w:ind w:right="286"/>
              <w:jc w:val="center"/>
              <w:rPr>
                <w:rFonts w:ascii="Verdana" w:hAnsi="Verdana"/>
                <w:b/>
                <w:bCs/>
                <w:sz w:val="20"/>
                <w:szCs w:val="20"/>
              </w:rPr>
            </w:pPr>
            <w:r>
              <w:rPr>
                <w:rFonts w:ascii="Verdana" w:hAnsi="Verdana"/>
                <w:b/>
                <w:bCs/>
                <w:sz w:val="20"/>
                <w:szCs w:val="20"/>
              </w:rPr>
              <w:t xml:space="preserve">UMBRAL MIPYMES </w:t>
            </w:r>
          </w:p>
          <w:p w14:paraId="0EB54D28" w14:textId="6FDD3C20" w:rsidR="00DC6314" w:rsidRPr="00AD6D75" w:rsidRDefault="00AD6D75" w:rsidP="00AD6D75">
            <w:pPr>
              <w:pStyle w:val="Textoindependiente"/>
              <w:tabs>
                <w:tab w:val="left" w:pos="2631"/>
              </w:tabs>
              <w:spacing w:before="230"/>
              <w:ind w:right="286"/>
              <w:jc w:val="center"/>
              <w:rPr>
                <w:rFonts w:ascii="Verdana" w:hAnsi="Verdana"/>
                <w:b/>
                <w:bCs/>
                <w:sz w:val="20"/>
                <w:szCs w:val="20"/>
              </w:rPr>
            </w:pPr>
            <w:r>
              <w:rPr>
                <w:rFonts w:ascii="Verdana" w:hAnsi="Verdana"/>
                <w:b/>
                <w:bCs/>
                <w:sz w:val="20"/>
                <w:szCs w:val="20"/>
              </w:rPr>
              <w:t>2026</w:t>
            </w:r>
          </w:p>
        </w:tc>
      </w:tr>
      <w:tr w:rsidR="003B23D3" w14:paraId="77E41413" w14:textId="77777777" w:rsidTr="003B23D3">
        <w:tc>
          <w:tcPr>
            <w:tcW w:w="2435" w:type="dxa"/>
          </w:tcPr>
          <w:p w14:paraId="116D7248" w14:textId="426D926B" w:rsidR="003B23D3" w:rsidRDefault="00AD6D75" w:rsidP="004C6426">
            <w:pPr>
              <w:pStyle w:val="Textoindependiente"/>
              <w:spacing w:before="230"/>
              <w:ind w:right="286"/>
              <w:rPr>
                <w:rFonts w:ascii="Verdana" w:hAnsi="Verdana"/>
                <w:sz w:val="20"/>
                <w:szCs w:val="20"/>
              </w:rPr>
            </w:pPr>
            <w:r>
              <w:rPr>
                <w:rFonts w:ascii="Verdana" w:hAnsi="Verdana"/>
                <w:sz w:val="20"/>
                <w:szCs w:val="20"/>
              </w:rPr>
              <w:t>US$</w:t>
            </w:r>
          </w:p>
        </w:tc>
        <w:tc>
          <w:tcPr>
            <w:tcW w:w="2385" w:type="dxa"/>
          </w:tcPr>
          <w:p w14:paraId="2EC5DE0B" w14:textId="790927E8" w:rsidR="003B23D3" w:rsidRDefault="00AD6D75" w:rsidP="004C6426">
            <w:pPr>
              <w:pStyle w:val="Textoindependiente"/>
              <w:spacing w:before="230"/>
              <w:ind w:right="286"/>
              <w:rPr>
                <w:rFonts w:ascii="Verdana" w:hAnsi="Verdana"/>
                <w:sz w:val="20"/>
                <w:szCs w:val="20"/>
              </w:rPr>
            </w:pPr>
            <w:r>
              <w:rPr>
                <w:rFonts w:ascii="Verdana" w:hAnsi="Verdana"/>
                <w:sz w:val="20"/>
                <w:szCs w:val="20"/>
              </w:rPr>
              <w:t>125.000</w:t>
            </w:r>
          </w:p>
        </w:tc>
      </w:tr>
      <w:tr w:rsidR="003B23D3" w14:paraId="14EFC899" w14:textId="77777777" w:rsidTr="003B23D3">
        <w:tc>
          <w:tcPr>
            <w:tcW w:w="2435" w:type="dxa"/>
          </w:tcPr>
          <w:p w14:paraId="03E31311" w14:textId="6C04CD37" w:rsidR="003B23D3" w:rsidRDefault="00AD6D75" w:rsidP="004C6426">
            <w:pPr>
              <w:pStyle w:val="Textoindependiente"/>
              <w:spacing w:before="230"/>
              <w:ind w:right="286"/>
              <w:rPr>
                <w:rFonts w:ascii="Verdana" w:hAnsi="Verdana"/>
                <w:sz w:val="20"/>
                <w:szCs w:val="20"/>
              </w:rPr>
            </w:pPr>
            <w:r>
              <w:rPr>
                <w:rFonts w:ascii="Verdana" w:hAnsi="Verdana"/>
                <w:sz w:val="20"/>
                <w:szCs w:val="20"/>
              </w:rPr>
              <w:t>COP$</w:t>
            </w:r>
          </w:p>
        </w:tc>
        <w:tc>
          <w:tcPr>
            <w:tcW w:w="2385" w:type="dxa"/>
          </w:tcPr>
          <w:p w14:paraId="395F37E3" w14:textId="5D1D726E" w:rsidR="003B23D3" w:rsidRDefault="00AD6D75" w:rsidP="004C6426">
            <w:pPr>
              <w:pStyle w:val="Textoindependiente"/>
              <w:spacing w:before="230"/>
              <w:ind w:right="286"/>
              <w:rPr>
                <w:rFonts w:ascii="Verdana" w:hAnsi="Verdana"/>
                <w:sz w:val="20"/>
                <w:szCs w:val="20"/>
              </w:rPr>
            </w:pPr>
            <w:r>
              <w:rPr>
                <w:rFonts w:ascii="Verdana" w:hAnsi="Verdana"/>
                <w:sz w:val="20"/>
                <w:szCs w:val="20"/>
              </w:rPr>
              <w:t>511-708.497</w:t>
            </w:r>
          </w:p>
        </w:tc>
      </w:tr>
    </w:tbl>
    <w:p w14:paraId="1C78A9AE" w14:textId="242CD185" w:rsidR="003B23D3" w:rsidRDefault="008716D3" w:rsidP="008716D3">
      <w:pPr>
        <w:pStyle w:val="Textoindependiente"/>
        <w:spacing w:before="230"/>
        <w:ind w:right="286"/>
        <w:rPr>
          <w:rFonts w:ascii="Verdana" w:hAnsi="Verdana"/>
          <w:sz w:val="20"/>
          <w:szCs w:val="20"/>
        </w:rPr>
      </w:pPr>
      <w:r w:rsidRPr="008716D3">
        <w:rPr>
          <w:rFonts w:ascii="Verdana" w:hAnsi="Verdana"/>
          <w:sz w:val="20"/>
          <w:szCs w:val="20"/>
        </w:rPr>
        <w:t xml:space="preserve">Teniendo en cuenta que el umbral definido por el Ministerio de Comercio, Industria y Turismo, se encuentra por un valor de </w:t>
      </w:r>
      <w:r w:rsidRPr="00C856C1">
        <w:rPr>
          <w:rFonts w:ascii="Verdana" w:hAnsi="Verdana"/>
          <w:b/>
          <w:bCs/>
          <w:sz w:val="20"/>
          <w:szCs w:val="20"/>
        </w:rPr>
        <w:t>QUINIENTOS</w:t>
      </w:r>
      <w:r w:rsidR="00B17B8C" w:rsidRPr="00C856C1">
        <w:rPr>
          <w:rFonts w:ascii="Verdana" w:hAnsi="Verdana"/>
          <w:b/>
          <w:bCs/>
          <w:sz w:val="20"/>
          <w:szCs w:val="20"/>
        </w:rPr>
        <w:t xml:space="preserve"> </w:t>
      </w:r>
      <w:r w:rsidRPr="00C856C1">
        <w:rPr>
          <w:rFonts w:ascii="Verdana" w:hAnsi="Verdana"/>
          <w:b/>
          <w:bCs/>
          <w:sz w:val="20"/>
          <w:szCs w:val="20"/>
        </w:rPr>
        <w:t>ONCE MILLONES SETECIENTOS OCHO MIL CUATROCIENTOS NOVENTA Y SIETE PESOS MCTE ($511.708.497)</w:t>
      </w:r>
      <w:r w:rsidRPr="008716D3">
        <w:rPr>
          <w:rFonts w:ascii="Verdana" w:hAnsi="Verdana"/>
          <w:sz w:val="20"/>
          <w:szCs w:val="20"/>
        </w:rPr>
        <w:t xml:space="preserve"> por lo tanto, al</w:t>
      </w:r>
      <w:r w:rsidR="00B17B8C">
        <w:rPr>
          <w:rFonts w:ascii="Verdana" w:hAnsi="Verdana"/>
          <w:sz w:val="20"/>
          <w:szCs w:val="20"/>
        </w:rPr>
        <w:t xml:space="preserve"> </w:t>
      </w:r>
      <w:r w:rsidRPr="008716D3">
        <w:rPr>
          <w:rFonts w:ascii="Verdana" w:hAnsi="Verdana"/>
          <w:sz w:val="20"/>
          <w:szCs w:val="20"/>
        </w:rPr>
        <w:t>comparar contra el presupuesto del presente proceso por valor de allegadas en el estudio del mercado, se define un presupuesto oficial por un</w:t>
      </w:r>
      <w:r w:rsidR="00B17B8C">
        <w:rPr>
          <w:rFonts w:ascii="Verdana" w:hAnsi="Verdana"/>
          <w:sz w:val="20"/>
          <w:szCs w:val="20"/>
        </w:rPr>
        <w:t xml:space="preserve"> </w:t>
      </w:r>
      <w:r w:rsidRPr="008716D3">
        <w:rPr>
          <w:rFonts w:ascii="Verdana" w:hAnsi="Verdana"/>
          <w:sz w:val="20"/>
          <w:szCs w:val="20"/>
        </w:rPr>
        <w:t xml:space="preserve">valor de </w:t>
      </w:r>
      <w:r w:rsidR="00AD0640" w:rsidRPr="00952AF3">
        <w:rPr>
          <w:rFonts w:ascii="Verdana" w:hAnsi="Verdana"/>
          <w:b/>
          <w:spacing w:val="-2"/>
          <w:sz w:val="20"/>
          <w:szCs w:val="20"/>
        </w:rPr>
        <w:t>TRESCIENTOS NOVENTA Y DOS MILLONES SETECIENTOS CUARENTA Y CUATRO MIL SEISCIENTOS VENTINUEVE  PESOS M/CTE ($392.744.629</w:t>
      </w:r>
      <w:r w:rsidR="00AD0640" w:rsidRPr="00924B1D">
        <w:rPr>
          <w:rFonts w:ascii="Verdana" w:hAnsi="Verdana"/>
          <w:b/>
          <w:spacing w:val="-2"/>
          <w:sz w:val="20"/>
          <w:szCs w:val="20"/>
        </w:rPr>
        <w:t>)</w:t>
      </w:r>
      <w:r w:rsidRPr="008716D3">
        <w:rPr>
          <w:rFonts w:ascii="Verdana" w:hAnsi="Verdana"/>
          <w:sz w:val="20"/>
          <w:szCs w:val="20"/>
        </w:rPr>
        <w:t>, el actual proceso si se podría limitar a mi Pymes para cada uno de los lotes.</w:t>
      </w:r>
    </w:p>
    <w:p w14:paraId="53C0DACC" w14:textId="77777777" w:rsidR="008716D3" w:rsidRPr="00F518F9" w:rsidRDefault="008716D3" w:rsidP="004C6426">
      <w:pPr>
        <w:pStyle w:val="Textoindependiente"/>
        <w:spacing w:before="230"/>
        <w:ind w:right="286"/>
        <w:rPr>
          <w:rFonts w:ascii="Verdana" w:hAnsi="Verdana"/>
          <w:sz w:val="20"/>
          <w:szCs w:val="20"/>
        </w:rPr>
      </w:pPr>
    </w:p>
    <w:p w14:paraId="7F8A1B81"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CONDICIONES PARA PARTICIPAR EN EL PROCESO DE CONTRATACIÓN</w:t>
      </w:r>
    </w:p>
    <w:p w14:paraId="704E26E9"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0137AD03"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Los interesados en el proceso podrán participar con observancia de los requisitos indicados en la Plataforma transaccional de SECOP II.</w:t>
      </w:r>
    </w:p>
    <w:p w14:paraId="4FF50303" w14:textId="77777777" w:rsidR="00C74620" w:rsidRPr="00F518F9" w:rsidRDefault="00C74620">
      <w:pPr>
        <w:rPr>
          <w:rFonts w:ascii="Verdana" w:eastAsia="Verdana" w:hAnsi="Verdana" w:cs="Verdana"/>
          <w:b/>
          <w:sz w:val="20"/>
          <w:szCs w:val="20"/>
          <w:highlight w:val="yellow"/>
        </w:rPr>
      </w:pPr>
    </w:p>
    <w:p w14:paraId="05816967"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INDICACIÓN DE SI EN EL PROCESO HAY LUGAR A PRECALIFICACIÓN</w:t>
      </w:r>
    </w:p>
    <w:p w14:paraId="50B55528"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5790B6F9" w14:textId="77777777" w:rsidR="00C74620" w:rsidRPr="00F518F9" w:rsidRDefault="00C0503D">
      <w:pPr>
        <w:rPr>
          <w:rFonts w:ascii="Verdana" w:eastAsia="Verdana" w:hAnsi="Verdana" w:cs="Verdana"/>
          <w:color w:val="000000"/>
          <w:sz w:val="20"/>
          <w:szCs w:val="20"/>
        </w:rPr>
      </w:pPr>
      <w:r w:rsidRPr="00F518F9">
        <w:rPr>
          <w:rFonts w:ascii="Verdana" w:eastAsia="Verdana" w:hAnsi="Verdana" w:cs="Verdana"/>
          <w:color w:val="000000"/>
          <w:sz w:val="20"/>
          <w:szCs w:val="20"/>
        </w:rPr>
        <w:t xml:space="preserve">Para el presente proceso de selección </w:t>
      </w:r>
      <w:r w:rsidRPr="00F518F9">
        <w:rPr>
          <w:rFonts w:ascii="Verdana" w:eastAsia="Verdana" w:hAnsi="Verdana" w:cs="Verdana"/>
          <w:b/>
          <w:color w:val="000000"/>
          <w:sz w:val="20"/>
          <w:szCs w:val="20"/>
        </w:rPr>
        <w:t>NO</w:t>
      </w:r>
      <w:r w:rsidRPr="00F518F9">
        <w:rPr>
          <w:rFonts w:ascii="Verdana" w:eastAsia="Verdana" w:hAnsi="Verdana" w:cs="Verdana"/>
          <w:color w:val="000000"/>
          <w:sz w:val="20"/>
          <w:szCs w:val="20"/>
        </w:rPr>
        <w:t xml:space="preserve"> está prevista la precalificación.</w:t>
      </w:r>
    </w:p>
    <w:p w14:paraId="65C84752" w14:textId="77777777" w:rsidR="00C74620" w:rsidRPr="00F518F9" w:rsidRDefault="00C74620">
      <w:pPr>
        <w:rPr>
          <w:rFonts w:ascii="Verdana" w:eastAsia="Verdana" w:hAnsi="Verdana" w:cs="Verdana"/>
          <w:b/>
          <w:sz w:val="20"/>
          <w:szCs w:val="20"/>
        </w:rPr>
      </w:pPr>
    </w:p>
    <w:p w14:paraId="4F64FEF6"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CRONOGRAMA</w:t>
      </w:r>
    </w:p>
    <w:p w14:paraId="70960BF7"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4755F273"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t>Sin perjuicio de las modificaciones a que hubiere lugar en el curso del proceso de selección, la plataforma transaccional del SECOP II incorpora el Cronograma correspondiente.</w:t>
      </w:r>
    </w:p>
    <w:p w14:paraId="4742F906" w14:textId="77777777" w:rsidR="00C74620" w:rsidRPr="00F518F9" w:rsidRDefault="00C74620">
      <w:pPr>
        <w:pBdr>
          <w:top w:val="nil"/>
          <w:left w:val="nil"/>
          <w:bottom w:val="nil"/>
          <w:right w:val="nil"/>
          <w:between w:val="nil"/>
        </w:pBdr>
        <w:ind w:left="284"/>
        <w:rPr>
          <w:rFonts w:ascii="Verdana" w:eastAsia="Verdana" w:hAnsi="Verdana" w:cs="Verdana"/>
          <w:color w:val="000000"/>
          <w:sz w:val="20"/>
          <w:szCs w:val="20"/>
        </w:rPr>
      </w:pPr>
    </w:p>
    <w:p w14:paraId="6F582D73" w14:textId="77777777" w:rsidR="00C74620" w:rsidRPr="00F518F9" w:rsidRDefault="00C0503D">
      <w:pPr>
        <w:numPr>
          <w:ilvl w:val="0"/>
          <w:numId w:val="1"/>
        </w:numPr>
        <w:pBdr>
          <w:top w:val="nil"/>
          <w:left w:val="nil"/>
          <w:bottom w:val="nil"/>
          <w:right w:val="nil"/>
          <w:between w:val="nil"/>
        </w:pBdr>
        <w:rPr>
          <w:rFonts w:ascii="Verdana" w:eastAsia="Verdana" w:hAnsi="Verdana" w:cs="Verdana"/>
          <w:b/>
          <w:color w:val="000000"/>
          <w:sz w:val="20"/>
          <w:szCs w:val="20"/>
        </w:rPr>
      </w:pPr>
      <w:r w:rsidRPr="00F518F9">
        <w:rPr>
          <w:rFonts w:ascii="Verdana" w:eastAsia="Verdana" w:hAnsi="Verdana" w:cs="Verdana"/>
          <w:b/>
          <w:color w:val="000000"/>
          <w:sz w:val="20"/>
          <w:szCs w:val="20"/>
        </w:rPr>
        <w:t>FORMA COMO LOS INTERESADOS PUEDEN CONSULTAR LOS DOCUMENTOS DEL PROCESO</w:t>
      </w:r>
    </w:p>
    <w:p w14:paraId="24D47F8D" w14:textId="77777777" w:rsidR="00C74620" w:rsidRPr="00F518F9" w:rsidRDefault="00C74620">
      <w:pPr>
        <w:pBdr>
          <w:top w:val="nil"/>
          <w:left w:val="nil"/>
          <w:bottom w:val="nil"/>
          <w:right w:val="nil"/>
          <w:between w:val="nil"/>
        </w:pBdr>
        <w:ind w:left="720"/>
        <w:rPr>
          <w:rFonts w:ascii="Verdana" w:eastAsia="Verdana" w:hAnsi="Verdana" w:cs="Verdana"/>
          <w:b/>
          <w:color w:val="000000"/>
          <w:sz w:val="20"/>
          <w:szCs w:val="20"/>
        </w:rPr>
      </w:pPr>
    </w:p>
    <w:p w14:paraId="072E17EC" w14:textId="77777777" w:rsidR="00C74620" w:rsidRPr="00F518F9" w:rsidRDefault="00C0503D">
      <w:pPr>
        <w:rPr>
          <w:rFonts w:ascii="Verdana" w:eastAsia="Verdana" w:hAnsi="Verdana" w:cs="Verdana"/>
          <w:sz w:val="20"/>
          <w:szCs w:val="20"/>
        </w:rPr>
      </w:pPr>
      <w:r w:rsidRPr="00F518F9">
        <w:rPr>
          <w:rFonts w:ascii="Verdana" w:eastAsia="Verdana" w:hAnsi="Verdana" w:cs="Verdana"/>
          <w:sz w:val="20"/>
          <w:szCs w:val="20"/>
        </w:rPr>
        <w:lastRenderedPageBreak/>
        <w:t xml:space="preserve">Los Documentos del Proceso podrán consultarse a través de Internet en la plataforma transaccional de SECOP II </w:t>
      </w:r>
      <w:hyperlink r:id="rId9">
        <w:r w:rsidRPr="00F518F9">
          <w:rPr>
            <w:rFonts w:ascii="Verdana" w:eastAsia="Verdana" w:hAnsi="Verdana" w:cs="Verdana"/>
            <w:color w:val="0000FF"/>
            <w:sz w:val="20"/>
            <w:szCs w:val="20"/>
            <w:u w:val="single"/>
          </w:rPr>
          <w:t>www.colombiacompra.gov.co</w:t>
        </w:r>
      </w:hyperlink>
      <w:r w:rsidRPr="00F518F9">
        <w:rPr>
          <w:rFonts w:ascii="Verdana" w:eastAsia="Verdana" w:hAnsi="Verdana" w:cs="Verdana"/>
          <w:sz w:val="20"/>
          <w:szCs w:val="20"/>
        </w:rPr>
        <w:t>, considerada para todos los efectos de este proceso como la única válida y vinculante.</w:t>
      </w:r>
    </w:p>
    <w:sectPr w:rsidR="00C74620" w:rsidRPr="00F518F9">
      <w:headerReference w:type="default" r:id="rId10"/>
      <w:pgSz w:w="12242" w:h="15842"/>
      <w:pgMar w:top="1985" w:right="1418" w:bottom="1276" w:left="1418" w:header="779" w:footer="141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A19B4" w14:textId="77777777" w:rsidR="00D0512D" w:rsidRDefault="00D0512D">
      <w:r>
        <w:separator/>
      </w:r>
    </w:p>
  </w:endnote>
  <w:endnote w:type="continuationSeparator" w:id="0">
    <w:p w14:paraId="762A1EBD" w14:textId="77777777" w:rsidR="00D0512D" w:rsidRDefault="00D05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MT">
    <w:altName w:val="Arial"/>
    <w:panose1 w:val="020B0604020202020204"/>
    <w:charset w:val="01"/>
    <w:family w:val="swiss"/>
    <w:pitch w:val="variable"/>
  </w:font>
  <w:font w:name="NimbusSans-Bold">
    <w:panose1 w:val="020B0604020202020204"/>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Futura Md BT">
    <w:altName w:val="Lucida Sans Unicode"/>
    <w:panose1 w:val="020B0602020204020303"/>
    <w:charset w:val="00"/>
    <w:family w:val="roman"/>
    <w:notTrueType/>
    <w:pitch w:val="default"/>
  </w:font>
  <w:font w:name="Swis721 Md BT">
    <w:altName w:val="Arial"/>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altName w:val="Times New Roman"/>
    <w:panose1 w:val="020B06040202020202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NimbusSans-Regular">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FCA8B" w14:textId="77777777" w:rsidR="00D0512D" w:rsidRDefault="00D0512D">
      <w:r>
        <w:separator/>
      </w:r>
    </w:p>
  </w:footnote>
  <w:footnote w:type="continuationSeparator" w:id="0">
    <w:p w14:paraId="547A1E60" w14:textId="77777777" w:rsidR="00D0512D" w:rsidRDefault="00D05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4101E" w14:textId="77777777" w:rsidR="00C74620" w:rsidRDefault="00C0503D">
    <w:pPr>
      <w:pBdr>
        <w:top w:val="nil"/>
        <w:left w:val="nil"/>
        <w:bottom w:val="nil"/>
        <w:right w:val="nil"/>
        <w:between w:val="nil"/>
      </w:pBdr>
      <w:tabs>
        <w:tab w:val="center" w:pos="4252"/>
        <w:tab w:val="right" w:pos="8504"/>
      </w:tabs>
      <w:rPr>
        <w:color w:val="000000"/>
        <w:sz w:val="16"/>
        <w:szCs w:val="16"/>
      </w:rPr>
    </w:pPr>
    <w:r>
      <w:rPr>
        <w:noProof/>
        <w:lang w:eastAsia="es-CO"/>
      </w:rPr>
      <w:drawing>
        <wp:anchor distT="0" distB="0" distL="0" distR="0" simplePos="0" relativeHeight="251658240" behindDoc="1" locked="0" layoutInCell="1" hidden="0" allowOverlap="1" wp14:anchorId="40A285A9" wp14:editId="35EE84FA">
          <wp:simplePos x="0" y="0"/>
          <wp:positionH relativeFrom="column">
            <wp:posOffset>2106115</wp:posOffset>
          </wp:positionH>
          <wp:positionV relativeFrom="paragraph">
            <wp:posOffset>5251</wp:posOffset>
          </wp:positionV>
          <wp:extent cx="1642110" cy="673585"/>
          <wp:effectExtent l="0" t="0" r="0" b="0"/>
          <wp:wrapNone/>
          <wp:docPr id="13409060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2CDB00A7" w14:textId="77777777" w:rsidR="00C74620" w:rsidRDefault="00C74620">
    <w:pPr>
      <w:pBdr>
        <w:top w:val="nil"/>
        <w:left w:val="nil"/>
        <w:bottom w:val="nil"/>
        <w:right w:val="nil"/>
        <w:between w:val="nil"/>
      </w:pBdr>
      <w:tabs>
        <w:tab w:val="center" w:pos="4252"/>
        <w:tab w:val="right" w:pos="8504"/>
      </w:tabs>
      <w:rPr>
        <w:color w:val="000000"/>
        <w:sz w:val="16"/>
        <w:szCs w:val="16"/>
      </w:rPr>
    </w:pPr>
  </w:p>
  <w:p w14:paraId="68B4D185" w14:textId="77777777" w:rsidR="00C74620" w:rsidRDefault="00C74620">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6799"/>
    <w:multiLevelType w:val="multilevel"/>
    <w:tmpl w:val="2BAA8228"/>
    <w:lvl w:ilvl="0">
      <w:start w:val="1"/>
      <w:numFmt w:val="decimal"/>
      <w:lvlText w:val="%1."/>
      <w:lvlJc w:val="left"/>
      <w:pPr>
        <w:ind w:left="720" w:hanging="360"/>
      </w:pPr>
      <w:rPr>
        <w:b/>
        <w:color w:val="000000"/>
      </w:r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1" w15:restartNumberingAfterBreak="0">
    <w:nsid w:val="115A6AA8"/>
    <w:multiLevelType w:val="hybridMultilevel"/>
    <w:tmpl w:val="03B6C9DE"/>
    <w:lvl w:ilvl="0" w:tplc="E21001F8">
      <w:numFmt w:val="bullet"/>
      <w:lvlText w:val=""/>
      <w:lvlJc w:val="left"/>
      <w:pPr>
        <w:ind w:left="360" w:hanging="360"/>
      </w:pPr>
      <w:rPr>
        <w:rFonts w:ascii="Symbol" w:eastAsia="Arial MT" w:hAnsi="Symbol" w:cs="NimbusSans-Bold"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8AD5D0D"/>
    <w:multiLevelType w:val="multilevel"/>
    <w:tmpl w:val="1E7CDEBA"/>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42C617E"/>
    <w:multiLevelType w:val="multilevel"/>
    <w:tmpl w:val="C4D4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F71E73"/>
    <w:multiLevelType w:val="multilevel"/>
    <w:tmpl w:val="ABE86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316A5F"/>
    <w:multiLevelType w:val="multilevel"/>
    <w:tmpl w:val="1DF2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349138">
    <w:abstractNumId w:val="0"/>
  </w:num>
  <w:num w:numId="2" w16cid:durableId="714543327">
    <w:abstractNumId w:val="2"/>
  </w:num>
  <w:num w:numId="3" w16cid:durableId="9356693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0088482">
    <w:abstractNumId w:val="1"/>
  </w:num>
  <w:num w:numId="5" w16cid:durableId="1613902470">
    <w:abstractNumId w:val="4"/>
  </w:num>
  <w:num w:numId="6" w16cid:durableId="269052870">
    <w:abstractNumId w:val="5"/>
  </w:num>
  <w:num w:numId="7" w16cid:durableId="182476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620"/>
    <w:rsid w:val="000668A8"/>
    <w:rsid w:val="000E1117"/>
    <w:rsid w:val="000F4834"/>
    <w:rsid w:val="000F58ED"/>
    <w:rsid w:val="00112616"/>
    <w:rsid w:val="001B589A"/>
    <w:rsid w:val="001B7CA5"/>
    <w:rsid w:val="001F272C"/>
    <w:rsid w:val="001F333B"/>
    <w:rsid w:val="00205D00"/>
    <w:rsid w:val="00213121"/>
    <w:rsid w:val="00216BD7"/>
    <w:rsid w:val="00247A1B"/>
    <w:rsid w:val="0025164B"/>
    <w:rsid w:val="002617FC"/>
    <w:rsid w:val="00293885"/>
    <w:rsid w:val="00297396"/>
    <w:rsid w:val="002C06F7"/>
    <w:rsid w:val="002E1B5E"/>
    <w:rsid w:val="002E5019"/>
    <w:rsid w:val="002E729D"/>
    <w:rsid w:val="002E7725"/>
    <w:rsid w:val="00324FC8"/>
    <w:rsid w:val="0036523D"/>
    <w:rsid w:val="00373A40"/>
    <w:rsid w:val="003B23D3"/>
    <w:rsid w:val="003C013E"/>
    <w:rsid w:val="004077B7"/>
    <w:rsid w:val="00417567"/>
    <w:rsid w:val="0042514B"/>
    <w:rsid w:val="00453879"/>
    <w:rsid w:val="00456E99"/>
    <w:rsid w:val="00477EDA"/>
    <w:rsid w:val="004A4B24"/>
    <w:rsid w:val="004B1B0A"/>
    <w:rsid w:val="004C6426"/>
    <w:rsid w:val="004E2C0B"/>
    <w:rsid w:val="004F2320"/>
    <w:rsid w:val="004F6FAF"/>
    <w:rsid w:val="00596F19"/>
    <w:rsid w:val="005B1848"/>
    <w:rsid w:val="005E2C20"/>
    <w:rsid w:val="0061598D"/>
    <w:rsid w:val="00675094"/>
    <w:rsid w:val="00683A06"/>
    <w:rsid w:val="006D036F"/>
    <w:rsid w:val="006D121F"/>
    <w:rsid w:val="006D5CBF"/>
    <w:rsid w:val="007027B4"/>
    <w:rsid w:val="00710E36"/>
    <w:rsid w:val="00720680"/>
    <w:rsid w:val="00744B2A"/>
    <w:rsid w:val="007542A1"/>
    <w:rsid w:val="007D5042"/>
    <w:rsid w:val="007D7B01"/>
    <w:rsid w:val="007E3383"/>
    <w:rsid w:val="00805090"/>
    <w:rsid w:val="008237AB"/>
    <w:rsid w:val="0084410C"/>
    <w:rsid w:val="00854FCF"/>
    <w:rsid w:val="008716D3"/>
    <w:rsid w:val="00896AA2"/>
    <w:rsid w:val="008B0339"/>
    <w:rsid w:val="008D4C38"/>
    <w:rsid w:val="008E24DB"/>
    <w:rsid w:val="00911C58"/>
    <w:rsid w:val="00924B1D"/>
    <w:rsid w:val="00937991"/>
    <w:rsid w:val="00952AF3"/>
    <w:rsid w:val="00977F4F"/>
    <w:rsid w:val="00991009"/>
    <w:rsid w:val="009916FA"/>
    <w:rsid w:val="00996D7E"/>
    <w:rsid w:val="009C5B61"/>
    <w:rsid w:val="009F7D3C"/>
    <w:rsid w:val="00A1667F"/>
    <w:rsid w:val="00A504E6"/>
    <w:rsid w:val="00A55E7E"/>
    <w:rsid w:val="00AA331E"/>
    <w:rsid w:val="00AD0640"/>
    <w:rsid w:val="00AD6D75"/>
    <w:rsid w:val="00AF2710"/>
    <w:rsid w:val="00B17B8C"/>
    <w:rsid w:val="00B572F4"/>
    <w:rsid w:val="00BB007B"/>
    <w:rsid w:val="00BD00BB"/>
    <w:rsid w:val="00BF214C"/>
    <w:rsid w:val="00BF3D33"/>
    <w:rsid w:val="00BF4FA9"/>
    <w:rsid w:val="00C0503D"/>
    <w:rsid w:val="00C14053"/>
    <w:rsid w:val="00C50116"/>
    <w:rsid w:val="00C74620"/>
    <w:rsid w:val="00C856C1"/>
    <w:rsid w:val="00CA0A17"/>
    <w:rsid w:val="00CE55FD"/>
    <w:rsid w:val="00CF2C0D"/>
    <w:rsid w:val="00CF455C"/>
    <w:rsid w:val="00D03E5E"/>
    <w:rsid w:val="00D0512D"/>
    <w:rsid w:val="00D223AC"/>
    <w:rsid w:val="00D724F5"/>
    <w:rsid w:val="00D74645"/>
    <w:rsid w:val="00DA42E1"/>
    <w:rsid w:val="00DC2C9E"/>
    <w:rsid w:val="00DC6314"/>
    <w:rsid w:val="00DD1CFF"/>
    <w:rsid w:val="00DD51FF"/>
    <w:rsid w:val="00DD7F7E"/>
    <w:rsid w:val="00DE6B01"/>
    <w:rsid w:val="00E1739A"/>
    <w:rsid w:val="00E22DD7"/>
    <w:rsid w:val="00E71791"/>
    <w:rsid w:val="00EA1DA7"/>
    <w:rsid w:val="00EE1C4A"/>
    <w:rsid w:val="00EF6DE1"/>
    <w:rsid w:val="00F2190A"/>
    <w:rsid w:val="00F377D9"/>
    <w:rsid w:val="00F40456"/>
    <w:rsid w:val="00F518F9"/>
    <w:rsid w:val="00F51C8C"/>
    <w:rsid w:val="00F70CC5"/>
    <w:rsid w:val="00F960AF"/>
    <w:rsid w:val="00FB3C14"/>
    <w:rsid w:val="00FC4B49"/>
    <w:rsid w:val="00FC4BB6"/>
    <w:rsid w:val="00FD35ED"/>
    <w:rsid w:val="00FE0D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3024"/>
  <w15:docId w15:val="{E1FEF647-B358-4979-9264-0615B02F9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AA2"/>
    <w:pPr>
      <w:jc w:val="left"/>
    </w:pPr>
    <w:rPr>
      <w:rFonts w:ascii="Times New Roman" w:eastAsia="Times New Roman" w:hAnsi="Times New Roman" w:cs="Times New Roman"/>
      <w:sz w:val="24"/>
      <w:szCs w:val="24"/>
      <w:lang w:val="es-CO" w:eastAsia="es-MX"/>
    </w:rPr>
  </w:style>
  <w:style w:type="paragraph" w:styleId="Ttulo1">
    <w:name w:val="heading 1"/>
    <w:basedOn w:val="Normal"/>
    <w:next w:val="Normal"/>
    <w:uiPriority w:val="9"/>
    <w:qFormat/>
    <w:rsid w:val="00C82329"/>
    <w:pPr>
      <w:keepNext/>
      <w:jc w:val="center"/>
      <w:outlineLvl w:val="0"/>
    </w:pPr>
    <w:rPr>
      <w:rFonts w:ascii="Arial" w:eastAsia="Arial" w:hAnsi="Arial" w:cs="Arial"/>
      <w:b/>
      <w:caps/>
      <w:szCs w:val="22"/>
      <w:lang w:val="es-ES" w:eastAsia="es-ES"/>
    </w:rPr>
  </w:style>
  <w:style w:type="paragraph" w:styleId="Ttulo2">
    <w:name w:val="heading 2"/>
    <w:basedOn w:val="Normal"/>
    <w:next w:val="Normal"/>
    <w:uiPriority w:val="9"/>
    <w:semiHidden/>
    <w:unhideWhenUsed/>
    <w:qFormat/>
    <w:rsid w:val="00983CDC"/>
    <w:pPr>
      <w:keepNext/>
      <w:numPr>
        <w:ilvl w:val="1"/>
        <w:numId w:val="1"/>
      </w:numPr>
      <w:spacing w:before="60" w:after="40"/>
      <w:jc w:val="both"/>
      <w:outlineLvl w:val="1"/>
    </w:pPr>
    <w:rPr>
      <w:rFonts w:ascii="Arial" w:eastAsia="Arial" w:hAnsi="Arial" w:cs="Arial"/>
      <w:b/>
      <w:smallCaps/>
      <w:szCs w:val="22"/>
      <w:lang w:val="es-ES" w:eastAsia="es-ES"/>
    </w:rPr>
  </w:style>
  <w:style w:type="paragraph" w:styleId="Ttulo3">
    <w:name w:val="heading 3"/>
    <w:basedOn w:val="Normal"/>
    <w:next w:val="Normal"/>
    <w:link w:val="Ttulo3Car"/>
    <w:uiPriority w:val="9"/>
    <w:semiHidden/>
    <w:unhideWhenUsed/>
    <w:qFormat/>
    <w:rsid w:val="00F4002B"/>
    <w:pPr>
      <w:keepNext/>
      <w:numPr>
        <w:ilvl w:val="2"/>
        <w:numId w:val="1"/>
      </w:numPr>
      <w:spacing w:before="240" w:after="60"/>
      <w:outlineLvl w:val="2"/>
    </w:pPr>
  </w:style>
  <w:style w:type="paragraph" w:styleId="Ttulo4">
    <w:name w:val="heading 4"/>
    <w:basedOn w:val="Normal"/>
    <w:next w:val="Normal"/>
    <w:uiPriority w:val="9"/>
    <w:semiHidden/>
    <w:unhideWhenUsed/>
    <w:qFormat/>
    <w:rsid w:val="00F4002B"/>
    <w:pPr>
      <w:keepNext/>
      <w:numPr>
        <w:ilvl w:val="3"/>
        <w:numId w:val="1"/>
      </w:numPr>
      <w:spacing w:before="240" w:after="60"/>
      <w:outlineLvl w:val="3"/>
    </w:pPr>
    <w:rPr>
      <w:b/>
    </w:rPr>
  </w:style>
  <w:style w:type="paragraph" w:styleId="Ttulo5">
    <w:name w:val="heading 5"/>
    <w:basedOn w:val="Normal"/>
    <w:next w:val="Normal"/>
    <w:uiPriority w:val="9"/>
    <w:semiHidden/>
    <w:unhideWhenUsed/>
    <w:qFormat/>
    <w:rsid w:val="00F4002B"/>
    <w:pPr>
      <w:numPr>
        <w:ilvl w:val="4"/>
        <w:numId w:val="1"/>
      </w:numPr>
      <w:spacing w:before="240" w:after="60"/>
      <w:outlineLvl w:val="4"/>
    </w:pPr>
  </w:style>
  <w:style w:type="paragraph" w:styleId="Ttulo6">
    <w:name w:val="heading 6"/>
    <w:basedOn w:val="Normal"/>
    <w:next w:val="Normal"/>
    <w:uiPriority w:val="9"/>
    <w:semiHidden/>
    <w:unhideWhenUsed/>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jc w:val="both"/>
      <w:outlineLvl w:val="6"/>
    </w:pPr>
    <w:rPr>
      <w:rFonts w:ascii="Arial" w:eastAsia="Arial" w:hAnsi="Arial" w:cs="Arial"/>
      <w:sz w:val="22"/>
      <w:szCs w:val="22"/>
      <w:lang w:val="es-ES" w:eastAsia="es-ES"/>
    </w:rPr>
  </w:style>
  <w:style w:type="paragraph" w:styleId="Ttulo8">
    <w:name w:val="heading 8"/>
    <w:basedOn w:val="Normal"/>
    <w:next w:val="Normal"/>
    <w:qFormat/>
    <w:rsid w:val="00F4002B"/>
    <w:pPr>
      <w:numPr>
        <w:ilvl w:val="7"/>
        <w:numId w:val="1"/>
      </w:numPr>
      <w:spacing w:before="240" w:after="60"/>
      <w:jc w:val="both"/>
      <w:outlineLvl w:val="7"/>
    </w:pPr>
    <w:rPr>
      <w:rFonts w:ascii="Arial" w:eastAsia="Arial" w:hAnsi="Arial" w:cs="Arial"/>
      <w:i/>
      <w:sz w:val="22"/>
      <w:szCs w:val="22"/>
      <w:lang w:val="es-ES" w:eastAsia="es-ES"/>
    </w:rPr>
  </w:style>
  <w:style w:type="paragraph" w:styleId="Ttulo9">
    <w:name w:val="heading 9"/>
    <w:basedOn w:val="Normal"/>
    <w:next w:val="Normal"/>
    <w:qFormat/>
    <w:rsid w:val="00F4002B"/>
    <w:pPr>
      <w:numPr>
        <w:ilvl w:val="8"/>
        <w:numId w:val="1"/>
      </w:numPr>
      <w:spacing w:before="240" w:after="60"/>
      <w:jc w:val="both"/>
      <w:outlineLvl w:val="8"/>
    </w:pPr>
    <w:rPr>
      <w:rFonts w:ascii="Arial" w:eastAsia="Arial" w:hAnsi="Arial" w:cs="Arial"/>
      <w:b/>
      <w:i/>
      <w:sz w:val="18"/>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rsid w:val="00835B48"/>
    <w:pPr>
      <w:spacing w:before="240" w:after="60"/>
      <w:jc w:val="center"/>
      <w:outlineLvl w:val="0"/>
    </w:pPr>
    <w:rPr>
      <w:rFonts w:ascii="Arial" w:eastAsia="Arial" w:hAnsi="Arial" w:cs="Arial"/>
      <w:b/>
      <w:bCs/>
      <w:kern w:val="28"/>
      <w:szCs w:val="32"/>
      <w:lang w:val="es-ES" w:eastAsia="es-ES"/>
    </w:rPr>
  </w:style>
  <w:style w:type="paragraph" w:styleId="Encabezado">
    <w:name w:val="header"/>
    <w:aliases w:val="h,h8,h9,h10,h18,encabezado,Encabezado1,Encabezado 2,hd,he,h18 Car Car Car Car Car Car Car Car,h18 Car Car Car Car Car Car Car,h18 Car Car Car,h18 Car Car Car Car Car,Alt Header,Tit 1,AL Encabezado,Encabezado AL,h1,Header Bold,TENDER,*Header"/>
    <w:basedOn w:val="Normal"/>
    <w:link w:val="EncabezadoCar"/>
    <w:qFormat/>
    <w:rsid w:val="00F4002B"/>
    <w:pPr>
      <w:tabs>
        <w:tab w:val="center" w:pos="4252"/>
        <w:tab w:val="right" w:pos="8504"/>
      </w:tabs>
      <w:jc w:val="both"/>
    </w:pPr>
    <w:rPr>
      <w:rFonts w:ascii="Arial" w:eastAsia="Arial" w:hAnsi="Arial" w:cs="Arial"/>
      <w:sz w:val="22"/>
      <w:szCs w:val="22"/>
      <w:lang w:val="es-ES" w:eastAsia="es-ES"/>
    </w:rPr>
  </w:style>
  <w:style w:type="paragraph" w:styleId="Piedepgina">
    <w:name w:val="footer"/>
    <w:basedOn w:val="Normal"/>
    <w:link w:val="PiedepginaCar"/>
    <w:uiPriority w:val="99"/>
    <w:rsid w:val="00F4002B"/>
    <w:pPr>
      <w:tabs>
        <w:tab w:val="center" w:pos="4252"/>
        <w:tab w:val="right" w:pos="8504"/>
      </w:tabs>
      <w:jc w:val="both"/>
    </w:pPr>
    <w:rPr>
      <w:rFonts w:ascii="Arial" w:eastAsia="Arial" w:hAnsi="Arial" w:cs="Arial"/>
      <w:sz w:val="22"/>
      <w:szCs w:val="22"/>
      <w:lang w:val="es-ES" w:eastAsia="es-ES"/>
    </w:rPr>
  </w:style>
  <w:style w:type="paragraph" w:styleId="Textoindependiente">
    <w:name w:val="Body Text"/>
    <w:aliases w:val="Texto independiente Car Car Car Car,Texto independiente Car Car Car"/>
    <w:basedOn w:val="Normal"/>
    <w:link w:val="TextoindependienteCar"/>
    <w:uiPriority w:val="99"/>
    <w:rsid w:val="00F4002B"/>
    <w:pPr>
      <w:jc w:val="both"/>
    </w:pPr>
    <w:rPr>
      <w:rFonts w:ascii="Futura Md BT" w:eastAsia="Arial" w:hAnsi="Futura Md BT" w:cs="Arial"/>
      <w:szCs w:val="22"/>
      <w:lang w:val="es-ES" w:eastAsia="es-ES"/>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jc w:val="both"/>
    </w:pPr>
    <w:rPr>
      <w:rFonts w:ascii="Swis721 Md BT" w:eastAsia="Arial" w:hAnsi="Swis721 Md BT" w:cs="Arial"/>
      <w:sz w:val="22"/>
      <w:szCs w:val="22"/>
      <w:lang w:val="es-MX" w:eastAsia="es-ES"/>
    </w:rPr>
  </w:style>
  <w:style w:type="paragraph" w:styleId="Textoindependiente2">
    <w:name w:val="Body Text 2"/>
    <w:basedOn w:val="Normal"/>
    <w:rsid w:val="00F4002B"/>
    <w:pPr>
      <w:jc w:val="both"/>
    </w:pPr>
    <w:rPr>
      <w:rFonts w:ascii="Arial" w:eastAsia="Arial" w:hAnsi="Arial" w:cs="Arial"/>
      <w:szCs w:val="22"/>
      <w:lang w:val="es-MX" w:eastAsia="es-ES"/>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jc w:val="both"/>
    </w:pPr>
    <w:rPr>
      <w:rFonts w:ascii="Arial" w:eastAsia="Arial" w:hAnsi="Arial" w:cs="Arial"/>
      <w:snapToGrid w:val="0"/>
      <w:szCs w:val="22"/>
      <w:lang w:val="es-ES_tradnl" w:eastAsia="es-ES"/>
    </w:rPr>
  </w:style>
  <w:style w:type="paragraph" w:styleId="Sangra3detindependiente">
    <w:name w:val="Body Text Indent 3"/>
    <w:basedOn w:val="Normal"/>
    <w:rsid w:val="00F4002B"/>
    <w:pPr>
      <w:tabs>
        <w:tab w:val="num" w:pos="284"/>
      </w:tabs>
      <w:ind w:left="284"/>
      <w:jc w:val="both"/>
    </w:pPr>
    <w:rPr>
      <w:rFonts w:ascii="Arial" w:eastAsia="Arial" w:hAnsi="Arial" w:cs="Arial"/>
      <w:snapToGrid w:val="0"/>
      <w:szCs w:val="22"/>
      <w:lang w:val="es-ES_tradnl" w:eastAsia="es-ES"/>
    </w:rPr>
  </w:style>
  <w:style w:type="paragraph" w:styleId="Descripcin">
    <w:name w:val="caption"/>
    <w:basedOn w:val="Normal"/>
    <w:next w:val="Normal"/>
    <w:qFormat/>
    <w:rsid w:val="00F4002B"/>
    <w:pPr>
      <w:jc w:val="center"/>
    </w:pPr>
    <w:rPr>
      <w:rFonts w:ascii="Arial" w:eastAsia="Arial" w:hAnsi="Arial" w:cs="Arial"/>
      <w:b/>
      <w:sz w:val="22"/>
      <w:szCs w:val="22"/>
      <w:lang w:val="es-ES" w:eastAsia="es-ES"/>
    </w:rPr>
  </w:style>
  <w:style w:type="paragraph" w:styleId="TDC1">
    <w:name w:val="toc 1"/>
    <w:basedOn w:val="Normal"/>
    <w:next w:val="Normal"/>
    <w:autoRedefine/>
    <w:uiPriority w:val="39"/>
    <w:rsid w:val="00B00546"/>
    <w:pPr>
      <w:spacing w:before="120"/>
    </w:pPr>
    <w:rPr>
      <w:rFonts w:ascii="Arial" w:eastAsia="Arial" w:hAnsi="Arial" w:cs="Arial"/>
      <w:b/>
      <w:bCs/>
      <w:sz w:val="20"/>
      <w:szCs w:val="22"/>
      <w:lang w:val="es-ES" w:eastAsia="es-ES"/>
    </w:rPr>
  </w:style>
  <w:style w:type="paragraph" w:styleId="Textodeglobo">
    <w:name w:val="Balloon Text"/>
    <w:basedOn w:val="Normal"/>
    <w:link w:val="TextodegloboCar"/>
    <w:rsid w:val="00B714E5"/>
    <w:pPr>
      <w:jc w:val="both"/>
    </w:pPr>
    <w:rPr>
      <w:rFonts w:ascii="Tahoma" w:eastAsia="Arial" w:hAnsi="Tahoma" w:cs="Arial"/>
      <w:sz w:val="16"/>
      <w:szCs w:val="16"/>
      <w:lang w:val="es-ES" w:eastAsia="es-ES"/>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pPr>
    <w:rPr>
      <w:rFonts w:ascii="Arial" w:eastAsia="Arial" w:hAnsi="Arial" w:cs="Arial"/>
      <w:sz w:val="20"/>
      <w:szCs w:val="22"/>
      <w:lang w:val="es-ES" w:eastAsia="es-ES"/>
    </w:rPr>
  </w:style>
  <w:style w:type="paragraph" w:styleId="NormalWeb">
    <w:name w:val="Normal (Web)"/>
    <w:aliases w:val="Normal (Web) Car Car"/>
    <w:basedOn w:val="Normal"/>
    <w:link w:val="NormalWebCar"/>
    <w:uiPriority w:val="99"/>
    <w:unhideWhenUsed/>
    <w:rsid w:val="00F53451"/>
    <w:pPr>
      <w:spacing w:before="100" w:beforeAutospacing="1" w:after="100" w:afterAutospacing="1"/>
      <w:jc w:val="both"/>
    </w:pPr>
    <w:rPr>
      <w:rFonts w:ascii="Arial" w:eastAsia="Arial" w:hAnsi="Arial" w:cs="Arial"/>
      <w:lang w:eastAsia="es-CO"/>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jc w:val="both"/>
    </w:pPr>
    <w:rPr>
      <w:rFonts w:ascii="Arial" w:eastAsia="Arial" w:hAnsi="Arial" w:cs="Arial"/>
      <w:sz w:val="22"/>
      <w:szCs w:val="22"/>
      <w:lang w:val="es-ES" w:eastAsia="es-ES"/>
    </w:r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jc w:val="both"/>
    </w:pPr>
    <w:rPr>
      <w:rFonts w:ascii="Arial" w:eastAsia="Arial" w:hAnsi="Arial" w:cs="Arial"/>
      <w:sz w:val="22"/>
      <w:szCs w:val="22"/>
      <w:lang w:val="es-ES" w:eastAsia="es-ES"/>
    </w:rPr>
  </w:style>
  <w:style w:type="paragraph" w:styleId="Listaconvietas2">
    <w:name w:val="List Bullet 2"/>
    <w:basedOn w:val="Normal"/>
    <w:rsid w:val="00577C1A"/>
    <w:pPr>
      <w:numPr>
        <w:numId w:val="2"/>
      </w:numPr>
      <w:contextualSpacing/>
      <w:jc w:val="both"/>
    </w:pPr>
    <w:rPr>
      <w:rFonts w:ascii="Arial" w:eastAsia="Arial" w:hAnsi="Arial" w:cs="Arial"/>
      <w:sz w:val="22"/>
      <w:szCs w:val="22"/>
      <w:lang w:val="es-ES" w:eastAsia="es-ES"/>
    </w:rPr>
  </w:style>
  <w:style w:type="paragraph" w:styleId="TDC2">
    <w:name w:val="toc 2"/>
    <w:basedOn w:val="Normal"/>
    <w:next w:val="Normal"/>
    <w:autoRedefine/>
    <w:uiPriority w:val="39"/>
    <w:rsid w:val="00B00546"/>
    <w:pPr>
      <w:ind w:left="220"/>
    </w:pPr>
    <w:rPr>
      <w:rFonts w:ascii="Arial" w:eastAsia="Arial" w:hAnsi="Arial" w:cs="Arial"/>
      <w:i/>
      <w:iCs/>
      <w:sz w:val="20"/>
      <w:szCs w:val="22"/>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1"/>
    <w:qFormat/>
    <w:rsid w:val="008E4D85"/>
    <w:pPr>
      <w:ind w:left="720"/>
      <w:contextualSpacing/>
      <w:jc w:val="both"/>
    </w:pPr>
    <w:rPr>
      <w:rFonts w:ascii="Arial" w:eastAsia="Arial" w:hAnsi="Arial" w:cs="Arial"/>
      <w:sz w:val="22"/>
      <w:szCs w:val="22"/>
      <w:lang w:val="es-ES" w:eastAsia="es-ES"/>
    </w:rPr>
  </w:style>
  <w:style w:type="paragraph" w:styleId="TDC4">
    <w:name w:val="toc 4"/>
    <w:basedOn w:val="Normal"/>
    <w:next w:val="Normal"/>
    <w:autoRedefine/>
    <w:rsid w:val="00B00546"/>
    <w:pPr>
      <w:ind w:left="660"/>
    </w:pPr>
    <w:rPr>
      <w:rFonts w:ascii="Arial" w:eastAsia="Arial" w:hAnsi="Arial" w:cs="Arial"/>
      <w:sz w:val="20"/>
      <w:szCs w:val="22"/>
      <w:lang w:val="es-ES" w:eastAsia="es-ES"/>
    </w:rPr>
  </w:style>
  <w:style w:type="paragraph" w:styleId="TDC5">
    <w:name w:val="toc 5"/>
    <w:basedOn w:val="Normal"/>
    <w:next w:val="Normal"/>
    <w:autoRedefine/>
    <w:rsid w:val="00B00546"/>
    <w:pPr>
      <w:ind w:left="880"/>
    </w:pPr>
    <w:rPr>
      <w:rFonts w:asciiTheme="minorHAnsi" w:eastAsia="Arial" w:hAnsiTheme="minorHAnsi" w:cs="Arial"/>
      <w:sz w:val="20"/>
      <w:szCs w:val="22"/>
      <w:lang w:val="es-ES" w:eastAsia="es-ES"/>
    </w:rPr>
  </w:style>
  <w:style w:type="paragraph" w:styleId="TDC6">
    <w:name w:val="toc 6"/>
    <w:basedOn w:val="Normal"/>
    <w:next w:val="Normal"/>
    <w:autoRedefine/>
    <w:rsid w:val="00B00546"/>
    <w:pPr>
      <w:ind w:left="1100"/>
    </w:pPr>
    <w:rPr>
      <w:rFonts w:asciiTheme="minorHAnsi" w:eastAsia="Arial" w:hAnsiTheme="minorHAnsi" w:cs="Arial"/>
      <w:sz w:val="20"/>
      <w:szCs w:val="22"/>
      <w:lang w:val="es-ES" w:eastAsia="es-ES"/>
    </w:rPr>
  </w:style>
  <w:style w:type="paragraph" w:styleId="TDC7">
    <w:name w:val="toc 7"/>
    <w:basedOn w:val="Normal"/>
    <w:next w:val="Normal"/>
    <w:autoRedefine/>
    <w:rsid w:val="00B00546"/>
    <w:pPr>
      <w:ind w:left="1320"/>
    </w:pPr>
    <w:rPr>
      <w:rFonts w:asciiTheme="minorHAnsi" w:eastAsia="Arial" w:hAnsiTheme="minorHAnsi" w:cs="Arial"/>
      <w:sz w:val="20"/>
      <w:szCs w:val="22"/>
      <w:lang w:val="es-ES" w:eastAsia="es-ES"/>
    </w:rPr>
  </w:style>
  <w:style w:type="paragraph" w:styleId="TDC8">
    <w:name w:val="toc 8"/>
    <w:basedOn w:val="Normal"/>
    <w:next w:val="Normal"/>
    <w:autoRedefine/>
    <w:rsid w:val="00B00546"/>
    <w:pPr>
      <w:ind w:left="1540"/>
    </w:pPr>
    <w:rPr>
      <w:rFonts w:asciiTheme="minorHAnsi" w:eastAsia="Arial" w:hAnsiTheme="minorHAnsi" w:cs="Arial"/>
      <w:sz w:val="20"/>
      <w:szCs w:val="22"/>
      <w:lang w:val="es-ES" w:eastAsia="es-ES"/>
    </w:rPr>
  </w:style>
  <w:style w:type="paragraph" w:styleId="TDC9">
    <w:name w:val="toc 9"/>
    <w:basedOn w:val="Normal"/>
    <w:next w:val="Normal"/>
    <w:autoRedefine/>
    <w:rsid w:val="00B00546"/>
    <w:pPr>
      <w:ind w:left="1760"/>
    </w:pPr>
    <w:rPr>
      <w:rFonts w:asciiTheme="minorHAnsi" w:eastAsia="Arial" w:hAnsiTheme="minorHAnsi" w:cs="Arial"/>
      <w:sz w:val="20"/>
      <w:szCs w:val="22"/>
      <w:lang w:val="es-ES" w:eastAsia="es-ES"/>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rsid w:val="001A04EB"/>
    <w:rPr>
      <w:sz w:val="16"/>
      <w:szCs w:val="16"/>
    </w:rPr>
  </w:style>
  <w:style w:type="paragraph" w:styleId="Textocomentario">
    <w:name w:val="annotation text"/>
    <w:basedOn w:val="Normal"/>
    <w:link w:val="TextocomentarioCar"/>
    <w:rsid w:val="001A04EB"/>
    <w:pPr>
      <w:jc w:val="both"/>
    </w:pPr>
    <w:rPr>
      <w:rFonts w:ascii="Arial" w:eastAsia="Arial" w:hAnsi="Arial" w:cs="Arial"/>
      <w:sz w:val="20"/>
      <w:szCs w:val="22"/>
      <w:lang w:val="es-ES" w:eastAsia="es-ES"/>
    </w:rPr>
  </w:style>
  <w:style w:type="character" w:customStyle="1" w:styleId="TextocomentarioCar">
    <w:name w:val="Texto comentario Car"/>
    <w:basedOn w:val="Fuentedeprrafopredeter"/>
    <w:link w:val="Textocomentario"/>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tabs>
        <w:tab w:val="num" w:pos="720"/>
      </w:tabs>
      <w:ind w:left="720" w:hanging="720"/>
      <w:contextualSpacing/>
    </w:pPr>
    <w:rPr>
      <w:rFonts w:eastAsia="Arial" w:cs="Arial"/>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rPr>
      <w:rFonts w:ascii="Arial Narrow" w:eastAsia="Arial" w:hAnsi="Arial Narrow" w:cs="Arial"/>
      <w:sz w:val="22"/>
      <w:szCs w:val="22"/>
      <w:lang w:eastAsia="es-ES"/>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Car Car Car Car Car,ft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qFormat/>
    <w:rsid w:val="006E3D16"/>
    <w:rPr>
      <w:rFonts w:ascii="Calibri" w:hAnsi="Calibri"/>
      <w:lang w:eastAsia="en-US"/>
    </w:rPr>
  </w:style>
  <w:style w:type="character" w:customStyle="1" w:styleId="NoSpacingChar">
    <w:name w:val="No Spacing Char"/>
    <w:link w:val="Sinespaciado1"/>
    <w:qFormat/>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pPr>
    <w:rPr>
      <w:rFonts w:ascii="Times" w:eastAsia="Arial" w:hAnsi="Times" w:cs="Arial"/>
      <w:sz w:val="20"/>
      <w:szCs w:val="22"/>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Style5">
    <w:name w:val="Style5"/>
    <w:basedOn w:val="Normal"/>
    <w:uiPriority w:val="99"/>
    <w:rsid w:val="004152A0"/>
    <w:pPr>
      <w:widowControl w:val="0"/>
      <w:autoSpaceDE w:val="0"/>
      <w:autoSpaceDN w:val="0"/>
      <w:adjustRightInd w:val="0"/>
      <w:spacing w:line="252" w:lineRule="exact"/>
      <w:jc w:val="both"/>
    </w:pPr>
    <w:rPr>
      <w:rFonts w:ascii="Arial" w:eastAsia="Arial" w:hAnsi="Arial" w:cs="Arial"/>
      <w:lang w:eastAsia="es-CO"/>
    </w:rPr>
  </w:style>
  <w:style w:type="table" w:customStyle="1" w:styleId="12">
    <w:name w:val="12"/>
    <w:basedOn w:val="Tablanormal"/>
    <w:rsid w:val="0090495F"/>
    <w:tblPr>
      <w:tblStyleRowBandSize w:val="1"/>
      <w:tblStyleColBandSize w:val="1"/>
      <w:tblCellMar>
        <w:left w:w="115" w:type="dxa"/>
        <w:right w:w="115" w:type="dxa"/>
      </w:tblCellMar>
    </w:tblPr>
  </w:style>
  <w:style w:type="paragraph" w:customStyle="1" w:styleId="Cuerpodeltexto1">
    <w:name w:val="Cuerpo del texto1"/>
    <w:basedOn w:val="Normal"/>
    <w:rsid w:val="006121C1"/>
    <w:pPr>
      <w:widowControl w:val="0"/>
      <w:shd w:val="clear" w:color="auto" w:fill="FFFFFF"/>
      <w:spacing w:before="2820" w:after="3060" w:line="240" w:lineRule="atLeast"/>
      <w:ind w:hanging="720"/>
      <w:jc w:val="center"/>
    </w:pPr>
    <w:rPr>
      <w:rFonts w:ascii="Arial Narrow" w:eastAsia="Arial" w:hAnsi="Arial Narrow" w:cs="Arial"/>
      <w:sz w:val="23"/>
      <w:szCs w:val="23"/>
      <w:lang w:val="x-none" w:eastAsia="x-none"/>
    </w:rPr>
  </w:style>
  <w:style w:type="paragraph" w:customStyle="1" w:styleId="paragraph">
    <w:name w:val="paragraph"/>
    <w:basedOn w:val="Normal"/>
    <w:rsid w:val="00226C56"/>
    <w:pPr>
      <w:spacing w:before="100" w:beforeAutospacing="1" w:after="100" w:afterAutospacing="1"/>
    </w:pPr>
    <w:rPr>
      <w:rFonts w:eastAsia="Arial" w:cs="Arial"/>
      <w:lang w:eastAsia="es-CO"/>
    </w:rPr>
  </w:style>
  <w:style w:type="character" w:customStyle="1" w:styleId="normaltextrun">
    <w:name w:val="normaltextrun"/>
    <w:basedOn w:val="Fuentedeprrafopredeter"/>
    <w:rsid w:val="00226C56"/>
  </w:style>
  <w:style w:type="character" w:customStyle="1" w:styleId="eop">
    <w:name w:val="eop"/>
    <w:basedOn w:val="Fuentedeprrafopredeter"/>
    <w:rsid w:val="00226C56"/>
  </w:style>
  <w:style w:type="character" w:customStyle="1" w:styleId="NormalWebCar">
    <w:name w:val="Normal (Web) Car"/>
    <w:aliases w:val="Normal (Web) Car Car Car"/>
    <w:link w:val="NormalWeb"/>
    <w:uiPriority w:val="99"/>
    <w:rsid w:val="008C5D9A"/>
    <w:rPr>
      <w:rFonts w:ascii="Arial" w:hAnsi="Arial"/>
      <w:sz w:val="24"/>
      <w:szCs w:val="24"/>
    </w:rPr>
  </w:style>
  <w:style w:type="character" w:customStyle="1" w:styleId="Mencinsinresolver1">
    <w:name w:val="Mención sin resolver1"/>
    <w:basedOn w:val="Fuentedeprrafopredeter"/>
    <w:uiPriority w:val="99"/>
    <w:semiHidden/>
    <w:unhideWhenUsed/>
    <w:rsid w:val="00294177"/>
    <w:rPr>
      <w:color w:val="605E5C"/>
      <w:shd w:val="clear" w:color="auto" w:fill="E1DFDD"/>
    </w:rPr>
  </w:style>
  <w:style w:type="paragraph" w:styleId="Subttulo">
    <w:name w:val="Subtitle"/>
    <w:basedOn w:val="Normal"/>
    <w:next w:val="Normal"/>
    <w:uiPriority w:val="11"/>
    <w:qFormat/>
    <w:pPr>
      <w:keepNext/>
      <w:keepLines/>
      <w:spacing w:before="360" w:after="80"/>
      <w:jc w:val="both"/>
    </w:pPr>
    <w:rPr>
      <w:rFonts w:ascii="Georgia" w:eastAsia="Georgia" w:hAnsi="Georgia" w:cs="Georgia"/>
      <w:i/>
      <w:color w:val="666666"/>
      <w:sz w:val="48"/>
      <w:szCs w:val="48"/>
      <w:lang w:val="es-ES" w:eastAsia="es-ES"/>
    </w:rPr>
  </w:style>
  <w:style w:type="paragraph" w:customStyle="1" w:styleId="TableParagraph">
    <w:name w:val="Table Paragraph"/>
    <w:basedOn w:val="Normal"/>
    <w:uiPriority w:val="1"/>
    <w:qFormat/>
    <w:rsid w:val="00952AF3"/>
    <w:pPr>
      <w:widowControl w:val="0"/>
      <w:autoSpaceDE w:val="0"/>
      <w:autoSpaceDN w:val="0"/>
      <w:jc w:val="center"/>
    </w:pPr>
    <w:rPr>
      <w:rFonts w:ascii="Calibri" w:eastAsia="Calibri" w:hAnsi="Calibri"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bAbi86PnC2P2hivuiURX3YIuHQ==">CgMxLjAyDmgubDNkeHU1OTJmc2RwOAByITFHSnhYQVp2aFhPV1d1dGpZa0dxVktoWGVpT2p4OGVrSA==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4</Pages>
  <Words>1109</Words>
  <Characters>6102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carlosfcampos</dc:creator>
  <cp:lastModifiedBy>Miguel Angel Huertas Pineda</cp:lastModifiedBy>
  <cp:revision>61</cp:revision>
  <cp:lastPrinted>2025-05-28T02:36:00Z</cp:lastPrinted>
  <dcterms:created xsi:type="dcterms:W3CDTF">2026-03-30T23:01:00Z</dcterms:created>
  <dcterms:modified xsi:type="dcterms:W3CDTF">2026-10-07T16:19:00Z</dcterms:modified>
</cp:coreProperties>
</file>