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2B88436" w14:textId="77777777" w:rsidR="00363892" w:rsidRDefault="005E4FA6">
      <w:pPr>
        <w:jc w:val="center"/>
        <w:rPr>
          <w:rFonts w:ascii="Verdana" w:eastAsia="Verdana" w:hAnsi="Verdana" w:cs="Verdana"/>
          <w:sz w:val="20"/>
          <w:szCs w:val="20"/>
        </w:rPr>
      </w:pPr>
      <w:r>
        <w:rPr>
          <w:rFonts w:ascii="Verdana" w:eastAsia="Verdana" w:hAnsi="Verdana" w:cs="Verdana"/>
          <w:b/>
          <w:bCs/>
          <w:u w:val="single"/>
        </w:rPr>
        <w:t>EXISTENCIA DE ACUERDOS COMERCIALES</w:t>
      </w:r>
    </w:p>
    <w:p w14:paraId="5BB4FD22" w14:textId="77777777" w:rsidR="00363892" w:rsidRDefault="005E4FA6">
      <w:p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sz w:val="20"/>
          <w:szCs w:val="20"/>
        </w:rPr>
        <w:t>ACUERDO INTERNACIONAL O TRATADO DE LIBRE COMERCIO De conformidad con lo establecido en el numeral 8º del artículo 2.2.1.1.2.1.1. del Decreto 1082 de 2015 y el “Manual para el Manejo de los Acuerdos Comerciales en los Procesos de Contratación Versión MMACPC-14” expedido por Colombia Compra Eficiente, el SGC efectuó el análisis correspondiente al respectivo proceso de contratación aplicando las siguientes reglas en orden consecutivo:</w:t>
      </w:r>
    </w:p>
    <w:p w14:paraId="495FE24F" w14:textId="77777777" w:rsidR="00363892" w:rsidRDefault="005E4FA6">
      <w:p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b/>
          <w:bCs/>
          <w:sz w:val="20"/>
          <w:szCs w:val="20"/>
        </w:rPr>
        <w:t xml:space="preserve">Regla 1: </w:t>
      </w:r>
      <w:r>
        <w:rPr>
          <w:rFonts w:ascii="Verdana" w:eastAsia="Verdana" w:hAnsi="Verdana" w:cs="Verdana"/>
          <w:sz w:val="20"/>
          <w:szCs w:val="20"/>
        </w:rPr>
        <w:t>La Entidad debe verificar que el tratado esté vigente. Si el Acuerdo Comercial no está en vigor, no le es aplicable al Proceso de Contratación.</w:t>
      </w:r>
    </w:p>
    <w:p w14:paraId="7E79CC2F" w14:textId="77777777" w:rsidR="00363892" w:rsidRDefault="00363892">
      <w:pPr>
        <w:pBdr>
          <w:top w:val="nil"/>
          <w:left w:val="nil"/>
          <w:bottom w:val="nil"/>
          <w:right w:val="nil"/>
          <w:between w:val="nil"/>
        </w:pBdr>
        <w:spacing w:after="0" w:line="240" w:lineRule="auto"/>
        <w:jc w:val="both"/>
        <w:rPr>
          <w:rFonts w:ascii="Verdana" w:eastAsia="Verdana" w:hAnsi="Verdana" w:cs="Verdana"/>
          <w:sz w:val="20"/>
          <w:szCs w:val="20"/>
        </w:rPr>
      </w:pPr>
    </w:p>
    <w:p w14:paraId="219B1EF6" w14:textId="77777777" w:rsidR="00363892" w:rsidRDefault="005E4FA6">
      <w:p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b/>
          <w:bCs/>
          <w:sz w:val="20"/>
          <w:szCs w:val="20"/>
        </w:rPr>
        <w:t xml:space="preserve">Regla 2: </w:t>
      </w:r>
      <w:r>
        <w:rPr>
          <w:rFonts w:ascii="Verdana" w:eastAsia="Verdana" w:hAnsi="Verdana" w:cs="Verdana"/>
          <w:sz w:val="20"/>
          <w:szCs w:val="20"/>
        </w:rPr>
        <w:t>La Entidad debe verificar si está incluida en la Lista de Entidades Estatales dispuesta en el Acuerdo Comercial (ver Anexos 1, 2 y 3 según orden territorial). Si la Entidad lo está, el Proceso de Contratación, en principio, está cubierto por este y, en consecuencia, es necesario continuar con la siguiente regla.</w:t>
      </w:r>
    </w:p>
    <w:p w14:paraId="56FF8ED2" w14:textId="77777777" w:rsidR="00363892" w:rsidRDefault="00363892">
      <w:pPr>
        <w:pBdr>
          <w:top w:val="nil"/>
          <w:left w:val="nil"/>
          <w:bottom w:val="nil"/>
          <w:right w:val="nil"/>
          <w:between w:val="nil"/>
        </w:pBdr>
        <w:spacing w:after="0" w:line="240" w:lineRule="auto"/>
        <w:jc w:val="both"/>
        <w:rPr>
          <w:rFonts w:ascii="Verdana" w:eastAsia="Verdana" w:hAnsi="Verdana" w:cs="Verdana"/>
          <w:sz w:val="20"/>
          <w:szCs w:val="20"/>
        </w:rPr>
      </w:pPr>
    </w:p>
    <w:p w14:paraId="2516E4C2" w14:textId="77777777" w:rsidR="00363892" w:rsidRDefault="005E4FA6">
      <w:p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sz w:val="20"/>
          <w:szCs w:val="20"/>
        </w:rPr>
        <w:t>En el evento en que la entidad no esté cubierta por el Acuerdo Comercial, en principio, el Proceso de Contratación no estará cobijado por el mismo y, por tanto, no es necesario continuar con análisis adicional alguno.</w:t>
      </w:r>
    </w:p>
    <w:p w14:paraId="7A52B17A" w14:textId="77777777" w:rsidR="00363892" w:rsidRDefault="00363892">
      <w:pPr>
        <w:pBdr>
          <w:top w:val="nil"/>
          <w:left w:val="nil"/>
          <w:bottom w:val="nil"/>
          <w:right w:val="nil"/>
          <w:between w:val="nil"/>
        </w:pBdr>
        <w:spacing w:after="0" w:line="240" w:lineRule="auto"/>
        <w:jc w:val="both"/>
        <w:rPr>
          <w:rFonts w:ascii="Verdana" w:eastAsia="Verdana" w:hAnsi="Verdana" w:cs="Verdana"/>
          <w:sz w:val="20"/>
          <w:szCs w:val="20"/>
        </w:rPr>
      </w:pPr>
    </w:p>
    <w:p w14:paraId="516F8EB4" w14:textId="77777777" w:rsidR="00363892" w:rsidRDefault="005E4FA6">
      <w:p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sz w:val="20"/>
          <w:szCs w:val="20"/>
        </w:rPr>
        <w:t>En todo caso, debe tenerse en cuenta que algunos Acuerdos Comerciales incorporan obligaciones de Trato Nacional para entidades que en principio no están obligadas a aplicar todas las disposiciones del Acuerdo Comercial (ver sección sobre Trato Nacional).</w:t>
      </w:r>
    </w:p>
    <w:p w14:paraId="3FC2731F" w14:textId="77777777" w:rsidR="00363892" w:rsidRDefault="00363892">
      <w:pPr>
        <w:pBdr>
          <w:top w:val="nil"/>
          <w:left w:val="nil"/>
          <w:bottom w:val="nil"/>
          <w:right w:val="nil"/>
          <w:between w:val="nil"/>
        </w:pBdr>
        <w:spacing w:after="0" w:line="240" w:lineRule="auto"/>
        <w:jc w:val="both"/>
        <w:rPr>
          <w:rFonts w:ascii="Verdana" w:eastAsia="Verdana" w:hAnsi="Verdana" w:cs="Verdana"/>
          <w:sz w:val="20"/>
          <w:szCs w:val="20"/>
        </w:rPr>
      </w:pPr>
    </w:p>
    <w:p w14:paraId="21C73D09" w14:textId="77777777" w:rsidR="00363892" w:rsidRDefault="005E4FA6">
      <w:p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b/>
          <w:bCs/>
          <w:sz w:val="20"/>
          <w:szCs w:val="20"/>
        </w:rPr>
        <w:t xml:space="preserve">Regla 3: </w:t>
      </w:r>
      <w:r>
        <w:rPr>
          <w:rFonts w:ascii="Verdana" w:eastAsia="Verdana" w:hAnsi="Verdana" w:cs="Verdana"/>
          <w:sz w:val="20"/>
          <w:szCs w:val="20"/>
        </w:rPr>
        <w:t>Si la Entidad Estatal está incluida en el Acuerdo Comercial, esta debe verificar que el presupuesto oficial estimado del Proceso de Contratación sea igual o superior al umbral a partir del cual el Acuerdo Comercial es aplicable; en dicho caso, el Proceso de Contratación, en principio, estará cubierto por el Acuerdo Comercial y, en consecuencia, la Entidad deberá observarlo.</w:t>
      </w:r>
    </w:p>
    <w:p w14:paraId="737D54C3" w14:textId="77777777" w:rsidR="00363892" w:rsidRDefault="00363892">
      <w:pPr>
        <w:pBdr>
          <w:top w:val="nil"/>
          <w:left w:val="nil"/>
          <w:bottom w:val="nil"/>
          <w:right w:val="nil"/>
          <w:between w:val="nil"/>
        </w:pBdr>
        <w:spacing w:after="0" w:line="240" w:lineRule="auto"/>
        <w:jc w:val="both"/>
        <w:rPr>
          <w:rFonts w:ascii="Verdana" w:eastAsia="Verdana" w:hAnsi="Verdana" w:cs="Verdana"/>
          <w:sz w:val="20"/>
          <w:szCs w:val="20"/>
        </w:rPr>
      </w:pPr>
    </w:p>
    <w:p w14:paraId="2A29BC85" w14:textId="77777777" w:rsidR="00363892" w:rsidRDefault="005E4FA6">
      <w:p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b/>
          <w:bCs/>
          <w:sz w:val="20"/>
          <w:szCs w:val="20"/>
        </w:rPr>
        <w:t xml:space="preserve">Regla 4: </w:t>
      </w:r>
      <w:r>
        <w:rPr>
          <w:rFonts w:ascii="Verdana" w:eastAsia="Verdana" w:hAnsi="Verdana" w:cs="Verdana"/>
          <w:sz w:val="20"/>
          <w:szCs w:val="20"/>
        </w:rPr>
        <w:t>Si la Entidad Estatal está incluida en el Acuerdo Comercial y el valor estimado del Proceso de Contratación es igual o superior al umbral a partir del cual el Acuerdo Comercial es aplicable, la Entidad Estatal debe determinar si hay excepciones que cobijen al Proceso de Contratación (Ver anexo 4)</w:t>
      </w:r>
    </w:p>
    <w:p w14:paraId="1E320193" w14:textId="77777777" w:rsidR="00363892" w:rsidRDefault="00363892">
      <w:pPr>
        <w:pBdr>
          <w:top w:val="nil"/>
          <w:left w:val="nil"/>
          <w:bottom w:val="nil"/>
          <w:right w:val="nil"/>
          <w:between w:val="nil"/>
        </w:pBdr>
        <w:spacing w:after="0" w:line="240" w:lineRule="auto"/>
        <w:jc w:val="both"/>
        <w:rPr>
          <w:rFonts w:ascii="Verdana" w:eastAsia="Verdana" w:hAnsi="Verdana" w:cs="Verdana"/>
          <w:sz w:val="20"/>
          <w:szCs w:val="20"/>
        </w:rPr>
      </w:pPr>
    </w:p>
    <w:p w14:paraId="7F733446" w14:textId="77777777" w:rsidR="00363892" w:rsidRDefault="005E4FA6">
      <w:pPr>
        <w:pBdr>
          <w:top w:val="nil"/>
          <w:left w:val="nil"/>
          <w:bottom w:val="nil"/>
          <w:right w:val="nil"/>
          <w:between w:val="nil"/>
        </w:pBdr>
        <w:spacing w:after="0" w:line="240" w:lineRule="auto"/>
        <w:jc w:val="both"/>
        <w:rPr>
          <w:rFonts w:ascii="Verdana" w:eastAsia="Verdana" w:hAnsi="Verdana" w:cs="Verdana"/>
          <w:sz w:val="20"/>
          <w:szCs w:val="20"/>
        </w:rPr>
      </w:pPr>
      <w:r>
        <w:rPr>
          <w:rFonts w:ascii="Verdana" w:eastAsia="Verdana" w:hAnsi="Verdana" w:cs="Verdana"/>
          <w:sz w:val="20"/>
          <w:szCs w:val="20"/>
        </w:rPr>
        <w:t>Si hay excepciones aplicables al Proceso de Contratación, el Acuerdo Comercial no lo regirá. Si no hay excepciones, el Acuerdo Comercial cobijará al Proceso de Contratación.</w:t>
      </w:r>
    </w:p>
    <w:p w14:paraId="01A95366" w14:textId="77777777" w:rsidR="00363892" w:rsidRDefault="00363892">
      <w:pPr>
        <w:pBdr>
          <w:top w:val="nil"/>
          <w:left w:val="nil"/>
          <w:bottom w:val="nil"/>
          <w:right w:val="nil"/>
          <w:between w:val="nil"/>
        </w:pBdr>
        <w:spacing w:after="0" w:line="240" w:lineRule="auto"/>
        <w:jc w:val="both"/>
        <w:rPr>
          <w:rFonts w:ascii="Verdana" w:eastAsia="Verdana" w:hAnsi="Verdana" w:cs="Verdana"/>
          <w:sz w:val="20"/>
          <w:szCs w:val="20"/>
        </w:rPr>
      </w:pPr>
    </w:p>
    <w:tbl>
      <w:tblPr>
        <w:tblW w:w="8400" w:type="dxa"/>
        <w:tblCellMar>
          <w:left w:w="70" w:type="dxa"/>
          <w:right w:w="70" w:type="dxa"/>
        </w:tblCellMar>
        <w:tblLook w:val="04A0" w:firstRow="1" w:lastRow="0" w:firstColumn="1" w:lastColumn="0" w:noHBand="0" w:noVBand="1"/>
      </w:tblPr>
      <w:tblGrid>
        <w:gridCol w:w="1224"/>
        <w:gridCol w:w="1318"/>
        <w:gridCol w:w="1046"/>
        <w:gridCol w:w="936"/>
        <w:gridCol w:w="1292"/>
        <w:gridCol w:w="1292"/>
        <w:gridCol w:w="1292"/>
      </w:tblGrid>
      <w:tr w:rsidR="00F417E6" w:rsidRPr="00F417E6" w14:paraId="408F0DBC" w14:textId="77777777" w:rsidTr="00EF70FB">
        <w:trPr>
          <w:trHeight w:val="1695"/>
        </w:trPr>
        <w:tc>
          <w:tcPr>
            <w:tcW w:w="2542" w:type="dxa"/>
            <w:gridSpan w:val="2"/>
            <w:tcBorders>
              <w:top w:val="single" w:sz="8" w:space="0" w:color="000000"/>
              <w:left w:val="single" w:sz="8" w:space="0" w:color="000000"/>
              <w:bottom w:val="single" w:sz="8" w:space="0" w:color="000000"/>
              <w:right w:val="single" w:sz="8" w:space="0" w:color="000000"/>
            </w:tcBorders>
            <w:shd w:val="clear" w:color="000000" w:fill="B4C6E7"/>
            <w:vAlign w:val="center"/>
            <w:hideMark/>
          </w:tcPr>
          <w:p w14:paraId="57F12E2B"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Acuerdo Comercial</w:t>
            </w:r>
          </w:p>
        </w:tc>
        <w:tc>
          <w:tcPr>
            <w:tcW w:w="1046" w:type="dxa"/>
            <w:tcBorders>
              <w:top w:val="single" w:sz="8" w:space="0" w:color="000000"/>
              <w:left w:val="nil"/>
              <w:bottom w:val="single" w:sz="8" w:space="0" w:color="000000"/>
              <w:right w:val="single" w:sz="8" w:space="0" w:color="000000"/>
            </w:tcBorders>
            <w:shd w:val="clear" w:color="000000" w:fill="B4C6E7"/>
            <w:vAlign w:val="center"/>
            <w:hideMark/>
          </w:tcPr>
          <w:p w14:paraId="5A8517B7"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¿Vigente?</w:t>
            </w:r>
          </w:p>
        </w:tc>
        <w:tc>
          <w:tcPr>
            <w:tcW w:w="936" w:type="dxa"/>
            <w:tcBorders>
              <w:top w:val="single" w:sz="8" w:space="0" w:color="000000"/>
              <w:left w:val="nil"/>
              <w:bottom w:val="single" w:sz="8" w:space="0" w:color="000000"/>
              <w:right w:val="single" w:sz="8" w:space="0" w:color="000000"/>
            </w:tcBorders>
            <w:shd w:val="clear" w:color="000000" w:fill="B4C6E7"/>
            <w:vAlign w:val="center"/>
            <w:hideMark/>
          </w:tcPr>
          <w:p w14:paraId="3EEBA298"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Entidad Estatal Cubierta</w:t>
            </w:r>
          </w:p>
        </w:tc>
        <w:tc>
          <w:tcPr>
            <w:tcW w:w="1292" w:type="dxa"/>
            <w:tcBorders>
              <w:top w:val="single" w:sz="8" w:space="0" w:color="000000"/>
              <w:left w:val="nil"/>
              <w:bottom w:val="single" w:sz="8" w:space="0" w:color="000000"/>
              <w:right w:val="single" w:sz="8" w:space="0" w:color="000000"/>
            </w:tcBorders>
            <w:shd w:val="clear" w:color="000000" w:fill="B4C6E7"/>
            <w:vAlign w:val="center"/>
            <w:hideMark/>
          </w:tcPr>
          <w:p w14:paraId="70C97642"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Valor del proceso de Contratación superior al umbral del Acuerdo Comercial</w:t>
            </w:r>
          </w:p>
        </w:tc>
        <w:tc>
          <w:tcPr>
            <w:tcW w:w="1292" w:type="dxa"/>
            <w:tcBorders>
              <w:top w:val="single" w:sz="8" w:space="0" w:color="000000"/>
              <w:left w:val="nil"/>
              <w:bottom w:val="single" w:sz="8" w:space="0" w:color="000000"/>
              <w:right w:val="single" w:sz="8" w:space="0" w:color="000000"/>
            </w:tcBorders>
            <w:shd w:val="clear" w:color="000000" w:fill="B4C6E7"/>
            <w:vAlign w:val="center"/>
            <w:hideMark/>
          </w:tcPr>
          <w:p w14:paraId="7BCAC865"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Excepción Aplicable al Proceso de Contratación</w:t>
            </w:r>
          </w:p>
        </w:tc>
        <w:tc>
          <w:tcPr>
            <w:tcW w:w="1292" w:type="dxa"/>
            <w:tcBorders>
              <w:top w:val="single" w:sz="8" w:space="0" w:color="000000"/>
              <w:left w:val="nil"/>
              <w:bottom w:val="single" w:sz="8" w:space="0" w:color="000000"/>
              <w:right w:val="single" w:sz="8" w:space="0" w:color="000000"/>
            </w:tcBorders>
            <w:shd w:val="clear" w:color="000000" w:fill="B4C6E7"/>
            <w:vAlign w:val="center"/>
            <w:hideMark/>
          </w:tcPr>
          <w:p w14:paraId="2D76C5CD"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Proceso de Contratación cubierto por el Acuerdo Comercial</w:t>
            </w:r>
          </w:p>
        </w:tc>
      </w:tr>
      <w:tr w:rsidR="00F417E6" w:rsidRPr="00F417E6" w14:paraId="5C28F3F6" w14:textId="77777777" w:rsidTr="00EF70FB">
        <w:trPr>
          <w:trHeight w:val="315"/>
        </w:trPr>
        <w:tc>
          <w:tcPr>
            <w:tcW w:w="1224" w:type="dxa"/>
            <w:tcBorders>
              <w:top w:val="nil"/>
              <w:left w:val="single" w:sz="8" w:space="0" w:color="000000"/>
              <w:bottom w:val="single" w:sz="8" w:space="0" w:color="000000"/>
              <w:right w:val="single" w:sz="8" w:space="0" w:color="000000"/>
            </w:tcBorders>
            <w:shd w:val="clear" w:color="000000" w:fill="D9E2F3"/>
            <w:vAlign w:val="center"/>
            <w:hideMark/>
          </w:tcPr>
          <w:p w14:paraId="4B0EAAFB"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 </w:t>
            </w:r>
          </w:p>
        </w:tc>
        <w:tc>
          <w:tcPr>
            <w:tcW w:w="1318" w:type="dxa"/>
            <w:tcBorders>
              <w:top w:val="nil"/>
              <w:left w:val="nil"/>
              <w:bottom w:val="single" w:sz="8" w:space="0" w:color="000000"/>
              <w:right w:val="single" w:sz="8" w:space="0" w:color="000000"/>
            </w:tcBorders>
            <w:shd w:val="clear" w:color="000000" w:fill="D9E2F3"/>
            <w:vAlign w:val="center"/>
            <w:hideMark/>
          </w:tcPr>
          <w:p w14:paraId="0CC2362E"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 </w:t>
            </w:r>
          </w:p>
        </w:tc>
        <w:tc>
          <w:tcPr>
            <w:tcW w:w="1046" w:type="dxa"/>
            <w:tcBorders>
              <w:top w:val="nil"/>
              <w:left w:val="nil"/>
              <w:bottom w:val="single" w:sz="8" w:space="0" w:color="000000"/>
              <w:right w:val="single" w:sz="8" w:space="0" w:color="000000"/>
            </w:tcBorders>
            <w:shd w:val="clear" w:color="000000" w:fill="D9E2F3"/>
            <w:vAlign w:val="center"/>
            <w:hideMark/>
          </w:tcPr>
          <w:p w14:paraId="11A531C5"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 </w:t>
            </w:r>
          </w:p>
        </w:tc>
        <w:tc>
          <w:tcPr>
            <w:tcW w:w="936" w:type="dxa"/>
            <w:tcBorders>
              <w:top w:val="nil"/>
              <w:left w:val="nil"/>
              <w:bottom w:val="single" w:sz="8" w:space="0" w:color="000000"/>
              <w:right w:val="single" w:sz="8" w:space="0" w:color="000000"/>
            </w:tcBorders>
            <w:shd w:val="clear" w:color="000000" w:fill="D9E2F3"/>
            <w:vAlign w:val="center"/>
            <w:hideMark/>
          </w:tcPr>
          <w:p w14:paraId="097308BE"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Si/No</w:t>
            </w:r>
          </w:p>
        </w:tc>
        <w:tc>
          <w:tcPr>
            <w:tcW w:w="1292" w:type="dxa"/>
            <w:tcBorders>
              <w:top w:val="nil"/>
              <w:left w:val="nil"/>
              <w:bottom w:val="single" w:sz="8" w:space="0" w:color="000000"/>
              <w:right w:val="single" w:sz="8" w:space="0" w:color="000000"/>
            </w:tcBorders>
            <w:shd w:val="clear" w:color="000000" w:fill="D9E2F3"/>
            <w:vAlign w:val="center"/>
            <w:hideMark/>
          </w:tcPr>
          <w:p w14:paraId="1D232104"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Si/No</w:t>
            </w:r>
          </w:p>
        </w:tc>
        <w:tc>
          <w:tcPr>
            <w:tcW w:w="1292" w:type="dxa"/>
            <w:tcBorders>
              <w:top w:val="nil"/>
              <w:left w:val="nil"/>
              <w:bottom w:val="single" w:sz="8" w:space="0" w:color="000000"/>
              <w:right w:val="single" w:sz="8" w:space="0" w:color="000000"/>
            </w:tcBorders>
            <w:shd w:val="clear" w:color="000000" w:fill="D9E2F3"/>
            <w:vAlign w:val="center"/>
            <w:hideMark/>
          </w:tcPr>
          <w:p w14:paraId="67B64E93"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Si/No</w:t>
            </w:r>
          </w:p>
        </w:tc>
        <w:tc>
          <w:tcPr>
            <w:tcW w:w="1292" w:type="dxa"/>
            <w:tcBorders>
              <w:top w:val="nil"/>
              <w:left w:val="nil"/>
              <w:bottom w:val="single" w:sz="8" w:space="0" w:color="000000"/>
              <w:right w:val="single" w:sz="8" w:space="0" w:color="000000"/>
            </w:tcBorders>
            <w:shd w:val="clear" w:color="000000" w:fill="D9E2F3"/>
            <w:vAlign w:val="center"/>
            <w:hideMark/>
          </w:tcPr>
          <w:p w14:paraId="57F1391D"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Si/No</w:t>
            </w:r>
          </w:p>
        </w:tc>
      </w:tr>
      <w:tr w:rsidR="00F417E6" w:rsidRPr="00F417E6" w14:paraId="77A06609" w14:textId="77777777" w:rsidTr="00EF70FB">
        <w:trPr>
          <w:trHeight w:val="315"/>
        </w:trPr>
        <w:tc>
          <w:tcPr>
            <w:tcW w:w="1224" w:type="dxa"/>
            <w:tcBorders>
              <w:top w:val="nil"/>
              <w:left w:val="single" w:sz="8" w:space="0" w:color="000000"/>
              <w:bottom w:val="nil"/>
              <w:right w:val="single" w:sz="8" w:space="0" w:color="000000"/>
            </w:tcBorders>
            <w:vAlign w:val="center"/>
            <w:hideMark/>
          </w:tcPr>
          <w:p w14:paraId="2A2409D2"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 </w:t>
            </w:r>
          </w:p>
        </w:tc>
        <w:tc>
          <w:tcPr>
            <w:tcW w:w="1318" w:type="dxa"/>
            <w:tcBorders>
              <w:top w:val="nil"/>
              <w:left w:val="nil"/>
              <w:bottom w:val="single" w:sz="8" w:space="0" w:color="000000"/>
              <w:right w:val="single" w:sz="8" w:space="0" w:color="000000"/>
            </w:tcBorders>
            <w:vAlign w:val="center"/>
            <w:hideMark/>
          </w:tcPr>
          <w:p w14:paraId="439994E1"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Chile</w:t>
            </w:r>
          </w:p>
        </w:tc>
        <w:tc>
          <w:tcPr>
            <w:tcW w:w="1046" w:type="dxa"/>
            <w:tcBorders>
              <w:top w:val="nil"/>
              <w:left w:val="nil"/>
              <w:bottom w:val="single" w:sz="8" w:space="0" w:color="000000"/>
              <w:right w:val="single" w:sz="8" w:space="0" w:color="000000"/>
            </w:tcBorders>
            <w:vAlign w:val="center"/>
            <w:hideMark/>
          </w:tcPr>
          <w:p w14:paraId="75F16289"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485E2A10"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1292" w:type="dxa"/>
            <w:tcBorders>
              <w:top w:val="nil"/>
              <w:left w:val="nil"/>
              <w:bottom w:val="single" w:sz="8" w:space="0" w:color="000000"/>
              <w:right w:val="single" w:sz="8" w:space="0" w:color="000000"/>
            </w:tcBorders>
            <w:vAlign w:val="center"/>
            <w:hideMark/>
          </w:tcPr>
          <w:p w14:paraId="5F80913C"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1292" w:type="dxa"/>
            <w:tcBorders>
              <w:top w:val="nil"/>
              <w:left w:val="nil"/>
              <w:bottom w:val="single" w:sz="8" w:space="0" w:color="000000"/>
              <w:right w:val="single" w:sz="8" w:space="0" w:color="000000"/>
            </w:tcBorders>
            <w:vAlign w:val="center"/>
            <w:hideMark/>
          </w:tcPr>
          <w:p w14:paraId="62509A70"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4941AD41"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r>
      <w:tr w:rsidR="00F417E6" w:rsidRPr="00F417E6" w14:paraId="67077E90" w14:textId="77777777" w:rsidTr="00EF70FB">
        <w:trPr>
          <w:trHeight w:val="435"/>
        </w:trPr>
        <w:tc>
          <w:tcPr>
            <w:tcW w:w="1224" w:type="dxa"/>
            <w:tcBorders>
              <w:top w:val="nil"/>
              <w:left w:val="single" w:sz="8" w:space="0" w:color="000000"/>
              <w:bottom w:val="nil"/>
              <w:right w:val="single" w:sz="8" w:space="0" w:color="000000"/>
            </w:tcBorders>
            <w:vAlign w:val="center"/>
            <w:hideMark/>
          </w:tcPr>
          <w:p w14:paraId="5F7755CA"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Alianza Pacífico</w:t>
            </w:r>
          </w:p>
        </w:tc>
        <w:tc>
          <w:tcPr>
            <w:tcW w:w="1318" w:type="dxa"/>
            <w:tcBorders>
              <w:top w:val="nil"/>
              <w:left w:val="nil"/>
              <w:bottom w:val="single" w:sz="8" w:space="0" w:color="000000"/>
              <w:right w:val="single" w:sz="8" w:space="0" w:color="000000"/>
            </w:tcBorders>
            <w:vAlign w:val="center"/>
            <w:hideMark/>
          </w:tcPr>
          <w:p w14:paraId="0022FD3B"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México</w:t>
            </w:r>
          </w:p>
        </w:tc>
        <w:tc>
          <w:tcPr>
            <w:tcW w:w="1046" w:type="dxa"/>
            <w:tcBorders>
              <w:top w:val="nil"/>
              <w:left w:val="nil"/>
              <w:bottom w:val="single" w:sz="8" w:space="0" w:color="000000"/>
              <w:right w:val="single" w:sz="8" w:space="0" w:color="000000"/>
            </w:tcBorders>
            <w:vAlign w:val="center"/>
            <w:hideMark/>
          </w:tcPr>
          <w:p w14:paraId="5959618D"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55004300"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1292" w:type="dxa"/>
            <w:tcBorders>
              <w:top w:val="nil"/>
              <w:left w:val="nil"/>
              <w:bottom w:val="single" w:sz="8" w:space="0" w:color="000000"/>
              <w:right w:val="single" w:sz="8" w:space="0" w:color="000000"/>
            </w:tcBorders>
            <w:vAlign w:val="center"/>
            <w:hideMark/>
          </w:tcPr>
          <w:p w14:paraId="06174AFE"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1292" w:type="dxa"/>
            <w:tcBorders>
              <w:top w:val="nil"/>
              <w:left w:val="nil"/>
              <w:bottom w:val="single" w:sz="8" w:space="0" w:color="000000"/>
              <w:right w:val="single" w:sz="8" w:space="0" w:color="000000"/>
            </w:tcBorders>
            <w:vAlign w:val="center"/>
            <w:hideMark/>
          </w:tcPr>
          <w:p w14:paraId="46A4ACA4"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367FFC86"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r>
      <w:tr w:rsidR="00F417E6" w:rsidRPr="00F417E6" w14:paraId="5FF48326" w14:textId="77777777" w:rsidTr="00EF70FB">
        <w:trPr>
          <w:trHeight w:val="315"/>
        </w:trPr>
        <w:tc>
          <w:tcPr>
            <w:tcW w:w="1224" w:type="dxa"/>
            <w:tcBorders>
              <w:top w:val="nil"/>
              <w:left w:val="single" w:sz="8" w:space="0" w:color="000000"/>
              <w:bottom w:val="single" w:sz="8" w:space="0" w:color="000000"/>
              <w:right w:val="single" w:sz="8" w:space="0" w:color="000000"/>
            </w:tcBorders>
            <w:hideMark/>
          </w:tcPr>
          <w:p w14:paraId="258F4B02" w14:textId="77777777" w:rsidR="00F417E6" w:rsidRPr="00F417E6" w:rsidRDefault="00F417E6" w:rsidP="00F417E6">
            <w:pPr>
              <w:spacing w:after="0" w:line="240" w:lineRule="auto"/>
              <w:rPr>
                <w:rFonts w:ascii="Aptos Narrow" w:eastAsia="Times New Roman" w:hAnsi="Aptos Narrow" w:cs="Times New Roman"/>
                <w:color w:val="000000"/>
              </w:rPr>
            </w:pPr>
            <w:r w:rsidRPr="00F417E6">
              <w:rPr>
                <w:rFonts w:ascii="Aptos Narrow" w:eastAsia="Times New Roman" w:hAnsi="Aptos Narrow" w:cs="Times New Roman"/>
                <w:color w:val="000000"/>
              </w:rPr>
              <w:t> </w:t>
            </w:r>
          </w:p>
        </w:tc>
        <w:tc>
          <w:tcPr>
            <w:tcW w:w="1318" w:type="dxa"/>
            <w:tcBorders>
              <w:top w:val="nil"/>
              <w:left w:val="nil"/>
              <w:bottom w:val="single" w:sz="8" w:space="0" w:color="000000"/>
              <w:right w:val="single" w:sz="8" w:space="0" w:color="000000"/>
            </w:tcBorders>
            <w:vAlign w:val="center"/>
            <w:hideMark/>
          </w:tcPr>
          <w:p w14:paraId="053D4666"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Perú</w:t>
            </w:r>
          </w:p>
        </w:tc>
        <w:tc>
          <w:tcPr>
            <w:tcW w:w="1046" w:type="dxa"/>
            <w:tcBorders>
              <w:top w:val="nil"/>
              <w:left w:val="nil"/>
              <w:bottom w:val="single" w:sz="8" w:space="0" w:color="000000"/>
              <w:right w:val="single" w:sz="8" w:space="0" w:color="000000"/>
            </w:tcBorders>
            <w:vAlign w:val="center"/>
            <w:hideMark/>
          </w:tcPr>
          <w:p w14:paraId="1AC27326"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30C84635"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1292" w:type="dxa"/>
            <w:tcBorders>
              <w:top w:val="nil"/>
              <w:left w:val="nil"/>
              <w:bottom w:val="single" w:sz="8" w:space="0" w:color="000000"/>
              <w:right w:val="single" w:sz="8" w:space="0" w:color="000000"/>
            </w:tcBorders>
            <w:vAlign w:val="center"/>
            <w:hideMark/>
          </w:tcPr>
          <w:p w14:paraId="0E3A2B16"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68939793"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012ABF2B"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 xml:space="preserve"> N/A</w:t>
            </w:r>
          </w:p>
        </w:tc>
      </w:tr>
      <w:tr w:rsidR="00F417E6" w:rsidRPr="00F417E6" w14:paraId="2795562A" w14:textId="77777777" w:rsidTr="00EF70FB">
        <w:trPr>
          <w:trHeight w:val="315"/>
        </w:trPr>
        <w:tc>
          <w:tcPr>
            <w:tcW w:w="2542" w:type="dxa"/>
            <w:gridSpan w:val="2"/>
            <w:tcBorders>
              <w:top w:val="single" w:sz="8" w:space="0" w:color="000000"/>
              <w:left w:val="single" w:sz="8" w:space="0" w:color="000000"/>
              <w:bottom w:val="single" w:sz="8" w:space="0" w:color="000000"/>
              <w:right w:val="single" w:sz="8" w:space="0" w:color="000000"/>
            </w:tcBorders>
            <w:vAlign w:val="center"/>
            <w:hideMark/>
          </w:tcPr>
          <w:p w14:paraId="4258414A"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Canadá</w:t>
            </w:r>
          </w:p>
        </w:tc>
        <w:tc>
          <w:tcPr>
            <w:tcW w:w="1046" w:type="dxa"/>
            <w:tcBorders>
              <w:top w:val="nil"/>
              <w:left w:val="nil"/>
              <w:bottom w:val="single" w:sz="8" w:space="0" w:color="000000"/>
              <w:right w:val="single" w:sz="8" w:space="0" w:color="000000"/>
            </w:tcBorders>
            <w:vAlign w:val="center"/>
            <w:hideMark/>
          </w:tcPr>
          <w:p w14:paraId="4ECD9C2F"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40ED8AEB"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73F73D06"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6EECFF58"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150CD007"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 xml:space="preserve"> N/A</w:t>
            </w:r>
          </w:p>
        </w:tc>
      </w:tr>
      <w:tr w:rsidR="00F417E6" w:rsidRPr="00F417E6" w14:paraId="091FE8AA" w14:textId="77777777" w:rsidTr="00EF70FB">
        <w:trPr>
          <w:trHeight w:val="315"/>
        </w:trPr>
        <w:tc>
          <w:tcPr>
            <w:tcW w:w="2542" w:type="dxa"/>
            <w:gridSpan w:val="2"/>
            <w:tcBorders>
              <w:top w:val="single" w:sz="8" w:space="0" w:color="000000"/>
              <w:left w:val="single" w:sz="8" w:space="0" w:color="000000"/>
              <w:bottom w:val="single" w:sz="8" w:space="0" w:color="000000"/>
              <w:right w:val="single" w:sz="8" w:space="0" w:color="000000"/>
            </w:tcBorders>
            <w:vAlign w:val="center"/>
            <w:hideMark/>
          </w:tcPr>
          <w:p w14:paraId="271756E3"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lastRenderedPageBreak/>
              <w:t>Chile</w:t>
            </w:r>
          </w:p>
        </w:tc>
        <w:tc>
          <w:tcPr>
            <w:tcW w:w="1046" w:type="dxa"/>
            <w:tcBorders>
              <w:top w:val="nil"/>
              <w:left w:val="nil"/>
              <w:bottom w:val="single" w:sz="8" w:space="0" w:color="000000"/>
              <w:right w:val="single" w:sz="8" w:space="0" w:color="000000"/>
            </w:tcBorders>
            <w:vAlign w:val="center"/>
            <w:hideMark/>
          </w:tcPr>
          <w:p w14:paraId="456CFCD5"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012C6454"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1F11A20A"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028223F8"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55AA80E6"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r>
      <w:tr w:rsidR="00F417E6" w:rsidRPr="00F417E6" w14:paraId="631B6B9E" w14:textId="77777777" w:rsidTr="00EF70FB">
        <w:trPr>
          <w:trHeight w:val="315"/>
        </w:trPr>
        <w:tc>
          <w:tcPr>
            <w:tcW w:w="2542" w:type="dxa"/>
            <w:gridSpan w:val="2"/>
            <w:tcBorders>
              <w:top w:val="single" w:sz="8" w:space="0" w:color="000000"/>
              <w:left w:val="single" w:sz="8" w:space="0" w:color="000000"/>
              <w:bottom w:val="single" w:sz="8" w:space="0" w:color="000000"/>
              <w:right w:val="single" w:sz="8" w:space="0" w:color="000000"/>
            </w:tcBorders>
            <w:vAlign w:val="center"/>
            <w:hideMark/>
          </w:tcPr>
          <w:p w14:paraId="282D802D"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Corea</w:t>
            </w:r>
          </w:p>
        </w:tc>
        <w:tc>
          <w:tcPr>
            <w:tcW w:w="1046" w:type="dxa"/>
            <w:tcBorders>
              <w:top w:val="nil"/>
              <w:left w:val="nil"/>
              <w:bottom w:val="single" w:sz="8" w:space="0" w:color="000000"/>
              <w:right w:val="single" w:sz="8" w:space="0" w:color="000000"/>
            </w:tcBorders>
            <w:vAlign w:val="center"/>
            <w:hideMark/>
          </w:tcPr>
          <w:p w14:paraId="749AFD96"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78FF4904"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74A12373"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64D9DC80"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14ECFFBB"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r>
      <w:tr w:rsidR="00F417E6" w:rsidRPr="00F417E6" w14:paraId="77A14868" w14:textId="77777777" w:rsidTr="00EF70FB">
        <w:trPr>
          <w:trHeight w:val="315"/>
        </w:trPr>
        <w:tc>
          <w:tcPr>
            <w:tcW w:w="2542" w:type="dxa"/>
            <w:gridSpan w:val="2"/>
            <w:tcBorders>
              <w:top w:val="single" w:sz="8" w:space="0" w:color="000000"/>
              <w:left w:val="single" w:sz="8" w:space="0" w:color="000000"/>
              <w:bottom w:val="single" w:sz="8" w:space="0" w:color="000000"/>
              <w:right w:val="single" w:sz="8" w:space="0" w:color="000000"/>
            </w:tcBorders>
            <w:vAlign w:val="center"/>
            <w:hideMark/>
          </w:tcPr>
          <w:p w14:paraId="2DFC7F91"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Costa Rica</w:t>
            </w:r>
          </w:p>
        </w:tc>
        <w:tc>
          <w:tcPr>
            <w:tcW w:w="1046" w:type="dxa"/>
            <w:tcBorders>
              <w:top w:val="nil"/>
              <w:left w:val="nil"/>
              <w:bottom w:val="single" w:sz="8" w:space="0" w:color="000000"/>
              <w:right w:val="single" w:sz="8" w:space="0" w:color="000000"/>
            </w:tcBorders>
            <w:vAlign w:val="center"/>
            <w:hideMark/>
          </w:tcPr>
          <w:p w14:paraId="4AB6981F"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59F6AAD0"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6703C753"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1702AC39"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5C95BDDA"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r>
      <w:tr w:rsidR="00F417E6" w:rsidRPr="00F417E6" w14:paraId="7860C8B1" w14:textId="77777777" w:rsidTr="00EF70FB">
        <w:trPr>
          <w:trHeight w:val="315"/>
        </w:trPr>
        <w:tc>
          <w:tcPr>
            <w:tcW w:w="2542" w:type="dxa"/>
            <w:gridSpan w:val="2"/>
            <w:tcBorders>
              <w:top w:val="single" w:sz="8" w:space="0" w:color="000000"/>
              <w:left w:val="single" w:sz="8" w:space="0" w:color="000000"/>
              <w:bottom w:val="single" w:sz="8" w:space="0" w:color="000000"/>
              <w:right w:val="single" w:sz="8" w:space="0" w:color="000000"/>
            </w:tcBorders>
            <w:vAlign w:val="center"/>
            <w:hideMark/>
          </w:tcPr>
          <w:p w14:paraId="0163B36C"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Estados Unidos</w:t>
            </w:r>
          </w:p>
        </w:tc>
        <w:tc>
          <w:tcPr>
            <w:tcW w:w="1046" w:type="dxa"/>
            <w:tcBorders>
              <w:top w:val="nil"/>
              <w:left w:val="nil"/>
              <w:bottom w:val="single" w:sz="8" w:space="0" w:color="000000"/>
              <w:right w:val="single" w:sz="8" w:space="0" w:color="000000"/>
            </w:tcBorders>
            <w:vAlign w:val="center"/>
            <w:hideMark/>
          </w:tcPr>
          <w:p w14:paraId="68E6F09A"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7EA930E4"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3BC5842E"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236C9B2D"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1889C53F"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r>
      <w:tr w:rsidR="00F417E6" w:rsidRPr="00F417E6" w14:paraId="4B230732" w14:textId="77777777" w:rsidTr="00EF70FB">
        <w:trPr>
          <w:trHeight w:val="315"/>
        </w:trPr>
        <w:tc>
          <w:tcPr>
            <w:tcW w:w="2542" w:type="dxa"/>
            <w:gridSpan w:val="2"/>
            <w:tcBorders>
              <w:top w:val="single" w:sz="8" w:space="0" w:color="000000"/>
              <w:left w:val="single" w:sz="8" w:space="0" w:color="000000"/>
              <w:bottom w:val="single" w:sz="8" w:space="0" w:color="000000"/>
              <w:right w:val="single" w:sz="8" w:space="0" w:color="000000"/>
            </w:tcBorders>
            <w:vAlign w:val="center"/>
            <w:hideMark/>
          </w:tcPr>
          <w:p w14:paraId="34002118"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Estados AELC</w:t>
            </w:r>
          </w:p>
        </w:tc>
        <w:tc>
          <w:tcPr>
            <w:tcW w:w="1046" w:type="dxa"/>
            <w:tcBorders>
              <w:top w:val="nil"/>
              <w:left w:val="nil"/>
              <w:bottom w:val="single" w:sz="8" w:space="0" w:color="000000"/>
              <w:right w:val="single" w:sz="8" w:space="0" w:color="000000"/>
            </w:tcBorders>
            <w:vAlign w:val="center"/>
            <w:hideMark/>
          </w:tcPr>
          <w:p w14:paraId="040253B0"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685142BA"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1079D7D4"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2D5995F7"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60DAF62D"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r>
      <w:tr w:rsidR="00F417E6" w:rsidRPr="00F417E6" w14:paraId="24AD84E4" w14:textId="77777777" w:rsidTr="00EF70FB">
        <w:trPr>
          <w:trHeight w:val="315"/>
        </w:trPr>
        <w:tc>
          <w:tcPr>
            <w:tcW w:w="2542" w:type="dxa"/>
            <w:gridSpan w:val="2"/>
            <w:tcBorders>
              <w:top w:val="single" w:sz="8" w:space="0" w:color="000000"/>
              <w:left w:val="single" w:sz="8" w:space="0" w:color="000000"/>
              <w:bottom w:val="single" w:sz="8" w:space="0" w:color="000000"/>
              <w:right w:val="single" w:sz="8" w:space="0" w:color="000000"/>
            </w:tcBorders>
            <w:vAlign w:val="center"/>
            <w:hideMark/>
          </w:tcPr>
          <w:p w14:paraId="19D7E3C1"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México</w:t>
            </w:r>
          </w:p>
        </w:tc>
        <w:tc>
          <w:tcPr>
            <w:tcW w:w="1046" w:type="dxa"/>
            <w:tcBorders>
              <w:top w:val="nil"/>
              <w:left w:val="nil"/>
              <w:bottom w:val="single" w:sz="8" w:space="0" w:color="000000"/>
              <w:right w:val="single" w:sz="8" w:space="0" w:color="000000"/>
            </w:tcBorders>
            <w:vAlign w:val="center"/>
            <w:hideMark/>
          </w:tcPr>
          <w:p w14:paraId="0A492DBF"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346CA891"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478B94A6"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50D27334"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349A75FF"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r>
      <w:tr w:rsidR="00F417E6" w:rsidRPr="00F417E6" w14:paraId="4E65641D" w14:textId="77777777" w:rsidTr="00EF70FB">
        <w:trPr>
          <w:trHeight w:val="435"/>
        </w:trPr>
        <w:tc>
          <w:tcPr>
            <w:tcW w:w="1224" w:type="dxa"/>
            <w:vMerge w:val="restart"/>
            <w:tcBorders>
              <w:top w:val="nil"/>
              <w:left w:val="single" w:sz="8" w:space="0" w:color="000000"/>
              <w:bottom w:val="single" w:sz="8" w:space="0" w:color="000000"/>
              <w:right w:val="single" w:sz="8" w:space="0" w:color="000000"/>
            </w:tcBorders>
            <w:vAlign w:val="center"/>
            <w:hideMark/>
          </w:tcPr>
          <w:p w14:paraId="2FCFDCB8"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Triángulo Norte</w:t>
            </w:r>
          </w:p>
        </w:tc>
        <w:tc>
          <w:tcPr>
            <w:tcW w:w="1318" w:type="dxa"/>
            <w:tcBorders>
              <w:top w:val="nil"/>
              <w:left w:val="nil"/>
              <w:bottom w:val="single" w:sz="8" w:space="0" w:color="000000"/>
              <w:right w:val="single" w:sz="8" w:space="0" w:color="000000"/>
            </w:tcBorders>
            <w:vAlign w:val="center"/>
            <w:hideMark/>
          </w:tcPr>
          <w:p w14:paraId="54535A08"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El Salvador</w:t>
            </w:r>
          </w:p>
        </w:tc>
        <w:tc>
          <w:tcPr>
            <w:tcW w:w="1046" w:type="dxa"/>
            <w:tcBorders>
              <w:top w:val="nil"/>
              <w:left w:val="nil"/>
              <w:bottom w:val="single" w:sz="8" w:space="0" w:color="000000"/>
              <w:right w:val="single" w:sz="8" w:space="0" w:color="000000"/>
            </w:tcBorders>
            <w:vAlign w:val="center"/>
            <w:hideMark/>
          </w:tcPr>
          <w:p w14:paraId="1CB1C0EC"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6A42D34E"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1292" w:type="dxa"/>
            <w:tcBorders>
              <w:top w:val="nil"/>
              <w:left w:val="nil"/>
              <w:bottom w:val="single" w:sz="8" w:space="0" w:color="000000"/>
              <w:right w:val="single" w:sz="8" w:space="0" w:color="000000"/>
            </w:tcBorders>
            <w:vAlign w:val="center"/>
            <w:hideMark/>
          </w:tcPr>
          <w:p w14:paraId="20B152AC"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4DBD4336"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70C84754" w14:textId="0A4BCC64" w:rsidR="00F417E6" w:rsidRPr="00F417E6" w:rsidRDefault="005E4FA6" w:rsidP="00F417E6">
            <w:pPr>
              <w:spacing w:after="0" w:line="240" w:lineRule="auto"/>
              <w:jc w:val="center"/>
              <w:rPr>
                <w:rFonts w:ascii="Verdana" w:eastAsia="Times New Roman" w:hAnsi="Verdana" w:cs="Times New Roman"/>
                <w:color w:val="000000"/>
                <w:sz w:val="16"/>
                <w:szCs w:val="16"/>
              </w:rPr>
            </w:pPr>
            <w:r>
              <w:rPr>
                <w:rFonts w:ascii="Verdana" w:eastAsia="Times New Roman" w:hAnsi="Verdana" w:cs="Times New Roman"/>
                <w:color w:val="000000"/>
                <w:sz w:val="16"/>
                <w:szCs w:val="16"/>
              </w:rPr>
              <w:t>SI</w:t>
            </w:r>
          </w:p>
        </w:tc>
      </w:tr>
      <w:tr w:rsidR="00F417E6" w:rsidRPr="00F417E6" w14:paraId="5DE4DF98" w14:textId="77777777" w:rsidTr="00EF70FB">
        <w:trPr>
          <w:trHeight w:val="315"/>
        </w:trPr>
        <w:tc>
          <w:tcPr>
            <w:tcW w:w="1224" w:type="dxa"/>
            <w:vMerge/>
            <w:tcBorders>
              <w:top w:val="nil"/>
              <w:left w:val="single" w:sz="8" w:space="0" w:color="000000"/>
              <w:bottom w:val="single" w:sz="8" w:space="0" w:color="000000"/>
              <w:right w:val="single" w:sz="8" w:space="0" w:color="000000"/>
            </w:tcBorders>
            <w:vAlign w:val="center"/>
            <w:hideMark/>
          </w:tcPr>
          <w:p w14:paraId="22BE9D74" w14:textId="77777777" w:rsidR="00F417E6" w:rsidRPr="00F417E6" w:rsidRDefault="00F417E6" w:rsidP="00F417E6">
            <w:pPr>
              <w:spacing w:after="0" w:line="240" w:lineRule="auto"/>
              <w:rPr>
                <w:rFonts w:ascii="Verdana" w:eastAsia="Times New Roman" w:hAnsi="Verdana" w:cs="Times New Roman"/>
                <w:b/>
                <w:bCs/>
                <w:color w:val="000000"/>
                <w:sz w:val="16"/>
                <w:szCs w:val="16"/>
              </w:rPr>
            </w:pPr>
          </w:p>
        </w:tc>
        <w:tc>
          <w:tcPr>
            <w:tcW w:w="1318" w:type="dxa"/>
            <w:tcBorders>
              <w:top w:val="nil"/>
              <w:left w:val="nil"/>
              <w:bottom w:val="single" w:sz="8" w:space="0" w:color="000000"/>
              <w:right w:val="single" w:sz="8" w:space="0" w:color="000000"/>
            </w:tcBorders>
            <w:vAlign w:val="center"/>
            <w:hideMark/>
          </w:tcPr>
          <w:p w14:paraId="05AB3AB8"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Guatemala</w:t>
            </w:r>
          </w:p>
        </w:tc>
        <w:tc>
          <w:tcPr>
            <w:tcW w:w="1046" w:type="dxa"/>
            <w:tcBorders>
              <w:top w:val="nil"/>
              <w:left w:val="nil"/>
              <w:bottom w:val="single" w:sz="8" w:space="0" w:color="000000"/>
              <w:right w:val="single" w:sz="8" w:space="0" w:color="000000"/>
            </w:tcBorders>
            <w:vAlign w:val="center"/>
            <w:hideMark/>
          </w:tcPr>
          <w:p w14:paraId="14F85493"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15D159EE"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1292" w:type="dxa"/>
            <w:tcBorders>
              <w:top w:val="nil"/>
              <w:left w:val="nil"/>
              <w:bottom w:val="single" w:sz="8" w:space="0" w:color="000000"/>
              <w:right w:val="single" w:sz="8" w:space="0" w:color="000000"/>
            </w:tcBorders>
            <w:vAlign w:val="center"/>
            <w:hideMark/>
          </w:tcPr>
          <w:p w14:paraId="1B73C0BA"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42B55B10"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42735732" w14:textId="0E4C578D" w:rsidR="00F417E6" w:rsidRPr="00F417E6" w:rsidRDefault="005E4FA6" w:rsidP="00F417E6">
            <w:pPr>
              <w:spacing w:after="0" w:line="240" w:lineRule="auto"/>
              <w:jc w:val="center"/>
              <w:rPr>
                <w:rFonts w:ascii="Verdana" w:eastAsia="Times New Roman" w:hAnsi="Verdana" w:cs="Times New Roman"/>
                <w:color w:val="000000"/>
                <w:sz w:val="16"/>
                <w:szCs w:val="16"/>
              </w:rPr>
            </w:pPr>
            <w:r>
              <w:rPr>
                <w:rFonts w:ascii="Verdana" w:eastAsia="Times New Roman" w:hAnsi="Verdana" w:cs="Times New Roman"/>
                <w:color w:val="000000"/>
                <w:sz w:val="16"/>
                <w:szCs w:val="16"/>
              </w:rPr>
              <w:t>SI</w:t>
            </w:r>
          </w:p>
        </w:tc>
      </w:tr>
      <w:tr w:rsidR="00F417E6" w:rsidRPr="00F417E6" w14:paraId="1C6CF26B" w14:textId="77777777" w:rsidTr="00EF70FB">
        <w:trPr>
          <w:trHeight w:val="315"/>
        </w:trPr>
        <w:tc>
          <w:tcPr>
            <w:tcW w:w="1224" w:type="dxa"/>
            <w:vMerge/>
            <w:tcBorders>
              <w:top w:val="nil"/>
              <w:left w:val="single" w:sz="8" w:space="0" w:color="000000"/>
              <w:bottom w:val="single" w:sz="8" w:space="0" w:color="000000"/>
              <w:right w:val="single" w:sz="8" w:space="0" w:color="000000"/>
            </w:tcBorders>
            <w:vAlign w:val="center"/>
            <w:hideMark/>
          </w:tcPr>
          <w:p w14:paraId="3062C088" w14:textId="77777777" w:rsidR="00F417E6" w:rsidRPr="00F417E6" w:rsidRDefault="00F417E6" w:rsidP="00F417E6">
            <w:pPr>
              <w:spacing w:after="0" w:line="240" w:lineRule="auto"/>
              <w:rPr>
                <w:rFonts w:ascii="Verdana" w:eastAsia="Times New Roman" w:hAnsi="Verdana" w:cs="Times New Roman"/>
                <w:b/>
                <w:bCs/>
                <w:color w:val="000000"/>
                <w:sz w:val="16"/>
                <w:szCs w:val="16"/>
              </w:rPr>
            </w:pPr>
          </w:p>
        </w:tc>
        <w:tc>
          <w:tcPr>
            <w:tcW w:w="1318" w:type="dxa"/>
            <w:tcBorders>
              <w:top w:val="nil"/>
              <w:left w:val="nil"/>
              <w:bottom w:val="single" w:sz="8" w:space="0" w:color="000000"/>
              <w:right w:val="single" w:sz="8" w:space="0" w:color="000000"/>
            </w:tcBorders>
            <w:vAlign w:val="center"/>
            <w:hideMark/>
          </w:tcPr>
          <w:p w14:paraId="5780F3FA"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Honduras</w:t>
            </w:r>
          </w:p>
        </w:tc>
        <w:tc>
          <w:tcPr>
            <w:tcW w:w="1046" w:type="dxa"/>
            <w:tcBorders>
              <w:top w:val="nil"/>
              <w:left w:val="nil"/>
              <w:bottom w:val="single" w:sz="8" w:space="0" w:color="000000"/>
              <w:right w:val="single" w:sz="8" w:space="0" w:color="000000"/>
            </w:tcBorders>
            <w:vAlign w:val="center"/>
            <w:hideMark/>
          </w:tcPr>
          <w:p w14:paraId="091C9E1B"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29EA34F2"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18FDF82A"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62262B56"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6D597867"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r>
      <w:tr w:rsidR="00F417E6" w:rsidRPr="00F417E6" w14:paraId="2067B536" w14:textId="77777777" w:rsidTr="00EF70FB">
        <w:trPr>
          <w:trHeight w:val="315"/>
        </w:trPr>
        <w:tc>
          <w:tcPr>
            <w:tcW w:w="2542" w:type="dxa"/>
            <w:gridSpan w:val="2"/>
            <w:tcBorders>
              <w:top w:val="single" w:sz="8" w:space="0" w:color="000000"/>
              <w:left w:val="single" w:sz="8" w:space="0" w:color="000000"/>
              <w:bottom w:val="single" w:sz="8" w:space="0" w:color="000000"/>
              <w:right w:val="single" w:sz="8" w:space="0" w:color="000000"/>
            </w:tcBorders>
            <w:vAlign w:val="center"/>
            <w:hideMark/>
          </w:tcPr>
          <w:p w14:paraId="1A9CB509"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Unión Europea</w:t>
            </w:r>
          </w:p>
        </w:tc>
        <w:tc>
          <w:tcPr>
            <w:tcW w:w="1046" w:type="dxa"/>
            <w:tcBorders>
              <w:top w:val="nil"/>
              <w:left w:val="nil"/>
              <w:bottom w:val="single" w:sz="8" w:space="0" w:color="000000"/>
              <w:right w:val="single" w:sz="8" w:space="0" w:color="000000"/>
            </w:tcBorders>
            <w:vAlign w:val="center"/>
            <w:hideMark/>
          </w:tcPr>
          <w:p w14:paraId="08D9DCA9"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28F2F053"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0AFA6B16"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43EAD0AE"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22548B10"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r>
      <w:tr w:rsidR="00F417E6" w:rsidRPr="00F417E6" w14:paraId="27113DCC" w14:textId="77777777" w:rsidTr="00EF70FB">
        <w:trPr>
          <w:trHeight w:val="315"/>
        </w:trPr>
        <w:tc>
          <w:tcPr>
            <w:tcW w:w="2542" w:type="dxa"/>
            <w:gridSpan w:val="2"/>
            <w:tcBorders>
              <w:top w:val="single" w:sz="8" w:space="0" w:color="000000"/>
              <w:left w:val="single" w:sz="8" w:space="0" w:color="000000"/>
              <w:bottom w:val="single" w:sz="8" w:space="0" w:color="000000"/>
              <w:right w:val="single" w:sz="8" w:space="0" w:color="000000"/>
            </w:tcBorders>
            <w:vAlign w:val="center"/>
            <w:hideMark/>
          </w:tcPr>
          <w:p w14:paraId="459FAEA3"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Israel</w:t>
            </w:r>
          </w:p>
        </w:tc>
        <w:tc>
          <w:tcPr>
            <w:tcW w:w="1046" w:type="dxa"/>
            <w:tcBorders>
              <w:top w:val="nil"/>
              <w:left w:val="nil"/>
              <w:bottom w:val="single" w:sz="8" w:space="0" w:color="000000"/>
              <w:right w:val="single" w:sz="8" w:space="0" w:color="000000"/>
            </w:tcBorders>
            <w:vAlign w:val="center"/>
            <w:hideMark/>
          </w:tcPr>
          <w:p w14:paraId="19FB6AC6"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5D3BF350"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5FF2258B"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67972B65"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2D68C318"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r>
      <w:tr w:rsidR="00F417E6" w:rsidRPr="00F417E6" w14:paraId="09F14A36" w14:textId="77777777" w:rsidTr="00EF70FB">
        <w:trPr>
          <w:trHeight w:val="420"/>
        </w:trPr>
        <w:tc>
          <w:tcPr>
            <w:tcW w:w="2542" w:type="dxa"/>
            <w:gridSpan w:val="2"/>
            <w:tcBorders>
              <w:top w:val="single" w:sz="8" w:space="0" w:color="000000"/>
              <w:left w:val="single" w:sz="8" w:space="0" w:color="000000"/>
              <w:bottom w:val="single" w:sz="8" w:space="0" w:color="000000"/>
              <w:right w:val="single" w:sz="8" w:space="0" w:color="000000"/>
            </w:tcBorders>
            <w:vAlign w:val="center"/>
            <w:hideMark/>
          </w:tcPr>
          <w:p w14:paraId="5B7C78ED" w14:textId="77777777" w:rsidR="00F417E6" w:rsidRPr="00F417E6" w:rsidRDefault="00F417E6" w:rsidP="00F417E6">
            <w:pPr>
              <w:spacing w:after="0" w:line="240" w:lineRule="auto"/>
              <w:jc w:val="center"/>
              <w:rPr>
                <w:rFonts w:ascii="Verdana" w:eastAsia="Times New Roman" w:hAnsi="Verdana" w:cs="Times New Roman"/>
                <w:b/>
                <w:bCs/>
                <w:color w:val="000000"/>
                <w:sz w:val="16"/>
                <w:szCs w:val="16"/>
              </w:rPr>
            </w:pPr>
            <w:r w:rsidRPr="00F417E6">
              <w:rPr>
                <w:rFonts w:ascii="Verdana" w:eastAsia="Times New Roman" w:hAnsi="Verdana" w:cs="Times New Roman"/>
                <w:b/>
                <w:bCs/>
                <w:color w:val="000000"/>
                <w:sz w:val="16"/>
                <w:szCs w:val="16"/>
              </w:rPr>
              <w:t>Reino Unido e Irlanda del Norte</w:t>
            </w:r>
          </w:p>
        </w:tc>
        <w:tc>
          <w:tcPr>
            <w:tcW w:w="1046" w:type="dxa"/>
            <w:tcBorders>
              <w:top w:val="nil"/>
              <w:left w:val="nil"/>
              <w:bottom w:val="single" w:sz="8" w:space="0" w:color="000000"/>
              <w:right w:val="single" w:sz="8" w:space="0" w:color="000000"/>
            </w:tcBorders>
            <w:vAlign w:val="center"/>
            <w:hideMark/>
          </w:tcPr>
          <w:p w14:paraId="5137F051"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hideMark/>
          </w:tcPr>
          <w:p w14:paraId="6A0B338E"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NO</w:t>
            </w:r>
          </w:p>
        </w:tc>
        <w:tc>
          <w:tcPr>
            <w:tcW w:w="1292" w:type="dxa"/>
            <w:tcBorders>
              <w:top w:val="nil"/>
              <w:left w:val="nil"/>
              <w:bottom w:val="single" w:sz="8" w:space="0" w:color="000000"/>
              <w:right w:val="single" w:sz="8" w:space="0" w:color="000000"/>
            </w:tcBorders>
            <w:vAlign w:val="center"/>
            <w:hideMark/>
          </w:tcPr>
          <w:p w14:paraId="4AC5D083"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21DD0A15"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hideMark/>
          </w:tcPr>
          <w:p w14:paraId="37D88EF6" w14:textId="77777777" w:rsidR="00F417E6" w:rsidRPr="00F417E6" w:rsidRDefault="00F417E6" w:rsidP="00F417E6">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r>
      <w:tr w:rsidR="00EF70FB" w:rsidRPr="00F417E6" w14:paraId="336E9D43" w14:textId="77777777" w:rsidTr="00EF70FB">
        <w:trPr>
          <w:trHeight w:val="420"/>
        </w:trPr>
        <w:tc>
          <w:tcPr>
            <w:tcW w:w="2542" w:type="dxa"/>
            <w:gridSpan w:val="2"/>
            <w:tcBorders>
              <w:top w:val="single" w:sz="8" w:space="0" w:color="000000"/>
              <w:left w:val="single" w:sz="8" w:space="0" w:color="000000"/>
              <w:bottom w:val="single" w:sz="8" w:space="0" w:color="000000"/>
              <w:right w:val="single" w:sz="8" w:space="0" w:color="000000"/>
            </w:tcBorders>
            <w:vAlign w:val="center"/>
          </w:tcPr>
          <w:p w14:paraId="3598A12C" w14:textId="105E9D16" w:rsidR="00EF70FB" w:rsidRPr="00F417E6" w:rsidRDefault="00EF70FB" w:rsidP="00EF70FB">
            <w:pPr>
              <w:spacing w:after="0" w:line="240" w:lineRule="auto"/>
              <w:jc w:val="center"/>
              <w:rPr>
                <w:rFonts w:ascii="Verdana" w:eastAsia="Times New Roman" w:hAnsi="Verdana" w:cs="Times New Roman"/>
                <w:b/>
                <w:bCs/>
                <w:color w:val="000000"/>
                <w:sz w:val="16"/>
                <w:szCs w:val="16"/>
              </w:rPr>
            </w:pPr>
            <w:r>
              <w:rPr>
                <w:rFonts w:ascii="Verdana" w:eastAsia="Times New Roman" w:hAnsi="Verdana" w:cs="Times New Roman"/>
                <w:b/>
                <w:bCs/>
                <w:color w:val="000000"/>
                <w:sz w:val="16"/>
                <w:szCs w:val="16"/>
              </w:rPr>
              <w:t>Comunidad Andina</w:t>
            </w:r>
          </w:p>
        </w:tc>
        <w:tc>
          <w:tcPr>
            <w:tcW w:w="1046" w:type="dxa"/>
            <w:tcBorders>
              <w:top w:val="nil"/>
              <w:left w:val="nil"/>
              <w:bottom w:val="single" w:sz="8" w:space="0" w:color="000000"/>
              <w:right w:val="single" w:sz="8" w:space="0" w:color="000000"/>
            </w:tcBorders>
            <w:vAlign w:val="center"/>
          </w:tcPr>
          <w:p w14:paraId="3B6BDA12" w14:textId="3594AE51" w:rsidR="00EF70FB" w:rsidRPr="00F417E6" w:rsidRDefault="00EF70FB" w:rsidP="00EF70FB">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SI</w:t>
            </w:r>
          </w:p>
        </w:tc>
        <w:tc>
          <w:tcPr>
            <w:tcW w:w="936" w:type="dxa"/>
            <w:tcBorders>
              <w:top w:val="nil"/>
              <w:left w:val="nil"/>
              <w:bottom w:val="single" w:sz="8" w:space="0" w:color="000000"/>
              <w:right w:val="single" w:sz="8" w:space="0" w:color="000000"/>
            </w:tcBorders>
            <w:vAlign w:val="center"/>
          </w:tcPr>
          <w:p w14:paraId="3399AA26" w14:textId="45350C2C" w:rsidR="00EF70FB" w:rsidRPr="00F417E6" w:rsidRDefault="00EF70FB" w:rsidP="00EF70FB">
            <w:pPr>
              <w:spacing w:after="0" w:line="240" w:lineRule="auto"/>
              <w:jc w:val="center"/>
              <w:rPr>
                <w:rFonts w:ascii="Verdana" w:eastAsia="Times New Roman" w:hAnsi="Verdana" w:cs="Times New Roman"/>
                <w:color w:val="000000"/>
                <w:sz w:val="16"/>
                <w:szCs w:val="16"/>
              </w:rPr>
            </w:pPr>
            <w:r>
              <w:rPr>
                <w:rFonts w:ascii="Verdana" w:eastAsia="Times New Roman" w:hAnsi="Verdana" w:cs="Times New Roman"/>
                <w:color w:val="000000"/>
                <w:sz w:val="16"/>
                <w:szCs w:val="16"/>
              </w:rPr>
              <w:t>SI</w:t>
            </w:r>
          </w:p>
        </w:tc>
        <w:tc>
          <w:tcPr>
            <w:tcW w:w="1292" w:type="dxa"/>
            <w:tcBorders>
              <w:top w:val="nil"/>
              <w:left w:val="nil"/>
              <w:bottom w:val="single" w:sz="8" w:space="0" w:color="000000"/>
              <w:right w:val="single" w:sz="8" w:space="0" w:color="000000"/>
            </w:tcBorders>
            <w:vAlign w:val="center"/>
          </w:tcPr>
          <w:p w14:paraId="292143D4" w14:textId="1161DEEA" w:rsidR="00EF70FB" w:rsidRPr="00F417E6" w:rsidRDefault="00EF70FB" w:rsidP="00EF70FB">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tcPr>
          <w:p w14:paraId="7C33F58D" w14:textId="72B17F16" w:rsidR="00EF70FB" w:rsidRPr="00F417E6" w:rsidRDefault="00EF70FB" w:rsidP="00EF70FB">
            <w:pPr>
              <w:spacing w:after="0" w:line="240" w:lineRule="auto"/>
              <w:jc w:val="center"/>
              <w:rPr>
                <w:rFonts w:ascii="Verdana" w:eastAsia="Times New Roman" w:hAnsi="Verdana" w:cs="Times New Roman"/>
                <w:color w:val="000000"/>
                <w:sz w:val="16"/>
                <w:szCs w:val="16"/>
              </w:rPr>
            </w:pPr>
            <w:r w:rsidRPr="00F417E6">
              <w:rPr>
                <w:rFonts w:ascii="Verdana" w:eastAsia="Times New Roman" w:hAnsi="Verdana" w:cs="Times New Roman"/>
                <w:color w:val="000000"/>
                <w:sz w:val="16"/>
                <w:szCs w:val="16"/>
              </w:rPr>
              <w:t>N/A</w:t>
            </w:r>
          </w:p>
        </w:tc>
        <w:tc>
          <w:tcPr>
            <w:tcW w:w="1292" w:type="dxa"/>
            <w:tcBorders>
              <w:top w:val="nil"/>
              <w:left w:val="nil"/>
              <w:bottom w:val="single" w:sz="8" w:space="0" w:color="000000"/>
              <w:right w:val="single" w:sz="8" w:space="0" w:color="000000"/>
            </w:tcBorders>
            <w:vAlign w:val="center"/>
          </w:tcPr>
          <w:p w14:paraId="706024BF" w14:textId="19552DDF" w:rsidR="00EF70FB" w:rsidRPr="00F417E6" w:rsidRDefault="00EF70FB" w:rsidP="00EF70FB">
            <w:pPr>
              <w:spacing w:after="0" w:line="240" w:lineRule="auto"/>
              <w:jc w:val="center"/>
              <w:rPr>
                <w:rFonts w:ascii="Verdana" w:eastAsia="Times New Roman" w:hAnsi="Verdana" w:cs="Times New Roman"/>
                <w:color w:val="000000"/>
                <w:sz w:val="16"/>
                <w:szCs w:val="16"/>
              </w:rPr>
            </w:pPr>
            <w:r>
              <w:rPr>
                <w:rFonts w:ascii="Verdana" w:eastAsia="Times New Roman" w:hAnsi="Verdana" w:cs="Times New Roman"/>
                <w:color w:val="000000"/>
                <w:sz w:val="16"/>
                <w:szCs w:val="16"/>
              </w:rPr>
              <w:t>SI</w:t>
            </w:r>
          </w:p>
        </w:tc>
      </w:tr>
    </w:tbl>
    <w:p w14:paraId="50BFB0C6" w14:textId="77777777" w:rsidR="00EF70FB" w:rsidRDefault="00EF70FB">
      <w:pPr>
        <w:jc w:val="both"/>
        <w:rPr>
          <w:rFonts w:ascii="Arial" w:hAnsi="Arial"/>
          <w:b/>
          <w:sz w:val="18"/>
        </w:rPr>
      </w:pPr>
    </w:p>
    <w:p w14:paraId="175A3C34" w14:textId="77777777" w:rsidR="00363892" w:rsidRDefault="00363892">
      <w:pPr>
        <w:jc w:val="center"/>
        <w:rPr>
          <w:rFonts w:ascii="Verdana" w:eastAsia="Verdana" w:hAnsi="Verdana" w:cs="Verdana"/>
          <w:b/>
          <w:bCs/>
          <w:u w:val="single"/>
        </w:rPr>
      </w:pPr>
    </w:p>
    <w:sectPr w:rsidR="00363892">
      <w:pgSz w:w="12240" w:h="15840"/>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embedRegular r:id="rId1" w:fontKey="{E37DEFE9-D7B3-254D-98D1-D4A2832C5D70}"/>
    <w:embedBold r:id="rId2" w:fontKey="{D5D57869-279D-1C4A-A9DA-A863EAF47D9F}"/>
  </w:font>
  <w:font w:name="Times New Roman">
    <w:panose1 w:val="02020603050405020304"/>
    <w:charset w:val="00"/>
    <w:family w:val="roman"/>
    <w:pitch w:val="variable"/>
    <w:sig w:usb0="E0002EFF" w:usb1="C000785B" w:usb2="00000009" w:usb3="00000000" w:csb0="000001FF" w:csb1="00000000"/>
    <w:embedRegular r:id="rId3" w:fontKey="{DAFBF3FD-9A3C-874A-BA5E-982336714C0A}"/>
    <w:embedBold r:id="rId4" w:fontKey="{98B0ACE3-C43B-124F-9521-1101F46C736A}"/>
  </w:font>
  <w:font w:name="Georgia">
    <w:panose1 w:val="02040502050405020303"/>
    <w:charset w:val="00"/>
    <w:family w:val="roman"/>
    <w:pitch w:val="variable"/>
    <w:sig w:usb0="00000287" w:usb1="00000000" w:usb2="00000000" w:usb3="00000000" w:csb0="0000009F" w:csb1="00000000"/>
    <w:embedItalic r:id="rId5" w:fontKey="{1ED683F3-E466-6649-B2E4-E51813FEA067}"/>
  </w:font>
  <w:font w:name="Verdana">
    <w:panose1 w:val="020B0604030504040204"/>
    <w:charset w:val="00"/>
    <w:family w:val="swiss"/>
    <w:pitch w:val="variable"/>
    <w:sig w:usb0="A10006FF" w:usb1="4000205B" w:usb2="00000010" w:usb3="00000000" w:csb0="0000019F" w:csb1="00000000"/>
    <w:embedRegular r:id="rId6" w:fontKey="{125F320D-6EE2-4D40-A1DA-C6EA88E071AD}"/>
    <w:embedBold r:id="rId7" w:fontKey="{EB20A60C-9FD5-AA4F-8DCC-8B0FFF4C8B4B}"/>
  </w:font>
  <w:font w:name="Aptos Narrow">
    <w:panose1 w:val="020B0004020202020204"/>
    <w:charset w:val="00"/>
    <w:family w:val="swiss"/>
    <w:pitch w:val="variable"/>
    <w:sig w:usb0="20000287" w:usb1="00000003" w:usb2="00000000" w:usb3="00000000" w:csb0="0000019F" w:csb1="00000000"/>
    <w:embedRegular r:id="rId8" w:fontKey="{830B04CD-08BF-0F48-847B-93161194E14F}"/>
  </w:font>
  <w:font w:name="Arial">
    <w:panose1 w:val="020B0604020202020204"/>
    <w:charset w:val="00"/>
    <w:family w:val="swiss"/>
    <w:pitch w:val="variable"/>
    <w:sig w:usb0="E0002AFF" w:usb1="C0007843" w:usb2="00000009" w:usb3="00000000" w:csb0="000001FF" w:csb1="00000000"/>
    <w:embedBold r:id="rId9" w:fontKey="{C737B3E8-2D69-2D4C-9380-C62FD8935E92}"/>
  </w:font>
  <w:font w:name="Calibri Light">
    <w:panose1 w:val="020F0302020204030204"/>
    <w:charset w:val="00"/>
    <w:family w:val="swiss"/>
    <w:pitch w:val="variable"/>
    <w:sig w:usb0="E0002AFF" w:usb1="C000247B" w:usb2="00000009" w:usb3="00000000" w:csb0="000001FF" w:csb1="00000000"/>
    <w:embedRegular r:id="rId10" w:fontKey="{D6E2E85D-B215-554B-819C-39AA94090001}"/>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3892"/>
    <w:rsid w:val="00013354"/>
    <w:rsid w:val="00015BA1"/>
    <w:rsid w:val="00351259"/>
    <w:rsid w:val="00363892"/>
    <w:rsid w:val="00475F65"/>
    <w:rsid w:val="004C4F3A"/>
    <w:rsid w:val="005E4FA6"/>
    <w:rsid w:val="00830D10"/>
    <w:rsid w:val="00A009E5"/>
    <w:rsid w:val="00A504E6"/>
    <w:rsid w:val="00B26AF8"/>
    <w:rsid w:val="00C135BC"/>
    <w:rsid w:val="00E178FD"/>
    <w:rsid w:val="00E31821"/>
    <w:rsid w:val="00EF70FB"/>
    <w:rsid w:val="00F417E6"/>
    <w:rsid w:val="00FF6C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E38BC"/>
  <w15:docId w15:val="{4ACA4222-3F73-49DC-8A1F-0EB84D87B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styleId="Tablaconcuadrcula">
    <w:name w:val="Table Grid"/>
    <w:basedOn w:val="Tablanormal"/>
    <w:uiPriority w:val="39"/>
    <w:rsid w:val="002D56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D90F7D"/>
    <w:pPr>
      <w:spacing w:after="0" w:line="240" w:lineRule="auto"/>
    </w:p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VP/ZN4u2vujx0X8yrBUgPx3BJw==">CgMxLjA4AHIhMUhvSW14OExGTV9KX2ZrOGNTVjZDb3h0X3dsYVliaTU4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433</Words>
  <Characters>2663</Characters>
  <Application>Microsoft Office Word</Application>
  <DocSecurity>0</DocSecurity>
  <Lines>51</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Santiago Ruiz Bermúdez</dc:creator>
  <cp:lastModifiedBy>Sandra Escobar Benavides</cp:lastModifiedBy>
  <cp:revision>6</cp:revision>
  <dcterms:created xsi:type="dcterms:W3CDTF">2026-09-29T17:42:00Z</dcterms:created>
  <dcterms:modified xsi:type="dcterms:W3CDTF">2026-10-09T18:14:00Z</dcterms:modified>
</cp:coreProperties>
</file>