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607DB" w14:textId="7C39982D" w:rsidR="00720F42" w:rsidRDefault="00E61C06">
      <w:pPr>
        <w:ind w:firstLine="708"/>
        <w:jc w:val="center"/>
        <w:rPr>
          <w:rFonts w:ascii="Arial" w:eastAsia="Arial" w:hAnsi="Arial" w:cs="Arial"/>
          <w:b/>
          <w:bCs/>
          <w:color w:val="3B3838"/>
          <w:sz w:val="20"/>
          <w:szCs w:val="20"/>
        </w:rPr>
      </w:pPr>
      <w:r>
        <w:rPr>
          <w:rFonts w:ascii="Arial" w:eastAsia="Arial" w:hAnsi="Arial" w:cs="Arial"/>
          <w:b/>
          <w:bCs/>
          <w:color w:val="3B3838"/>
          <w:sz w:val="20"/>
          <w:szCs w:val="20"/>
        </w:rPr>
        <w:t xml:space="preserve">ANEXO </w:t>
      </w:r>
      <w:r w:rsidR="00AC0A01">
        <w:rPr>
          <w:rFonts w:ascii="Arial" w:eastAsia="Arial" w:hAnsi="Arial" w:cs="Arial"/>
          <w:b/>
          <w:bCs/>
          <w:color w:val="3B3838"/>
          <w:sz w:val="20"/>
          <w:szCs w:val="20"/>
        </w:rPr>
        <w:t>2</w:t>
      </w:r>
      <w:r>
        <w:rPr>
          <w:rFonts w:ascii="Arial" w:eastAsia="Arial" w:hAnsi="Arial" w:cs="Arial"/>
          <w:b/>
          <w:bCs/>
          <w:color w:val="3B3838"/>
          <w:sz w:val="20"/>
          <w:szCs w:val="20"/>
        </w:rPr>
        <w:t xml:space="preserve"> — PACTO DE TRANSPARENCIA</w:t>
      </w:r>
    </w:p>
    <w:p w14:paraId="3C5607DC" w14:textId="77777777" w:rsidR="00720F42" w:rsidRDefault="00720F42">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p>
    <w:p w14:paraId="3C5607DD" w14:textId="77777777" w:rsidR="00720F42" w:rsidRDefault="00E61C06">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El presente documento hace parte integral de los Documentos del Proceso y con la carta de presentación de la propuesta el Proponente se compromete a: </w:t>
      </w:r>
    </w:p>
    <w:p w14:paraId="3C5607DE" w14:textId="77777777" w:rsidR="00720F42" w:rsidRDefault="00720F42">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p>
    <w:p w14:paraId="3C5607DF"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Cumplir estrictamente la Ley aplicable.</w:t>
      </w:r>
    </w:p>
    <w:p w14:paraId="3C5607E0"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Interpretar de buena fe las normas aplicables a los Procesos de Contratación de manera que siempre produzcan los efectos buscados por las mismas.</w:t>
      </w:r>
    </w:p>
    <w:p w14:paraId="3C5607E1"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No incurrir en faltas a la verdad o adulteración en los documentos o requisitos exigidos en el Proceso de Contratación.</w:t>
      </w:r>
    </w:p>
    <w:p w14:paraId="3C5607E2"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Igualmente se acepta que, durante la evaluación de las propuestas del Proceso de Contratación, primen los aspectos de fondo por encima de la forma, buscando siempre favorecer la libre competencia.</w:t>
      </w:r>
    </w:p>
    <w:p w14:paraId="3C5607E3"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C5607E4"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C5607E5"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No hacer arreglos previos, concomitantes o posteriores al Proceso de Contratación, con otros Proponentes para tratar de influenciar o manipular los resultados de la adjudicación. </w:t>
      </w:r>
    </w:p>
    <w:p w14:paraId="3C5607E6"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3C5607E7"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C5607E8"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C5607E9"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lastRenderedPageBreak/>
        <w:t>No utilizar en la etapa de verificación y evaluación de las Propuestas, argumentos carentes de sustento probatorio para efectos de buscar la descalificación de competidores o la dilación del Proceso de selección.</w:t>
      </w:r>
    </w:p>
    <w:p w14:paraId="3C5607EA"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C5607EB"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3C5607EC"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Solicitar o remitir a la Entidad, o a sus funcionarios y contratistas, cualquier información utilizando solamente los procesos y canales previstos en el Proceso de Contratación. </w:t>
      </w:r>
    </w:p>
    <w:p w14:paraId="3C5607ED"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C5607EE"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5607EF"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C5607F0"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C5607F1"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La Entidad siempre se manifestará sobre las inquietudes relacionadas con el Proceso de selección por los canales definidos en los documentos del Proceso. </w:t>
      </w:r>
    </w:p>
    <w:p w14:paraId="3C5607F2"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3C5607F3"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C5607F4"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3C5607F5" w14:textId="77777777" w:rsidR="00720F42" w:rsidRDefault="00E61C06">
      <w:pPr>
        <w:spacing w:line="240" w:lineRule="auto"/>
        <w:ind w:left="502"/>
        <w:jc w:val="both"/>
        <w:rPr>
          <w:rFonts w:ascii="Arial" w:eastAsia="Arial" w:hAnsi="Arial" w:cs="Arial"/>
          <w:color w:val="3B3838"/>
          <w:sz w:val="20"/>
          <w:szCs w:val="20"/>
        </w:rPr>
      </w:pPr>
      <w:r>
        <w:rPr>
          <w:rFonts w:ascii="Arial" w:eastAsia="Arial" w:hAnsi="Arial" w:cs="Arial"/>
          <w:color w:val="3B3838"/>
          <w:sz w:val="20"/>
          <w:szCs w:val="20"/>
        </w:rPr>
        <w:t>Lo anterior de acuerdo con el Decreto 4112.010.20.0747 de agosto 20 de 2024 expedido por el Distrito Especial de Santiago de Cali Por medio del cual se establece la Estrategia de Gestión de Riesgos de Corrupción, Lavado de Activos y Financiación del Terrorismo en el Distrito Especial, Deportivo, Cultural, Turístico, Empresarial y de Servicios de Santiago de Cali y la Ley 2294 de 2023.</w:t>
      </w:r>
    </w:p>
    <w:p w14:paraId="3C5607F6" w14:textId="77777777" w:rsidR="00720F42" w:rsidRDefault="00720F42">
      <w:pPr>
        <w:spacing w:line="240" w:lineRule="auto"/>
        <w:ind w:left="502"/>
        <w:jc w:val="both"/>
        <w:rPr>
          <w:rFonts w:ascii="Arial" w:eastAsia="Arial" w:hAnsi="Arial" w:cs="Arial"/>
          <w:color w:val="3B3838"/>
          <w:sz w:val="20"/>
          <w:szCs w:val="20"/>
        </w:rPr>
      </w:pPr>
    </w:p>
    <w:sectPr w:rsidR="00720F42">
      <w:head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2D6AA" w14:textId="77777777" w:rsidR="00AE5EB7" w:rsidRDefault="00AE5EB7">
      <w:pPr>
        <w:spacing w:after="0" w:line="240" w:lineRule="auto"/>
      </w:pPr>
      <w:r>
        <w:separator/>
      </w:r>
    </w:p>
  </w:endnote>
  <w:endnote w:type="continuationSeparator" w:id="0">
    <w:p w14:paraId="2273E1CC" w14:textId="77777777" w:rsidR="00AE5EB7" w:rsidRDefault="00AE5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C7560CA1-C846-4242-9EA1-9B5CDDFD9EA3}"/>
    <w:embedBold r:id="rId2" w:fontKey="{F8DBAC21-37FF-483E-B3F1-A822F73BE35C}"/>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3" w:fontKey="{9D1999EA-EAF7-40B0-AC5B-55C1F3D2F485}"/>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FB39DB3B-03AE-423A-8CEA-F0F4605E12E8}"/>
  </w:font>
  <w:font w:name="Arial Narrow">
    <w:panose1 w:val="020B0606020202030204"/>
    <w:charset w:val="00"/>
    <w:family w:val="swiss"/>
    <w:pitch w:val="variable"/>
    <w:sig w:usb0="00000287" w:usb1="00000800" w:usb2="00000000" w:usb3="00000000" w:csb0="0000009F" w:csb1="00000000"/>
    <w:embedBold r:id="rId5" w:fontKey="{31882455-EE4C-47D5-A11A-D9B42EC4C69D}"/>
  </w:font>
  <w:font w:name="Calibri Light">
    <w:panose1 w:val="020F0302020204030204"/>
    <w:charset w:val="00"/>
    <w:family w:val="swiss"/>
    <w:pitch w:val="variable"/>
    <w:sig w:usb0="E4002EFF" w:usb1="C200247B" w:usb2="00000009" w:usb3="00000000" w:csb0="000001FF" w:csb1="00000000"/>
    <w:embedRegular r:id="rId6" w:fontKey="{34DCA2C5-2BC2-460B-B958-89F1731E310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E3176" w14:textId="77777777" w:rsidR="00AE5EB7" w:rsidRDefault="00AE5EB7">
      <w:pPr>
        <w:spacing w:after="0" w:line="240" w:lineRule="auto"/>
      </w:pPr>
      <w:r>
        <w:separator/>
      </w:r>
    </w:p>
  </w:footnote>
  <w:footnote w:type="continuationSeparator" w:id="0">
    <w:p w14:paraId="2632F9DB" w14:textId="77777777" w:rsidR="00AE5EB7" w:rsidRDefault="00AE5E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607F7" w14:textId="4DED5189" w:rsidR="00720F42" w:rsidRDefault="00E61C06">
    <w:pPr>
      <w:rPr>
        <w:rFonts w:ascii="Arial" w:eastAsia="Arial" w:hAnsi="Arial" w:cs="Arial"/>
        <w:b/>
        <w:bCs/>
        <w:sz w:val="20"/>
        <w:szCs w:val="20"/>
      </w:rPr>
    </w:pPr>
    <w:r>
      <w:rPr>
        <w:rFonts w:ascii="Arial" w:eastAsia="Arial" w:hAnsi="Arial" w:cs="Arial"/>
        <w:b/>
        <w:bCs/>
        <w:sz w:val="20"/>
        <w:szCs w:val="20"/>
      </w:rPr>
      <w:t>41</w:t>
    </w:r>
    <w:r w:rsidR="0068781C">
      <w:rPr>
        <w:rFonts w:ascii="Arial" w:eastAsia="Arial" w:hAnsi="Arial" w:cs="Arial"/>
        <w:b/>
        <w:bCs/>
        <w:sz w:val="20"/>
        <w:szCs w:val="20"/>
      </w:rPr>
      <w:t>46</w:t>
    </w:r>
    <w:r>
      <w:rPr>
        <w:rFonts w:ascii="Arial" w:eastAsia="Arial" w:hAnsi="Arial" w:cs="Arial"/>
        <w:b/>
        <w:bCs/>
        <w:sz w:val="20"/>
        <w:szCs w:val="20"/>
      </w:rPr>
      <w:t>.010.32.1.</w:t>
    </w:r>
    <w:r w:rsidR="00D2014F">
      <w:rPr>
        <w:rFonts w:ascii="Arial" w:eastAsia="Arial" w:hAnsi="Arial" w:cs="Arial"/>
        <w:b/>
        <w:bCs/>
        <w:sz w:val="20"/>
        <w:szCs w:val="20"/>
      </w:rPr>
      <w:t>24</w:t>
    </w:r>
    <w:r w:rsidR="00224D87">
      <w:rPr>
        <w:rFonts w:ascii="Arial" w:eastAsia="Arial" w:hAnsi="Arial" w:cs="Arial"/>
        <w:b/>
        <w:bCs/>
        <w:sz w:val="20"/>
        <w:szCs w:val="20"/>
      </w:rPr>
      <w:t>32</w:t>
    </w:r>
    <w:r w:rsidR="0068781C">
      <w:rPr>
        <w:rFonts w:ascii="Arial" w:eastAsia="Arial" w:hAnsi="Arial" w:cs="Arial"/>
        <w:b/>
        <w:bCs/>
        <w:sz w:val="20"/>
        <w:szCs w:val="20"/>
      </w:rPr>
      <w:t>.</w:t>
    </w:r>
    <w:r>
      <w:rPr>
        <w:rFonts w:ascii="Arial" w:eastAsia="Arial" w:hAnsi="Arial" w:cs="Arial"/>
        <w:b/>
        <w:bCs/>
        <w:sz w:val="20"/>
        <w:szCs w:val="20"/>
      </w:rPr>
      <w:t>2026</w:t>
    </w:r>
  </w:p>
  <w:p w14:paraId="3C5607F8" w14:textId="5AC4B62F" w:rsidR="00720F42" w:rsidRDefault="00E61C06">
    <w:pPr>
      <w:pBdr>
        <w:top w:val="nil"/>
        <w:left w:val="nil"/>
        <w:bottom w:val="nil"/>
        <w:right w:val="nil"/>
        <w:between w:val="nil"/>
      </w:pBdr>
      <w:tabs>
        <w:tab w:val="center" w:pos="4419"/>
        <w:tab w:val="right" w:pos="8838"/>
        <w:tab w:val="left" w:pos="2265"/>
      </w:tabs>
      <w:spacing w:after="0" w:line="240" w:lineRule="auto"/>
      <w:rPr>
        <w:rFonts w:ascii="Arial Narrow" w:eastAsia="Arial Narrow" w:hAnsi="Arial Narrow" w:cs="Arial Narrow"/>
        <w:b/>
        <w:bCs/>
        <w:color w:val="3B3838"/>
        <w:sz w:val="18"/>
        <w:szCs w:val="18"/>
      </w:rPr>
    </w:pPr>
    <w:r>
      <w:rPr>
        <w:rFonts w:ascii="Arial" w:eastAsia="Arial" w:hAnsi="Arial" w:cs="Arial"/>
        <w:b/>
        <w:bCs/>
        <w:color w:val="3B3838"/>
        <w:sz w:val="20"/>
        <w:szCs w:val="20"/>
      </w:rPr>
      <w:tab/>
    </w:r>
    <w:r>
      <w:rPr>
        <w:rFonts w:ascii="Arial" w:eastAsia="Arial" w:hAnsi="Arial" w:cs="Arial"/>
        <w:b/>
        <w:bCs/>
        <w:color w:val="3B3838"/>
        <w:sz w:val="20"/>
        <w:szCs w:val="20"/>
      </w:rPr>
      <w:tab/>
    </w:r>
    <w:r>
      <w:rPr>
        <w:rFonts w:ascii="Arial" w:eastAsia="Arial" w:hAnsi="Arial" w:cs="Arial"/>
        <w:b/>
        <w:bCs/>
        <w:color w:val="3B3838"/>
        <w:sz w:val="20"/>
        <w:szCs w:val="20"/>
      </w:rPr>
      <w:tab/>
      <w:t xml:space="preserve">ANEXO </w:t>
    </w:r>
    <w:r w:rsidR="00D2014F">
      <w:rPr>
        <w:rFonts w:ascii="Arial" w:eastAsia="Arial" w:hAnsi="Arial" w:cs="Arial"/>
        <w:b/>
        <w:bCs/>
        <w:color w:val="3B3838"/>
        <w:sz w:val="20"/>
        <w:szCs w:val="20"/>
      </w:rPr>
      <w:t>2</w:t>
    </w:r>
    <w:r>
      <w:rPr>
        <w:rFonts w:ascii="Arial Narrow" w:eastAsia="Arial Narrow" w:hAnsi="Arial Narrow" w:cs="Arial Narrow"/>
        <w:b/>
        <w:bCs/>
        <w:color w:val="3B3838"/>
        <w:sz w:val="18"/>
        <w:szCs w:val="18"/>
      </w:rPr>
      <w:t xml:space="preserve"> </w:t>
    </w:r>
  </w:p>
  <w:p w14:paraId="3C5607F9" w14:textId="77777777" w:rsidR="00720F42" w:rsidRDefault="00720F42">
    <w:pPr>
      <w:pBdr>
        <w:top w:val="nil"/>
        <w:left w:val="nil"/>
        <w:bottom w:val="nil"/>
        <w:right w:val="nil"/>
        <w:between w:val="nil"/>
      </w:pBdr>
      <w:tabs>
        <w:tab w:val="center" w:pos="4419"/>
        <w:tab w:val="right" w:pos="8838"/>
      </w:tabs>
      <w:spacing w:after="0" w:line="240" w:lineRule="auto"/>
      <w:jc w:val="right"/>
      <w:rPr>
        <w:rFonts w:ascii="Arial Narrow" w:eastAsia="Arial Narrow" w:hAnsi="Arial Narrow" w:cs="Arial Narrow"/>
        <w:b/>
        <w:bCs/>
        <w:color w:val="3B3838"/>
        <w:sz w:val="18"/>
        <w:szCs w:val="18"/>
      </w:rPr>
    </w:pPr>
  </w:p>
  <w:p w14:paraId="3C5607FA" w14:textId="77777777" w:rsidR="00720F42" w:rsidRDefault="00E61C06">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3C5607FC" wp14:editId="3C5607FD">
          <wp:extent cx="1047750" cy="857250"/>
          <wp:effectExtent l="0" t="0" r="0" b="0"/>
          <wp:docPr id="4"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47750" cy="857250"/>
                  </a:xfrm>
                  <a:prstGeom prst="rect">
                    <a:avLst/>
                  </a:prstGeom>
                  <a:ln/>
                </pic:spPr>
              </pic:pic>
            </a:graphicData>
          </a:graphic>
        </wp:inline>
      </w:drawing>
    </w:r>
  </w:p>
  <w:p w14:paraId="3C5607FB" w14:textId="77777777" w:rsidR="00720F42" w:rsidRDefault="00720F42">
    <w:pPr>
      <w:pBdr>
        <w:top w:val="nil"/>
        <w:left w:val="nil"/>
        <w:bottom w:val="nil"/>
        <w:right w:val="nil"/>
        <w:between w:val="nil"/>
      </w:pBdr>
      <w:tabs>
        <w:tab w:val="center" w:pos="4419"/>
        <w:tab w:val="right" w:pos="8838"/>
      </w:tabs>
      <w:spacing w:after="0" w:line="240" w:lineRule="auto"/>
      <w:jc w:val="both"/>
      <w:rPr>
        <w:rFonts w:ascii="Arial" w:eastAsia="Arial" w:hAnsi="Arial" w:cs="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775D49"/>
    <w:multiLevelType w:val="multilevel"/>
    <w:tmpl w:val="3E36F5A6"/>
    <w:lvl w:ilvl="0">
      <w:start w:val="1"/>
      <w:numFmt w:val="lowerRoman"/>
      <w:lvlText w:val="%1."/>
      <w:lvlJc w:val="right"/>
      <w:pPr>
        <w:ind w:left="502"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num w:numId="1" w16cid:durableId="2036344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F42"/>
    <w:rsid w:val="00135CDB"/>
    <w:rsid w:val="00224D87"/>
    <w:rsid w:val="002E208C"/>
    <w:rsid w:val="003A6CAB"/>
    <w:rsid w:val="00453311"/>
    <w:rsid w:val="004C387A"/>
    <w:rsid w:val="00643797"/>
    <w:rsid w:val="0068781C"/>
    <w:rsid w:val="00720F42"/>
    <w:rsid w:val="007355EA"/>
    <w:rsid w:val="007863DD"/>
    <w:rsid w:val="007E5351"/>
    <w:rsid w:val="009E28A0"/>
    <w:rsid w:val="00AC0A01"/>
    <w:rsid w:val="00AE5AD2"/>
    <w:rsid w:val="00AE5EB7"/>
    <w:rsid w:val="00C80E78"/>
    <w:rsid w:val="00D2014F"/>
    <w:rsid w:val="00E61C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607DB"/>
  <w15:docId w15:val="{E281C70C-A163-47AE-9E15-262E6FA9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character" w:styleId="Refdecomentario">
    <w:name w:val="annotation reference"/>
    <w:basedOn w:val="Fuentedeprrafopredeter"/>
    <w:uiPriority w:val="99"/>
    <w:semiHidden/>
    <w:unhideWhenUsed/>
    <w:rsid w:val="00D60C2A"/>
    <w:rPr>
      <w:sz w:val="16"/>
      <w:szCs w:val="16"/>
    </w:rPr>
  </w:style>
  <w:style w:type="paragraph" w:styleId="Textocomentario">
    <w:name w:val="annotation text"/>
    <w:basedOn w:val="Normal"/>
    <w:link w:val="TextocomentarioCar"/>
    <w:uiPriority w:val="99"/>
    <w:semiHidden/>
    <w:unhideWhenUsed/>
    <w:rsid w:val="00D60C2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60C2A"/>
    <w:rPr>
      <w:sz w:val="20"/>
      <w:szCs w:val="20"/>
    </w:rPr>
  </w:style>
  <w:style w:type="paragraph" w:styleId="Asuntodelcomentario">
    <w:name w:val="annotation subject"/>
    <w:basedOn w:val="Textocomentario"/>
    <w:next w:val="Textocomentario"/>
    <w:link w:val="AsuntodelcomentarioCar"/>
    <w:uiPriority w:val="99"/>
    <w:semiHidden/>
    <w:unhideWhenUsed/>
    <w:rsid w:val="00D60C2A"/>
    <w:rPr>
      <w:b/>
      <w:bCs/>
    </w:rPr>
  </w:style>
  <w:style w:type="character" w:customStyle="1" w:styleId="AsuntodelcomentarioCar">
    <w:name w:val="Asunto del comentario Car"/>
    <w:basedOn w:val="TextocomentarioCar"/>
    <w:link w:val="Asuntodelcomentario"/>
    <w:uiPriority w:val="99"/>
    <w:semiHidden/>
    <w:rsid w:val="00D60C2A"/>
    <w:rPr>
      <w:b/>
      <w:bCs/>
      <w:sz w:val="20"/>
      <w:szCs w:val="20"/>
    </w:rPr>
  </w:style>
  <w:style w:type="paragraph" w:styleId="Textodeglobo">
    <w:name w:val="Balloon Text"/>
    <w:basedOn w:val="Normal"/>
    <w:link w:val="TextodegloboCar"/>
    <w:uiPriority w:val="99"/>
    <w:semiHidden/>
    <w:unhideWhenUsed/>
    <w:rsid w:val="00D60C2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0C2A"/>
    <w:rPr>
      <w:rFonts w:ascii="Segoe UI" w:hAnsi="Segoe UI" w:cs="Segoe UI"/>
      <w:sz w:val="18"/>
      <w:szCs w:val="18"/>
    </w:rPr>
  </w:style>
  <w:style w:type="paragraph" w:customStyle="1" w:styleId="InviasNormal">
    <w:name w:val="Invias Normal"/>
    <w:basedOn w:val="Normal"/>
    <w:link w:val="InviasNormalCar"/>
    <w:qFormat/>
    <w:rsid w:val="002B36E3"/>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2B36E3"/>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6522CE"/>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6522CE"/>
    <w:rPr>
      <w:rFonts w:ascii="Arial" w:eastAsia="Times New Roman" w:hAnsi="Arial" w:cs="Times New Roman"/>
      <w:szCs w:val="24"/>
      <w:lang w:eastAsia="es-ES"/>
    </w:rPr>
  </w:style>
  <w:style w:type="paragraph" w:styleId="Piedepgina">
    <w:name w:val="footer"/>
    <w:basedOn w:val="Normal"/>
    <w:link w:val="PiedepginaCar"/>
    <w:uiPriority w:val="99"/>
    <w:unhideWhenUsed/>
    <w:rsid w:val="006522C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522CE"/>
  </w:style>
  <w:style w:type="table" w:customStyle="1" w:styleId="Cuadrculadetablaclara1">
    <w:name w:val="Cuadrícula de tabla clara1"/>
    <w:basedOn w:val="Tablanormal"/>
    <w:next w:val="Tablaconcuadrculaclara"/>
    <w:uiPriority w:val="99"/>
    <w:rsid w:val="00B87FEA"/>
    <w:pPr>
      <w:spacing w:after="0"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87FE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DTnGAuCG0WhhLqTDaOQ+S4c/jQ==">CgMxLjA4AHIhMVdMSURfYVNHWXhZRjdqSHphaE00bFd1ZlEwd2NnbTdt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1113</Words>
  <Characters>6124</Characters>
  <Application>Microsoft Office Word</Application>
  <DocSecurity>0</DocSecurity>
  <Lines>51</Lines>
  <Paragraphs>14</Paragraphs>
  <ScaleCrop>false</ScaleCrop>
  <Company/>
  <LinksUpToDate>false</LinksUpToDate>
  <CharactersWithSpaces>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Diana Holguín</cp:lastModifiedBy>
  <cp:revision>9</cp:revision>
  <dcterms:created xsi:type="dcterms:W3CDTF">2026-07-30T13:31:00Z</dcterms:created>
  <dcterms:modified xsi:type="dcterms:W3CDTF">2026-09-21T19:18:00Z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