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lang w:val="es-CO"/>
        </w:rPr>
      </w:pPr>
    </w:p>
    <w:p w14:paraId="42884343" w14:textId="008941ED" w:rsidR="003C3B31" w:rsidRPr="00B424B0" w:rsidRDefault="003C3B31">
      <w:pPr>
        <w:rPr>
          <w:rFonts w:ascii="Verdana" w:hAnsi="Verdana"/>
          <w:color w:val="1A1818" w:themeColor="text1"/>
          <w:sz w:val="22"/>
          <w:szCs w:val="24"/>
          <w:lang w:val="es-CO"/>
        </w:rPr>
      </w:pPr>
    </w:p>
    <w:p w14:paraId="51973C77" w14:textId="77777777" w:rsidR="009C1606" w:rsidRPr="00B424B0" w:rsidRDefault="009C1606" w:rsidP="00540E0E">
      <w:pPr>
        <w:rPr>
          <w:rFonts w:ascii="Verdana" w:hAnsi="Verdana" w:cstheme="minorHAnsi"/>
          <w:b/>
          <w:sz w:val="22"/>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lang w:val="es-CO"/>
        </w:rPr>
        <w:t>Personero Municipal, Leonardo Fabio Reales Chacón, en representación</w:t>
      </w:r>
      <w:r w:rsidRPr="00B424B0">
        <w:rPr>
          <w:rFonts w:ascii="Verdana" w:hAnsi="Verdana" w:cstheme="minorHAnsi"/>
          <w:sz w:val="22"/>
          <w:lang w:val="es-CO"/>
        </w:rPr>
        <w:t xml:space="preserve"> de Personería Municipal de Pereira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Que mediante Resolución No. [PENDIENTE: número y fecha de la resolución de apertura]</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rPr>
        <w:t>PE-SAMC-156-2026</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Que mediante Resolución No. [PENDIENTE: número y fecha de la resolución de adjudicación]</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ADECUACIÓN, REMODELACIÓN Y MEJORAS DE INFRAESTRUCTURA FÍSICA, ELÉCTRICA Y DE VOZ Y DATOS DEL PISO 3 EDIFICIO PERSONERÍA DE PEREIRA.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PE-SAMC-156-2026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treinta (30) días calendario, sin exceder el 31 de diciembre de 2026</w:t>
      </w:r>
      <w:r w:rsidR="0028554B" w:rsidRPr="00B424B0">
        <w:rPr>
          <w:rFonts w:ascii="Verdana" w:hAnsi="Verdana" w:cstheme="minorHAnsi"/>
          <w:sz w:val="22"/>
        </w:rPr>
        <w:t xml:space="preserve">, contados a partir de </w:t>
      </w:r>
      <w:r w:rsidR="00EB26D5" w:rsidRPr="00B424B0">
        <w:rPr>
          <w:rFonts w:ascii="Verdana" w:hAnsi="Verdana" w:cstheme="minorHAnsi"/>
          <w:sz w:val="22"/>
        </w:rPr>
        <w:t>la 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8977D8"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rPr>
        <w:t>CUATROCIENTOS OCHENTA Y OCHO MILLONES OCHOCIENTOS NOVENTA Y NUEVE MIL OCHOCIENTOS OCHENTA Y DOS PESOS M/</w:t>
      </w:r>
      <w:r w:rsidR="00F97EF9" w:rsidRPr="008977D8">
        <w:rPr>
          <w:rFonts w:ascii="Verdana" w:hAnsi="Verdana" w:cstheme="minorHAnsi"/>
          <w:sz w:val="22"/>
        </w:rPr>
        <w:t>CTE ($488.899.882)</w:t>
      </w:r>
      <w:r w:rsidR="00CB63BE" w:rsidRPr="008977D8">
        <w:rPr>
          <w:rFonts w:ascii="Verdana" w:hAnsi="Verdana" w:cstheme="minorHAnsi"/>
          <w:sz w:val="22"/>
        </w:rPr>
        <w:t xml:space="preserve">, equivalentes a 279,23 SMLMV para el año </w:t>
      </w:r>
      <w:r w:rsidR="004421A4" w:rsidRPr="008977D8">
        <w:rPr>
          <w:rFonts w:ascii="Verdana" w:hAnsi="Verdana" w:cstheme="minorHAnsi"/>
          <w:sz w:val="22"/>
        </w:rPr>
        <w:t xml:space="preserve">de suscripción del contrato </w:t>
      </w:r>
      <w:r w:rsidR="00CB63BE" w:rsidRPr="008977D8">
        <w:rPr>
          <w:rFonts w:ascii="Verdana" w:hAnsi="Verdana" w:cstheme="minorHAnsi"/>
          <w:sz w:val="22"/>
        </w:rPr>
        <w:t xml:space="preserve">2026 suma que se discrimina de la siguiente manera: </w:t>
      </w:r>
      <w:r w:rsidRPr="008977D8">
        <w:rPr>
          <w:b/>
          <w:color w:val="C00000"/>
        </w:rPr>
        <w:t xml:space="preserve"> PENDIENTE: ajustar al valor de la oferta adjudicada.</w:t>
      </w:r>
    </w:p>
    <w:p w14:paraId="4A4AD081" w14:textId="77777777" w:rsidR="00CB63BE" w:rsidRPr="008977D8" w:rsidRDefault="00CB63BE" w:rsidP="00540E0E">
      <w:pPr>
        <w:rPr>
          <w:rFonts w:ascii="Verdana" w:hAnsi="Verdana" w:cstheme="minorHAnsi"/>
          <w:sz w:val="22"/>
        </w:rPr>
      </w:pPr>
    </w:p>
    <w:p w14:paraId="545B32CC" w14:textId="3E305E3D" w:rsidR="00B46079" w:rsidRPr="008977D8" w:rsidRDefault="00CB63BE" w:rsidP="00540E0E">
      <w:pPr>
        <w:rPr>
          <w:rFonts w:ascii="Verdana" w:hAnsi="Verdana" w:cstheme="minorHAnsi"/>
          <w:sz w:val="22"/>
        </w:rPr>
      </w:pPr>
      <w:r w:rsidRPr="008977D8">
        <w:rPr>
          <w:rFonts w:ascii="Verdana" w:hAnsi="Verdana" w:cstheme="minorHAnsi"/>
          <w:sz w:val="22"/>
        </w:rPr>
        <w:t>Costo directo de obra: $364.152.402,78. AIU (30 %: administración 24 %, imprevistos 1 %, utilidad 5 %): $109.245.720,83. Suministros (capítulo 7) más administración del 12 %: $12.042.310,56. IVA del 19 % sobre la utilidad: $3.459.447,83. El valor incluye todos los impuestos, tasas y contribuciones de orden nacional, departamental y municipal aplicables al Contrato.</w:t>
      </w:r>
      <w:r w:rsidRPr="008977D8">
        <w:rPr>
          <w:b/>
          <w:color w:val="C00000"/>
        </w:rPr>
        <w:t xml:space="preserve"> Entre ellos, la contribución especial del cinco por ciento (5 %) del valor del contrato de obra pública (artículo 6 de la Ley 1106 de 2006) y las estampillas del Municipio de Pereira Pro-Cultura (1,5 %) y Pro-Adulto Mayor (2 %), que la Entidad descontará de cada pago.</w:t>
      </w:r>
    </w:p>
    <w:p w14:paraId="320A37B5" w14:textId="677A27F1" w:rsidR="00CB63BE" w:rsidRPr="008977D8" w:rsidRDefault="00CB63BE" w:rsidP="00540E0E">
      <w:pPr>
        <w:rPr>
          <w:rFonts w:ascii="Verdana" w:hAnsi="Verdana" w:cstheme="minorHAnsi"/>
          <w:sz w:val="22"/>
        </w:rPr>
      </w:pPr>
      <w:r w:rsidRPr="008977D8">
        <w:rPr>
          <w:rFonts w:ascii="Verdana" w:hAnsi="Verdana" w:cstheme="minorHAnsi"/>
          <w:sz w:val="22"/>
        </w:rPr>
        <w:t xml:space="preserve"> </w:t>
      </w:r>
    </w:p>
    <w:p w14:paraId="7E031A2A" w14:textId="609C3109" w:rsidR="009D7187" w:rsidRPr="008977D8" w:rsidRDefault="009D7187" w:rsidP="00540E0E">
      <w:pPr>
        <w:rPr>
          <w:rFonts w:ascii="Verdana" w:hAnsi="Verdana" w:cstheme="minorHAnsi"/>
          <w:sz w:val="22"/>
        </w:rPr>
      </w:pPr>
      <w:r w:rsidRPr="008977D8">
        <w:rPr>
          <w:rFonts w:ascii="Verdana" w:hAnsi="Verdana" w:cstheme="minorHAnsi"/>
          <w:sz w:val="22"/>
        </w:rPr>
        <w:t xml:space="preserve">El </w:t>
      </w:r>
      <w:r w:rsidR="006B09B1" w:rsidRPr="008977D8">
        <w:rPr>
          <w:rFonts w:ascii="Verdana" w:hAnsi="Verdana" w:cstheme="minorHAnsi"/>
          <w:sz w:val="22"/>
        </w:rPr>
        <w:t>Contratista</w:t>
      </w:r>
      <w:r w:rsidR="00046EBC" w:rsidRPr="008977D8">
        <w:rPr>
          <w:rFonts w:ascii="Verdana" w:hAnsi="Verdana" w:cstheme="minorHAnsi"/>
          <w:sz w:val="22"/>
        </w:rPr>
        <w:t>,</w:t>
      </w:r>
      <w:r w:rsidRPr="008977D8">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977D8" w:rsidRDefault="009D7187" w:rsidP="00540E0E">
      <w:pPr>
        <w:rPr>
          <w:rFonts w:ascii="Verdana" w:hAnsi="Verdana" w:cstheme="minorHAnsi"/>
          <w:color w:val="1A1818" w:themeColor="text1"/>
          <w:sz w:val="22"/>
        </w:rPr>
      </w:pPr>
    </w:p>
    <w:p w14:paraId="3D38CA80" w14:textId="40C7C3BE" w:rsidR="00B46079" w:rsidRPr="008977D8" w:rsidRDefault="00107F13" w:rsidP="591C3505">
      <w:pPr>
        <w:pStyle w:val="clusulas"/>
        <w:spacing w:before="0" w:after="0"/>
        <w:ind w:left="426"/>
        <w:rPr>
          <w:rFonts w:ascii="Verdana" w:hAnsi="Verdana"/>
          <w:color w:val="1A1818" w:themeColor="text1"/>
          <w:sz w:val="22"/>
          <w:szCs w:val="24"/>
        </w:rPr>
      </w:pPr>
      <w:r w:rsidRPr="008977D8">
        <w:rPr>
          <w:rFonts w:ascii="Verdana" w:hAnsi="Verdana"/>
          <w:color w:val="1A1818" w:themeColor="text1"/>
          <w:sz w:val="22"/>
          <w:szCs w:val="24"/>
        </w:rPr>
        <w:t>ANTICIPO</w:t>
      </w:r>
      <w:r w:rsidR="514191E1" w:rsidRPr="008977D8">
        <w:rPr>
          <w:rFonts w:ascii="Verdana" w:hAnsi="Verdana"/>
          <w:color w:val="1A1818" w:themeColor="text1"/>
          <w:sz w:val="22"/>
          <w:szCs w:val="24"/>
        </w:rPr>
        <w:t xml:space="preserve"> O PAGO ANTICIPADO</w:t>
      </w:r>
    </w:p>
    <w:p w14:paraId="0D7EE95D" w14:textId="26FACB85" w:rsidR="0073703A" w:rsidRPr="008977D8" w:rsidRDefault="00107F13" w:rsidP="00A565CB">
      <w:pPr>
        <w:pStyle w:val="clusulas"/>
        <w:numPr>
          <w:ilvl w:val="0"/>
          <w:numId w:val="0"/>
        </w:numPr>
        <w:spacing w:before="0" w:after="0"/>
        <w:rPr>
          <w:rFonts w:ascii="Verdana" w:hAnsi="Verdana" w:cstheme="minorHAnsi"/>
          <w:color w:val="1A1818" w:themeColor="text1"/>
          <w:sz w:val="22"/>
        </w:rPr>
      </w:pPr>
      <w:r w:rsidRPr="008977D8">
        <w:rPr>
          <w:rFonts w:ascii="Verdana" w:hAnsi="Verdana" w:cstheme="minorHAnsi"/>
          <w:color w:val="1A1818" w:themeColor="text1"/>
          <w:sz w:val="22"/>
        </w:rPr>
        <w:t xml:space="preserve"> </w:t>
      </w:r>
    </w:p>
    <w:p w14:paraId="0BC04E5F" w14:textId="4AAD2C1C" w:rsidR="007D6611" w:rsidRPr="008977D8" w:rsidRDefault="007D6611" w:rsidP="591C3505">
      <w:pPr>
        <w:rPr>
          <w:rFonts w:ascii="Verdana" w:hAnsi="Verdana"/>
          <w:sz w:val="22"/>
          <w:szCs w:val="24"/>
        </w:rPr>
      </w:pPr>
      <w:r w:rsidRPr="008977D8">
        <w:rPr>
          <w:rFonts w:ascii="Verdana" w:hAnsi="Verdana"/>
          <w:sz w:val="22"/>
          <w:szCs w:val="24"/>
        </w:rPr>
        <w:t>Para el presente contrato la Entidad no entregará al Contratista anticipo o pago anticipado.</w:t>
      </w:r>
    </w:p>
    <w:p w14:paraId="56DB25AC" w14:textId="77777777" w:rsidR="007D6611" w:rsidRPr="008977D8" w:rsidRDefault="007D6611" w:rsidP="591C3505">
      <w:pPr>
        <w:rPr>
          <w:rFonts w:ascii="Verdana" w:hAnsi="Verdana"/>
          <w:sz w:val="22"/>
          <w:szCs w:val="24"/>
        </w:rPr>
      </w:pPr>
    </w:p>
    <w:p w14:paraId="764303F1" w14:textId="26B885B5" w:rsidR="000D4970" w:rsidRPr="008977D8" w:rsidRDefault="000D4970" w:rsidP="00540E0E">
      <w:pPr>
        <w:rPr>
          <w:rFonts w:ascii="Verdana" w:hAnsi="Verdana" w:cstheme="minorHAnsi"/>
          <w:sz w:val="22"/>
        </w:rPr>
      </w:pPr>
    </w:p>
    <w:p w14:paraId="0FEE4ABF" w14:textId="77777777" w:rsidR="007A1FDE" w:rsidRPr="008977D8" w:rsidRDefault="007A1FDE" w:rsidP="00540E0E">
      <w:pPr>
        <w:rPr>
          <w:rFonts w:ascii="Verdana" w:hAnsi="Verdana" w:cstheme="minorHAnsi"/>
          <w:sz w:val="22"/>
        </w:rPr>
      </w:pPr>
    </w:p>
    <w:p w14:paraId="2F4471E9" w14:textId="46BD6D7C" w:rsidR="00CB63BE" w:rsidRPr="008977D8" w:rsidRDefault="00312225" w:rsidP="00A565CB">
      <w:pPr>
        <w:pStyle w:val="clusulas"/>
        <w:spacing w:before="0" w:after="0"/>
        <w:ind w:left="426"/>
        <w:rPr>
          <w:rFonts w:ascii="Verdana" w:hAnsi="Verdana" w:cstheme="minorHAnsi"/>
          <w:sz w:val="22"/>
        </w:rPr>
      </w:pPr>
      <w:r w:rsidRPr="008977D8">
        <w:rPr>
          <w:rFonts w:ascii="Verdana" w:hAnsi="Verdana" w:cstheme="minorHAnsi"/>
          <w:sz w:val="22"/>
        </w:rPr>
        <w:t xml:space="preserve">APROPIACIÓN PRESUPUESTAL </w:t>
      </w:r>
    </w:p>
    <w:p w14:paraId="6C1E17D8" w14:textId="77777777" w:rsidR="00B46079" w:rsidRPr="008977D8"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8977D8" w:rsidRDefault="00312225" w:rsidP="00540E0E">
      <w:pPr>
        <w:rPr>
          <w:rFonts w:ascii="Verdana" w:hAnsi="Verdana" w:cstheme="minorHAnsi"/>
          <w:color w:val="1A1818" w:themeColor="text1"/>
          <w:sz w:val="22"/>
        </w:rPr>
      </w:pPr>
      <w:r w:rsidRPr="008977D8">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8977D8" w:rsidRDefault="00312225" w:rsidP="00540E0E">
      <w:pPr>
        <w:rPr>
          <w:rFonts w:ascii="Verdana" w:hAnsi="Verdana" w:cstheme="minorHAnsi"/>
          <w:color w:val="1A1818" w:themeColor="text1"/>
          <w:sz w:val="22"/>
        </w:rPr>
      </w:pPr>
    </w:p>
    <w:p w14:paraId="29D2A438" w14:textId="403E6803" w:rsidR="00312225" w:rsidRPr="008977D8" w:rsidRDefault="00312225" w:rsidP="00540E0E">
      <w:pPr>
        <w:rPr>
          <w:rFonts w:ascii="Verdana" w:hAnsi="Verdana" w:cstheme="minorHAnsi"/>
          <w:color w:val="1A1818" w:themeColor="text1"/>
          <w:sz w:val="22"/>
        </w:rPr>
      </w:pPr>
      <w:r w:rsidRPr="008977D8">
        <w:rPr>
          <w:rFonts w:ascii="Verdana" w:hAnsi="Verdana" w:cstheme="minorHAnsi"/>
          <w:color w:val="1A1818" w:themeColor="text1"/>
          <w:sz w:val="22"/>
        </w:rPr>
        <w:t>Certificado de Disponibilidad Presupuestal No. 10864 del 14 de octubre de 2026, por valor de $488.899.882, rubro 2.1.2.02.02.005, vigencia 2026.</w:t>
      </w:r>
    </w:p>
    <w:p w14:paraId="35290AAA" w14:textId="028AF1DB" w:rsidR="00613D91" w:rsidRPr="008977D8" w:rsidRDefault="00613D91" w:rsidP="00540E0E">
      <w:pPr>
        <w:rPr>
          <w:rFonts w:ascii="Verdana" w:hAnsi="Verdana" w:cstheme="minorHAnsi"/>
          <w:color w:val="1A1818" w:themeColor="text1"/>
          <w:sz w:val="22"/>
        </w:rPr>
      </w:pPr>
    </w:p>
    <w:p w14:paraId="6266B314" w14:textId="18F0F576" w:rsidR="00312225" w:rsidRPr="008977D8" w:rsidRDefault="00312225" w:rsidP="00540E0E">
      <w:pPr>
        <w:rPr>
          <w:rFonts w:ascii="Verdana" w:hAnsi="Verdana" w:cstheme="minorHAnsi"/>
          <w:color w:val="1A1818" w:themeColor="text1"/>
          <w:sz w:val="22"/>
        </w:rPr>
      </w:pPr>
    </w:p>
    <w:p w14:paraId="50455934" w14:textId="0F7BF0E4" w:rsidR="00312225" w:rsidRPr="008977D8" w:rsidRDefault="00312225" w:rsidP="00540E0E">
      <w:pPr>
        <w:rPr>
          <w:rFonts w:ascii="Verdana" w:hAnsi="Verdana" w:cstheme="minorHAnsi"/>
          <w:color w:val="1A1818" w:themeColor="text1"/>
          <w:sz w:val="22"/>
        </w:rPr>
      </w:pPr>
    </w:p>
    <w:p w14:paraId="20D51BDE" w14:textId="5C59FB48" w:rsidR="00312225" w:rsidRPr="008977D8" w:rsidRDefault="00A85DE2" w:rsidP="00A565CB">
      <w:pPr>
        <w:pStyle w:val="clusulas"/>
        <w:spacing w:before="0" w:after="0"/>
        <w:ind w:left="426"/>
        <w:rPr>
          <w:rFonts w:ascii="Verdana" w:hAnsi="Verdana" w:cstheme="minorHAnsi"/>
          <w:color w:val="1A1818" w:themeColor="text1"/>
          <w:sz w:val="22"/>
        </w:rPr>
      </w:pPr>
      <w:r w:rsidRPr="008977D8">
        <w:rPr>
          <w:rFonts w:ascii="Verdana" w:hAnsi="Verdana" w:cstheme="minorHAnsi"/>
          <w:color w:val="1A1818" w:themeColor="text1"/>
          <w:sz w:val="22"/>
        </w:rPr>
        <w:t>FORMA DE PAGO</w:t>
      </w:r>
    </w:p>
    <w:p w14:paraId="0309E668" w14:textId="77777777" w:rsidR="00B46079" w:rsidRPr="008977D8" w:rsidRDefault="00B46079" w:rsidP="00B46079">
      <w:pPr>
        <w:pStyle w:val="clusulas"/>
        <w:numPr>
          <w:ilvl w:val="0"/>
          <w:numId w:val="0"/>
        </w:numPr>
        <w:spacing w:before="0" w:after="0"/>
        <w:rPr>
          <w:rFonts w:ascii="Verdana" w:hAnsi="Verdana" w:cstheme="minorHAnsi"/>
          <w:color w:val="1A1818" w:themeColor="text1"/>
          <w:sz w:val="22"/>
        </w:rPr>
      </w:pPr>
    </w:p>
    <w:p w14:paraId="65BC8AF1" w14:textId="77777777" w:rsidR="002572B0" w:rsidRPr="008977D8" w:rsidRDefault="002572B0" w:rsidP="002572B0">
      <w:pPr>
        <w:rPr>
          <w:rFonts w:ascii="Verdana" w:hAnsi="Verdana"/>
          <w:sz w:val="22"/>
          <w:szCs w:val="24"/>
        </w:rPr>
      </w:pPr>
    </w:p>
    <w:p w14:paraId="3832BB6E" w14:textId="0D4D4CF8" w:rsidR="00480403" w:rsidRPr="008977D8" w:rsidRDefault="00480403" w:rsidP="00540E0E">
      <w:pPr>
        <w:rPr>
          <w:rFonts w:ascii="Verdana" w:hAnsi="Verdana" w:cstheme="minorHAnsi"/>
          <w:sz w:val="22"/>
        </w:rPr>
      </w:pPr>
    </w:p>
    <w:p w14:paraId="0C208E9F" w14:textId="4C7DC675" w:rsidR="00DF547E" w:rsidRPr="00B424B0" w:rsidRDefault="00DF547E">
      <w:pPr>
        <w:rPr>
          <w:rFonts w:ascii="Verdana" w:hAnsi="Verdana" w:cstheme="minorHAnsi"/>
          <w:sz w:val="22"/>
        </w:rPr>
      </w:pPr>
      <w:r w:rsidRPr="008977D8">
        <w:rPr>
          <w:rFonts w:ascii="Verdana" w:hAnsi="Verdana" w:cstheme="minorHAnsi"/>
          <w:sz w:val="22"/>
        </w:rPr>
        <w:t>La Entidad pagará al Contratista el valor del Contrato mediante pagos parciales hasta el cien por ciento (100 %) del valor total, según las cantidades de obra ejecutadas, verificadas y recibidas a satisfacción, soportadas en actas parciales de avance de obra revisadas y aprobadas por la supervisión, a los precios unitarios y AIU pactados. El último pago se hará contra el acta de recibo final de la</w:t>
      </w:r>
      <w:r w:rsidRPr="00B424B0">
        <w:rPr>
          <w:rFonts w:ascii="Verdana" w:hAnsi="Verdana" w:cstheme="minorHAnsi"/>
          <w:sz w:val="22"/>
        </w:rPr>
        <w:t xml:space="preserve"> </w:t>
      </w:r>
      <w:r w:rsidRPr="008977D8">
        <w:rPr>
          <w:rFonts w:ascii="Verdana" w:hAnsi="Verdana" w:cstheme="minorHAnsi"/>
          <w:sz w:val="22"/>
        </w:rPr>
        <w:t>obra.</w:t>
      </w:r>
      <w:r w:rsidRPr="008977D8">
        <w:rPr>
          <w:b/>
          <w:color w:val="C00000"/>
        </w:rPr>
        <w:t xml:space="preserve"> Las facturas se radican por el canal de recepción de facturación electrónica que informe la Oficina Administrativa y Financiera de la Personería.</w:t>
      </w:r>
    </w:p>
    <w:p w14:paraId="3A5D2581" w14:textId="77777777" w:rsidR="00566B03" w:rsidRPr="00B424B0" w:rsidRDefault="00566B03" w:rsidP="00540E0E">
      <w:pPr>
        <w:rPr>
          <w:rFonts w:ascii="Verdana" w:hAnsi="Verdana" w:cstheme="minorHAnsi"/>
          <w:sz w:val="22"/>
        </w:rPr>
      </w:pPr>
      <w:r w:rsidRPr="00B424B0">
        <w:rPr>
          <w:rFonts w:ascii="Verdana" w:hAnsi="Verdana" w:cstheme="minorHAnsi"/>
          <w:sz w:val="22"/>
        </w:rPr>
        <w:t>Para cada pago el Contratista presentará a la supervisión el acta y el borrador de la factura con sus soportes. Aprobada el acta, el supervisor autorizará la emisión de la factura electrónica de venta, validada previamente por la DIAN, que el Contratista publicará en el SECOP II.</w:t>
      </w:r>
    </w:p>
    <w:p w14:paraId="2274A493" w14:textId="77777777" w:rsidR="00566B03" w:rsidRPr="00B424B0" w:rsidRDefault="00566B03" w:rsidP="00540E0E">
      <w:pPr>
        <w:rPr>
          <w:rFonts w:ascii="Verdana" w:hAnsi="Verdana" w:cstheme="minorHAnsi"/>
          <w:sz w:val="22"/>
        </w:rPr>
      </w:pPr>
      <w:r w:rsidRPr="00B424B0">
        <w:rPr>
          <w:rFonts w:ascii="Verdana" w:hAnsi="Verdana" w:cstheme="minorHAnsi"/>
          <w:sz w:val="22"/>
        </w:rPr>
        <w:t>La Entidad pagará las facturas dentro de los cuarenta y cinco (45) días calendario siguientes a la fecha de su radicación.</w:t>
      </w:r>
    </w:p>
    <w:p w14:paraId="6FDA65A7" w14:textId="77777777" w:rsidR="00566B03" w:rsidRPr="00B424B0" w:rsidRDefault="00566B03" w:rsidP="00540E0E">
      <w:pPr>
        <w:rPr>
          <w:rFonts w:ascii="Verdana" w:hAnsi="Verdana" w:cstheme="minorHAnsi"/>
          <w:sz w:val="22"/>
        </w:rPr>
      </w:pPr>
      <w:r w:rsidRPr="00B424B0">
        <w:rPr>
          <w:rFonts w:ascii="Verdana" w:hAnsi="Verdana" w:cstheme="minorHAnsi"/>
          <w:sz w:val="22"/>
        </w:rPr>
        <w:t>Para el pago final el Contratista entregará, además, los manuales de mantenimiento, la bitácora de obra, los registros de pruebas y certificación de los puntos de datos, las fichas técnicas, las garantías de los bienes y la documentación récord.</w:t>
      </w:r>
    </w:p>
    <w:p w14:paraId="211A61A4" w14:textId="77777777" w:rsidR="00DF547E" w:rsidRPr="00B424B0" w:rsidRDefault="00DF547E" w:rsidP="00540E0E">
      <w:pPr>
        <w:rPr>
          <w:rFonts w:ascii="Verdana" w:hAnsi="Verdana" w:cstheme="minorHAnsi"/>
          <w:sz w:val="22"/>
        </w:rPr>
      </w:pPr>
    </w:p>
    <w:p w14:paraId="73C27519" w14:textId="77777777" w:rsidR="009118CB" w:rsidRPr="00B424B0" w:rsidRDefault="009118CB" w:rsidP="009118CB">
      <w:pPr>
        <w:rPr>
          <w:rFonts w:ascii="Verdana" w:hAnsi="Verdana" w:cstheme="minorHAnsi"/>
          <w:sz w:val="22"/>
        </w:rPr>
      </w:pPr>
    </w:p>
    <w:p w14:paraId="5305F6DF" w14:textId="21E00DC3" w:rsidR="00464AB2" w:rsidRPr="00B424B0" w:rsidRDefault="00464AB2" w:rsidP="00540E0E">
      <w:pPr>
        <w:rPr>
          <w:rFonts w:ascii="Verdana" w:hAnsi="Verdana" w:cstheme="minorHAnsi"/>
          <w:sz w:val="22"/>
        </w:rPr>
      </w:pPr>
    </w:p>
    <w:p w14:paraId="0D6A97A9" w14:textId="77777777" w:rsidR="00555DD6" w:rsidRPr="00B424B0" w:rsidRDefault="00555DD6">
      <w:pPr>
        <w:rPr>
          <w:rFonts w:ascii="Verdana" w:hAnsi="Verdana" w:cstheme="minorHAnsi"/>
          <w:sz w:val="22"/>
        </w:rPr>
      </w:pP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rPr>
        <w:t>supervisor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cuarenta y cinco (45)</w:t>
      </w:r>
      <w:r w:rsidRPr="00B424B0">
        <w:rPr>
          <w:rFonts w:ascii="Verdana" w:hAnsi="Verdana" w:cstheme="minorHAnsi"/>
          <w:sz w:val="22"/>
        </w:rPr>
        <w:t xml:space="preserve"> días calendario siguientes a la presentación de la factura y visto bueno por parte del </w:t>
      </w:r>
      <w:r w:rsidR="0061415D" w:rsidRPr="00B424B0">
        <w:rPr>
          <w:rFonts w:ascii="Verdana" w:hAnsi="Verdana" w:cstheme="minorHAnsi"/>
          <w:sz w:val="22"/>
        </w:rPr>
        <w:t xml:space="preserve">supervisor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w:t>
      </w:r>
      <w:r w:rsidRPr="00B424B0">
        <w:rPr>
          <w:rFonts w:ascii="Verdana" w:hAnsi="Verdana" w:cstheme="minorHAnsi"/>
          <w:sz w:val="22"/>
        </w:rPr>
        <w:lastRenderedPageBreak/>
        <w:t xml:space="preserve">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rPr>
        <w:t xml:space="preserve">supervisor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rPr>
        <w:t xml:space="preserve">supervisor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en el Anexo 1 – Anexo Técnico,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23D14353"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[PENDIENTE: porcentaje entre el 10 % y el 30 %]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r w:rsidR="008977D8">
        <w:rPr>
          <w:rFonts w:ascii="Verdana" w:eastAsia="Calibri" w:hAnsi="Verdana" w:cs="Arial"/>
          <w:bCs/>
          <w:iCs/>
          <w:sz w:val="22"/>
          <w:lang w:val="es-ES"/>
        </w:rPr>
        <w:t>.</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lastRenderedPageBreak/>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22CBCD0C" w14:textId="77777777" w:rsidR="00691E03" w:rsidRPr="00B424B0" w:rsidRDefault="00691E03" w:rsidP="00540E0E">
      <w:pPr>
        <w:rPr>
          <w:rFonts w:ascii="Verdana" w:hAnsi="Verdana" w:cstheme="minorHAnsi"/>
          <w:color w:val="1A1818" w:themeColor="text1"/>
          <w:sz w:val="22"/>
          <w:lang w:val="es-CO"/>
        </w:rPr>
      </w:pP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Durante la ejecución del contrato deberá observar las leyes y los reglamentos relativos a Salud Ocupacional y Seguridad Industrial y tomar todas aquellas precauciones necesarias para evitar que se produzcan en las zonas de sus </w:t>
      </w:r>
      <w:r w:rsidRPr="00B424B0">
        <w:rPr>
          <w:rFonts w:ascii="Verdana" w:hAnsi="Verdana" w:cstheme="minorHAnsi"/>
          <w:color w:val="1A1818" w:themeColor="text1"/>
          <w:sz w:val="22"/>
          <w:szCs w:val="24"/>
        </w:rPr>
        <w:lastRenderedPageBreak/>
        <w:t>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722A51"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cinco (5) hábiles siguientes a la suscripción del contrato. </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rPr>
        <w:t xml:space="preserve">[Incluir solo si el adjudicatario obtuvo puntaje con el Formato 14] </w:t>
      </w:r>
      <w:r w:rsidRPr="00B424B0">
        <w:rPr>
          <w:rFonts w:ascii="Verdana" w:hAnsi="Verdana"/>
          <w:sz w:val="22"/>
          <w:szCs w:val="24"/>
        </w:rPr>
        <w:t>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r w:rsidRPr="008977D8">
        <w:rPr>
          <w:rFonts w:ascii="Verdana" w:hAnsi="Verdana"/>
          <w:sz w:val="22"/>
          <w:szCs w:val="24"/>
        </w:rPr>
        <w:t>]</w:t>
      </w:r>
      <w:r w:rsidRPr="008977D8">
        <w:rPr>
          <w:b/>
          <w:color w:val="C00000"/>
        </w:rPr>
        <w:t xml:space="preserve"> PENDIENTE: completar con las actividades ofrecidas por el adjudicatario en el Formato 14.</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lastRenderedPageBreak/>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Cumplir las obligaciones ambientales del Contrato: El contratista deberá efectuar el pago del impuesto de timbre antes del inicio de la ejecución del contrato en los términos descritos en el "Instructivo de trasferencias electrónicas PSE DTN recaudo impuesto de timbre” emitido por el Ministerio de Hacienda y Crédito Público o aquel que lo modifique o reemplace. El contratista deberá ejecutar el objeto contractual atendiendo las instrucciones y directrices que imparta la Personería Municipal de Pereira, conforme a la normatividad ambiental, laboral y social vigente, y de acuerdo con la propuesta presentada y aprobada. Durante la ejecución, el contratista deberá adoptar buenas prácticas ambientales, de seguridad y convivencia laboral, así como las medidas necesarias para prevenir, mitigar o corregir cualquier impacto ambiental o social derivado de la ejecución del contrato.</w:t>
      </w:r>
    </w:p>
    <w:p w14:paraId="287AB81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La Supervisión verificará el cumplimiento de las obligaciones ambientales y sociales, dejando constancia en los informes periódicos de seguimiento. Cuando lo considere necesario, podrá solicitar al contratista la presentación de un plan de manejo ambiental y social específico, ajustado a las características del contrato, el cual deberá ser aprobado por la Supervisión antes de su ejecución.</w:t>
      </w:r>
    </w:p>
    <w:p w14:paraId="06F5577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Presentar a la Supervisión, junto con cada Informe Mensual de Avance de Obra, un informe de la implementación del Plan de Gestión Ambiental y Social (PGAS), según los criterios determinados por la Entidad y de las normas ambientales, con los soportes y certificaciones, indicando el Contrato de Obra y su objeto, que sean correspondientes y respalden la información de la gestión realizada.</w:t>
      </w:r>
    </w:p>
    <w:p w14:paraId="0D288B6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La Supervisión tiene la responsabilidad de revisar, aprobar y solicitar los ajustes que considere pertinentes, no obstante que la Entidad solicite los ajustes necesarios.</w:t>
      </w:r>
    </w:p>
    <w:p w14:paraId="6777CF58"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 contratista, debe diligenciar los formatos suministrados por la Entidad para la relación y control de los residuos sólidos generados durante el desarrollo del contrato y hacer entrega de todos los certificados de disposición final de los residuos relacionados.</w:t>
      </w:r>
    </w:p>
    <w:p w14:paraId="7A5A4B44"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Cumplir con todas las normas y leyes colombianas sobre el medio ambiente (A nivel nacional, regional y local) que se encuentren vigentes durante el término del contrato, incluyendo entre otros:</w:t>
      </w:r>
    </w:p>
    <w:p w14:paraId="750669E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Manejo de residuos líquidos, sólidos, peligrosos, permiso de vertimientos, de emisiones atmosféricas, transporte y disposición final de residuos de construcción y demolición (RCD), residuos domésticos o convencionales, residuos peligrosos (RESPEL). Así mismo, el Contratista debe en todo momento minimizar el impacto ambiental de cualquier actividad realizada por él, en el desarrollo del contrato, de conformidad con las normas aplicables. El Contratista conoce y acepta que las Autoridades competentes nacionales, </w:t>
      </w:r>
      <w:r w:rsidRPr="00B424B0">
        <w:rPr>
          <w:rFonts w:ascii="Verdana" w:hAnsi="Verdana" w:cstheme="minorHAnsi"/>
          <w:color w:val="1A1818" w:themeColor="text1"/>
          <w:sz w:val="22"/>
          <w:szCs w:val="24"/>
        </w:rPr>
        <w:lastRenderedPageBreak/>
        <w:t>regionales o locales que tengan jurisdicción sobre el área donde se realizan las actividades, pueden disponer la suspensión de las actividades objeto de este contrato hasta que el Contratista cumpla o subsane el hecho deficiente.</w:t>
      </w:r>
    </w:p>
    <w:p w14:paraId="1219F36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 contratista, debe presentar a la Supervisión, informe mensual de la generación y gestión de residuos sólidos durante el desarrollo de la obra.</w:t>
      </w:r>
    </w:p>
    <w:p w14:paraId="089A7AB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Los diseños y especificaciones deberán incluir iluminación, dispositivos y equipos electrónicos con alta eficiencia energética (RETIQ) comprobada, para espacios interiores y exteriores, de acuerdo con el alcance del Contrato. Cumplir con los niveles mínimos de lúmenes requeridos de acuerdo con los diseños específicos de las áreas a intervenir y con la normatividad RETILAP, en la medida que esto se asocia con la calidad del ambiente interno de un recinto y la seguridad y salud en el trabajo.</w:t>
      </w:r>
    </w:p>
    <w:p w14:paraId="2962E4AC"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Hacer entrega del listado de sustancias químicas que utilizaría para la prestación del servicio, con las respectivas hojas de seguridad, las 16 secciones requeridas y matriz de compatibilidad de sustancias químicas para el almacenamiento seguro de las mismas. Los productos deberán entregarse y mantenerse etiquetados de acuerdo al Sistema Globalmente Armonizado.</w:t>
      </w:r>
    </w:p>
    <w:p w14:paraId="51EB6FAD"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Hacer la recolección, transporte y disposición final de los residuos generados durante la prestación del servicio, bajo sus propios costos y logística requerida.</w:t>
      </w:r>
    </w:p>
    <w:p w14:paraId="50282DD7"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Presentar a la Supervisión una certificación comercial con gestores de Residuos de Construcción y Demolición (RCD) y Residuos Peligrosos (RESPEL), que cumpla con las condiciones establecidas en el Decreto No. 1076 de 2015 y las demás normas aplicables. Para esto, debe presentarla a la Supervisión para la revisión y aprobación respectiva. El cumplimiento de esta obligación será un requisito previo para la firma del acta de inicio.</w:t>
      </w:r>
    </w:p>
    <w:p w14:paraId="307383D2"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 Contratista debe en todo momento minimizar el impacto ambiental de cualquier actividad realizada por él, en el desarrollo del contrato, de conformidad con las 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p>
    <w:p w14:paraId="5A94ECA6"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 las obras, el contratista debe implementar medidas para el control y manejo de material particulado y demás emisiones, incluyendo el ruido. Así mismo y para los casos en sea necesaria la programación de trabajos nocturnos, se deben tramitar los permisos pertinentes con suficiente antelación.</w:t>
      </w:r>
    </w:p>
    <w:p w14:paraId="1E478296"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Responder a su costa por los perjuicios que se generen como consecuencia de la suspensión o retrasos en la ejecución de la obra, derivados del incumplimiento de las normas y leyes ambientales.</w:t>
      </w:r>
    </w:p>
    <w:p w14:paraId="386965A5"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Mantener la obra libre de toda acumulación de desperdicios y escombros, entregándola a su terminación completamente limpia y aseada, así mismo, acatar lo dispuesto en toda la normatividad vigente relativa a la movilización, tratamiento, disposición y aprovechamiento de escombros, que para ello dicte la autoridad competente de la región.</w:t>
      </w:r>
    </w:p>
    <w:p w14:paraId="3E6D4AC6"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Nota: Los anexos enunciados en los dos numerales anteriores no hacen parte de los documentos del proceso. Estos serán proporcionados al Contratista por la Entidad durante la ejecución del Contrato.</w:t>
      </w:r>
    </w:p>
    <w:p w14:paraId="5B465A43" w14:textId="77777777" w:rsidR="00497BA3" w:rsidRPr="00B424B0" w:rsidRDefault="00497BA3" w:rsidP="00A565CB">
      <w:pPr>
        <w:pStyle w:val="Captulo9"/>
        <w:rPr>
          <w:rFonts w:ascii="Verdana" w:hAnsi="Verdana" w:cstheme="minorHAnsi"/>
          <w:color w:val="1A1818" w:themeColor="text1"/>
          <w:sz w:val="22"/>
          <w:szCs w:val="24"/>
        </w:rPr>
      </w:pP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tres (3) días hábiles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La Entidad Estatal por medio del supervisor o interventor del contrato informará dentro de los tres (3)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rPr>
        <w:lastRenderedPageBreak/>
        <w:t>Suscribir junto con la Supervisión, el acta de inicio del contrato de obra, dentro de los tres (3) días hábiles siguientes a la aprobación de las Garantías.</w:t>
      </w:r>
    </w:p>
    <w:p w14:paraId="01DA73FC"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Presentar a la firma del acta de inicio, para revisión y aprobación de la Supervisión lo siguiente:</w:t>
      </w:r>
    </w:p>
    <w:p w14:paraId="34A04D2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Los Análisis de Precios Unitarios APUs que soportan la oferta económica presentada.</w:t>
      </w:r>
    </w:p>
    <w:p w14:paraId="04BCE3BC"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Revisar y analizar conjuntamente con la Supervisión, dentro de los cinco (5) días hábiles siguientes a la firma del acta de inicio, la totalidad de los estudios, diseños, planos, detalles, especificaciones de construcción, licencias, permisos o autorizaciones otorgadas por las autoridades competentes y/o demás información técnica que sea suministrada por la Entidad, teniendo en cuenta que estén de acuerdo con las normas, especificaciones, permisos, resoluciones, etc., indispensables para el desarrollo normal del proyecto, los cuales deberán ser recibidos a satisfacción por el contratista durante la etapa construcción. Por lo anterior, se deberá efectuar un acta entre el contratista y la Supervisión que registre la revisión y aceptación de la información entregada.</w:t>
      </w:r>
    </w:p>
    <w:p w14:paraId="5D795280"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Presentar para análisis y concepto técnico de la Supervisión las modificaciones, ajuste o  complementación que a criterio del constructor requieran los diferentes componentes técnicos del proyecto, necesarios para el cumplimiento del objeto contractual, antes de iniciar cualquier trabajo, si a ello hay lugar.</w:t>
      </w:r>
    </w:p>
    <w:p w14:paraId="125EE2F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Realizar la obra en el sitio indicado cumpliendo las especificaciones técnicas, normatividad vigente, la calidad acordada, en el tiempo pactado de acuerdo con el cronograma de obra, de conformidad con los diseños y demás especificaciones técnicas definidas para la obra, ciñéndose estrictamente a los planos e indicaciones suministradas por la Supervisión del contrato y las condiciones señaladas en las licencias, permisos o autorizaciones otorgadas por las autoridades competentes. Para tal efecto, el contratista se compromete a disponer todos los equipos, máquinas e implementos y personal para la correcta y oportuna ejecución del contrato.</w:t>
      </w:r>
    </w:p>
    <w:p w14:paraId="5D36489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Programar y realizar la adquisición de mobiliario, equipos y demás elementos requeridos, previendo los correspondientes tiempos de importación, nacionalización y/o fabricación, entre otros según se requiera; con el fin de dar cumplimiento al cronograma de la obra y ejecución del objeto del contrato en el plazo establecido.</w:t>
      </w:r>
    </w:p>
    <w:p w14:paraId="068AC1E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Garantizar que cuenta con el equipo necesario para llevar a cabo de manera efectiva y eficiente la ejecución del contrato de obra. Disponer de todos los recursos técnicos, maquinaria, herramientas y personal especializado que se requieran para cumplir con los términos y condiciones establecidos en el contrato. Proporcionar y mantener adecuadamente el equipo necesario para asegurar el cumplimiento de los plazos y la calidad de la obra.</w:t>
      </w:r>
    </w:p>
    <w:p w14:paraId="143DDC5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Realizar revisiones periódicas del estado de su equipo, (Mantenimiento Preventivo), y tomar todas las medidas necesarias para evitar interrupciones o retrasos en el desarrollo de la obra.</w:t>
      </w:r>
    </w:p>
    <w:p w14:paraId="2439CCA5"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Usar materiales de primera calidad y disponer de los equipos necesarios conforme a las especificaciones técnicas definidas para la ejecución de la obra con la calidad y plazo pactado y asumir por su cuenta, el transporte, custodia y bodegaje de los mismos.</w:t>
      </w:r>
    </w:p>
    <w:p w14:paraId="586C98C7"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Entregar, instalar y poner en funcionamiento, los bienes adquiridos en los sitios indicados o donde indique por escrito la Supervisión del contrato, así como responder y garantizar la calidad, idoneidad, seguridad y el buen estado y funcionamiento de los bienes de conformidad con lo estipulado en el artículo 7 de la Ley 1480 de 2011.</w:t>
      </w:r>
    </w:p>
    <w:p w14:paraId="592DE508"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Adelantar todas las actividades necesarias y adecuadas para la señalización y protección contra cualquier daño que pueda afectar inmuebles aledaños, estructuras, instalaciones de redes de servicios, entre otros; dentro del área de trabajo o adyacentes. Siendo de su exclusiva responsabilidad responder y reparar cualquier daño que ocurra en la obra o en los bienes suministrados, por causas imputables al contratista o a cualquiera de sus empleados dentro del plazo señalado por el artículo 2060 del Código Civil. Igualmente, el contratista responde ante terceros por los daños que se ocasionen durante la ejecución del contrato, de conformidad con la ley.</w:t>
      </w:r>
    </w:p>
    <w:p w14:paraId="50B83C7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Corregir a su costa y a entera satisfacción de la Entidad, todos los trabajos o bienes que no cumplan con lo previsto en los planos entregados, especificaciones respectivas, por mala calidad o con defectos de fabricación o instalación, teniendo en cuenta las disposiciones comerciales y civiles pertinentes.</w:t>
      </w:r>
    </w:p>
    <w:p w14:paraId="46F4BC42"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Responder por la obra objeto del contrato de manera integral y a su costa, hasta el día de la entrega física de la misma a la Supervisión y a la Entidad.</w:t>
      </w:r>
    </w:p>
    <w:p w14:paraId="35E702B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Presentar e implementar el Sistema de Gestión de la Seguridad y Salud en el Trabajo (SG-SST) en los términos del Decreto No. 1443 de 2014 “Por el cual se dictan disposiciones para la implementación del Sistema de Gestión de la Seguridad y Salud en el Trabajo (SG-SST) compilado en el Decreto No. 1072 de 2015, modificado por el Decreto No. 052 de 2017 y la reglamentación de la Resolución 312 de 2019 del Ministerio del Trabajo. Cada informe de ejecución deberá contener un capítulo de correspondiente a la implementación del SG-SST Obtener para la Entidad y previo concepto de la Supervisión las licencias, permisos y/o autorizaciones que se requieran con el fin de ejecutar el contrato o garantizar el cumplimiento de la normatividad aplicable en la materia.</w:t>
      </w:r>
    </w:p>
    <w:p w14:paraId="7A5F54E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Cumplir con los horarios de trabajo, los cuales se definirán en conjunto entre el Contratista, y el Supervisor del contrato, teniendo en cuenta las condiciones específicas de la ciudad, y la personería.</w:t>
      </w:r>
    </w:p>
    <w:p w14:paraId="3648435C"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Ejecutar los cambios y modificaciones que la Personería municipal de Pereira considere necesarios introducir, atendiendo las instrucciones, órdenes u observaciones dadas por la Supervisión. Para ello, debe seguir las especificaciones técnicas, tanto generales como particulares acordados.</w:t>
      </w:r>
    </w:p>
    <w:p w14:paraId="0D4CF19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Presentar a Supervisión para su revisión y aprobación, las actividades no previstas identificadas por el Contratista durante la etapa de planeación de </w:t>
      </w:r>
      <w:r w:rsidRPr="00B424B0">
        <w:rPr>
          <w:rFonts w:ascii="Verdana" w:hAnsi="Verdana" w:cstheme="minorHAnsi"/>
          <w:color w:val="1A1818" w:themeColor="text1"/>
          <w:sz w:val="22"/>
          <w:szCs w:val="24"/>
        </w:rPr>
        <w:lastRenderedPageBreak/>
        <w:t>inicio de actividades o en la ejecución de las mismas, para lo cual deberá adjuntar:</w:t>
      </w:r>
    </w:p>
    <w:p w14:paraId="5BDC3D0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Una justificación técnica y detallada de la necesidad.</w:t>
      </w:r>
    </w:p>
    <w:p w14:paraId="2B1D872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 Análisis de Precios Unitarios (APU) soportado en un análisis de precios realizado con base en mínimo tres (3) cotizaciones comparables que lo respalden, las cuales no podrán ser de una fecha mayor a noventa (90) días calendario contados a partir de su entrega.</w:t>
      </w:r>
    </w:p>
    <w:p w14:paraId="26D71F64"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Adicionalmente, se podrán incluir precios de referencia incluidos en revistas o plataformas de referencia de precios de insumos de construcción tales como “construdata”, “revista constructora” o cualquiera de las relacionadas en la página de datos públicos del Estado colombiano “datos abiertos”, o de listados de precios usados por otras entidades públicas que celebren contratos de obra pública.</w:t>
      </w:r>
    </w:p>
    <w:p w14:paraId="25DBFD98"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Especificaciones técnicas, Balance del contrato, incluyendo la proyección de mayores y menores cantidades de obra o actividades no previstas.</w:t>
      </w:r>
    </w:p>
    <w:p w14:paraId="039C87E4"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Cronograma actualizado de ejecución del balance del contrato.</w:t>
      </w:r>
    </w:p>
    <w:p w14:paraId="2715D6E0"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Solicitud dirigida a la Supervisión para la modificación del contrato para el correspondiente trámite ante la entidad.</w:t>
      </w:r>
    </w:p>
    <w:p w14:paraId="0BE106D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1: Este procedimiento se puede requerir en cualquier etapa del contrato, previa solicitud realizada por el contratista de obra a la Supervisión. La Supervisión a su vez será responsable de verificar y evaluar los precios del mercado en la zona del proyecto, debiendo realizar la validación y comparación de los precios, teniendo en cuenta las variables que intervienen como son: rendimientos, tiempos de entrega, calidades, impuestos, entre otros; considerando también precios de otras entidades o del mercado, con lo cual se definirá el valor de los Análisis de Precios Unitarios (APU), los cuales son la base para la aprobación y fijación de las actividades no previstas que se requieran en el desarrollo de la obra. La Supervisión deberá conocer sobre las actividades no  previstas, previo a su aprobación, con el fin de que este pueda estudiar su pertinencia, oportunidad, valor unitario y cantidades estimadas, quien podrá objetarlos y devolverlo al contratista de obra para los ajustes correspondientes o emitir su visto bueno.</w:t>
      </w:r>
    </w:p>
    <w:p w14:paraId="52CF900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2: En caso que entre el contratista de obra y la Supervisión no haya acuerdo para la fijación de los precios de las actividades no previstas, la Supervisión por su parte debe conseguir al menos 3 cotizaciones comparables u otras fuentes de información según se relacionan en el literal b) de esta misma obligación que le permitan verificar los análisis de precios unitarios presentados por el contratista de obra, esta información deberá ser remitida junto con los análisis de precios unitarios elaborados por la Supervisión acompañados del respectivo estudio de mercado plenamente justificado y sustentado desde el punto de vista técnico y económico, tomando la decisión que deberá ser respetada por el contratista de obra.</w:t>
      </w:r>
    </w:p>
    <w:p w14:paraId="7FD4A83D"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Parágrafo 3: La aprobación de las actividades no previstas se formalizarán mediante la suscripción entre la Supervisión y contratista de obra de un acta de fijación de precios de actividades no previstas, acompañada de los nuevos APU’s aprobados por la Supervisión y el balance de obra actualizado o acta </w:t>
      </w:r>
      <w:r w:rsidRPr="00B424B0">
        <w:rPr>
          <w:rFonts w:ascii="Verdana" w:hAnsi="Verdana" w:cstheme="minorHAnsi"/>
          <w:color w:val="1A1818" w:themeColor="text1"/>
          <w:sz w:val="22"/>
          <w:szCs w:val="24"/>
        </w:rPr>
        <w:lastRenderedPageBreak/>
        <w:t>de mayores y menores cantidades y actividades no previstas. Una vez aprobados las actividades no previstas, la Supervisión deberá justificar por escrito la necesidad de la inclusión de los mismos dentro del contrato, haciendo una descripción de las consideraciones y causales que dan soporte al trámite ante la entidad para la elaboración y suscripción del modificatorio del contrato  de obra. En ningún caso la Supervisión podrá autorizar la ejecución de las actividades no previstas que impliquen o no, modificación del valor y/o plazo del contrato de obra, sin verificar la legalización de la respectiva modificación del contrato de obra.</w:t>
      </w:r>
    </w:p>
    <w:p w14:paraId="1C47349B"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Realizar reuniones semanales con la Supervisión para evaluar el avance del contrato de obra y las eventuales dificultades que se lleguen a presentar; lo anterior de acuerdo con la programación de la obra.</w:t>
      </w:r>
    </w:p>
    <w:p w14:paraId="72B9EF4E"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Elaborar semanalmente un Informe Ejecutivo, el cual debe incluir los porcentajes de avance real de las labores contratadas, para ser entregado a la Supervisión.</w:t>
      </w:r>
    </w:p>
    <w:p w14:paraId="621E6ABC"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Elaborar mensualmente un Informe detallado del estado del contrato de obra, el cual debe incluir los porcentajes de avance, gráficos, fotografías, video en formato digital y cualquier otro recurso que evidencien el avance real de las labores contratadas, para ser entregado a la Supervisión dentro de los primeros cinco (5) días hábiles de cada mes.</w:t>
      </w:r>
    </w:p>
    <w:p w14:paraId="43F1A19D"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Llevar debidamente actualizada la Bitácora de la Obra, mantener su custodia y entregar copia digital como anexo del informe mensual, para ser entregado a la Supervisión.</w:t>
      </w:r>
    </w:p>
    <w:p w14:paraId="27D1CC6B"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Cargar en la plataforma SECOP II los documentos e información a que estén obligados, que se generen y que hagan parte de la ejecución del contrato. Incluidos los cortes e informes mensuales previamente aprobados por la Supervisión y el Coordinador del proyecto.</w:t>
      </w:r>
    </w:p>
    <w:p w14:paraId="369BEA2E"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Realizar a su costo, las pruebas de calidad de los materiales utilizados de acuerdo con la normatividad vigente, el plan de calidad de los materiales y las instrucciones de la Supervisión, presentando los resultados al mismo dentro de los tres (3) días hábiles siguientes a su recepción y entregar una copia de los mismos en el informe mensual. En el evento en que el resultado de la prueba de calidad no de un resultado satisfactorio para la Supervisión, el Contratista deberá, a su costo, desarrollar las actividades correctivas, hasta que obtenga la aprobación de la Supervisión.</w:t>
      </w:r>
    </w:p>
    <w:p w14:paraId="1673C13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En caso de retraso en la ejecución de la obra, el Contratista presentará a la Supervisión del contrato el plan de contingencia para mitigar el retraso generado, debidamente suscrito por el Representante Legal. Sobre este plan, la Supervisión deberá pronunciarse dentro de los dos (2) días siguientes de su recibo. La Supervisión podrá aprobar el plan o presentar observaciones. Si presenta observaciones, el Contratista deberá atenderlos en un plazo no mayor a dos (2) días. Esto se realizará hasta que obtenga la aprobación de la Supervisión.</w:t>
      </w:r>
    </w:p>
    <w:p w14:paraId="71C891B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a la Supervisión de las circunstancias que puedan afectar el rubro de imprevistos y presentarle los soportes correspondientes para su </w:t>
      </w:r>
      <w:r w:rsidRPr="00B424B0">
        <w:rPr>
          <w:rFonts w:ascii="Verdana" w:hAnsi="Verdana" w:cstheme="minorHAnsi"/>
          <w:color w:val="1A1818" w:themeColor="text1"/>
          <w:sz w:val="22"/>
          <w:szCs w:val="24"/>
        </w:rPr>
        <w:lastRenderedPageBreak/>
        <w:t>aprobación. El valor de los imprevistos no podrá superar el valor pactado en el contrato determinado por los costos indirectos de la oferta económica.</w:t>
      </w:r>
    </w:p>
    <w:p w14:paraId="368B8D9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En el caso de que alguna circunstancia ocasione una afectación que supere el valor de imprevistos pactado, se debe informar de manera previa y oportuna a la Supervisión para tomar las decisiones del caso.</w:t>
      </w:r>
    </w:p>
    <w:p w14:paraId="22C3F855"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Facilitar la labor de seguimiento y control, atendiendo y dando respuesta oportuna a las observaciones o requerimientos que se realicen por parte de la Supervisión o la Entidad contratante.</w:t>
      </w:r>
    </w:p>
    <w:p w14:paraId="531A8EDF"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Preparar para la Entidad, en los tiempos que corresponda, la información que soliciten los entes de control, con sus respectivos soportes.</w:t>
      </w:r>
    </w:p>
    <w:p w14:paraId="3CE7F17B"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Suscribir junto con la Supervisión, el acta de entrega y recibo final de la obra, en la cual debe quedar constancia que los ítems que se ejecutaron cumplieron con las cantidades, calidades y especificaciones técnicas contratadas. Así mismo, con la suscripción de esta, el contratista deberá entregar el presupuesto ejecutado consolidado y suscrito (PDF y Excel), todos los planos récord de las obras ejecutadas (Arquitectónicos, estructurales, eléctricos, hidráulicos, sanitarios, etc.), bitácora de obra, catálogos, manuales de mantenimiento y operación, estudios y diseños, certificaciones, informes de las pruebas de estanqueidad, y otras pruebas de funcionalidad y calidad realizadas, plan de sostenibilidad, licencias y permisos obtenidos y demás documentos relacionados con el objeto del contrato.</w:t>
      </w:r>
    </w:p>
    <w:p w14:paraId="2927C7D0"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Realizar los correctivos a la obra objeto de la contratación, durante la vigencia de la Garantía de Cumplimiento en el amparo de Estabilidad y Calidad de la Obra o cuando se requiera por parte de la Personería Municipal, estos trabajos no generan costos para la Entidad. Parágrafo: Las correcciones a que se hace referencia corresponden a ajustes, alineamientos, reparaciones, calibraciones o reposición de todos aquellos ítems ejecutados en el contrato que presenten deficiencias de calidad, o de instalación, o de construcción, o de funcionamiento por causa imputable al contratista, de los cuales el contratista deberá genera un informe detallado y registro fotográfico de las intervenciones realizadas.</w:t>
      </w:r>
    </w:p>
    <w:p w14:paraId="76293F04"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Brindar a la Supervisión, la colaboración necesaria para la elaboración del proyecto de acta de liquidación del contrato, dentro de los dos (2) meses siguientes a la terminación y recibo a satisfacción de las obras objeto del contrato.</w:t>
      </w:r>
    </w:p>
    <w:p w14:paraId="27636F18"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Para la liquidación del contrato, deberá presentar paz y salvo de encontrarse al día en las obligaciones de pagos correspondientes, de Contratistas y Proveedores con los cuales se ejecutó el contrato.</w:t>
      </w:r>
    </w:p>
    <w:p w14:paraId="2CA9C24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Entregar a la Supervisión para cada pago y en la Liquidación del contrato de obra, las certificaciones y soportes con los que acredite que se encuentran al día en el de pago de aportes parafiscales relativos al Sistema de Seguridad Social Integral en salud, riegos laborales, pensiones, así como los propios del Sena, ICBF y Cajas de Compensación Familiar derivados de la ejecución del contrato; de acuerdo con lo dispuesto en el artículo 23 de la Ley 1150 de 2007.</w:t>
      </w:r>
    </w:p>
    <w:p w14:paraId="078E5651"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Parágrafo: En el caso del personal que trabaje para el contratista bajo contrato de prestación de servicios se debe allegar certificación firmada por el Representante Legal o Revisor Fiscal sobre el cumplimiento de la normatividad de pagos del Sistema Integral de Salud, Riesgos Laborales, Pensiones y Parafiscales.</w:t>
      </w:r>
    </w:p>
    <w:p w14:paraId="7A9209F5"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Acreditar y mantener durante la ejecución del contrato el cumplimiento de los ofrecimientos adicionales realizados durante el proceso de selección de contratista y por medio de los cuales, se obtuvo un puntaje adicional a efectos de ser adjudicatario del proceso de selección.</w:t>
      </w:r>
    </w:p>
    <w:p w14:paraId="4F95067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El Contratista para el desarrollo del contrato debe contar con un equipo mínimo de profesionales y técnicos que cumplan con los perfiles definidos en el pliego de condiciones – Cuadro requisitos del personal del contratista” incluida en el Anexo 1 – Especificaciones y  Características Técnicas del Proyecto. Esta obligación debe ser revisada por la Supervisión, en cada una de las etapas contractuales.</w:t>
      </w:r>
    </w:p>
    <w:p w14:paraId="23261D36"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Adicionalmente al personal mínimo requerido, el contratista se obliga a contar con el personal profesional suficiente que asesore las diferentes etapas de ejecución del proyecto (eléctrico, hidrosanitario, estructural, ventilación mecánica, etc.), así como todo el personal necesario para ejecutar la obra de acuerdo con las especificaciones, planos y presupuestos en el tiempo pactado.</w:t>
      </w:r>
    </w:p>
    <w:p w14:paraId="083B5E83"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Responder por la vinculación del personal, el cual está a cargo y responsabilidad exclusiva del Contratista, por lo tanto, el personal que el Contratista ocupe en la ejecución del Contrato no tendrá ninguna vinculación laboral, civil ni comercial con La Personería Municipal.</w:t>
      </w:r>
    </w:p>
    <w:p w14:paraId="68A57C6A"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Pagar los salarios y prestaciones sociales en forma oportuna a todo el personal que requiera en la ejecución del contrato, así como dar estricto cumplimiento a todas las obligaciones frente a los aportes al Sistema Integral de Seguridad Social en Salud, riesgos laborales, pensiones y parafiscales, derivados de la ejecución del contrato, cuando a ello hubiere lugar de acuerdo a la normatividad legal vigente.</w:t>
      </w:r>
    </w:p>
    <w:p w14:paraId="2FA2CA85"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En el caso de que el personal del contratista esté vinculado mediante contrato de prestación de servicios, es necesario que allegue la certificación firmada por el Representante Legal o Revisor Fiscal sobre el cumplimiento de la normatividad de pagos de aportes al Sistema Integral de Salud, Riesgos Laborales, Pensiones y Parafiscales.</w:t>
      </w:r>
    </w:p>
    <w:p w14:paraId="13402C42"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Cumplir para la ejecución de trabajos en alturas, con la Resolución 4272 de 2021 del Ministerio del Trabajo (que derogó la Resolución 1409 de 2012), contar con un Programa de Protección Contra Caídas en su SG-SST y tener designado el Coordinador de trabajo en alturas y todos los demás requisitos definidos en esta norma.</w:t>
      </w:r>
    </w:p>
    <w:p w14:paraId="1FEE8E96"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Parágrafo: Contar con un equipo completo de protección para trabajo en alturas, el cual debe estar disponible para el Supervisor del contrato, en el evento que éste realice una visita de inspección durante el desarrollo de la obra.</w:t>
      </w:r>
    </w:p>
    <w:p w14:paraId="1DE0C339" w14:textId="77777777"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Tomar las previsiones que sean necesarias para garantizar la seguridad industrial, ocupacional y salud en el trabajo del personal a su cargo o servicio, de acuerdo con las reglamentaciones vigentes y dar cumplimiento a la normatividad en seguridad y salud en el trabajo del personal que se utilice en la ejecución del contrato. En todo caso estarán a cargo del contratista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rPr>
        <w:t>Que la Entidad tramite oportunamente las actas parciales y la de recibo final, y resuelva sus peticiones en los términos de la ley.</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Verificar que el contrato se encuentre perfeccionado, legalizado, y listo para su ejecución.</w:t>
      </w:r>
    </w:p>
    <w:p w14:paraId="52AE140F"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Suscribir a través del supervisor designado el acta de inicio junto con el contratista.</w:t>
      </w:r>
    </w:p>
    <w:p w14:paraId="7B445FAF"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Realizar oportunamente el desembolso a favor del contratista, conforme a lo señalado en la forma de pago, mediante consignación en la cuenta que acredite como propia o mediante cheque.</w:t>
      </w:r>
    </w:p>
    <w:p w14:paraId="0917AD6B"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Designar un supervisor encargado de velar por el cabal cumplimiento del objeto del contrato.</w:t>
      </w:r>
    </w:p>
    <w:p w14:paraId="6C64AAA0"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Constituir la reserva presupuestal que garantice el pago de la obligación contraída.</w:t>
      </w:r>
    </w:p>
    <w:p w14:paraId="6CF2A446"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Las estipuladas en el artículo 4 de la Ley 80 de 1993 y las que se desprenden de la naturaleza del contrato Proporcionar la información que requiera el CONTRATISTA para la ejecución del Contrato.</w:t>
      </w:r>
    </w:p>
    <w:p w14:paraId="3394FDDA"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Cumplir y hacer cumplir las condiciones pactadas en el contrato y en los documentos que de él forman parte.</w:t>
      </w:r>
    </w:p>
    <w:p w14:paraId="75DB67BD"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lastRenderedPageBreak/>
        <w:t>Ejercer inspección sobre las actividades y obligaciones a cargo del CONTRATISTA, Solicitar al CONTRATISTA los informes que se requieran en desarrollo del objeto del presente contrato, sin perjuicio del cumplimiento que de oficio debe dar el CONTRATISTA a las obligaciones que le competen en materia de remisión de información a la Personería Municipal de Pereira Resolver las peticiones presentadas por el CONTRATISTA en los términos consagrados por la Ley.</w:t>
      </w:r>
    </w:p>
    <w:p w14:paraId="7D27ABCD" w14:textId="77777777"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Liquidar el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A9F2CCD" w:rsidR="00747335" w:rsidRPr="00B424B0" w:rsidRDefault="00DE1793">
      <w:pPr>
        <w:rPr>
          <w:rFonts w:ascii="Verdana" w:hAnsi="Verdana"/>
          <w:sz w:val="22"/>
          <w:szCs w:val="24"/>
          <w:lang w:val="es-CO"/>
        </w:rPr>
      </w:pPr>
      <w:r w:rsidRPr="00B424B0">
        <w:rPr>
          <w:rFonts w:ascii="Verdana" w:hAnsi="Verdana"/>
          <w:sz w:val="22"/>
          <w:szCs w:val="24"/>
          <w:lang w:val="es-CO"/>
        </w:rPr>
        <w:t>El Contratista mantendrá indemne a la Entidad contra todo reclamo, demanda, acción legal o costo que se genere por daños o lesiones causados a personas o propiedades de terceros, ocasionados por el Contratista, sus subcontratistas o dependientes durante la ejecución del objeto contractual. El Contratista asumirá la defensa de la Entidad y los gastos que se generen</w:t>
      </w:r>
    </w:p>
    <w:p w14:paraId="6607B13D" w14:textId="4E384BBF" w:rsidR="1E596E53" w:rsidRPr="00B424B0" w:rsidRDefault="1E596E53">
      <w:pPr>
        <w:rPr>
          <w:rFonts w:ascii="Verdana" w:hAnsi="Verdana"/>
          <w:sz w:val="22"/>
          <w:szCs w:val="24"/>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r>
        <w:rPr>
          <w:b/>
          <w:color w:val="C00000"/>
          <w:highlight w:val="yellow"/>
        </w:rPr>
        <w:t xml:space="preserve"> </w:t>
      </w:r>
      <w:r w:rsidRPr="008977D8">
        <w:rPr>
          <w:b/>
          <w:color w:val="C00000"/>
        </w:rPr>
        <w:t>PENDIENTE: fijar el porcentaje y el valor de la multa.</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lang w:val="es-CO"/>
        </w:rPr>
        <w:t>[PENDIENTE: SMMLV]</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lastRenderedPageBreak/>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r>
        <w:rPr>
          <w:b/>
          <w:color w:val="C00000"/>
          <w:highlight w:val="yellow"/>
        </w:rPr>
        <w:t xml:space="preserve"> </w:t>
      </w:r>
      <w:r w:rsidRPr="008977D8">
        <w:rPr>
          <w:b/>
          <w:color w:val="C00000"/>
        </w:rPr>
        <w:t>PENDIENTE: conservar solo si el adjudicatario obtuvo puntaje por criterios ambientales y sociales.</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[PENDIENTE: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55CA69EF" w14:textId="77777777" w:rsidR="00A03744" w:rsidRPr="003331F9" w:rsidRDefault="00A03744" w:rsidP="00A03744">
      <w:pPr>
        <w:rPr>
          <w:rFonts w:ascii="Verdana" w:hAnsi="Verdana" w:cstheme="minorHAnsi"/>
          <w:sz w:val="22"/>
          <w:lang w:val="es-CO"/>
        </w:rPr>
      </w:pPr>
    </w:p>
    <w:p w14:paraId="708984E6" w14:textId="77777777" w:rsidR="005D58E5" w:rsidRPr="00B424B0" w:rsidRDefault="005D58E5" w:rsidP="005D58E5">
      <w:pPr>
        <w:rPr>
          <w:rFonts w:ascii="Verdana" w:hAnsi="Verdana" w:cstheme="minorHAnsi"/>
          <w:sz w:val="22"/>
          <w:lang w:val="es-CO"/>
        </w:rPr>
      </w:pP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095D4C96" w14:textId="77777777" w:rsidR="00EB6167" w:rsidRPr="00B424B0" w:rsidRDefault="00EB6167" w:rsidP="009A6FE2">
      <w:pPr>
        <w:rPr>
          <w:rFonts w:ascii="Verdana" w:hAnsi="Verdana" w:cstheme="minorHAnsi"/>
          <w:sz w:val="22"/>
          <w:lang w:val="es-CO"/>
        </w:rPr>
      </w:pP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8977D8"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lang w:val="es-CO"/>
        </w:rPr>
        <w:t>0,5 %</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r>
        <w:rPr>
          <w:b/>
          <w:color w:val="C00000"/>
          <w:highlight w:val="yellow"/>
        </w:rPr>
        <w:t xml:space="preserve"> </w:t>
      </w:r>
      <w:r w:rsidRPr="008977D8">
        <w:rPr>
          <w:b/>
          <w:color w:val="C00000"/>
        </w:rPr>
        <w:lastRenderedPageBreak/>
        <w:t>PENDIENTE: confirmar porcentajes (se dejaron los sugeridos por el Documento Tipo; con un plazo de 30 días, 0,5 % diario llega al 5 % en 10 días, tope del parágrafo 6).</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la cláusula 19 – Garantías</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lang w:val="es-CO"/>
        </w:rPr>
        <w:t>1 %</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rPr>
        <w:t>supervisor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lang w:val="es-CO"/>
        </w:rPr>
        <w:t xml:space="preserve">0,2 %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rPr>
        <w:t>supervisor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lang w:val="es-CO"/>
        </w:rPr>
        <w:t>la firma del acta de inicio</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0,3 %</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1 %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supervisión,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0,3 %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0,5 %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lang w:val="es-CO"/>
        </w:rPr>
        <w:t>por cada día calendario de atraso en el cumplimiento de dicha obligación</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lang w:val="es-CO"/>
        </w:rPr>
        <w:t>supervisión</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0,5 %</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[PENDIENTE: número de] salarios mínimos diarios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El valor acumulado de las multas no podrá exceder el diez por ciento (10 %) del valor del Contrato.</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w:t>
      </w:r>
      <w:r w:rsidRPr="00B424B0">
        <w:rPr>
          <w:rFonts w:ascii="Verdana" w:hAnsi="Verdana"/>
          <w:sz w:val="22"/>
          <w:szCs w:val="24"/>
        </w:rPr>
        <w:lastRenderedPageBreak/>
        <w:t xml:space="preserve">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rPr>
      </w:pP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veinte por ciento (20 %) del valor del contrato.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lastRenderedPageBreak/>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rPr>
      </w:pP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590F22FC" w14:textId="77777777" w:rsidR="008977D8" w:rsidRDefault="4CDD2DF9" w:rsidP="008977D8">
      <w:pPr>
        <w:rPr>
          <w:b/>
          <w:color w:val="C00000"/>
        </w:rPr>
      </w:pPr>
      <w:r w:rsidRPr="6D12417D">
        <w:rPr>
          <w:rFonts w:ascii="Verdana" w:eastAsia="Verdana" w:hAnsi="Verdana" w:cs="Verdana"/>
          <w:color w:val="000000"/>
          <w:sz w:val="22"/>
        </w:rPr>
        <w:t>Las controversias o diferencias que surjan entre el Contratista y la Entidad con ocasión de la firma, ejecución, interpretación, prórroga o terminación del Contrato, así como de cualquier otro asunto relacionado, serán sometidas a revisión de las partes para buscar un arreglo directo en un término no mayor a cinco (5) días hábiles a partir de la fecha en que cualquiera de las partes comunique por escrito a la otra la existencia de la controversia. Agotado este término sin acuerdo, las partes podrán acudir a la conciliación o a la jurisdicción de lo contencioso administrativo, conforme a la ley.</w:t>
      </w:r>
      <w:r>
        <w:rPr>
          <w:b/>
          <w:color w:val="C00000"/>
          <w:highlight w:val="yellow"/>
        </w:rPr>
        <w:t xml:space="preserve"> </w:t>
      </w:r>
    </w:p>
    <w:p w14:paraId="7774DAE0" w14:textId="77777777" w:rsidR="008977D8" w:rsidRDefault="008977D8" w:rsidP="008977D8">
      <w:pPr>
        <w:rPr>
          <w:b/>
          <w:color w:val="C00000"/>
        </w:rPr>
      </w:pPr>
    </w:p>
    <w:p w14:paraId="0AA465FF" w14:textId="34BDFBE2" w:rsidR="006D4FC0" w:rsidRPr="009C4EAA" w:rsidRDefault="00666CDD" w:rsidP="008977D8">
      <w:pPr>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rPr>
        <w:t>tres (3) días hábiles</w:t>
      </w:r>
      <w:r w:rsidR="001177E8" w:rsidRPr="00B424B0">
        <w:rPr>
          <w:rFonts w:ascii="Verdana" w:hAnsi="Verdana" w:cstheme="minorHAnsi"/>
          <w:sz w:val="22"/>
        </w:rPr>
        <w:t xml:space="preserve">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76"/>
        <w:gridCol w:w="222"/>
        <w:gridCol w:w="6830"/>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Personería Municipal de Pereira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lang w:val="es-ES" w:eastAsia="es-CO"/>
              </w:rPr>
              <w:t>892.099.324-3</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19"/>
              <w:gridCol w:w="1820"/>
              <w:gridCol w:w="1965"/>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w:t>
                  </w:r>
                  <w:r w:rsidRPr="00B424B0">
                    <w:rPr>
                      <w:rFonts w:ascii="Verdana" w:eastAsia="Times New Roman" w:hAnsi="Verdana" w:cs="Arial"/>
                      <w:bCs/>
                      <w:color w:val="1A1818" w:themeColor="text1"/>
                      <w:sz w:val="18"/>
                      <w:szCs w:val="18"/>
                      <w:lang w:val="es-ES" w:eastAsia="es-CO"/>
                    </w:rPr>
                    <w:lastRenderedPageBreak/>
                    <w:t>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Diez por ciento (10 %) del valor del Contrato.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Cinco por ciento (5 %) del valor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Dos (2) años contados a partir del recibo a satisfacción de la obra, con la justificación técnica del numeral 18 de los estudios previos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Diez por ciento (10 %) del valor del Contrato.</w:t>
                  </w:r>
                </w:p>
              </w:tc>
            </w:tr>
            <w:tr w:rsidR="00D4089E" w:rsidRPr="00B424B0" w14:paraId="64C1655C"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75F6D8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Calidad y correcto funcionamiento de los bienes suministrados</w:t>
                  </w:r>
                </w:p>
              </w:tc>
              <w:tc>
                <w:tcPr>
                  <w:tcW w:w="1378" w:type="pct"/>
                  <w:tcBorders>
                    <w:top w:val="single" w:sz="4" w:space="0" w:color="auto"/>
                    <w:left w:val="single" w:sz="4" w:space="0" w:color="auto"/>
                    <w:bottom w:val="single" w:sz="4" w:space="0" w:color="auto"/>
                    <w:right w:val="single" w:sz="4" w:space="0" w:color="auto"/>
                  </w:tcBorders>
                  <w:hideMark/>
                </w:tcPr>
                <w:p w14:paraId="19D3D890"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Un (1) año contado a partir de la suscripción del acta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6F27CBC6"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Veinte por ciento (20 %) del valor de los suministros.</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w:t>
      </w:r>
      <w:r w:rsidRPr="00B424B0">
        <w:rPr>
          <w:rFonts w:ascii="Verdana" w:hAnsi="Verdana" w:cstheme="minorHAnsi"/>
          <w:bCs/>
          <w:color w:val="auto"/>
          <w:sz w:val="22"/>
          <w:szCs w:val="22"/>
          <w:lang w:val="es-ES" w:eastAsia="es-CO"/>
        </w:rPr>
        <w:lastRenderedPageBreak/>
        <w:t xml:space="preserve">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rPr>
        <w:t xml:space="preserve">dos (2) años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Personería Municipal de Pereira identificada con NIT 892.099.324-3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w:t>
            </w:r>
            <w:r w:rsidRPr="00B424B0">
              <w:rPr>
                <w:rFonts w:ascii="Verdana" w:eastAsia="Times New Roman" w:hAnsi="Verdana" w:cs="Arial"/>
                <w:bCs/>
                <w:color w:val="1A1818" w:themeColor="text1"/>
                <w:sz w:val="18"/>
                <w:szCs w:val="18"/>
                <w:lang w:val="es-ES" w:eastAsia="es-CO"/>
              </w:rPr>
              <w:lastRenderedPageBreak/>
              <w:t>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Doscientos (200) SMMLV al momento de la expedición de la póliza (artículo 2.2.1.2.3.2.9 del Decreto 1082 de 2015, contratos de valor inferior o igual a 1.500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Personería Municipal de Pereira identificada con NIT 892.099.324-3</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con los siguientes amparos del numeral 3 del artículo 2.2.1.2.3.2.9 del Decreto 1082 de 2015, cada uno por el valor asegurado de la póliza y con vigencia igual al período de ejecución del Contrato: (i) cobertura expresa de perjuicios por daño emergente y lucro cesante; (ii) cobertura expresa de perjuicios extrapatrimoniales; (iii) cobertura expresa de la responsabilidad surgida por actos de contratistas y subcontratistas, salvo que el subcontratista tenga su propio seguro con los mismos amparos; (iv) cobertura expresa de amparo patronal; y (v) cobertura expresa de vehículos propios y no propios, salvo que estos tengan su propio seguro.</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lang w:val="es-ES" w:eastAsia="es-CO"/>
        </w:rPr>
        <w:t>cuatro (4) meses siguientes a la expiración del plazo de ejecución o a la expedición del acto que ordene la terminación</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el piso 3 del edificio de la Unidad Administrativa El Lago, Calle 25 No. 7-48, Pereira (Risaralda) y el domicilio contractual es Pereira (Risaralda).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eastAsia="Times New Roman" w:hAnsi="Verdana" w:cstheme="minorHAnsi"/>
          <w:bCs/>
          <w:sz w:val="22"/>
          <w:lang w:val="es-ES" w:eastAsia="es-CO"/>
        </w:rPr>
        <w:t xml:space="preserve">En constancia se firma el presente contrato en Pereira, el </w:t>
      </w:r>
      <w:r w:rsidRPr="00B424B0">
        <w:rPr>
          <w:rFonts w:ascii="Verdana" w:eastAsia="Times New Roman" w:hAnsi="Verdana" w:cstheme="minorHAnsi"/>
          <w:bCs/>
          <w:sz w:val="22"/>
          <w:highlight w:val="lightGray"/>
          <w:lang w:val="es-ES" w:eastAsia="es-CO"/>
        </w:rPr>
        <w:t>[indicar la fecha de suscripción]</w:t>
      </w:r>
      <w:r>
        <w:rPr>
          <w:b/>
          <w:color w:val="C00000"/>
          <w:highlight w:val="yellow"/>
        </w:rPr>
        <w:t xml:space="preserve"> Nota: el contrato se celebra por SECOP II; no incluir firma manuscrita.</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FC320" w14:textId="77777777" w:rsidR="00601C62" w:rsidRDefault="00601C62" w:rsidP="004F2C35">
      <w:r>
        <w:separator/>
      </w:r>
    </w:p>
  </w:endnote>
  <w:endnote w:type="continuationSeparator" w:id="0">
    <w:p w14:paraId="08CCB2E8" w14:textId="77777777" w:rsidR="00601C62" w:rsidRDefault="00601C62" w:rsidP="004F2C35">
      <w:r>
        <w:continuationSeparator/>
      </w:r>
    </w:p>
  </w:endnote>
  <w:endnote w:type="continuationNotice" w:id="1">
    <w:p w14:paraId="5D22A1EC" w14:textId="77777777" w:rsidR="00601C62" w:rsidRDefault="00601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76432" w14:textId="77777777" w:rsidR="00601C62" w:rsidRDefault="00601C62" w:rsidP="004F2C35">
      <w:r>
        <w:separator/>
      </w:r>
    </w:p>
  </w:footnote>
  <w:footnote w:type="continuationSeparator" w:id="0">
    <w:p w14:paraId="146FB546" w14:textId="77777777" w:rsidR="00601C62" w:rsidRDefault="00601C62" w:rsidP="004F2C35">
      <w:r>
        <w:continuationSeparator/>
      </w:r>
    </w:p>
  </w:footnote>
  <w:footnote w:type="continuationNotice" w:id="1">
    <w:p w14:paraId="767EDB81" w14:textId="77777777" w:rsidR="00601C62" w:rsidRDefault="00601C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1C62"/>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47516"/>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977D8"/>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10894</Words>
  <Characters>59923</Characters>
  <DocSecurity>0</DocSecurity>
  <Lines>499</Lines>
  <Paragraphs>141</Paragraphs>
  <ScaleCrop>false</ScaleCrop>
  <Company/>
  <LinksUpToDate>false</LinksUpToDate>
  <CharactersWithSpaces>70676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2020-11-13T23:11:00Z</cp:lastPrinted>
  <dcterms:created xsi:type="dcterms:W3CDTF">2022-08-01T21:13:00Z</dcterms:created>
  <dcterms:modified xsi:type="dcterms:W3CDTF">2026-10-21T22:47:00Z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