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196F8" w14:textId="77777777" w:rsidR="00D72682" w:rsidRPr="00B97067" w:rsidRDefault="00D625BC" w:rsidP="00B97067">
      <w:pPr>
        <w:widowControl w:val="0"/>
        <w:pBdr>
          <w:top w:val="nil"/>
          <w:left w:val="nil"/>
          <w:bottom w:val="nil"/>
          <w:right w:val="nil"/>
          <w:between w:val="nil"/>
        </w:pBdr>
        <w:spacing w:before="100" w:beforeAutospacing="1" w:line="240" w:lineRule="auto"/>
        <w:ind w:left="50"/>
        <w:contextualSpacing/>
        <w:jc w:val="both"/>
        <w:rPr>
          <w:rFonts w:ascii="Arial Narrow" w:hAnsi="Arial Narrow"/>
          <w:color w:val="000000"/>
        </w:rPr>
      </w:pPr>
      <w:r w:rsidRPr="00B97067">
        <w:rPr>
          <w:rFonts w:ascii="Arial Narrow" w:hAnsi="Arial Narrow"/>
          <w:noProof/>
          <w:color w:val="000000"/>
        </w:rPr>
        <w:drawing>
          <wp:inline distT="19050" distB="19050" distL="19050" distR="19050" wp14:anchorId="737BB531" wp14:editId="6BE31BA0">
            <wp:extent cx="2987675" cy="5048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987675" cy="504825"/>
                    </a:xfrm>
                    <a:prstGeom prst="rect">
                      <a:avLst/>
                    </a:prstGeom>
                    <a:ln/>
                  </pic:spPr>
                </pic:pic>
              </a:graphicData>
            </a:graphic>
          </wp:inline>
        </w:drawing>
      </w:r>
    </w:p>
    <w:p w14:paraId="65A962C3" w14:textId="77777777" w:rsidR="00B97067" w:rsidRDefault="00B97067" w:rsidP="00B97067">
      <w:pPr>
        <w:widowControl w:val="0"/>
        <w:pBdr>
          <w:top w:val="nil"/>
          <w:left w:val="nil"/>
          <w:bottom w:val="nil"/>
          <w:right w:val="nil"/>
          <w:between w:val="nil"/>
        </w:pBdr>
        <w:spacing w:before="100" w:beforeAutospacing="1" w:line="240" w:lineRule="auto"/>
        <w:contextualSpacing/>
        <w:jc w:val="center"/>
        <w:rPr>
          <w:rFonts w:ascii="Arial Narrow" w:eastAsia="Arial Narrow" w:hAnsi="Arial Narrow" w:cs="Arial Narrow"/>
          <w:b/>
          <w:color w:val="000000"/>
        </w:rPr>
      </w:pPr>
    </w:p>
    <w:p w14:paraId="2E3EB54C" w14:textId="77777777" w:rsidR="00B97067" w:rsidRDefault="00B97067" w:rsidP="00B97067">
      <w:pPr>
        <w:widowControl w:val="0"/>
        <w:pBdr>
          <w:top w:val="nil"/>
          <w:left w:val="nil"/>
          <w:bottom w:val="nil"/>
          <w:right w:val="nil"/>
          <w:between w:val="nil"/>
        </w:pBdr>
        <w:spacing w:before="100" w:beforeAutospacing="1" w:line="240" w:lineRule="auto"/>
        <w:contextualSpacing/>
        <w:jc w:val="center"/>
        <w:rPr>
          <w:rFonts w:ascii="Arial Narrow" w:eastAsia="Arial Narrow" w:hAnsi="Arial Narrow" w:cs="Arial Narrow"/>
          <w:b/>
          <w:color w:val="000000"/>
        </w:rPr>
      </w:pPr>
    </w:p>
    <w:p w14:paraId="36BDF203" w14:textId="77777777" w:rsidR="00D72682" w:rsidRDefault="00D625BC" w:rsidP="00B97067">
      <w:pPr>
        <w:widowControl w:val="0"/>
        <w:pBdr>
          <w:top w:val="nil"/>
          <w:left w:val="nil"/>
          <w:bottom w:val="nil"/>
          <w:right w:val="nil"/>
          <w:between w:val="nil"/>
        </w:pBdr>
        <w:spacing w:before="100" w:beforeAutospacing="1" w:line="240" w:lineRule="auto"/>
        <w:contextualSpacing/>
        <w:jc w:val="center"/>
        <w:rPr>
          <w:rFonts w:ascii="Arial Narrow" w:eastAsia="Arial Narrow" w:hAnsi="Arial Narrow" w:cs="Arial Narrow"/>
          <w:b/>
          <w:color w:val="000000"/>
        </w:rPr>
      </w:pPr>
      <w:r w:rsidRPr="00B97067">
        <w:rPr>
          <w:rFonts w:ascii="Arial Narrow" w:eastAsia="Arial Narrow" w:hAnsi="Arial Narrow" w:cs="Arial Narrow"/>
          <w:b/>
          <w:color w:val="000000"/>
        </w:rPr>
        <w:t>ANEXO 11 DE VISITA- MANUAL DE CONTRATACIÓN</w:t>
      </w:r>
    </w:p>
    <w:p w14:paraId="2FFA28EB" w14:textId="77777777" w:rsidR="00B97067" w:rsidRPr="00B97067" w:rsidRDefault="00B97067" w:rsidP="00B97067">
      <w:pPr>
        <w:widowControl w:val="0"/>
        <w:pBdr>
          <w:top w:val="nil"/>
          <w:left w:val="nil"/>
          <w:bottom w:val="nil"/>
          <w:right w:val="nil"/>
          <w:between w:val="nil"/>
        </w:pBdr>
        <w:spacing w:before="100" w:beforeAutospacing="1" w:line="240" w:lineRule="auto"/>
        <w:contextualSpacing/>
        <w:jc w:val="center"/>
        <w:rPr>
          <w:rFonts w:ascii="Arial Narrow" w:eastAsia="Arial Narrow" w:hAnsi="Arial Narrow" w:cs="Arial Narrow"/>
          <w:b/>
          <w:color w:val="000000"/>
        </w:rPr>
      </w:pPr>
    </w:p>
    <w:p w14:paraId="2B009251" w14:textId="77777777" w:rsidR="00B97067" w:rsidRDefault="00B97067" w:rsidP="00B97067">
      <w:pPr>
        <w:widowControl w:val="0"/>
        <w:pBdr>
          <w:top w:val="nil"/>
          <w:left w:val="nil"/>
          <w:bottom w:val="nil"/>
          <w:right w:val="nil"/>
          <w:between w:val="nil"/>
        </w:pBdr>
        <w:spacing w:before="100" w:beforeAutospacing="1" w:line="229" w:lineRule="auto"/>
        <w:ind w:right="-2" w:firstLine="24"/>
        <w:contextualSpacing/>
        <w:jc w:val="center"/>
        <w:rPr>
          <w:rFonts w:ascii="Arial Narrow" w:eastAsia="Arial Narrow" w:hAnsi="Arial Narrow" w:cs="Arial Narrow"/>
          <w:color w:val="000000"/>
        </w:rPr>
      </w:pPr>
      <w:r w:rsidRPr="00B97067">
        <w:rPr>
          <w:rFonts w:ascii="Arial Narrow" w:eastAsia="Arial Narrow" w:hAnsi="Arial Narrow" w:cs="Arial Narrow"/>
          <w:color w:val="000000"/>
        </w:rPr>
        <w:t>RECONSTRUCCIÓN DE REDES DE ALCANTARILLADO EN LA AVENIDA LA PAZ DEL CASCO URBANO DEL MUNICIPIO DE CIMITARRA-SANTANDER</w:t>
      </w:r>
    </w:p>
    <w:p w14:paraId="4FFA0A30" w14:textId="77777777" w:rsidR="00B97067" w:rsidRDefault="00B97067" w:rsidP="00B97067">
      <w:pPr>
        <w:widowControl w:val="0"/>
        <w:pBdr>
          <w:top w:val="nil"/>
          <w:left w:val="nil"/>
          <w:bottom w:val="nil"/>
          <w:right w:val="nil"/>
          <w:between w:val="nil"/>
        </w:pBdr>
        <w:spacing w:before="100" w:beforeAutospacing="1" w:line="229" w:lineRule="auto"/>
        <w:ind w:right="-2" w:firstLine="24"/>
        <w:contextualSpacing/>
        <w:jc w:val="center"/>
        <w:rPr>
          <w:rFonts w:ascii="Arial Narrow" w:eastAsia="Arial Narrow" w:hAnsi="Arial Narrow" w:cs="Arial Narrow"/>
          <w:color w:val="000000"/>
        </w:rPr>
      </w:pPr>
    </w:p>
    <w:p w14:paraId="4665A855" w14:textId="77777777" w:rsidR="00D72682" w:rsidRDefault="00D625BC" w:rsidP="00B97067">
      <w:pPr>
        <w:widowControl w:val="0"/>
        <w:pBdr>
          <w:top w:val="nil"/>
          <w:left w:val="nil"/>
          <w:bottom w:val="nil"/>
          <w:right w:val="nil"/>
          <w:between w:val="nil"/>
        </w:pBdr>
        <w:spacing w:before="100" w:beforeAutospacing="1" w:line="229" w:lineRule="auto"/>
        <w:ind w:right="-2" w:firstLine="24"/>
        <w:contextualSpacing/>
        <w:jc w:val="both"/>
        <w:rPr>
          <w:rFonts w:ascii="Arial Narrow" w:eastAsia="Arial Narrow" w:hAnsi="Arial Narrow" w:cs="Arial Narrow"/>
          <w:color w:val="000000"/>
        </w:rPr>
      </w:pPr>
      <w:r w:rsidRPr="00B97067">
        <w:rPr>
          <w:rFonts w:ascii="Arial Narrow" w:eastAsia="Arial Narrow" w:hAnsi="Arial Narrow" w:cs="Arial Narrow"/>
          <w:color w:val="000000"/>
        </w:rPr>
        <w:t>De acuerdo con el lineamiento del manual de contratación 8-GCT-M-01 - Versión 1.0, julio de 2020 de la Entidad, durante  la etapa de planeación de los procesos de contratación de obra y de los procesos de contratación de estudios y/o diseños  requeridos para la ejecución de obras, la Subgerencia que solicita la contratación (con profesionales técnicos y jurídicos), la Subgerencia de Estructuración y la Subgerencia de Gestión del Riesgo, se debe efectuar una visita, con alcance técnico,  jurídico y de riesgos de desastres y adaptación al cambio climático al lugar de ejecución de la obra</w:t>
      </w:r>
      <w:r w:rsidR="00B97067">
        <w:rPr>
          <w:rFonts w:ascii="Arial Narrow" w:eastAsia="Arial Narrow" w:hAnsi="Arial Narrow" w:cs="Arial Narrow"/>
          <w:color w:val="000000"/>
        </w:rPr>
        <w:t>.</w:t>
      </w:r>
    </w:p>
    <w:p w14:paraId="44F79700" w14:textId="77777777" w:rsidR="00B97067" w:rsidRPr="00B97067" w:rsidRDefault="00B97067" w:rsidP="00B97067">
      <w:pPr>
        <w:widowControl w:val="0"/>
        <w:pBdr>
          <w:top w:val="nil"/>
          <w:left w:val="nil"/>
          <w:bottom w:val="nil"/>
          <w:right w:val="nil"/>
          <w:between w:val="nil"/>
        </w:pBdr>
        <w:spacing w:before="100" w:beforeAutospacing="1" w:line="229" w:lineRule="auto"/>
        <w:ind w:right="-2" w:firstLine="24"/>
        <w:contextualSpacing/>
        <w:jc w:val="both"/>
        <w:rPr>
          <w:rFonts w:ascii="Arial Narrow" w:eastAsia="Arial Narrow" w:hAnsi="Arial Narrow" w:cs="Arial Narrow"/>
          <w:color w:val="000000"/>
        </w:rPr>
      </w:pPr>
    </w:p>
    <w:p w14:paraId="6968B7D5" w14:textId="77777777" w:rsidR="00D72682" w:rsidRDefault="00B97067" w:rsidP="00B97067">
      <w:pPr>
        <w:widowControl w:val="0"/>
        <w:pBdr>
          <w:top w:val="nil"/>
          <w:left w:val="nil"/>
          <w:bottom w:val="nil"/>
          <w:right w:val="nil"/>
          <w:between w:val="nil"/>
        </w:pBdr>
        <w:spacing w:before="100" w:beforeAutospacing="1" w:line="230" w:lineRule="auto"/>
        <w:ind w:left="15" w:right="1" w:hanging="1"/>
        <w:contextualSpacing/>
        <w:jc w:val="both"/>
        <w:rPr>
          <w:rFonts w:ascii="Arial Narrow" w:eastAsia="Arial Narrow" w:hAnsi="Arial Narrow" w:cs="Arial Narrow"/>
          <w:color w:val="000000"/>
        </w:rPr>
      </w:pPr>
      <w:r w:rsidRPr="00B97067">
        <w:rPr>
          <w:rFonts w:ascii="Arial Narrow" w:eastAsia="Arial Narrow" w:hAnsi="Arial Narrow" w:cs="Arial Narrow"/>
          <w:color w:val="000000"/>
        </w:rPr>
        <w:t>Conforme a este lineamiento</w:t>
      </w:r>
      <w:r w:rsidR="00D625BC" w:rsidRPr="00B97067">
        <w:rPr>
          <w:rFonts w:ascii="Arial Narrow" w:eastAsia="Arial Narrow" w:hAnsi="Arial Narrow" w:cs="Arial Narrow"/>
          <w:color w:val="000000"/>
        </w:rPr>
        <w:t xml:space="preserve">, mediante memorando No. </w:t>
      </w:r>
      <w:r>
        <w:rPr>
          <w:rFonts w:ascii="Arial Narrow" w:hAnsi="Arial Narrow"/>
          <w:color w:val="000000"/>
        </w:rPr>
        <w:t>I-2020-005210 del 20 de octubre de 2020</w:t>
      </w:r>
      <w:r w:rsidR="00D625BC" w:rsidRPr="00B97067">
        <w:rPr>
          <w:rFonts w:ascii="Arial Narrow" w:eastAsia="Arial Narrow" w:hAnsi="Arial Narrow" w:cs="Arial Narrow"/>
          <w:color w:val="000000"/>
        </w:rPr>
        <w:t xml:space="preserve">, </w:t>
      </w:r>
      <w:r w:rsidRPr="00B97067">
        <w:rPr>
          <w:rFonts w:ascii="Arial Narrow" w:eastAsia="Arial Narrow" w:hAnsi="Arial Narrow" w:cs="Arial Narrow"/>
          <w:color w:val="000000"/>
        </w:rPr>
        <w:t>el</w:t>
      </w:r>
      <w:r w:rsidR="00D625BC" w:rsidRPr="00B97067">
        <w:rPr>
          <w:rFonts w:ascii="Arial Narrow" w:eastAsia="Arial Narrow" w:hAnsi="Arial Narrow" w:cs="Arial Narrow"/>
          <w:color w:val="000000"/>
        </w:rPr>
        <w:t xml:space="preserve"> sectorial de acueducto y saneamiento básico manifestó lo siguiente: </w:t>
      </w:r>
    </w:p>
    <w:p w14:paraId="7161689A" w14:textId="77777777" w:rsidR="00B97067" w:rsidRDefault="00B97067" w:rsidP="00B97067">
      <w:pPr>
        <w:spacing w:before="100" w:beforeAutospacing="1"/>
        <w:contextualSpacing/>
        <w:jc w:val="both"/>
        <w:rPr>
          <w:rFonts w:ascii="Arial Narrow" w:hAnsi="Arial Narrow"/>
        </w:rPr>
      </w:pPr>
    </w:p>
    <w:p w14:paraId="40F6D04F" w14:textId="77777777" w:rsidR="00B97067" w:rsidRPr="00B97067" w:rsidRDefault="00B97067" w:rsidP="00B97067">
      <w:pPr>
        <w:spacing w:before="100" w:beforeAutospacing="1" w:line="240" w:lineRule="auto"/>
        <w:contextualSpacing/>
        <w:jc w:val="both"/>
        <w:rPr>
          <w:rFonts w:ascii="Arial Narrow" w:hAnsi="Arial Narrow"/>
        </w:rPr>
      </w:pPr>
      <w:r>
        <w:rPr>
          <w:rFonts w:ascii="Arial Narrow" w:hAnsi="Arial Narrow"/>
        </w:rPr>
        <w:t>“</w:t>
      </w:r>
      <w:r w:rsidRPr="00B97067">
        <w:rPr>
          <w:rFonts w:ascii="Arial Narrow" w:hAnsi="Arial Narrow"/>
        </w:rPr>
        <w:t>Teniendo en cuenta que actualmente estamos gestionando la contratación del proyecto del asunto, atentamente aportamos informe por el cual justificamos los motivos por los cuales no se generó visita al sitio donde se desarrollará el proyecto por parte de la sectorial de agua y saneamiento básico.</w:t>
      </w:r>
    </w:p>
    <w:p w14:paraId="57A243FC" w14:textId="77777777" w:rsidR="00B97067" w:rsidRPr="00B97067" w:rsidRDefault="00B97067" w:rsidP="00B97067">
      <w:pPr>
        <w:spacing w:before="100" w:beforeAutospacing="1" w:line="240" w:lineRule="auto"/>
        <w:contextualSpacing/>
        <w:jc w:val="both"/>
        <w:rPr>
          <w:rFonts w:ascii="Arial Narrow" w:hAnsi="Arial Narrow"/>
        </w:rPr>
      </w:pPr>
    </w:p>
    <w:p w14:paraId="0716F9DC" w14:textId="77777777" w:rsidR="00B97067" w:rsidRPr="00B97067" w:rsidRDefault="00B97067" w:rsidP="00B97067">
      <w:pPr>
        <w:spacing w:before="100" w:beforeAutospacing="1" w:line="240" w:lineRule="auto"/>
        <w:contextualSpacing/>
        <w:jc w:val="both"/>
        <w:rPr>
          <w:rFonts w:ascii="Arial Narrow" w:eastAsia="Arial Narrow" w:hAnsi="Arial Narrow" w:cs="Arial Narrow"/>
        </w:rPr>
      </w:pPr>
      <w:r w:rsidRPr="00B97067">
        <w:rPr>
          <w:rFonts w:ascii="Arial Narrow" w:hAnsi="Arial Narrow"/>
        </w:rPr>
        <w:t xml:space="preserve">En primer lugar, se considera procedente aclarar que en el municipio de Cimitarra ( Santander), zona en la que se ejecutará el proyecto, el Fondo Adaptación llevó a cabo la formulación de los estudios y diseños necesarios para la ejecución del proyecto por el cual se llevaría a cabo la </w:t>
      </w:r>
      <w:r w:rsidRPr="00B97067">
        <w:rPr>
          <w:rFonts w:ascii="Arial Narrow" w:eastAsia="Arial Narrow" w:hAnsi="Arial Narrow" w:cs="Arial Narrow"/>
        </w:rPr>
        <w:t>“Reconstrucción del sistema de alcantarillado del casco urbano del municipio de Cimitarra”.</w:t>
      </w:r>
    </w:p>
    <w:p w14:paraId="177C2233" w14:textId="77777777" w:rsidR="00B97067" w:rsidRPr="00B97067" w:rsidRDefault="00B97067" w:rsidP="00B97067">
      <w:pPr>
        <w:spacing w:before="100" w:beforeAutospacing="1" w:line="240" w:lineRule="auto"/>
        <w:contextualSpacing/>
        <w:jc w:val="both"/>
        <w:rPr>
          <w:rFonts w:ascii="Arial Narrow" w:eastAsia="Arial Narrow" w:hAnsi="Arial Narrow" w:cs="Arial Narrow"/>
        </w:rPr>
      </w:pPr>
    </w:p>
    <w:p w14:paraId="1038B7A0" w14:textId="77777777" w:rsidR="00B97067" w:rsidRPr="00B97067" w:rsidRDefault="00B97067" w:rsidP="00B97067">
      <w:pPr>
        <w:spacing w:before="100" w:beforeAutospacing="1" w:line="240" w:lineRule="auto"/>
        <w:contextualSpacing/>
        <w:jc w:val="both"/>
        <w:rPr>
          <w:rFonts w:ascii="Arial Narrow" w:eastAsia="Arial Narrow" w:hAnsi="Arial Narrow" w:cs="Arial Narrow"/>
        </w:rPr>
      </w:pPr>
      <w:r w:rsidRPr="00B97067">
        <w:rPr>
          <w:rFonts w:ascii="Arial Narrow" w:eastAsia="Arial Narrow" w:hAnsi="Arial Narrow" w:cs="Arial Narrow"/>
        </w:rPr>
        <w:t xml:space="preserve">En virtud de lo señalado, se ejecutó mediante el Contrato No 071 de 2013 cuyo objeto fue la validación de los estudios y diseños del proyecto “Reconstrucción del sistema de alcantarillado del casco urbano del municipio de Cimitarra, resaltándose que en el marco de la ejecución del contrato, se validaron los estudios y diseños en los cuales se determinaba el sitio específico de ejecución del proyecto tanto para la Fase I contratada y como para la Fase II que se ejecutaría posteriormente , teniéndose por lo tanto, desde la ejecución de la Fase I, conocimiento de las características topográficas del sitio a intervenir, las rutas de  acceso al municipio, topografía, disponibilidad de mano de obra, transporte, suministro de materiales en la zona y en </w:t>
      </w:r>
      <w:r w:rsidR="0089511C" w:rsidRPr="00B97067">
        <w:rPr>
          <w:rFonts w:ascii="Arial Narrow" w:eastAsia="Arial Narrow" w:hAnsi="Arial Narrow" w:cs="Arial Narrow"/>
        </w:rPr>
        <w:t>general</w:t>
      </w:r>
      <w:r w:rsidRPr="00B97067">
        <w:rPr>
          <w:rFonts w:ascii="Arial Narrow" w:eastAsia="Arial Narrow" w:hAnsi="Arial Narrow" w:cs="Arial Narrow"/>
        </w:rPr>
        <w:t xml:space="preserve"> los riesgos que pudieren existir para la ejecución del proyecto.  </w:t>
      </w:r>
    </w:p>
    <w:p w14:paraId="6AE93855" w14:textId="77777777" w:rsidR="00B97067" w:rsidRPr="00B97067" w:rsidRDefault="00B97067" w:rsidP="00B97067">
      <w:pPr>
        <w:spacing w:before="100" w:beforeAutospacing="1" w:line="240" w:lineRule="auto"/>
        <w:contextualSpacing/>
        <w:jc w:val="both"/>
        <w:rPr>
          <w:rFonts w:ascii="Arial Narrow" w:eastAsia="Arial Narrow" w:hAnsi="Arial Narrow" w:cs="Arial Narrow"/>
        </w:rPr>
      </w:pPr>
    </w:p>
    <w:p w14:paraId="10231276" w14:textId="77777777" w:rsidR="00B97067" w:rsidRPr="00B97067" w:rsidRDefault="00B97067" w:rsidP="00B97067">
      <w:pPr>
        <w:spacing w:before="100" w:beforeAutospacing="1" w:line="240" w:lineRule="auto"/>
        <w:contextualSpacing/>
        <w:jc w:val="both"/>
        <w:rPr>
          <w:rFonts w:ascii="Arial Narrow" w:hAnsi="Arial Narrow"/>
        </w:rPr>
      </w:pPr>
      <w:r w:rsidRPr="00B97067">
        <w:rPr>
          <w:rFonts w:ascii="Arial Narrow" w:eastAsia="Arial Narrow" w:hAnsi="Arial Narrow" w:cs="Arial Narrow"/>
        </w:rPr>
        <w:t>Por lo anterior, se considera que existe suficiente claridad por parte del sector frente al sitio en el que se desarrollará la intervención, aunado a que la obra a desarrollar no reviste de mayor complejidad técnica, por lo que no se deberá adelantar un tratamiento especial del suelo, ni surtir actividades de estabilización de taludes, ni de descarga de aguas servidas, limitándose a la excavación, demolición de vía, instalación de tubería, instalación de domiciliarias y construcción de pozos de inspección para la reconstrucción del sistema de alcantarillado, en la Avenida de la Paz, en el municipio de Cimitarra.</w:t>
      </w:r>
    </w:p>
    <w:p w14:paraId="2C87FCD4" w14:textId="77777777" w:rsidR="00B97067" w:rsidRPr="00B97067" w:rsidRDefault="00B97067" w:rsidP="00B97067">
      <w:pPr>
        <w:spacing w:before="100" w:beforeAutospacing="1" w:line="240" w:lineRule="auto"/>
        <w:contextualSpacing/>
        <w:jc w:val="both"/>
        <w:rPr>
          <w:rFonts w:ascii="Arial Narrow" w:hAnsi="Arial Narrow"/>
        </w:rPr>
      </w:pPr>
    </w:p>
    <w:p w14:paraId="77FB2130" w14:textId="77777777" w:rsidR="00B97067" w:rsidRPr="00B97067" w:rsidRDefault="00B97067" w:rsidP="00B97067">
      <w:pPr>
        <w:spacing w:before="100" w:beforeAutospacing="1" w:line="240" w:lineRule="auto"/>
        <w:contextualSpacing/>
        <w:jc w:val="both"/>
        <w:rPr>
          <w:rFonts w:ascii="Arial Narrow" w:hAnsi="Arial Narrow"/>
        </w:rPr>
      </w:pPr>
      <w:r w:rsidRPr="00B97067">
        <w:rPr>
          <w:rFonts w:ascii="Arial Narrow" w:hAnsi="Arial Narrow"/>
        </w:rPr>
        <w:t>Aunado a lo anterior, durante el transcurso del presente año se han decretado varias resoluciones y decretos por parte del Gobierno Nacional debido al Covid-19 los cuales han restringido la movilidad en el Territorio Nacional, de la siguiente manera:</w:t>
      </w:r>
    </w:p>
    <w:p w14:paraId="783515E9" w14:textId="77777777" w:rsidR="00B97067" w:rsidRPr="00B97067" w:rsidRDefault="00B97067" w:rsidP="00B97067">
      <w:pPr>
        <w:spacing w:before="100" w:beforeAutospacing="1" w:line="240" w:lineRule="auto"/>
        <w:contextualSpacing/>
        <w:jc w:val="both"/>
        <w:rPr>
          <w:rFonts w:ascii="Arial Narrow" w:hAnsi="Arial Narrow"/>
        </w:rPr>
      </w:pPr>
    </w:p>
    <w:p w14:paraId="27968601" w14:textId="77777777" w:rsidR="00B97067" w:rsidRPr="00B97067" w:rsidRDefault="00B97067" w:rsidP="00B97067">
      <w:pPr>
        <w:spacing w:before="100" w:beforeAutospacing="1" w:line="240" w:lineRule="auto"/>
        <w:contextualSpacing/>
        <w:jc w:val="both"/>
        <w:rPr>
          <w:rFonts w:ascii="Arial Narrow" w:hAnsi="Arial Narrow"/>
        </w:rPr>
      </w:pPr>
      <w:r w:rsidRPr="00B97067">
        <w:rPr>
          <w:rFonts w:ascii="Arial Narrow" w:hAnsi="Arial Narrow"/>
        </w:rPr>
        <w:t>El Ministerio de Salud y Protección Social, mediante la resolución No. 385 del 12 de marzo de 2020, declaró la emergencia sanitaria por causa del Coronavirus COVID-19, hasta el 30 de mayo de 2020 y adoptó medidas sanitarias con el objeto de prevenir y controlar la propagación en el territorio nacional y mitigar sus efectos.</w:t>
      </w:r>
    </w:p>
    <w:p w14:paraId="549F9FAA" w14:textId="77777777" w:rsidR="00B97067" w:rsidRPr="00B97067" w:rsidRDefault="00B97067" w:rsidP="00B97067">
      <w:pPr>
        <w:spacing w:before="100" w:beforeAutospacing="1" w:line="240" w:lineRule="auto"/>
        <w:contextualSpacing/>
        <w:jc w:val="both"/>
        <w:rPr>
          <w:rFonts w:ascii="Arial Narrow" w:hAnsi="Arial Narrow"/>
        </w:rPr>
      </w:pPr>
    </w:p>
    <w:p w14:paraId="0ABD2BA8" w14:textId="77777777" w:rsidR="00B97067" w:rsidRPr="00B97067" w:rsidRDefault="00B97067" w:rsidP="00B97067">
      <w:pPr>
        <w:spacing w:before="100" w:beforeAutospacing="1" w:line="240" w:lineRule="auto"/>
        <w:contextualSpacing/>
        <w:jc w:val="both"/>
        <w:rPr>
          <w:rFonts w:ascii="Arial Narrow" w:hAnsi="Arial Narrow"/>
        </w:rPr>
      </w:pPr>
      <w:r w:rsidRPr="00B97067">
        <w:rPr>
          <w:rFonts w:ascii="Arial Narrow" w:hAnsi="Arial Narrow"/>
        </w:rPr>
        <w:t>El Presidente de la República, mediante el Decreto No. 417 del 17 de marzo de 2020 declaró el estado de emergencia económica, social y ecológica; y mediante el Decreto 457 del 26 de marzo de 2020 ordenó el aislamiento preventivo obligatorio para todos los habitantes.</w:t>
      </w:r>
    </w:p>
    <w:p w14:paraId="164078EB" w14:textId="77777777" w:rsidR="00B97067" w:rsidRPr="00B97067" w:rsidRDefault="00B97067" w:rsidP="00B97067">
      <w:pPr>
        <w:spacing w:before="100" w:beforeAutospacing="1" w:line="240" w:lineRule="auto"/>
        <w:contextualSpacing/>
        <w:jc w:val="both"/>
        <w:rPr>
          <w:rFonts w:ascii="Arial Narrow" w:hAnsi="Arial Narrow"/>
        </w:rPr>
      </w:pPr>
    </w:p>
    <w:p w14:paraId="426B7B47" w14:textId="77777777" w:rsidR="00B97067" w:rsidRPr="00B97067" w:rsidRDefault="00B97067" w:rsidP="00B97067">
      <w:pPr>
        <w:spacing w:before="100" w:beforeAutospacing="1" w:line="240" w:lineRule="auto"/>
        <w:contextualSpacing/>
        <w:jc w:val="both"/>
        <w:rPr>
          <w:rFonts w:ascii="Arial Narrow" w:hAnsi="Arial Narrow"/>
        </w:rPr>
      </w:pPr>
      <w:r w:rsidRPr="00B97067">
        <w:rPr>
          <w:rFonts w:ascii="Arial Narrow" w:hAnsi="Arial Narrow"/>
        </w:rPr>
        <w:t>El Gobierno Nacional mediante el Decreto No. 1076 del 28 de julio de 2020, ordenó el aislamiento preventivo obligatorio a todas las personas habitantes de la República de Colombia, desde el 01 de agosto de 2020 y hasta el 01 de septiembre de 2020.</w:t>
      </w:r>
    </w:p>
    <w:p w14:paraId="30653D91" w14:textId="77777777" w:rsidR="00B97067" w:rsidRPr="00B97067" w:rsidRDefault="00B97067" w:rsidP="00B97067">
      <w:pPr>
        <w:spacing w:before="100" w:beforeAutospacing="1" w:line="240" w:lineRule="auto"/>
        <w:contextualSpacing/>
        <w:jc w:val="both"/>
        <w:rPr>
          <w:rFonts w:ascii="Arial Narrow" w:hAnsi="Arial Narrow"/>
        </w:rPr>
      </w:pPr>
    </w:p>
    <w:p w14:paraId="36F7B74C" w14:textId="77777777" w:rsidR="00B97067" w:rsidRPr="00B97067" w:rsidRDefault="00B97067" w:rsidP="00B97067">
      <w:pPr>
        <w:spacing w:before="100" w:beforeAutospacing="1" w:line="240" w:lineRule="auto"/>
        <w:contextualSpacing/>
        <w:jc w:val="both"/>
        <w:rPr>
          <w:rFonts w:ascii="Arial Narrow" w:hAnsi="Arial Narrow"/>
        </w:rPr>
      </w:pPr>
      <w:r w:rsidRPr="00B97067">
        <w:rPr>
          <w:rFonts w:ascii="Arial Narrow" w:hAnsi="Arial Narrow"/>
        </w:rPr>
        <w:t>El Ministerio de Salud y Protección Social mediante la Resolución No. 1462 del 25 de agosto de 2020 prorrogó la emergencia sanitaria en todo el territorio nacional hasta el 30 de noviembre de 2020.</w:t>
      </w:r>
    </w:p>
    <w:p w14:paraId="583FAD5C" w14:textId="77777777" w:rsidR="00B97067" w:rsidRPr="00B97067" w:rsidRDefault="00B97067" w:rsidP="00B97067">
      <w:pPr>
        <w:spacing w:before="100" w:beforeAutospacing="1" w:line="240" w:lineRule="auto"/>
        <w:contextualSpacing/>
        <w:jc w:val="both"/>
        <w:rPr>
          <w:rFonts w:ascii="Arial Narrow" w:eastAsia="Arial Narrow" w:hAnsi="Arial Narrow" w:cs="Arial Narrow"/>
        </w:rPr>
      </w:pPr>
    </w:p>
    <w:p w14:paraId="1DEA7898" w14:textId="77777777" w:rsidR="00B97067" w:rsidRDefault="00B97067" w:rsidP="00B97067">
      <w:pPr>
        <w:spacing w:before="100" w:beforeAutospacing="1" w:line="240" w:lineRule="auto"/>
        <w:contextualSpacing/>
        <w:jc w:val="both"/>
        <w:rPr>
          <w:rFonts w:ascii="Arial Narrow" w:eastAsia="Arial Narrow" w:hAnsi="Arial Narrow" w:cs="Arial Narrow"/>
        </w:rPr>
      </w:pPr>
      <w:r w:rsidRPr="00B97067">
        <w:rPr>
          <w:rFonts w:ascii="Arial Narrow" w:eastAsia="Arial Narrow" w:hAnsi="Arial Narrow" w:cs="Arial Narrow"/>
        </w:rPr>
        <w:t xml:space="preserve">En concordancia mediante Resolución No. 142 del 01 de septiembre de 2020 emitida por la Agencia Nacional de Contratación Pública – Colombia Compra Eficiente – se prorrogó la suspensión del numeral 3.6. – visita al sitio de la obra, de los documentos tipo de licitación de obra pública de infraestructura de transporte y de selección abreviada de menor cuantía, entendiendo que si bien la obra a ejecutar no se enmarca dentro de las señaladas por Colombia Compra Eficiente, se considera relevante como precedente el análisis del impacto negativo en el mercado de obras de infraestructura derivado de la pandemia por Coronavirus COVID 19 , por lo cual se prorroga la </w:t>
      </w:r>
      <w:r w:rsidRPr="00B97067">
        <w:rPr>
          <w:rFonts w:ascii="Arial Narrow" w:eastAsia="Arial Narrow" w:hAnsi="Arial Narrow" w:cs="Arial Narrow"/>
        </w:rPr>
        <w:lastRenderedPageBreak/>
        <w:t>suspensión del numeral 3.6 – visita de obra de los documentos tipo de la licitación de obra pública- versión 2 mientras permanezca la emergencia sanitaria,  situación que afecta igualmente la pertinencia de realización de visita al sitio de las obras en caso de requerirse, tanto para los oferentes como para la propia entidad,  por lo que se  consideró conveniente que en el proceso de licitación pública para el proyecto del asunto no se realice visita</w:t>
      </w:r>
      <w:r>
        <w:rPr>
          <w:rFonts w:ascii="Arial Narrow" w:eastAsia="Arial Narrow" w:hAnsi="Arial Narrow" w:cs="Arial Narrow"/>
        </w:rPr>
        <w:t>”</w:t>
      </w:r>
      <w:r w:rsidRPr="00B97067">
        <w:rPr>
          <w:rFonts w:ascii="Arial Narrow" w:eastAsia="Arial Narrow" w:hAnsi="Arial Narrow" w:cs="Arial Narrow"/>
        </w:rPr>
        <w:t>.</w:t>
      </w:r>
    </w:p>
    <w:p w14:paraId="47210E5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A304FD6"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0A73A6FA"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11D97D52"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FA9649D"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0085D33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904F2AC"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DDE7678"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1A73B19A"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63710E33"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033AAFA5"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7D70FCBE"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729D00E1"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0C37B240"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4FBDF420"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454B5647"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7639B5C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1EFFD19D"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719359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7D2A05F2"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0330D2C"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18D3F5A"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2C44EE4"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0134996"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6EFAC147"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4D5AD11"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45D2AC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753F310A"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14494C8A"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B0A0001"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9AF1735"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D1A14DC"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C9F1623"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6E210ADD"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04AAAB70"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27F9193"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13007C7D"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14B470D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6959F977"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BC432C2"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70DBFEDC"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42CD3B94"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67367C5"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460C397"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F3C353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3D29C7B"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31C9ED2E"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A9CD707"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DF1EECC"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2562FE59" w14:textId="77777777" w:rsidR="00B97067" w:rsidRDefault="00B97067" w:rsidP="00B97067">
      <w:pPr>
        <w:spacing w:before="100" w:beforeAutospacing="1" w:line="240" w:lineRule="auto"/>
        <w:contextualSpacing/>
        <w:jc w:val="both"/>
        <w:rPr>
          <w:rFonts w:ascii="Arial Narrow" w:eastAsia="Arial Narrow" w:hAnsi="Arial Narrow" w:cs="Arial Narrow"/>
        </w:rPr>
      </w:pPr>
    </w:p>
    <w:p w14:paraId="52E53A32" w14:textId="77777777" w:rsidR="00B97067" w:rsidRPr="00B97067" w:rsidRDefault="00B97067" w:rsidP="00B97067">
      <w:pPr>
        <w:spacing w:before="100" w:beforeAutospacing="1" w:line="240" w:lineRule="auto"/>
        <w:contextualSpacing/>
        <w:jc w:val="both"/>
        <w:rPr>
          <w:rFonts w:ascii="Arial Narrow" w:eastAsia="Arial Narrow" w:hAnsi="Arial Narrow" w:cs="Arial Narrow"/>
        </w:rPr>
      </w:pPr>
    </w:p>
    <w:p w14:paraId="3EF663EF" w14:textId="77777777" w:rsidR="00B97067" w:rsidRPr="00B97067" w:rsidRDefault="00B97067" w:rsidP="00B97067">
      <w:pPr>
        <w:widowControl w:val="0"/>
        <w:pBdr>
          <w:top w:val="nil"/>
          <w:left w:val="nil"/>
          <w:bottom w:val="nil"/>
          <w:right w:val="nil"/>
          <w:between w:val="nil"/>
        </w:pBdr>
        <w:spacing w:before="100" w:beforeAutospacing="1" w:line="240" w:lineRule="auto"/>
        <w:ind w:left="15" w:right="1" w:hanging="1"/>
        <w:contextualSpacing/>
        <w:jc w:val="both"/>
        <w:rPr>
          <w:rFonts w:ascii="Arial Narrow" w:eastAsia="Arial Narrow" w:hAnsi="Arial Narrow" w:cs="Arial Narrow"/>
          <w:color w:val="000000"/>
        </w:rPr>
      </w:pPr>
    </w:p>
    <w:p w14:paraId="0D64A484" w14:textId="77777777" w:rsidR="00D72682" w:rsidRPr="00B97067" w:rsidRDefault="00D625BC" w:rsidP="00B97067">
      <w:pPr>
        <w:widowControl w:val="0"/>
        <w:pBdr>
          <w:top w:val="nil"/>
          <w:left w:val="nil"/>
          <w:bottom w:val="nil"/>
          <w:right w:val="nil"/>
          <w:between w:val="nil"/>
        </w:pBdr>
        <w:spacing w:before="100" w:beforeAutospacing="1" w:line="240" w:lineRule="auto"/>
        <w:ind w:left="24"/>
        <w:contextualSpacing/>
        <w:jc w:val="both"/>
        <w:rPr>
          <w:rFonts w:ascii="Arial Narrow" w:eastAsia="Verdana" w:hAnsi="Arial Narrow" w:cs="Verdana"/>
          <w:b/>
          <w:color w:val="000000"/>
        </w:rPr>
      </w:pPr>
      <w:r w:rsidRPr="00B97067">
        <w:rPr>
          <w:rFonts w:ascii="Arial Narrow" w:eastAsia="Verdana" w:hAnsi="Arial Narrow" w:cs="Verdana"/>
          <w:color w:val="000000"/>
        </w:rPr>
        <w:t xml:space="preserve">Página </w:t>
      </w:r>
      <w:r w:rsidRPr="00B97067">
        <w:rPr>
          <w:rFonts w:ascii="Arial Narrow" w:eastAsia="Verdana" w:hAnsi="Arial Narrow" w:cs="Verdana"/>
          <w:b/>
          <w:color w:val="000000"/>
        </w:rPr>
        <w:t xml:space="preserve">2 </w:t>
      </w:r>
      <w:r w:rsidRPr="00B97067">
        <w:rPr>
          <w:rFonts w:ascii="Arial Narrow" w:eastAsia="Verdana" w:hAnsi="Arial Narrow" w:cs="Verdana"/>
          <w:color w:val="000000"/>
        </w:rPr>
        <w:t xml:space="preserve">de </w:t>
      </w:r>
      <w:r w:rsidRPr="00B97067">
        <w:rPr>
          <w:rFonts w:ascii="Arial Narrow" w:eastAsia="Verdana" w:hAnsi="Arial Narrow" w:cs="Verdana"/>
          <w:b/>
          <w:color w:val="000000"/>
        </w:rPr>
        <w:t xml:space="preserve">2 </w:t>
      </w:r>
    </w:p>
    <w:p w14:paraId="69080383" w14:textId="77777777" w:rsidR="00D72682" w:rsidRPr="00B97067" w:rsidRDefault="00D625BC" w:rsidP="00B97067">
      <w:pPr>
        <w:widowControl w:val="0"/>
        <w:pBdr>
          <w:top w:val="nil"/>
          <w:left w:val="nil"/>
          <w:bottom w:val="nil"/>
          <w:right w:val="nil"/>
          <w:between w:val="nil"/>
        </w:pBdr>
        <w:spacing w:before="100" w:beforeAutospacing="1" w:line="240" w:lineRule="auto"/>
        <w:ind w:left="8026" w:right="189" w:hanging="7934"/>
        <w:contextualSpacing/>
        <w:jc w:val="both"/>
        <w:rPr>
          <w:rFonts w:ascii="Arial Narrow" w:eastAsia="Verdana" w:hAnsi="Arial Narrow" w:cs="Verdana"/>
          <w:b/>
          <w:color w:val="164988"/>
        </w:rPr>
      </w:pPr>
      <w:r w:rsidRPr="00B97067">
        <w:rPr>
          <w:rFonts w:ascii="Arial Narrow" w:eastAsia="Verdana" w:hAnsi="Arial Narrow" w:cs="Verdana"/>
          <w:b/>
          <w:color w:val="164988"/>
        </w:rPr>
        <w:t xml:space="preserve">Fondo Adaptación, Sistema de Gestión de Calidad </w:t>
      </w:r>
      <w:r w:rsidRPr="00B97067">
        <w:rPr>
          <w:rFonts w:ascii="Arial Narrow" w:eastAsia="Verdana" w:hAnsi="Arial Narrow" w:cs="Verdana"/>
          <w:b/>
          <w:noProof/>
          <w:color w:val="164988"/>
        </w:rPr>
        <w:drawing>
          <wp:inline distT="19050" distB="19050" distL="19050" distR="19050" wp14:anchorId="02A7A8AA" wp14:editId="74FE25A5">
            <wp:extent cx="3759835" cy="76191"/>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3759835" cy="76191"/>
                    </a:xfrm>
                    <a:prstGeom prst="rect">
                      <a:avLst/>
                    </a:prstGeom>
                    <a:ln/>
                  </pic:spPr>
                </pic:pic>
              </a:graphicData>
            </a:graphic>
          </wp:inline>
        </w:drawing>
      </w:r>
      <w:r w:rsidRPr="00B97067">
        <w:rPr>
          <w:rFonts w:ascii="Arial Narrow" w:eastAsia="Verdana" w:hAnsi="Arial Narrow" w:cs="Verdana"/>
          <w:b/>
          <w:noProof/>
          <w:color w:val="164988"/>
        </w:rPr>
        <w:drawing>
          <wp:inline distT="19050" distB="19050" distL="19050" distR="19050" wp14:anchorId="54F72B5F" wp14:editId="2947B2CE">
            <wp:extent cx="1678305" cy="40449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678305" cy="404495"/>
                    </a:xfrm>
                    <a:prstGeom prst="rect">
                      <a:avLst/>
                    </a:prstGeom>
                    <a:ln/>
                  </pic:spPr>
                </pic:pic>
              </a:graphicData>
            </a:graphic>
          </wp:inline>
        </w:drawing>
      </w:r>
    </w:p>
    <w:sectPr w:rsidR="00D72682" w:rsidRPr="00B97067">
      <w:pgSz w:w="12240" w:h="15840"/>
      <w:pgMar w:top="170" w:right="665" w:bottom="229" w:left="71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5"/>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682"/>
    <w:rsid w:val="004474A8"/>
    <w:rsid w:val="0089511C"/>
    <w:rsid w:val="00B97067"/>
    <w:rsid w:val="00D625BC"/>
    <w:rsid w:val="00D72682"/>
    <w:rsid w:val="00F809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15242"/>
  <w15:docId w15:val="{A302C3A4-59B7-433E-A965-67340FA4A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D625B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25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860</Words>
  <Characters>4735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JESICA BIBIANA ARISTIZABAL MEZA</cp:lastModifiedBy>
  <cp:revision>2</cp:revision>
  <dcterms:created xsi:type="dcterms:W3CDTF">2021-03-11T01:42:00Z</dcterms:created>
  <dcterms:modified xsi:type="dcterms:W3CDTF">2021-03-11T01:42:00Z</dcterms:modified>
</cp:coreProperties>
</file>