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Y="2976"/>
        <w:tblW w:w="13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8"/>
        <w:gridCol w:w="328"/>
        <w:gridCol w:w="328"/>
        <w:gridCol w:w="329"/>
        <w:gridCol w:w="329"/>
        <w:gridCol w:w="1199"/>
        <w:gridCol w:w="1110"/>
        <w:gridCol w:w="329"/>
        <w:gridCol w:w="329"/>
        <w:gridCol w:w="329"/>
        <w:gridCol w:w="329"/>
        <w:gridCol w:w="1215"/>
        <w:gridCol w:w="1349"/>
        <w:gridCol w:w="331"/>
        <w:gridCol w:w="331"/>
        <w:gridCol w:w="331"/>
        <w:gridCol w:w="331"/>
        <w:gridCol w:w="329"/>
        <w:gridCol w:w="812"/>
        <w:gridCol w:w="329"/>
        <w:gridCol w:w="983"/>
        <w:gridCol w:w="1062"/>
        <w:gridCol w:w="476"/>
      </w:tblGrid>
      <w:tr w:rsidR="0093248F">
        <w:trPr>
          <w:trHeight w:val="467"/>
        </w:trPr>
        <w:tc>
          <w:tcPr>
            <w:tcW w:w="328"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b/>
                <w:noProof/>
                <w:lang w:val="es-CO" w:eastAsia="es-CO"/>
              </w:rPr>
              <w:drawing>
                <wp:anchor distT="0" distB="0" distL="114300" distR="114300" simplePos="0" relativeHeight="251659264" behindDoc="1" locked="0" layoutInCell="1" allowOverlap="1">
                  <wp:simplePos x="0" y="0"/>
                  <wp:positionH relativeFrom="column">
                    <wp:posOffset>-745490</wp:posOffset>
                  </wp:positionH>
                  <wp:positionV relativeFrom="paragraph">
                    <wp:posOffset>11986895</wp:posOffset>
                  </wp:positionV>
                  <wp:extent cx="7781925" cy="1530350"/>
                  <wp:effectExtent l="0" t="0" r="0" b="0"/>
                  <wp:wrapNone/>
                  <wp:docPr id="4" name="Imagen 1" descr="Macintosh HD:Users:BryanSantiagoGrisalesChica:Documents:Marca Ciudad Manizales:Diseños:Membretes Municipales:Barra-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Macintosh HD:Users:BryanSantiagoGrisalesChica:Documents:Marca Ciudad Manizales:Diseños:Membretes Municipales:Barra-Inferior.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781925" cy="1530407"/>
                          </a:xfrm>
                          <a:prstGeom prst="rect">
                            <a:avLst/>
                          </a:prstGeom>
                          <a:noFill/>
                          <a:ln>
                            <a:noFill/>
                          </a:ln>
                        </pic:spPr>
                      </pic:pic>
                    </a:graphicData>
                  </a:graphic>
                </wp:anchor>
              </w:drawing>
            </w:r>
            <w:r>
              <w:rPr>
                <w:rFonts w:ascii="Arial Narrow" w:hAnsi="Arial Narrow"/>
                <w:b/>
                <w:sz w:val="12"/>
                <w:szCs w:val="12"/>
                <w:lang w:eastAsia="es-CO"/>
              </w:rPr>
              <w:t>NO.</w:t>
            </w:r>
          </w:p>
        </w:tc>
        <w:tc>
          <w:tcPr>
            <w:tcW w:w="328"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CLASE</w:t>
            </w:r>
          </w:p>
        </w:tc>
        <w:tc>
          <w:tcPr>
            <w:tcW w:w="328"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FUENTE</w:t>
            </w:r>
          </w:p>
        </w:tc>
        <w:tc>
          <w:tcPr>
            <w:tcW w:w="32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ETAPA</w:t>
            </w:r>
          </w:p>
        </w:tc>
        <w:tc>
          <w:tcPr>
            <w:tcW w:w="32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TIPO</w:t>
            </w:r>
          </w:p>
        </w:tc>
        <w:tc>
          <w:tcPr>
            <w:tcW w:w="119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DESCRIPCIÓN</w:t>
            </w:r>
          </w:p>
        </w:tc>
        <w:tc>
          <w:tcPr>
            <w:tcW w:w="1110"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CONSECUENCIA DE LA OCURRENCIA DEL EVENTO</w:t>
            </w:r>
          </w:p>
        </w:tc>
        <w:tc>
          <w:tcPr>
            <w:tcW w:w="32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PROBABILIDAD</w:t>
            </w:r>
          </w:p>
        </w:tc>
        <w:tc>
          <w:tcPr>
            <w:tcW w:w="32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IMPACTO</w:t>
            </w:r>
          </w:p>
        </w:tc>
        <w:tc>
          <w:tcPr>
            <w:tcW w:w="32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VALORACIÓN</w:t>
            </w:r>
          </w:p>
        </w:tc>
        <w:tc>
          <w:tcPr>
            <w:tcW w:w="32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CATEGORÍA</w:t>
            </w:r>
          </w:p>
        </w:tc>
        <w:tc>
          <w:tcPr>
            <w:tcW w:w="1215" w:type="dxa"/>
            <w:vMerge w:val="restart"/>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¿A QUIEN SE LE ASIGNA?</w:t>
            </w:r>
          </w:p>
        </w:tc>
        <w:tc>
          <w:tcPr>
            <w:tcW w:w="1349" w:type="dxa"/>
            <w:vMerge w:val="restart"/>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TRATAMIENTO / CONTROL A SER IMPLEMENTADO</w:t>
            </w:r>
          </w:p>
        </w:tc>
        <w:tc>
          <w:tcPr>
            <w:tcW w:w="1324" w:type="dxa"/>
            <w:gridSpan w:val="4"/>
            <w:shd w:val="clear" w:color="000000" w:fill="CCFFFF"/>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IMPACTO DESPUÉS DEL TRATAMIENTO</w:t>
            </w:r>
          </w:p>
        </w:tc>
        <w:tc>
          <w:tcPr>
            <w:tcW w:w="329" w:type="dxa"/>
            <w:vMerge w:val="restart"/>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¿AFECTA LA EJECUCIÓN DEL CONTRATO?</w:t>
            </w:r>
          </w:p>
        </w:tc>
        <w:tc>
          <w:tcPr>
            <w:tcW w:w="812" w:type="dxa"/>
            <w:vMerge w:val="restart"/>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RESPONSABLE POR IMPLEMENTAR EL TRATAMIENTO</w:t>
            </w:r>
          </w:p>
        </w:tc>
        <w:tc>
          <w:tcPr>
            <w:tcW w:w="329" w:type="dxa"/>
            <w:vMerge w:val="restart"/>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FECHA ESTIMADA EN QUE SE INICIA EL TRATAMIENTO</w:t>
            </w:r>
          </w:p>
        </w:tc>
        <w:tc>
          <w:tcPr>
            <w:tcW w:w="983" w:type="dxa"/>
            <w:vMerge w:val="restart"/>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FECHA ESTIMADA EN QUE SE COMPLETA EL TRATAMIENTO</w:t>
            </w:r>
          </w:p>
        </w:tc>
        <w:tc>
          <w:tcPr>
            <w:tcW w:w="1538" w:type="dxa"/>
            <w:gridSpan w:val="2"/>
            <w:shd w:val="clear" w:color="000000" w:fill="CCFFFF"/>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MONITOREO Y REVISIÓN</w:t>
            </w:r>
          </w:p>
        </w:tc>
      </w:tr>
      <w:tr w:rsidR="0093248F">
        <w:trPr>
          <w:trHeight w:val="1685"/>
        </w:trPr>
        <w:tc>
          <w:tcPr>
            <w:tcW w:w="328" w:type="dxa"/>
            <w:vMerge/>
            <w:vAlign w:val="center"/>
          </w:tcPr>
          <w:p w:rsidR="0093248F" w:rsidRDefault="0093248F">
            <w:pPr>
              <w:jc w:val="center"/>
              <w:rPr>
                <w:rFonts w:ascii="Arial Narrow" w:hAnsi="Arial Narrow"/>
                <w:b/>
                <w:sz w:val="12"/>
                <w:szCs w:val="12"/>
                <w:lang w:eastAsia="es-CO"/>
              </w:rPr>
            </w:pPr>
          </w:p>
        </w:tc>
        <w:tc>
          <w:tcPr>
            <w:tcW w:w="328" w:type="dxa"/>
            <w:vMerge/>
            <w:vAlign w:val="center"/>
          </w:tcPr>
          <w:p w:rsidR="0093248F" w:rsidRDefault="0093248F">
            <w:pPr>
              <w:jc w:val="center"/>
              <w:rPr>
                <w:rFonts w:ascii="Arial Narrow" w:hAnsi="Arial Narrow"/>
                <w:b/>
                <w:sz w:val="12"/>
                <w:szCs w:val="12"/>
                <w:lang w:eastAsia="es-CO"/>
              </w:rPr>
            </w:pPr>
          </w:p>
        </w:tc>
        <w:tc>
          <w:tcPr>
            <w:tcW w:w="328"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1199" w:type="dxa"/>
            <w:vMerge/>
            <w:vAlign w:val="center"/>
          </w:tcPr>
          <w:p w:rsidR="0093248F" w:rsidRDefault="0093248F">
            <w:pPr>
              <w:jc w:val="center"/>
              <w:rPr>
                <w:rFonts w:ascii="Arial Narrow" w:hAnsi="Arial Narrow"/>
                <w:b/>
                <w:sz w:val="12"/>
                <w:szCs w:val="12"/>
                <w:lang w:eastAsia="es-CO"/>
              </w:rPr>
            </w:pPr>
          </w:p>
        </w:tc>
        <w:tc>
          <w:tcPr>
            <w:tcW w:w="1110"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1215" w:type="dxa"/>
            <w:vMerge/>
            <w:vAlign w:val="center"/>
          </w:tcPr>
          <w:p w:rsidR="0093248F" w:rsidRDefault="0093248F">
            <w:pPr>
              <w:jc w:val="center"/>
              <w:rPr>
                <w:rFonts w:ascii="Arial Narrow" w:hAnsi="Arial Narrow"/>
                <w:b/>
                <w:sz w:val="12"/>
                <w:szCs w:val="12"/>
                <w:lang w:eastAsia="es-CO"/>
              </w:rPr>
            </w:pPr>
          </w:p>
        </w:tc>
        <w:tc>
          <w:tcPr>
            <w:tcW w:w="1349" w:type="dxa"/>
            <w:vMerge/>
            <w:vAlign w:val="center"/>
          </w:tcPr>
          <w:p w:rsidR="0093248F" w:rsidRDefault="0093248F">
            <w:pPr>
              <w:jc w:val="center"/>
              <w:rPr>
                <w:rFonts w:ascii="Arial Narrow" w:hAnsi="Arial Narrow"/>
                <w:b/>
                <w:sz w:val="12"/>
                <w:szCs w:val="12"/>
                <w:lang w:eastAsia="es-CO"/>
              </w:rPr>
            </w:pPr>
          </w:p>
        </w:tc>
        <w:tc>
          <w:tcPr>
            <w:tcW w:w="331" w:type="dxa"/>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PROBABILIDAD</w:t>
            </w:r>
          </w:p>
        </w:tc>
        <w:tc>
          <w:tcPr>
            <w:tcW w:w="331" w:type="dxa"/>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IMPACTO</w:t>
            </w:r>
          </w:p>
        </w:tc>
        <w:tc>
          <w:tcPr>
            <w:tcW w:w="331" w:type="dxa"/>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VALORACIÓN</w:t>
            </w:r>
          </w:p>
        </w:tc>
        <w:tc>
          <w:tcPr>
            <w:tcW w:w="331" w:type="dxa"/>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CATEGORÍA</w:t>
            </w:r>
          </w:p>
        </w:tc>
        <w:tc>
          <w:tcPr>
            <w:tcW w:w="329" w:type="dxa"/>
            <w:vMerge/>
            <w:vAlign w:val="center"/>
          </w:tcPr>
          <w:p w:rsidR="0093248F" w:rsidRDefault="0093248F">
            <w:pPr>
              <w:jc w:val="center"/>
              <w:rPr>
                <w:rFonts w:ascii="Arial Narrow" w:hAnsi="Arial Narrow"/>
                <w:b/>
                <w:sz w:val="12"/>
                <w:szCs w:val="12"/>
                <w:lang w:eastAsia="es-CO"/>
              </w:rPr>
            </w:pPr>
          </w:p>
        </w:tc>
        <w:tc>
          <w:tcPr>
            <w:tcW w:w="812"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983" w:type="dxa"/>
            <w:vMerge/>
            <w:vAlign w:val="center"/>
          </w:tcPr>
          <w:p w:rsidR="0093248F" w:rsidRDefault="0093248F">
            <w:pPr>
              <w:jc w:val="center"/>
              <w:rPr>
                <w:rFonts w:ascii="Arial Narrow" w:hAnsi="Arial Narrow"/>
                <w:b/>
                <w:sz w:val="12"/>
                <w:szCs w:val="12"/>
                <w:lang w:eastAsia="es-CO"/>
              </w:rPr>
            </w:pPr>
          </w:p>
        </w:tc>
        <w:tc>
          <w:tcPr>
            <w:tcW w:w="1062" w:type="dxa"/>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¿CÓMO SE REALIZA EL MONITOREO?</w:t>
            </w:r>
          </w:p>
        </w:tc>
        <w:tc>
          <w:tcPr>
            <w:tcW w:w="476" w:type="dxa"/>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PROBABILIDAD</w:t>
            </w:r>
          </w:p>
        </w:tc>
      </w:tr>
      <w:tr w:rsidR="0093248F">
        <w:trPr>
          <w:trHeight w:val="1968"/>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Regulatorio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por cambios en el régimen de contratación</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de las condiciones pactadas en el contrato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3</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y sus consecuencias serán asumidos en su totalidad por el MUNICIPIO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Toda norma de obligatorio cumplimiento para el municipio de Manizales que modifique las condiciones pactadas en el contrato, sobre todo en cuanto a las cláusulas que contienen obligaciones al contratista, serán introducidas al contrato, sin que medie negociación alguna con el contratista, toda vez que el municipio de Manizales no tiene la facultad de negociar apartes normativos de obligatorio cumplimiento.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Obras Públicas/  Supervi</w:t>
            </w:r>
            <w:r>
              <w:rPr>
                <w:rFonts w:ascii="Arial Narrow" w:hAnsi="Arial Narrow"/>
                <w:b/>
                <w:sz w:val="12"/>
                <w:szCs w:val="12"/>
                <w:lang w:eastAsia="es-CO"/>
              </w:rPr>
              <w:t xml:space="preserve">sión   </w:t>
            </w:r>
            <w:r>
              <w:rPr>
                <w:rFonts w:ascii="Arial Narrow" w:hAnsi="Arial Narrow"/>
                <w:sz w:val="12"/>
                <w:szCs w:val="12"/>
                <w:lang w:eastAsia="es-CO"/>
              </w:rPr>
              <w:t>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la normativa</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periódica de las normas de contratación</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131"/>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Regulatorio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por cambios en el régimen laboral colombiano</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de las condiciones pactadas en el contrato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3</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y sus consecuencias serán asumidos en su totalidad por el MUNICIPIO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Toda norma de obligatorio cumplimiento para el municipio de Manizales que modifique las condiciones pactadas en el contrato, y que afecte las condiciones laborales que el contratista proyectó en su oferta, serán introducidas al contrato, sin que medie negociación alguna con el contratista, toda vez que el municipio de Manizales no tiene la facultad de negociar apartes normativos de obligatorio cumplimiento.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Obras Públicas</w:t>
            </w:r>
          </w:p>
          <w:p w:rsidR="0093248F" w:rsidRDefault="00F92BFE">
            <w:pPr>
              <w:jc w:val="center"/>
              <w:rPr>
                <w:rFonts w:ascii="Arial Narrow" w:hAnsi="Arial Narrow"/>
                <w:sz w:val="12"/>
                <w:szCs w:val="12"/>
                <w:lang w:eastAsia="es-CO"/>
              </w:rPr>
            </w:pPr>
            <w:r>
              <w:rPr>
                <w:rFonts w:ascii="Arial Narrow" w:hAnsi="Arial Narrow"/>
                <w:sz w:val="12"/>
                <w:szCs w:val="12"/>
                <w:lang w:eastAsia="es-CO"/>
              </w:rPr>
              <w:t>/Supervisión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la normativa</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p w:rsidR="0093248F" w:rsidRDefault="0093248F">
            <w:pPr>
              <w:jc w:val="both"/>
              <w:rPr>
                <w:rFonts w:ascii="Arial Narrow" w:hAnsi="Arial Narrow"/>
                <w:sz w:val="12"/>
                <w:szCs w:val="12"/>
                <w:lang w:eastAsia="es-CO"/>
              </w:rPr>
            </w:pPr>
          </w:p>
          <w:p w:rsidR="0093248F" w:rsidRDefault="0093248F">
            <w:pPr>
              <w:jc w:val="both"/>
              <w:rPr>
                <w:rFonts w:ascii="Arial Narrow" w:hAnsi="Arial Narrow"/>
                <w:sz w:val="12"/>
                <w:szCs w:val="12"/>
                <w:lang w:eastAsia="es-CO"/>
              </w:rPr>
            </w:pPr>
          </w:p>
          <w:p w:rsidR="0093248F" w:rsidRDefault="0093248F">
            <w:pPr>
              <w:jc w:val="both"/>
              <w:rPr>
                <w:rFonts w:ascii="Arial Narrow" w:hAnsi="Arial Narrow"/>
                <w:sz w:val="12"/>
                <w:szCs w:val="12"/>
                <w:lang w:eastAsia="es-CO"/>
              </w:rPr>
            </w:pPr>
          </w:p>
          <w:p w:rsidR="0093248F" w:rsidRDefault="0093248F">
            <w:pPr>
              <w:jc w:val="both"/>
              <w:rPr>
                <w:rFonts w:ascii="Arial Narrow" w:hAnsi="Arial Narrow"/>
                <w:sz w:val="12"/>
                <w:szCs w:val="12"/>
                <w:lang w:eastAsia="es-CO"/>
              </w:rPr>
            </w:pPr>
          </w:p>
          <w:p w:rsidR="0093248F" w:rsidRDefault="0093248F">
            <w:pPr>
              <w:jc w:val="both"/>
              <w:rPr>
                <w:rFonts w:ascii="Arial Narrow" w:hAnsi="Arial Narrow"/>
                <w:sz w:val="12"/>
                <w:szCs w:val="12"/>
                <w:lang w:eastAsia="es-CO"/>
              </w:rPr>
            </w:pP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periódica de las normas de laborales.</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1479"/>
        </w:trPr>
        <w:tc>
          <w:tcPr>
            <w:tcW w:w="328"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lastRenderedPageBreak/>
              <w:t>3</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Regulatorio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por suspensión del contrato</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Retraso en la entrega de las obras a la entidad contratante.       mayor tiempo de ejecución del contrato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3</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Al municipio de Manizales cuando los motivos de la suspensión obedezcan a acciones u omisiones de la entidad.       al contratista cuando los motivos de la suspensión obedezcan a acciones del contratista</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Cuando la suspensión sea originada por la entidad contratante se notificará al contratista y se procederá a la suscripción por las partes del respectivo documento.        Cuando la suspensión sea originada por el contratista se procederá a analizar los motivos de la misma sí como las medidas correctivas que deban tomarse y la valoración de los perjuicios que puedan ocasionarse con dicha suspensión.          Ambos casos debe analizar el tiempo durante el cual estará suspendido el contrato y las  condiciones de reinicio.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right"/>
              <w:rPr>
                <w:rFonts w:ascii="Arial Narrow" w:hAnsi="Arial Narrow"/>
                <w:sz w:val="12"/>
                <w:szCs w:val="12"/>
                <w:lang w:eastAsia="es-CO"/>
              </w:rPr>
            </w:pPr>
            <w:r>
              <w:rPr>
                <w:rFonts w:ascii="Arial Narrow" w:hAnsi="Arial Narrow"/>
                <w:sz w:val="12"/>
                <w:szCs w:val="12"/>
                <w:lang w:eastAsia="es-CO"/>
              </w:rPr>
              <w:t>Secretaría Obras Públicas/</w:t>
            </w:r>
          </w:p>
          <w:p w:rsidR="0093248F" w:rsidRDefault="00F92BFE">
            <w:pPr>
              <w:jc w:val="right"/>
              <w:rPr>
                <w:rFonts w:ascii="Arial Narrow" w:hAnsi="Arial Narrow"/>
                <w:sz w:val="12"/>
                <w:szCs w:val="12"/>
                <w:lang w:eastAsia="es-CO"/>
              </w:rPr>
            </w:pPr>
            <w:r>
              <w:rPr>
                <w:rFonts w:ascii="Arial Narrow" w:hAnsi="Arial Narrow"/>
                <w:sz w:val="12"/>
                <w:szCs w:val="12"/>
                <w:lang w:eastAsia="es-CO"/>
              </w:rPr>
              <w:t>Supervisión   o interventoría</w:t>
            </w:r>
          </w:p>
        </w:tc>
        <w:tc>
          <w:tcPr>
            <w:tcW w:w="329" w:type="dxa"/>
            <w:shd w:val="clear" w:color="auto" w:fill="auto"/>
            <w:textDirection w:val="btLr"/>
            <w:vAlign w:val="center"/>
          </w:tcPr>
          <w:p w:rsidR="0093248F" w:rsidRDefault="00F92BFE">
            <w:pPr>
              <w:jc w:val="right"/>
              <w:rPr>
                <w:rFonts w:ascii="Arial Narrow" w:hAnsi="Arial Narrow"/>
                <w:sz w:val="12"/>
                <w:szCs w:val="12"/>
                <w:lang w:eastAsia="es-CO"/>
              </w:rPr>
            </w:pPr>
            <w:r>
              <w:rPr>
                <w:rFonts w:ascii="Arial Narrow" w:hAnsi="Arial Narrow"/>
                <w:sz w:val="12"/>
                <w:szCs w:val="12"/>
                <w:lang w:eastAsia="es-CO"/>
              </w:rPr>
              <w:t>una vez se conozca la necesidad de suspender</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reinicio del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xml:space="preserve">Información permanente de la ejecución del contrato por parte de la supervisión o Interventoría </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Quincenal</w:t>
            </w:r>
          </w:p>
        </w:tc>
      </w:tr>
      <w:tr w:rsidR="0093248F">
        <w:trPr>
          <w:trHeight w:val="3143"/>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4</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Financiero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Riesgos por modificación del régimen de impuestos aplicables a terceros, cuando en el desarrollo del contrato, se modifican las tarifas de los impuestos o se crean nuevos impuestos o eliminan los ya existentes, no aplicables al contrato, pero si aplicables a las relaciones con terceros como aportes con el contratista</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en sus valores liquidados y pagados al contratista como consecuencia de los impuestos, tasas y tarifas aplicados</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Este riesgo y sus consecuencias serán asumidos en su totalidad por el MUNICIPIO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Todo cambio o modificación en materia de impuestos aplicables al contrato será de obligatorio cumplimiento para el municipio de Manizales Caldas</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Obras Públicas/Supervisión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el cambio normativo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de las normas y leyes tributarias en forma periódica.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100"/>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5</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Financiero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Cambios en  la legislación tributaria municipal</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en los valores liquidados y pagados al contratista como consecuencia de los impuestos, tasas y tarifas aplicados.</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es asumido en el 100% por el MUNICIPIO.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Los efectos, favorables o desfavorables, de las variaciones en la legislación tributaria, de tal manera que la administración municipal no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Obras Públicas/Supervisión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el marco normativo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de las normas y leyes tributarias en forma periódica.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604"/>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6</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Financiero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por incumplimiento de proveedores. Corresponde a los efectos económicos derivados del incumplimiento de los proveedores y subcontratistas</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Retrasos en la entrega de las obras a la entidad contratante.            mayor tiempo de ejecución del contrato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es asumido en el 100% por el contratista</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De Obras Publicas/</w:t>
            </w:r>
          </w:p>
          <w:p w:rsidR="0093248F" w:rsidRDefault="00F92BFE">
            <w:pPr>
              <w:jc w:val="center"/>
              <w:rPr>
                <w:rFonts w:ascii="Arial Narrow" w:hAnsi="Arial Narrow"/>
                <w:sz w:val="12"/>
                <w:szCs w:val="12"/>
                <w:lang w:eastAsia="es-CO"/>
              </w:rPr>
            </w:pPr>
            <w:r>
              <w:rPr>
                <w:rFonts w:ascii="Arial Narrow" w:hAnsi="Arial Narrow"/>
                <w:sz w:val="12"/>
                <w:szCs w:val="12"/>
                <w:lang w:eastAsia="es-CO"/>
              </w:rPr>
              <w:t>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la ocurrencia del evento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de los materiales existentes en obra y avance de ella.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690"/>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7</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Financiero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xml:space="preserve">Riesgo de insuficiente análisis económico. </w:t>
            </w:r>
            <w:proofErr w:type="gramStart"/>
            <w:r>
              <w:rPr>
                <w:rFonts w:ascii="Arial Narrow" w:hAnsi="Arial Narrow"/>
                <w:sz w:val="12"/>
                <w:szCs w:val="12"/>
                <w:lang w:eastAsia="es-CO"/>
              </w:rPr>
              <w:t>corresponde</w:t>
            </w:r>
            <w:proofErr w:type="gramEnd"/>
            <w:r>
              <w:rPr>
                <w:rFonts w:ascii="Arial Narrow" w:hAnsi="Arial Narrow"/>
                <w:sz w:val="12"/>
                <w:szCs w:val="12"/>
                <w:lang w:eastAsia="es-CO"/>
              </w:rPr>
              <w:t xml:space="preserve">  a los efectos económicos derivados de un insuficiente análisis de costo en el oferente, toda vez que es una obligación contractual del contratista visualizar todos los gastos en que pueda incurrir en la prestación del servicio, teniendo en cuenta la variable constante en el precio de los materiales y suministros del proyecto.</w:t>
            </w:r>
          </w:p>
        </w:tc>
        <w:tc>
          <w:tcPr>
            <w:tcW w:w="1110"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Variación del presupuesto inicial presentado, por parte del contratista</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y sus consecuencias serán asumidos en su totalidad por el contratista</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y evaluación del o las variaciones en los costos presentados por el contratista, que permitan la evaluación, perjuicios y posterior toma de decisiones</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rPr>
                <w:rFonts w:ascii="Arial Narrow" w:hAnsi="Arial Narrow"/>
                <w:sz w:val="12"/>
                <w:szCs w:val="12"/>
                <w:lang w:eastAsia="es-CO"/>
              </w:rPr>
            </w:pPr>
            <w:r>
              <w:rPr>
                <w:rFonts w:ascii="Arial Narrow" w:hAnsi="Arial Narrow"/>
                <w:sz w:val="12"/>
                <w:szCs w:val="12"/>
                <w:lang w:eastAsia="es-CO"/>
              </w:rPr>
              <w:t>S Secretaría De Obras Publicas/ 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la ocurrencia del evento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Revisiones Periódicas y pago de actas de avance de obra.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689"/>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8</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Financiero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de consecución de financiación o riesgo de liquidez. Los efectos favorables y desfavorables de la alteración de las condiciones de financiación como consecuencia de la variación en el entorno del mercado y la obtención de recursos para adelantar el objeto contractual serán por cuenta y riesgo del oferente adjudicatario.</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Retraso en la entrega de las obras a la entidad contratante.    mayor tiempo de ejecución del contrato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El contratista deberá cubrir y soportar el 100% de la alteración de las condiciones de financiación</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93248F">
            <w:pPr>
              <w:jc w:val="both"/>
              <w:rPr>
                <w:rFonts w:ascii="Arial Narrow" w:hAnsi="Arial Narrow"/>
                <w:sz w:val="12"/>
                <w:szCs w:val="12"/>
                <w:lang w:eastAsia="es-CO"/>
              </w:rPr>
            </w:pPr>
          </w:p>
          <w:p w:rsidR="0093248F" w:rsidRDefault="0093248F">
            <w:pPr>
              <w:jc w:val="both"/>
              <w:rPr>
                <w:rFonts w:ascii="Arial Narrow" w:hAnsi="Arial Narrow"/>
                <w:sz w:val="12"/>
                <w:szCs w:val="12"/>
                <w:lang w:eastAsia="es-CO"/>
              </w:rPr>
            </w:pPr>
          </w:p>
          <w:p w:rsidR="0093248F" w:rsidRDefault="0093248F">
            <w:pPr>
              <w:jc w:val="both"/>
              <w:rPr>
                <w:rFonts w:ascii="Arial Narrow" w:hAnsi="Arial Narrow"/>
                <w:sz w:val="12"/>
                <w:szCs w:val="12"/>
                <w:lang w:eastAsia="es-CO"/>
              </w:rPr>
            </w:pPr>
          </w:p>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De Obras Publicas/ 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la ocurrencia del evento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periódica y actas de avance de obra.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887"/>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9</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Financiero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Riesgos por variación en los precios de equipos, materiales e insumos. Este riesgo puede presentarse por la variación en los precios de mercado de los equipos, materiales, e insumos utilizados para la ejecución del proyecto.</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variación del presupuesto inicial presentado, por parte del contratista</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4</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El contratista correrá con el 100% de la variación de los precios de mercado de insumos, materiales y equipos utilizados durante la ejecución del proyecto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y evaluación del o las variaciones en los costos presentados por el contratista, que permitan la evaluación, perjuicios y posterior toma de decisiones como las medidas correctivas</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De Obras Publicas/ 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la ocurrencia del evento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Periódica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687"/>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10</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Operacional</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xml:space="preserve">Riesgos por la variación de las cantidades de obra. Este riesgo se presenta durante la ejecución del proyecto. </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Al modificarse las cantidades de obra inicialmente proyectadas se puede afectar el plazo de entrega inicialmente pactado y a la vez se pueden generar sobre costos por ejecución de cantidades de obra no previstas inicialmente.</w:t>
            </w:r>
          </w:p>
        </w:tc>
        <w:tc>
          <w:tcPr>
            <w:tcW w:w="32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3</w:t>
            </w:r>
          </w:p>
        </w:tc>
        <w:tc>
          <w:tcPr>
            <w:tcW w:w="32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5</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Medio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En caso que las cantidades de obras se modifiquen por una situación que pudo ser prevista por el contratista y no lo fue, éste deberá asumir la totalidad del riesgo. En caso contrario será evaluado por el Municipio.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Evaluación de las actas parciales e informes periódicos de ejecución del contrato.</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De Obras Publicas/ 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Desde la preparación de los pliegos de condiciones</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Al finalizar la etapa de pre construcción</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Verificación del avance físico y avance presupuestal del proyecto respecto de la planificación inicial</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cumpla la mitad del plazo contractual</w:t>
            </w:r>
          </w:p>
        </w:tc>
      </w:tr>
      <w:tr w:rsidR="0093248F">
        <w:trPr>
          <w:trHeight w:val="2604"/>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11</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interna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operacional</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por la falta de idoneidad de la mano de obra.  Este riesgo se presenta cuando el personal que labora en la ejecución del proyecto no es el idóneo para realizar las actividades propias del proyecto, y no cumplen con los aspectos técnicos solicitados por la administración municipal</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Se puede ver afectada la calidad de los trabajos, no cumpliendo de esta manera las especificaciones técnicas del proyecto y la normatividad vigente que rige el desarrollo del tipo de obras a ejecutar en el contrato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y sus consecuencias serán asumidos en su totalidad por el contratista</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La experiencia específica requerida por parte dela entidad para los proponentes debe garantizar la idoneidad de la mano de obra que  se asignará para la ejecución de las actividades del contrato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Contratista  / Secretaría de Obras Públicas Supervisión o interventoría   del contrato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Desde la preparación de los pliegos de condiciones</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la adjudicación del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Verificación de cumplimiento de las especificaciones técnicas del contrato de acuerdo con los reportes de los informes de supervisión o Interventoría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cuando se cumpla la mitad del plazo contractual</w:t>
            </w:r>
          </w:p>
        </w:tc>
      </w:tr>
      <w:tr w:rsidR="0093248F">
        <w:trPr>
          <w:trHeight w:val="52"/>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12</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De la naturaleza</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climatológico.  Cuando se produzcan cambios en el clima que afecten la ejecución de la obra.     Se consideran condiciones climáticas adversas, entre otras: periodos de lluvias con altas precipitaciones en un tiempo prolongado, inundaciones, vientos huracanados, incendios forestales, entre otros.</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del cronograma de obra y del plazo de finalización.  Reclamaciones por parte del contratista por sobre costos administrativos durante el periodo que no se puedan ejecutar obras.</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4</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Si se requiere, la ampliación del tiempo establecido para la ejecución del contrato, el riesgo y sus consecuencias serán evaluados por el Municipio y el contratista con el fin de verificar la proporción en que debe ser asumido el mismo.</w:t>
            </w:r>
          </w:p>
        </w:tc>
        <w:tc>
          <w:tcPr>
            <w:tcW w:w="1349" w:type="dxa"/>
            <w:shd w:val="clear" w:color="auto" w:fill="auto"/>
            <w:vAlign w:val="center"/>
          </w:tcPr>
          <w:p w:rsidR="0093248F" w:rsidRDefault="0093248F">
            <w:pPr>
              <w:jc w:val="both"/>
              <w:rPr>
                <w:rFonts w:ascii="Arial Narrow" w:hAnsi="Arial Narrow"/>
                <w:sz w:val="12"/>
                <w:szCs w:val="12"/>
                <w:lang w:eastAsia="es-CO"/>
              </w:rPr>
            </w:pPr>
          </w:p>
          <w:p w:rsidR="0093248F" w:rsidRDefault="00F92BFE">
            <w:pPr>
              <w:jc w:val="both"/>
              <w:rPr>
                <w:rFonts w:ascii="Arial Narrow" w:hAnsi="Arial Narrow"/>
                <w:sz w:val="12"/>
                <w:szCs w:val="12"/>
                <w:lang w:eastAsia="es-CO"/>
              </w:rPr>
            </w:pPr>
            <w:r>
              <w:rPr>
                <w:rFonts w:ascii="Arial Narrow" w:hAnsi="Arial Narrow"/>
                <w:sz w:val="12"/>
                <w:szCs w:val="12"/>
                <w:lang w:eastAsia="es-CO"/>
              </w:rPr>
              <w:t>Cuando esto se llegare a presentar será causal de ampliación de plazo o suspensión del mismo hasta que las condiciones climáticas sean óptimas para continuar con la ejecución del contrato previa aprobación de la Supervisión, pero no de reconocimiento de mayores costos o desequilibrio económico.  En los casos donde no se superen las condiciones climáticas adversas y ante la necesidad de ejecutar parcial o totalmente actividades previstas en el contrato, la entidad podrá, de común acuerdo con el contratista, bajo un marco previo de plena justificación técnica, pactar nuevas actividades que permitan llevar a cabo el desarrollo de los trabajos en estas condiciones.  Ésta condición generaría un acta de modificación al contrato celebrado firmado por las partes.</w:t>
            </w:r>
          </w:p>
          <w:p w:rsidR="0093248F" w:rsidRDefault="0093248F">
            <w:pPr>
              <w:jc w:val="both"/>
              <w:rPr>
                <w:rFonts w:ascii="Arial Narrow" w:hAnsi="Arial Narrow"/>
                <w:sz w:val="12"/>
                <w:szCs w:val="12"/>
                <w:lang w:eastAsia="es-CO"/>
              </w:rPr>
            </w:pP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Si</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Secretaria de Obras Públicas, Secretaría de Hacienda,</w:t>
            </w:r>
          </w:p>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 Oficina jurídica, Supervisión </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Cuando se inicie el evento adverso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la finalización del evento adverso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Verificación documentos contractuales del contrato</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cuando se cumpla la mitad del plazo contractual</w:t>
            </w:r>
          </w:p>
        </w:tc>
      </w:tr>
      <w:tr w:rsidR="0093248F">
        <w:trPr>
          <w:trHeight w:val="2976"/>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13</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Interna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Operacional</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por mal funcionamiento de los equipos de construcción. El mal funcionamiento mecánico y eléctrico de los equipos de construcción, derivados de las labores propias del proyecto</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Se puede ver afectada la calidad de los trabajos, no cumpliendo de esta manera las especificaciones técnicas del proyecto y afectando el cronograma de obra por rendimiento inadecuado de los equipos</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y sus consecuencias serán asumidos en su totalidad por el contratista</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Se incluirá dentro del contrato de obra una cláusula que especifique como obligación del contratista, el garantizar que los equipos que sean requeridos para el desarrollo de las actividades del contrato deben estar en óptimas condiciones técnico mecánicas y a la vez estos equipos deben de ser de última tecnología y de modelo reciente de acuerdo con el tipo de actividades o actividades a ejecutar en el contrato.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Secretaria de Obras Públicas, </w:t>
            </w:r>
          </w:p>
          <w:p w:rsidR="0093248F" w:rsidRDefault="00F92BFE">
            <w:pPr>
              <w:jc w:val="center"/>
              <w:rPr>
                <w:rFonts w:ascii="Arial Narrow" w:hAnsi="Arial Narrow"/>
                <w:sz w:val="12"/>
                <w:szCs w:val="12"/>
                <w:lang w:eastAsia="es-CO"/>
              </w:rPr>
            </w:pPr>
            <w:r>
              <w:rPr>
                <w:rFonts w:ascii="Arial Narrow" w:hAnsi="Arial Narrow"/>
                <w:sz w:val="12"/>
                <w:szCs w:val="12"/>
                <w:lang w:eastAsia="es-CO"/>
              </w:rPr>
              <w:t>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Desde la preparación de los pliegos de condiciones</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la adjudicación del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xml:space="preserve">Verificación del cumplimiento de la obligación contractual de acuerdo con los reportes de los informes de supervisión. </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cuando se cumpla la mitad del plazo contractual</w:t>
            </w:r>
          </w:p>
        </w:tc>
      </w:tr>
      <w:tr w:rsidR="0093248F">
        <w:trPr>
          <w:trHeight w:val="3258"/>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14</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Social, de la naturaleza, política</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xml:space="preserve">Riesgo por </w:t>
            </w:r>
            <w:proofErr w:type="spellStart"/>
            <w:r>
              <w:rPr>
                <w:rFonts w:ascii="Arial Narrow" w:hAnsi="Arial Narrow"/>
                <w:sz w:val="12"/>
                <w:szCs w:val="12"/>
                <w:lang w:eastAsia="es-CO"/>
              </w:rPr>
              <w:t>intransitabilidad</w:t>
            </w:r>
            <w:proofErr w:type="spellEnd"/>
            <w:r>
              <w:rPr>
                <w:rFonts w:ascii="Arial Narrow" w:hAnsi="Arial Narrow"/>
                <w:sz w:val="12"/>
                <w:szCs w:val="12"/>
                <w:lang w:eastAsia="es-CO"/>
              </w:rPr>
              <w:t xml:space="preserve"> de las vías</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Imposibilidad de ejecutar las actividades propias del proyecto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El riesgo es compartido por el contratista y el municipio de Manizales</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Cuando esto se llegare a presentar será causal de ampliación de plazo o suspensión del mismo hasta que las condiciones sean óptimas para continuar con la ejecución del contrato previa aprobación de la supervisión , pero no de reconocimiento de mayores costos o desequilibrio económico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Secretaria de Obras Públicas, </w:t>
            </w:r>
          </w:p>
          <w:p w:rsidR="0093248F" w:rsidRDefault="00F92BFE">
            <w:pPr>
              <w:jc w:val="center"/>
              <w:rPr>
                <w:rFonts w:ascii="Arial Narrow" w:hAnsi="Arial Narrow"/>
                <w:sz w:val="12"/>
                <w:szCs w:val="12"/>
                <w:lang w:eastAsia="es-CO"/>
              </w:rPr>
            </w:pPr>
            <w:r>
              <w:rPr>
                <w:rFonts w:ascii="Arial Narrow" w:hAnsi="Arial Narrow"/>
                <w:sz w:val="12"/>
                <w:szCs w:val="12"/>
                <w:lang w:eastAsia="es-CO"/>
              </w:rPr>
              <w:t>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Cuando se inicie el evento adverso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la finalización del evento adverso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Verificación documentos contractuales del contrato</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cuando se cumpla la mitad del plazo contractual</w:t>
            </w:r>
          </w:p>
        </w:tc>
      </w:tr>
      <w:tr w:rsidR="0093248F">
        <w:trPr>
          <w:trHeight w:val="2607"/>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15</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Interna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Operacional</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Riesgos logísticos para la ejecución del contrato</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del cronograma de obra por no contar con los recursos al momento de ser requeridos de acuerdo con la programación de la obra</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3</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El contratista correrá con el 100% de  los riesgos logísticos para la ejecución del contrato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Poner en marcha un plan de contingencia que puede representar  mayor disposición de personal, materiales y equipos.</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Secretaria de Obras Públicas, </w:t>
            </w:r>
          </w:p>
          <w:p w:rsidR="0093248F" w:rsidRDefault="00F92BFE">
            <w:pPr>
              <w:jc w:val="center"/>
              <w:rPr>
                <w:rFonts w:ascii="Arial Narrow" w:hAnsi="Arial Narrow"/>
                <w:sz w:val="12"/>
                <w:szCs w:val="12"/>
                <w:lang w:eastAsia="es-CO"/>
              </w:rPr>
            </w:pPr>
            <w:r>
              <w:rPr>
                <w:rFonts w:ascii="Arial Narrow" w:hAnsi="Arial Narrow"/>
                <w:sz w:val="12"/>
                <w:szCs w:val="12"/>
                <w:lang w:eastAsia="es-CO"/>
              </w:rPr>
              <w:t>supervisión  o interventoría y contratista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Desde la preparación de los pliegos de condiciones</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Al finalizar el proceso,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Verificación de la implementación del plan de contingencia frente al avance de ejecución de obra.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Una vez, cuando se cumpla la mitad del </w:t>
            </w:r>
          </w:p>
          <w:p w:rsidR="0093248F" w:rsidRDefault="00F92BFE">
            <w:pPr>
              <w:jc w:val="center"/>
              <w:rPr>
                <w:rFonts w:ascii="Arial Narrow" w:hAnsi="Arial Narrow"/>
                <w:sz w:val="12"/>
                <w:szCs w:val="12"/>
                <w:lang w:eastAsia="es-CO"/>
              </w:rPr>
            </w:pPr>
            <w:r>
              <w:rPr>
                <w:rFonts w:ascii="Arial Narrow" w:hAnsi="Arial Narrow"/>
                <w:sz w:val="12"/>
                <w:szCs w:val="12"/>
                <w:lang w:eastAsia="es-CO"/>
              </w:rPr>
              <w:t>plazo contractual</w:t>
            </w:r>
          </w:p>
        </w:tc>
      </w:tr>
      <w:tr w:rsidR="0093248F">
        <w:trPr>
          <w:trHeight w:val="2037"/>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17</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Interna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Operacional</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Riesgos por la ejecución de actividades inherentes a la prestación de servicios que se presentan en la zona o área a intervenir</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al cronograma de obra, por la no posibilidad de intervención de algunas áreas o en algunos horarios específicos de acuerdo a la programación de la prestación de los servicios existentes en el área a intervenir</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3</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5</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medio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El riesgo es compartido por el contratista y el municipio de Manizales</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Cuando esto se llegare a presentar será causal de ampliación del plazo o suspensión del mismo hasta que las condiciones sean óptimas para continuar con la ejecución del contrato previa aprobación de la supervisión, pero no de reconocimiento de mayores costos o desequilibrio económico.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Si</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Contratista ,   supervisión  del contrato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Cuando se inicie el evento adverso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la finalización del evento adverso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verificación documentos contractuales del contrato</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una vez, cuando se cumpla la mitad del </w:t>
            </w:r>
          </w:p>
          <w:p w:rsidR="0093248F" w:rsidRDefault="00F92BFE">
            <w:pPr>
              <w:jc w:val="center"/>
              <w:rPr>
                <w:rFonts w:ascii="Arial Narrow" w:hAnsi="Arial Narrow"/>
                <w:sz w:val="12"/>
                <w:szCs w:val="12"/>
                <w:lang w:eastAsia="es-CO"/>
              </w:rPr>
            </w:pPr>
            <w:r>
              <w:rPr>
                <w:rFonts w:ascii="Arial Narrow" w:hAnsi="Arial Narrow"/>
                <w:sz w:val="12"/>
                <w:szCs w:val="12"/>
                <w:lang w:eastAsia="es-CO"/>
              </w:rPr>
              <w:t>plazo contractual</w:t>
            </w:r>
          </w:p>
        </w:tc>
      </w:tr>
      <w:tr w:rsidR="0093248F">
        <w:trPr>
          <w:trHeight w:val="467"/>
        </w:trPr>
        <w:tc>
          <w:tcPr>
            <w:tcW w:w="328"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b/>
                <w:noProof/>
                <w:lang w:val="es-CO" w:eastAsia="es-CO"/>
              </w:rPr>
              <w:drawing>
                <wp:anchor distT="0" distB="0" distL="114300" distR="114300" simplePos="0" relativeHeight="251660288" behindDoc="1" locked="0" layoutInCell="1" allowOverlap="1">
                  <wp:simplePos x="0" y="0"/>
                  <wp:positionH relativeFrom="column">
                    <wp:posOffset>-745490</wp:posOffset>
                  </wp:positionH>
                  <wp:positionV relativeFrom="paragraph">
                    <wp:posOffset>11986895</wp:posOffset>
                  </wp:positionV>
                  <wp:extent cx="7781925" cy="1530350"/>
                  <wp:effectExtent l="0" t="0" r="0" b="0"/>
                  <wp:wrapNone/>
                  <wp:docPr id="7" name="Imagen 1" descr="Macintosh HD:Users:BryanSantiagoGrisalesChica:Documents:Marca Ciudad Manizales:Diseños:Membretes Municipales:Barra-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descr="Macintosh HD:Users:BryanSantiagoGrisalesChica:Documents:Marca Ciudad Manizales:Diseños:Membretes Municipales:Barra-Inferior.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781925" cy="1530407"/>
                          </a:xfrm>
                          <a:prstGeom prst="rect">
                            <a:avLst/>
                          </a:prstGeom>
                          <a:noFill/>
                          <a:ln>
                            <a:noFill/>
                          </a:ln>
                        </pic:spPr>
                      </pic:pic>
                    </a:graphicData>
                  </a:graphic>
                </wp:anchor>
              </w:drawing>
            </w:r>
            <w:r>
              <w:rPr>
                <w:rFonts w:ascii="Arial Narrow" w:hAnsi="Arial Narrow"/>
                <w:b/>
                <w:sz w:val="12"/>
                <w:szCs w:val="12"/>
                <w:lang w:eastAsia="es-CO"/>
              </w:rPr>
              <w:t>NO.</w:t>
            </w:r>
          </w:p>
        </w:tc>
        <w:tc>
          <w:tcPr>
            <w:tcW w:w="328"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CLASE</w:t>
            </w:r>
          </w:p>
        </w:tc>
        <w:tc>
          <w:tcPr>
            <w:tcW w:w="328"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FUENTE</w:t>
            </w:r>
          </w:p>
        </w:tc>
        <w:tc>
          <w:tcPr>
            <w:tcW w:w="32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ETAPA</w:t>
            </w:r>
          </w:p>
        </w:tc>
        <w:tc>
          <w:tcPr>
            <w:tcW w:w="32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TIPO</w:t>
            </w:r>
          </w:p>
        </w:tc>
        <w:tc>
          <w:tcPr>
            <w:tcW w:w="119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DESCRIPCIÓN</w:t>
            </w:r>
          </w:p>
        </w:tc>
        <w:tc>
          <w:tcPr>
            <w:tcW w:w="1110"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CONSECUENCIA DE LA OCURRENCIA DEL EVENTO</w:t>
            </w:r>
          </w:p>
        </w:tc>
        <w:tc>
          <w:tcPr>
            <w:tcW w:w="32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PROBABILIDAD</w:t>
            </w:r>
          </w:p>
        </w:tc>
        <w:tc>
          <w:tcPr>
            <w:tcW w:w="32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IMPACTO</w:t>
            </w:r>
          </w:p>
        </w:tc>
        <w:tc>
          <w:tcPr>
            <w:tcW w:w="32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VALORACIÓN</w:t>
            </w:r>
          </w:p>
        </w:tc>
        <w:tc>
          <w:tcPr>
            <w:tcW w:w="329" w:type="dxa"/>
            <w:vMerge w:val="restart"/>
            <w:shd w:val="clear" w:color="000000" w:fill="FFFF00"/>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CATEGORÍA</w:t>
            </w:r>
          </w:p>
        </w:tc>
        <w:tc>
          <w:tcPr>
            <w:tcW w:w="1215" w:type="dxa"/>
            <w:vMerge w:val="restart"/>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¿A QUIEN SE LE ASIGNA?</w:t>
            </w:r>
          </w:p>
        </w:tc>
        <w:tc>
          <w:tcPr>
            <w:tcW w:w="1349" w:type="dxa"/>
            <w:vMerge w:val="restart"/>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TRATAMIENTO / CONTROL A SER IMPLEMENTADO</w:t>
            </w:r>
          </w:p>
        </w:tc>
        <w:tc>
          <w:tcPr>
            <w:tcW w:w="1324" w:type="dxa"/>
            <w:gridSpan w:val="4"/>
            <w:shd w:val="clear" w:color="000000" w:fill="CCFFFF"/>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IMPACTO DESPUÉS DEL TRATAMIENTO</w:t>
            </w:r>
          </w:p>
        </w:tc>
        <w:tc>
          <w:tcPr>
            <w:tcW w:w="329" w:type="dxa"/>
            <w:vMerge w:val="restart"/>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¿AFECTA LA EJECUCIÓN DEL CONTRATO?</w:t>
            </w:r>
          </w:p>
        </w:tc>
        <w:tc>
          <w:tcPr>
            <w:tcW w:w="812" w:type="dxa"/>
            <w:vMerge w:val="restart"/>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RESPONSABLE POR IMPLEMENTAR EL TRATAMIENTO</w:t>
            </w:r>
          </w:p>
        </w:tc>
        <w:tc>
          <w:tcPr>
            <w:tcW w:w="329" w:type="dxa"/>
            <w:vMerge w:val="restart"/>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FECHA ESTIMADA EN QUE SE INICIA EL TRATAMIENTO</w:t>
            </w:r>
          </w:p>
        </w:tc>
        <w:tc>
          <w:tcPr>
            <w:tcW w:w="983" w:type="dxa"/>
            <w:vMerge w:val="restart"/>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FECHA ESTIMADA EN QUE SE COMPLETA EL TRATAMIENTO</w:t>
            </w:r>
          </w:p>
        </w:tc>
        <w:tc>
          <w:tcPr>
            <w:tcW w:w="1538" w:type="dxa"/>
            <w:gridSpan w:val="2"/>
            <w:shd w:val="clear" w:color="000000" w:fill="CCFFFF"/>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MONITOREO Y REVISIÓN</w:t>
            </w:r>
          </w:p>
        </w:tc>
      </w:tr>
      <w:tr w:rsidR="0093248F">
        <w:trPr>
          <w:trHeight w:val="1685"/>
        </w:trPr>
        <w:tc>
          <w:tcPr>
            <w:tcW w:w="328" w:type="dxa"/>
            <w:vMerge/>
            <w:vAlign w:val="center"/>
          </w:tcPr>
          <w:p w:rsidR="0093248F" w:rsidRDefault="0093248F">
            <w:pPr>
              <w:jc w:val="center"/>
              <w:rPr>
                <w:rFonts w:ascii="Arial Narrow" w:hAnsi="Arial Narrow"/>
                <w:b/>
                <w:sz w:val="12"/>
                <w:szCs w:val="12"/>
                <w:lang w:eastAsia="es-CO"/>
              </w:rPr>
            </w:pPr>
          </w:p>
        </w:tc>
        <w:tc>
          <w:tcPr>
            <w:tcW w:w="328" w:type="dxa"/>
            <w:vMerge/>
            <w:vAlign w:val="center"/>
          </w:tcPr>
          <w:p w:rsidR="0093248F" w:rsidRDefault="0093248F">
            <w:pPr>
              <w:jc w:val="center"/>
              <w:rPr>
                <w:rFonts w:ascii="Arial Narrow" w:hAnsi="Arial Narrow"/>
                <w:b/>
                <w:sz w:val="12"/>
                <w:szCs w:val="12"/>
                <w:lang w:eastAsia="es-CO"/>
              </w:rPr>
            </w:pPr>
          </w:p>
        </w:tc>
        <w:tc>
          <w:tcPr>
            <w:tcW w:w="328"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1199" w:type="dxa"/>
            <w:vMerge/>
            <w:vAlign w:val="center"/>
          </w:tcPr>
          <w:p w:rsidR="0093248F" w:rsidRDefault="0093248F">
            <w:pPr>
              <w:jc w:val="center"/>
              <w:rPr>
                <w:rFonts w:ascii="Arial Narrow" w:hAnsi="Arial Narrow"/>
                <w:b/>
                <w:sz w:val="12"/>
                <w:szCs w:val="12"/>
                <w:lang w:eastAsia="es-CO"/>
              </w:rPr>
            </w:pPr>
          </w:p>
        </w:tc>
        <w:tc>
          <w:tcPr>
            <w:tcW w:w="1110"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1215" w:type="dxa"/>
            <w:vMerge/>
            <w:vAlign w:val="center"/>
          </w:tcPr>
          <w:p w:rsidR="0093248F" w:rsidRDefault="0093248F">
            <w:pPr>
              <w:jc w:val="center"/>
              <w:rPr>
                <w:rFonts w:ascii="Arial Narrow" w:hAnsi="Arial Narrow"/>
                <w:b/>
                <w:sz w:val="12"/>
                <w:szCs w:val="12"/>
                <w:lang w:eastAsia="es-CO"/>
              </w:rPr>
            </w:pPr>
          </w:p>
        </w:tc>
        <w:tc>
          <w:tcPr>
            <w:tcW w:w="1349" w:type="dxa"/>
            <w:vMerge/>
            <w:vAlign w:val="center"/>
          </w:tcPr>
          <w:p w:rsidR="0093248F" w:rsidRDefault="0093248F">
            <w:pPr>
              <w:jc w:val="center"/>
              <w:rPr>
                <w:rFonts w:ascii="Arial Narrow" w:hAnsi="Arial Narrow"/>
                <w:b/>
                <w:sz w:val="12"/>
                <w:szCs w:val="12"/>
                <w:lang w:eastAsia="es-CO"/>
              </w:rPr>
            </w:pPr>
          </w:p>
        </w:tc>
        <w:tc>
          <w:tcPr>
            <w:tcW w:w="331" w:type="dxa"/>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PROBABILIDAD</w:t>
            </w:r>
          </w:p>
        </w:tc>
        <w:tc>
          <w:tcPr>
            <w:tcW w:w="331" w:type="dxa"/>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IMPACTO</w:t>
            </w:r>
          </w:p>
        </w:tc>
        <w:tc>
          <w:tcPr>
            <w:tcW w:w="331" w:type="dxa"/>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VALORACIÓN</w:t>
            </w:r>
          </w:p>
        </w:tc>
        <w:tc>
          <w:tcPr>
            <w:tcW w:w="331" w:type="dxa"/>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CATEGORÍA</w:t>
            </w:r>
          </w:p>
        </w:tc>
        <w:tc>
          <w:tcPr>
            <w:tcW w:w="329" w:type="dxa"/>
            <w:vMerge/>
            <w:vAlign w:val="center"/>
          </w:tcPr>
          <w:p w:rsidR="0093248F" w:rsidRDefault="0093248F">
            <w:pPr>
              <w:jc w:val="center"/>
              <w:rPr>
                <w:rFonts w:ascii="Arial Narrow" w:hAnsi="Arial Narrow"/>
                <w:b/>
                <w:sz w:val="12"/>
                <w:szCs w:val="12"/>
                <w:lang w:eastAsia="es-CO"/>
              </w:rPr>
            </w:pPr>
          </w:p>
        </w:tc>
        <w:tc>
          <w:tcPr>
            <w:tcW w:w="812" w:type="dxa"/>
            <w:vMerge/>
            <w:vAlign w:val="center"/>
          </w:tcPr>
          <w:p w:rsidR="0093248F" w:rsidRDefault="0093248F">
            <w:pPr>
              <w:jc w:val="center"/>
              <w:rPr>
                <w:rFonts w:ascii="Arial Narrow" w:hAnsi="Arial Narrow"/>
                <w:b/>
                <w:sz w:val="12"/>
                <w:szCs w:val="12"/>
                <w:lang w:eastAsia="es-CO"/>
              </w:rPr>
            </w:pPr>
          </w:p>
        </w:tc>
        <w:tc>
          <w:tcPr>
            <w:tcW w:w="329" w:type="dxa"/>
            <w:vMerge/>
            <w:vAlign w:val="center"/>
          </w:tcPr>
          <w:p w:rsidR="0093248F" w:rsidRDefault="0093248F">
            <w:pPr>
              <w:jc w:val="center"/>
              <w:rPr>
                <w:rFonts w:ascii="Arial Narrow" w:hAnsi="Arial Narrow"/>
                <w:b/>
                <w:sz w:val="12"/>
                <w:szCs w:val="12"/>
                <w:lang w:eastAsia="es-CO"/>
              </w:rPr>
            </w:pPr>
          </w:p>
        </w:tc>
        <w:tc>
          <w:tcPr>
            <w:tcW w:w="983" w:type="dxa"/>
            <w:vMerge/>
            <w:vAlign w:val="center"/>
          </w:tcPr>
          <w:p w:rsidR="0093248F" w:rsidRDefault="0093248F">
            <w:pPr>
              <w:jc w:val="center"/>
              <w:rPr>
                <w:rFonts w:ascii="Arial Narrow" w:hAnsi="Arial Narrow"/>
                <w:b/>
                <w:sz w:val="12"/>
                <w:szCs w:val="12"/>
                <w:lang w:eastAsia="es-CO"/>
              </w:rPr>
            </w:pPr>
          </w:p>
        </w:tc>
        <w:tc>
          <w:tcPr>
            <w:tcW w:w="1062" w:type="dxa"/>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¿CÓMO SE REALIZA EL MONITOREO?</w:t>
            </w:r>
          </w:p>
        </w:tc>
        <w:tc>
          <w:tcPr>
            <w:tcW w:w="476" w:type="dxa"/>
            <w:shd w:val="clear" w:color="000000" w:fill="CCFFFF"/>
            <w:textDirection w:val="btLr"/>
            <w:vAlign w:val="center"/>
          </w:tcPr>
          <w:p w:rsidR="0093248F" w:rsidRDefault="00F92BFE">
            <w:pPr>
              <w:jc w:val="center"/>
              <w:rPr>
                <w:rFonts w:ascii="Arial Narrow" w:hAnsi="Arial Narrow"/>
                <w:b/>
                <w:sz w:val="12"/>
                <w:szCs w:val="12"/>
                <w:lang w:eastAsia="es-CO"/>
              </w:rPr>
            </w:pPr>
            <w:r>
              <w:rPr>
                <w:rFonts w:ascii="Arial Narrow" w:hAnsi="Arial Narrow"/>
                <w:b/>
                <w:sz w:val="12"/>
                <w:szCs w:val="12"/>
                <w:lang w:eastAsia="es-CO"/>
              </w:rPr>
              <w:t>PROBABILIDAD</w:t>
            </w:r>
          </w:p>
        </w:tc>
      </w:tr>
      <w:tr w:rsidR="0093248F">
        <w:trPr>
          <w:trHeight w:val="1968"/>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1</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Regulatorio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por cambios en el régimen de contratación</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de las condiciones pactadas en el contrato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3</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y sus consecuencias serán asumidos en su totalidad por el MUNICIPIO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Toda norma de obligatorio cumplimiento para el municipio de Manizales que modifique las condiciones pactadas en el contrato, sobre todo en cuanto a las cláusulas que contienen obligaciones al contratista, serán introducidas al contrato, sin que medie negociación alguna con el contratista, toda vez que el municipio de Manizales no tiene la facultad de negociar apartes normativos de obligatorio cumplimiento.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Obras Públicas/  Supervi</w:t>
            </w:r>
            <w:r>
              <w:rPr>
                <w:rFonts w:ascii="Arial Narrow" w:hAnsi="Arial Narrow"/>
                <w:b/>
                <w:sz w:val="12"/>
                <w:szCs w:val="12"/>
                <w:lang w:eastAsia="es-CO"/>
              </w:rPr>
              <w:t xml:space="preserve">sión   </w:t>
            </w:r>
            <w:r>
              <w:rPr>
                <w:rFonts w:ascii="Arial Narrow" w:hAnsi="Arial Narrow"/>
                <w:sz w:val="12"/>
                <w:szCs w:val="12"/>
                <w:lang w:eastAsia="es-CO"/>
              </w:rPr>
              <w:t>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la normativa</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periódica de las normas de contratación</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131"/>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Regulatorio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por cambios en el régimen laboral colombiano</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de las condiciones pactadas en el contrato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3</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y sus consecuencias serán asumidos en su totalidad por el MUNICIPIO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Toda norma de obligatorio cumplimiento para el municipio de Manizales que modifique las condiciones pactadas en el contrato, y que afecte las condiciones laborales que el contratista proyectó en su oferta, serán introducidas al contrato, sin que medie negociación alguna con el contratista, toda vez que el municipio de Manizales no tiene la facultad de negociar apartes normativos de obligatorio cumplimiento.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Obras Públicas</w:t>
            </w:r>
          </w:p>
          <w:p w:rsidR="0093248F" w:rsidRDefault="00F92BFE">
            <w:pPr>
              <w:jc w:val="center"/>
              <w:rPr>
                <w:rFonts w:ascii="Arial Narrow" w:hAnsi="Arial Narrow"/>
                <w:sz w:val="12"/>
                <w:szCs w:val="12"/>
                <w:lang w:eastAsia="es-CO"/>
              </w:rPr>
            </w:pPr>
            <w:r>
              <w:rPr>
                <w:rFonts w:ascii="Arial Narrow" w:hAnsi="Arial Narrow"/>
                <w:sz w:val="12"/>
                <w:szCs w:val="12"/>
                <w:lang w:eastAsia="es-CO"/>
              </w:rPr>
              <w:t>/Supervisión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la normativa</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p w:rsidR="0093248F" w:rsidRDefault="0093248F">
            <w:pPr>
              <w:jc w:val="both"/>
              <w:rPr>
                <w:rFonts w:ascii="Arial Narrow" w:hAnsi="Arial Narrow"/>
                <w:sz w:val="12"/>
                <w:szCs w:val="12"/>
                <w:lang w:eastAsia="es-CO"/>
              </w:rPr>
            </w:pPr>
          </w:p>
          <w:p w:rsidR="0093248F" w:rsidRDefault="0093248F">
            <w:pPr>
              <w:jc w:val="both"/>
              <w:rPr>
                <w:rFonts w:ascii="Arial Narrow" w:hAnsi="Arial Narrow"/>
                <w:sz w:val="12"/>
                <w:szCs w:val="12"/>
                <w:lang w:eastAsia="es-CO"/>
              </w:rPr>
            </w:pPr>
          </w:p>
          <w:p w:rsidR="0093248F" w:rsidRDefault="0093248F">
            <w:pPr>
              <w:jc w:val="both"/>
              <w:rPr>
                <w:rFonts w:ascii="Arial Narrow" w:hAnsi="Arial Narrow"/>
                <w:sz w:val="12"/>
                <w:szCs w:val="12"/>
                <w:lang w:eastAsia="es-CO"/>
              </w:rPr>
            </w:pPr>
          </w:p>
          <w:p w:rsidR="0093248F" w:rsidRDefault="0093248F">
            <w:pPr>
              <w:jc w:val="both"/>
              <w:rPr>
                <w:rFonts w:ascii="Arial Narrow" w:hAnsi="Arial Narrow"/>
                <w:sz w:val="12"/>
                <w:szCs w:val="12"/>
                <w:lang w:eastAsia="es-CO"/>
              </w:rPr>
            </w:pPr>
          </w:p>
          <w:p w:rsidR="0093248F" w:rsidRDefault="0093248F">
            <w:pPr>
              <w:jc w:val="both"/>
              <w:rPr>
                <w:rFonts w:ascii="Arial Narrow" w:hAnsi="Arial Narrow"/>
                <w:sz w:val="12"/>
                <w:szCs w:val="12"/>
                <w:lang w:eastAsia="es-CO"/>
              </w:rPr>
            </w:pP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periódica de las normas de laborales.</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50"/>
        </w:trPr>
        <w:tc>
          <w:tcPr>
            <w:tcW w:w="328"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3</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Regulatorio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por suspensión del contrato</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Retraso en la entrega de las obras a la entidad contratante.       mayor tiempo de ejecución del contrato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3</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Al municipio de Manizales cuando los motivos de la suspensión obedezcan a acciones u omisiones de la entidad.       al contratista cuando los motivos de la suspensión obedezcan a acciones del contratista</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xml:space="preserve">Cuando la suspensión sea originada por la entidad contratante se notificará al contratista y se procederá a la suscripción por las partes del respectivo documento.        Cuando la suspensión sea originada por el contratista se procederá a analizar los motivos de la misma sí como las medidas correctivas que deban tomarse y la valoración de los perjuicios que puedan ocasionarse con dicha suspensión.          Ambos casos debe analizar el tiempo durante el cual estará suspendido el </w:t>
            </w:r>
            <w:r>
              <w:rPr>
                <w:rFonts w:ascii="Arial Narrow" w:hAnsi="Arial Narrow"/>
                <w:sz w:val="12"/>
                <w:szCs w:val="12"/>
                <w:lang w:eastAsia="es-CO"/>
              </w:rPr>
              <w:lastRenderedPageBreak/>
              <w:t>contrato y las  condiciones de reinicio.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right"/>
              <w:rPr>
                <w:rFonts w:ascii="Arial Narrow" w:hAnsi="Arial Narrow"/>
                <w:sz w:val="12"/>
                <w:szCs w:val="12"/>
                <w:lang w:eastAsia="es-CO"/>
              </w:rPr>
            </w:pPr>
            <w:r>
              <w:rPr>
                <w:rFonts w:ascii="Arial Narrow" w:hAnsi="Arial Narrow"/>
                <w:sz w:val="12"/>
                <w:szCs w:val="12"/>
                <w:lang w:eastAsia="es-CO"/>
              </w:rPr>
              <w:t>Secretaría Obras Públicas/</w:t>
            </w:r>
          </w:p>
          <w:p w:rsidR="0093248F" w:rsidRDefault="00F92BFE">
            <w:pPr>
              <w:jc w:val="right"/>
              <w:rPr>
                <w:rFonts w:ascii="Arial Narrow" w:hAnsi="Arial Narrow"/>
                <w:sz w:val="12"/>
                <w:szCs w:val="12"/>
                <w:lang w:eastAsia="es-CO"/>
              </w:rPr>
            </w:pPr>
            <w:r>
              <w:rPr>
                <w:rFonts w:ascii="Arial Narrow" w:hAnsi="Arial Narrow"/>
                <w:sz w:val="12"/>
                <w:szCs w:val="12"/>
                <w:lang w:eastAsia="es-CO"/>
              </w:rPr>
              <w:t>Supervisión   o interventoría</w:t>
            </w:r>
          </w:p>
        </w:tc>
        <w:tc>
          <w:tcPr>
            <w:tcW w:w="329" w:type="dxa"/>
            <w:shd w:val="clear" w:color="auto" w:fill="auto"/>
            <w:textDirection w:val="btLr"/>
            <w:vAlign w:val="center"/>
          </w:tcPr>
          <w:p w:rsidR="0093248F" w:rsidRDefault="00F92BFE">
            <w:pPr>
              <w:jc w:val="right"/>
              <w:rPr>
                <w:rFonts w:ascii="Arial Narrow" w:hAnsi="Arial Narrow"/>
                <w:sz w:val="12"/>
                <w:szCs w:val="12"/>
                <w:lang w:eastAsia="es-CO"/>
              </w:rPr>
            </w:pPr>
            <w:r>
              <w:rPr>
                <w:rFonts w:ascii="Arial Narrow" w:hAnsi="Arial Narrow"/>
                <w:sz w:val="12"/>
                <w:szCs w:val="12"/>
                <w:lang w:eastAsia="es-CO"/>
              </w:rPr>
              <w:t>una vez se conozca la necesidad de suspender</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reinicio del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xml:space="preserve">Información permanente de la ejecución del contrato por parte de la supervisión o Interventoría </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Quincenal</w:t>
            </w:r>
          </w:p>
        </w:tc>
      </w:tr>
      <w:tr w:rsidR="0093248F">
        <w:trPr>
          <w:trHeight w:val="3143"/>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4</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Financiero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Riesgos por modificación del régimen de impuestos aplicables a terceros, cuando en el desarrollo del contrato, se modifican las tarifas de los impuestos o se crean nuevos impuestos o eliminan los ya existentes, no aplicables al contrato, pero si aplicables a las relaciones con terceros como aportes con el contratista</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en sus valores liquidados y pagados al contratista como consecuencia de los impuestos, tasas y tarifas aplicados</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Este riesgo y sus consecuencias serán asumidos en su totalidad por el MUNICIPIO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Todo cambio o modificación en materia de impuestos aplicables al contrato será de obligatorio cumplimiento para el municipio de Manizales Caldas</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Obras Públicas/Supervisión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el cambio normativo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de las normas y leyes tributarias en forma periódica.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100"/>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5</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Financiero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Cambios en  la legislación tributaria municipal</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en los valores liquidados y pagados al contratista como consecuencia de los impuestos, tasas y tarifas aplicados.</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es asumido en el 100% por el MUNICIPIO.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Los efectos, favorables o desfavorables, de las variaciones en la legislación tributaria, de tal manera que la administración municipal no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Obras Públicas/Supervisión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el marco normativo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de las normas y leyes tributarias en forma periódica.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604"/>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6</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Financiero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por incumplimiento de proveedores. Corresponde a los efectos económicos derivados del incumplimiento de los proveedores y subcontratistas</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Retrasos en la entrega de las obras a la entidad contratante.            mayor tiempo de ejecución del contrato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es asumido en el 100% por el contratista</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De Obras Publicas/</w:t>
            </w:r>
          </w:p>
          <w:p w:rsidR="0093248F" w:rsidRDefault="00F92BFE">
            <w:pPr>
              <w:jc w:val="center"/>
              <w:rPr>
                <w:rFonts w:ascii="Arial Narrow" w:hAnsi="Arial Narrow"/>
                <w:sz w:val="12"/>
                <w:szCs w:val="12"/>
                <w:lang w:eastAsia="es-CO"/>
              </w:rPr>
            </w:pPr>
            <w:r>
              <w:rPr>
                <w:rFonts w:ascii="Arial Narrow" w:hAnsi="Arial Narrow"/>
                <w:sz w:val="12"/>
                <w:szCs w:val="12"/>
                <w:lang w:eastAsia="es-CO"/>
              </w:rPr>
              <w:t>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la ocurrencia del evento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de los materiales existentes en obra y avance de ella.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561"/>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7</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Financiero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xml:space="preserve">Riesgo de insuficiente análisis económico. </w:t>
            </w:r>
            <w:proofErr w:type="gramStart"/>
            <w:r>
              <w:rPr>
                <w:rFonts w:ascii="Arial Narrow" w:hAnsi="Arial Narrow"/>
                <w:sz w:val="12"/>
                <w:szCs w:val="12"/>
                <w:lang w:eastAsia="es-CO"/>
              </w:rPr>
              <w:t>corresponde</w:t>
            </w:r>
            <w:proofErr w:type="gramEnd"/>
            <w:r>
              <w:rPr>
                <w:rFonts w:ascii="Arial Narrow" w:hAnsi="Arial Narrow"/>
                <w:sz w:val="12"/>
                <w:szCs w:val="12"/>
                <w:lang w:eastAsia="es-CO"/>
              </w:rPr>
              <w:t xml:space="preserve">  a los efectos económicos derivados de un insuficiente análisis de costo en el oferente, toda vez que es una obligación contractual del contratista visualizar todos los gastos en que pueda incurrir en la prestación del servicio, teniendo en cuenta la variable constante en el precio de los materiales y suministros del proyecto.</w:t>
            </w:r>
          </w:p>
        </w:tc>
        <w:tc>
          <w:tcPr>
            <w:tcW w:w="1110"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Variación del presupuesto inicial presentado, por parte del contratista</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y sus consecuencias serán asumidos en su totalidad por el contratista</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y evaluación del o las variaciones en los costos presentados por el contratista, que permitan la evaluación, perjuicios y posterior toma de decisiones</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rPr>
                <w:rFonts w:ascii="Arial Narrow" w:hAnsi="Arial Narrow"/>
                <w:sz w:val="12"/>
                <w:szCs w:val="12"/>
                <w:lang w:eastAsia="es-CO"/>
              </w:rPr>
            </w:pPr>
            <w:r>
              <w:rPr>
                <w:rFonts w:ascii="Arial Narrow" w:hAnsi="Arial Narrow"/>
                <w:sz w:val="12"/>
                <w:szCs w:val="12"/>
                <w:lang w:eastAsia="es-CO"/>
              </w:rPr>
              <w:t>S Secretaría De Obras Publicas/ 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la ocurrencia del evento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Revisiones Periódicas y pago de actas de avance de obra.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689"/>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8</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Financiero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de consecución de financiación o riesgo de liquidez. Los efectos favorables y desfavorables de la alteración de las condiciones de financiación como consecuencia de la variación en el entorno del mercado y la obtención de recursos para adelantar el objeto contractual serán por cuenta y riesgo del oferente adjudicatario.</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Retraso en la entrega de las obras a la entidad contratante.    mayor tiempo de ejecución del contrato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El contratista deberá cubrir y soportar el 100% de la alteración de las condiciones de financiación</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93248F">
            <w:pPr>
              <w:jc w:val="both"/>
              <w:rPr>
                <w:rFonts w:ascii="Arial Narrow" w:hAnsi="Arial Narrow"/>
                <w:sz w:val="12"/>
                <w:szCs w:val="12"/>
                <w:lang w:eastAsia="es-CO"/>
              </w:rPr>
            </w:pPr>
          </w:p>
          <w:p w:rsidR="0093248F" w:rsidRDefault="0093248F">
            <w:pPr>
              <w:jc w:val="both"/>
              <w:rPr>
                <w:rFonts w:ascii="Arial Narrow" w:hAnsi="Arial Narrow"/>
                <w:sz w:val="12"/>
                <w:szCs w:val="12"/>
                <w:lang w:eastAsia="es-CO"/>
              </w:rPr>
            </w:pPr>
          </w:p>
          <w:p w:rsidR="0093248F" w:rsidRDefault="0093248F">
            <w:pPr>
              <w:jc w:val="both"/>
              <w:rPr>
                <w:rFonts w:ascii="Arial Narrow" w:hAnsi="Arial Narrow"/>
                <w:sz w:val="12"/>
                <w:szCs w:val="12"/>
                <w:lang w:eastAsia="es-CO"/>
              </w:rPr>
            </w:pPr>
          </w:p>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De Obras Publicas/ 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la ocurrencia del evento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periódica y actas de avance de obra.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887"/>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9</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Financiero</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Riesgos por variación en los precios de equipos, materiales e insumos. Este riesgo puede presentarse por la variación en los precios de mercado de los equipos, materiales, e insumos utilizados para la ejecución del proyecto.</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variación del presupuesto inicial presentado, por parte del contratista</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4</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El contratista correrá con el 100% de la variación de los precios de mercado de insumos, materiales y equipos utilizados durante la ejecución del proyecto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y evaluación del o las variaciones en los costos presentados por el contratista, que permitan la evaluación, perjuicios y posterior toma de decisiones como las medidas correctivas</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De Obras Publicas/ 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conozca la ocurrencia del evento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el momento de perfeccionar el cambio normativo en 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Revisión Periódica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Mensual</w:t>
            </w:r>
          </w:p>
        </w:tc>
      </w:tr>
      <w:tr w:rsidR="0093248F">
        <w:trPr>
          <w:trHeight w:val="2687"/>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10</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Operacional</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xml:space="preserve">Riesgos por la variación de las cantidades de obra. Este riesgo se presenta durante la ejecución del proyecto. </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Al modificarse las cantidades de obra inicialmente proyectadas se puede afectar el plazo de entrega inicialmente pactado y a la vez se pueden generar sobre costos por ejecución de cantidades de obra no previstas inicialmente.</w:t>
            </w:r>
          </w:p>
        </w:tc>
        <w:tc>
          <w:tcPr>
            <w:tcW w:w="32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3</w:t>
            </w:r>
          </w:p>
        </w:tc>
        <w:tc>
          <w:tcPr>
            <w:tcW w:w="32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5</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Medio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En caso que las cantidades de obras se modifiquen por una situación que pudo ser prevista por el contratista y no lo fue, éste deberá asumir la totalidad del riesgo. En caso contrario será evaluado por el Municipio.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Evaluación de las actas parciales e informes periódicos de ejecución del contrato.</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Secretaría De Obras Publicas/ 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Desde la preparación de los pliegos de condiciones</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Al finalizar la etapa de pre construcción</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Verificación del avance físico y avance presupuestal del proyecto respecto de la planificación inicial</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se cumpla la mitad del plazo contractual</w:t>
            </w:r>
          </w:p>
        </w:tc>
      </w:tr>
      <w:tr w:rsidR="0093248F">
        <w:trPr>
          <w:trHeight w:val="2604"/>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11</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interna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operacional</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por la falta de idoneidad de la mano de obra.  Este riesgo se presenta cuando el personal que labora en la ejecución del proyecto no es el idóneo para realizar las actividades propias del proyecto, y no cumplen con los aspectos técnicos solicitados por la administración municipal</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Se puede ver afectada la calidad de los trabajos, no cumpliendo de esta manera las especificaciones técnicas del proyecto y la normatividad vigente que rige el desarrollo del tipo de obras a ejecutar en el contrato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y sus consecuencias serán asumidos en su totalidad por el contratista</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La experiencia específica requerida por parte dela entidad para los proponentes debe garantizar la idoneidad de la mano de obra que  se asignará para la ejecución de las actividades del contrato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Contratista  / Secretaría de Obras Públicas Supervisión o interventoría   del contrato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Desde la preparación de los pliegos de condiciones</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la adjudicación del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Verificación de cumplimiento de las especificaciones técnicas del contrato de acuerdo con los reportes de los informes de supervisión o Interventoría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cuando se cumpla la mitad del plazo contractual</w:t>
            </w:r>
          </w:p>
        </w:tc>
      </w:tr>
      <w:tr w:rsidR="0093248F">
        <w:trPr>
          <w:trHeight w:val="52"/>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12</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De la naturaleza</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climatológico.  Cuando se produzcan cambios en el clima que afecten la ejecución de la obra.     Se consideran condiciones climáticas adversas, entre otras: periodos de lluvias con altas precipitaciones en un tiempo prolongado, inundaciones, vientos huracanados, incendios forestales, entre otros.</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del cronograma de obra y del plazo de finalización.  Reclamaciones por parte del contratista por sobre costos administrativos durante el periodo que no se puedan ejecutar obras.</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4</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Si se requiere, la ampliación del tiempo establecido para la ejecución del contrato, el riesgo y sus consecuencias serán evaluados por el Municipio y el contratista con el fin de verificar la proporción en que debe ser asumido el mismo.</w:t>
            </w:r>
          </w:p>
        </w:tc>
        <w:tc>
          <w:tcPr>
            <w:tcW w:w="1349" w:type="dxa"/>
            <w:shd w:val="clear" w:color="auto" w:fill="auto"/>
            <w:vAlign w:val="center"/>
          </w:tcPr>
          <w:p w:rsidR="0093248F" w:rsidRDefault="0093248F">
            <w:pPr>
              <w:jc w:val="both"/>
              <w:rPr>
                <w:rFonts w:ascii="Arial Narrow" w:hAnsi="Arial Narrow"/>
                <w:sz w:val="12"/>
                <w:szCs w:val="12"/>
                <w:lang w:eastAsia="es-CO"/>
              </w:rPr>
            </w:pPr>
          </w:p>
          <w:p w:rsidR="0093248F" w:rsidRDefault="00F92BFE">
            <w:pPr>
              <w:jc w:val="both"/>
              <w:rPr>
                <w:rFonts w:ascii="Arial Narrow" w:hAnsi="Arial Narrow"/>
                <w:sz w:val="12"/>
                <w:szCs w:val="12"/>
                <w:lang w:eastAsia="es-CO"/>
              </w:rPr>
            </w:pPr>
            <w:r>
              <w:rPr>
                <w:rFonts w:ascii="Arial Narrow" w:hAnsi="Arial Narrow"/>
                <w:sz w:val="12"/>
                <w:szCs w:val="12"/>
                <w:lang w:eastAsia="es-CO"/>
              </w:rPr>
              <w:t xml:space="preserve">Cuando esto se llegare a presentar será causal de ampliación de plazo o suspensión del mismo hasta que las condiciones climáticas sean óptimas para continuar con la ejecución del contrato previa aprobación de la Supervisión, pero no de reconocimiento de mayores costos o desequilibrio económico.  En los casos donde no se superen las </w:t>
            </w:r>
            <w:r>
              <w:rPr>
                <w:rFonts w:ascii="Arial Narrow" w:hAnsi="Arial Narrow"/>
                <w:sz w:val="12"/>
                <w:szCs w:val="12"/>
                <w:lang w:eastAsia="es-CO"/>
              </w:rPr>
              <w:lastRenderedPageBreak/>
              <w:t>condiciones climáticas adversas y ante la necesidad de ejecutar parcial o totalmente actividades previstas en el contrato, la entidad podrá, de común acuerdo con el contratista, bajo un marco previo de plena justificación técnica, pactar nuevas actividades que permitan llevar a cabo el desarrollo de los trabajos en estas condiciones.  Ésta condición generaría un acta de modificación al contrato celebrado firmado por las partes.</w:t>
            </w:r>
          </w:p>
          <w:p w:rsidR="0093248F" w:rsidRDefault="0093248F">
            <w:pPr>
              <w:jc w:val="both"/>
              <w:rPr>
                <w:rFonts w:ascii="Arial Narrow" w:hAnsi="Arial Narrow"/>
                <w:sz w:val="12"/>
                <w:szCs w:val="12"/>
                <w:lang w:eastAsia="es-CO"/>
              </w:rPr>
            </w:pP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Si</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Secretaria de Obras Públicas, Secretaría de Hacienda,</w:t>
            </w:r>
          </w:p>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 Oficina jurídica, Supervisión </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Cuando se inicie el evento adverso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la finalización del evento adverso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Verificación documentos contractuales del contrato</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cuando se cumpla la mitad del plazo contractual</w:t>
            </w:r>
          </w:p>
        </w:tc>
      </w:tr>
      <w:tr w:rsidR="0093248F">
        <w:trPr>
          <w:trHeight w:val="2976"/>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13</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Interna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Operacional</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 por mal funcionamiento de los equipos de construcción. El mal funcionamiento mecánico y eléctrico de los equipos de construcción, derivados de las labores propias del proyecto</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Se puede ver afectada la calidad de los trabajos, no cumpliendo de esta manera las especificaciones técnicas del proyecto y afectando el cronograma de obra por rendimiento inadecuado de los equipos</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Este riesgo y sus consecuencias serán asumidos en su totalidad por el contratista</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Se incluirá dentro del contrato de obra una cláusula que especifique como obligación del contratista, el garantizar que los equipos que sean requeridos para el desarrollo de las actividades del contrato deben estar en óptimas condiciones técnico mecánicas y a la vez estos equipos deben de ser de última tecnología y de modelo reciente de acuerdo con el tipo de actividades o actividades a ejecutar en el contrato.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Secretaria de Obras Públicas, </w:t>
            </w:r>
          </w:p>
          <w:p w:rsidR="0093248F" w:rsidRDefault="00F92BFE">
            <w:pPr>
              <w:jc w:val="center"/>
              <w:rPr>
                <w:rFonts w:ascii="Arial Narrow" w:hAnsi="Arial Narrow"/>
                <w:sz w:val="12"/>
                <w:szCs w:val="12"/>
                <w:lang w:eastAsia="es-CO"/>
              </w:rPr>
            </w:pPr>
            <w:r>
              <w:rPr>
                <w:rFonts w:ascii="Arial Narrow" w:hAnsi="Arial Narrow"/>
                <w:sz w:val="12"/>
                <w:szCs w:val="12"/>
                <w:lang w:eastAsia="es-CO"/>
              </w:rPr>
              <w:t>Supervisión  o interventoría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Desde la preparación de los pliegos de condiciones</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la adjudicación del contrato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xml:space="preserve">Verificación del cumplimiento de la obligación contractual de acuerdo con los reportes de los informes de supervisión. </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cuando se cumpla la mitad del plazo contractual</w:t>
            </w:r>
          </w:p>
        </w:tc>
      </w:tr>
      <w:tr w:rsidR="0093248F">
        <w:trPr>
          <w:trHeight w:val="3258"/>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14</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General</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Externo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Social, de la naturaleza, política</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 xml:space="preserve">Riesgo por </w:t>
            </w:r>
            <w:proofErr w:type="spellStart"/>
            <w:r>
              <w:rPr>
                <w:rFonts w:ascii="Arial Narrow" w:hAnsi="Arial Narrow"/>
                <w:sz w:val="12"/>
                <w:szCs w:val="12"/>
                <w:lang w:eastAsia="es-CO"/>
              </w:rPr>
              <w:t>intransitabilidad</w:t>
            </w:r>
            <w:proofErr w:type="spellEnd"/>
            <w:r>
              <w:rPr>
                <w:rFonts w:ascii="Arial Narrow" w:hAnsi="Arial Narrow"/>
                <w:sz w:val="12"/>
                <w:szCs w:val="12"/>
                <w:lang w:eastAsia="es-CO"/>
              </w:rPr>
              <w:t xml:space="preserve"> de las vías</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Imposibilidad de ejecutar las actividades propias del proyecto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El riesgo es compartido por el contratista y el municipio de Manizales</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Cuando esto se llegare a presentar será causal de ampliación de plazo o suspensión del mismo hasta que las condiciones sean óptimas para continuar con la ejecución del contrato previa aprobación de la supervisión , pero no de reconocimiento de mayores costos o desequilibrio económico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Secretaria de Obras Públicas, </w:t>
            </w:r>
          </w:p>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supervisión  o interventoría </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Cuando se inicie el evento adverso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la finalización del evento adverso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Verificación documentos contractuales del contrato</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una vez, cuando se cumpla la mitad del plazo contractual</w:t>
            </w:r>
          </w:p>
        </w:tc>
      </w:tr>
      <w:tr w:rsidR="0093248F">
        <w:trPr>
          <w:trHeight w:val="2607"/>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15</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Interna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Operacional</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Riesgos logísticos para la ejecución del contrato</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del cronograma de obra por no contar con los recursos al momento de ser requeridos de acuerdo con la programación de la obra</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3</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El contratista correrá con el 100% de  los riesgos logísticos para la ejecución del contrato</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Poner en marcha un plan de contingencia que puede representar  mayor disposición de personal, materiales y equipos.</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no</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Secretaria de Obras Públicas, </w:t>
            </w:r>
          </w:p>
          <w:p w:rsidR="0093248F" w:rsidRDefault="00F92BFE">
            <w:pPr>
              <w:jc w:val="center"/>
              <w:rPr>
                <w:rFonts w:ascii="Arial Narrow" w:hAnsi="Arial Narrow"/>
                <w:sz w:val="12"/>
                <w:szCs w:val="12"/>
                <w:lang w:eastAsia="es-CO"/>
              </w:rPr>
            </w:pPr>
            <w:r>
              <w:rPr>
                <w:rFonts w:ascii="Arial Narrow" w:hAnsi="Arial Narrow"/>
                <w:sz w:val="12"/>
                <w:szCs w:val="12"/>
                <w:lang w:eastAsia="es-CO"/>
              </w:rPr>
              <w:t>supervisión  o interventoría y contratista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Desde la preparación de los pliegos de condiciones</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Al finalizar el proceso,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Verificación de la implementación del plan de contingencia frente al avance de ejecución de obra.</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Una vez, cuando se cumpla la mitad del </w:t>
            </w:r>
          </w:p>
          <w:p w:rsidR="0093248F" w:rsidRDefault="00F92BFE">
            <w:pPr>
              <w:jc w:val="center"/>
              <w:rPr>
                <w:rFonts w:ascii="Arial Narrow" w:hAnsi="Arial Narrow"/>
                <w:sz w:val="12"/>
                <w:szCs w:val="12"/>
                <w:lang w:eastAsia="es-CO"/>
              </w:rPr>
            </w:pPr>
            <w:r>
              <w:rPr>
                <w:rFonts w:ascii="Arial Narrow" w:hAnsi="Arial Narrow"/>
                <w:sz w:val="12"/>
                <w:szCs w:val="12"/>
                <w:lang w:eastAsia="es-CO"/>
              </w:rPr>
              <w:t>plazo contractual</w:t>
            </w:r>
          </w:p>
        </w:tc>
      </w:tr>
      <w:tr w:rsidR="0093248F">
        <w:trPr>
          <w:trHeight w:val="2037"/>
        </w:trPr>
        <w:tc>
          <w:tcPr>
            <w:tcW w:w="328"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lastRenderedPageBreak/>
              <w:t>17</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Específico</w:t>
            </w:r>
          </w:p>
        </w:tc>
        <w:tc>
          <w:tcPr>
            <w:tcW w:w="328"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Interna</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Ejecución</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Operacional</w:t>
            </w:r>
          </w:p>
        </w:tc>
        <w:tc>
          <w:tcPr>
            <w:tcW w:w="119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Riesgos por la ejecución de actividades inherentes a la prestación de servicios que se presentan en la zona o área a intervenir</w:t>
            </w:r>
          </w:p>
        </w:tc>
        <w:tc>
          <w:tcPr>
            <w:tcW w:w="1110"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Afectación al cronograma de obra, por la no posibilidad de intervención de algunas áreas o en algunos horarios específicos de acuerdo a la programación de la prestación de los servicios existentes en el área a intervenir</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3</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5</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medio</w:t>
            </w:r>
          </w:p>
        </w:tc>
        <w:tc>
          <w:tcPr>
            <w:tcW w:w="1215"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El riesgo es compartido por el contratista y el municipio de Manizales</w:t>
            </w:r>
          </w:p>
        </w:tc>
        <w:tc>
          <w:tcPr>
            <w:tcW w:w="1349"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Cuando esto se llegare a presentar será causal de ampliación del plazo o suspensión del mismo hasta que las condiciones sean óptimas para continuar con la ejecución del contrato previa aprobación de la supervisión, pero no de reconocimiento de mayores costos o desequilibrio económico.</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1</w:t>
            </w:r>
          </w:p>
        </w:tc>
        <w:tc>
          <w:tcPr>
            <w:tcW w:w="331"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2</w:t>
            </w:r>
          </w:p>
        </w:tc>
        <w:tc>
          <w:tcPr>
            <w:tcW w:w="331"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Bajo</w:t>
            </w:r>
          </w:p>
        </w:tc>
        <w:tc>
          <w:tcPr>
            <w:tcW w:w="329" w:type="dxa"/>
            <w:shd w:val="clear" w:color="auto" w:fill="auto"/>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Si</w:t>
            </w:r>
          </w:p>
        </w:tc>
        <w:tc>
          <w:tcPr>
            <w:tcW w:w="812"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Contratista ,   supervisión  del contrato</w:t>
            </w:r>
          </w:p>
        </w:tc>
        <w:tc>
          <w:tcPr>
            <w:tcW w:w="329"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Cuando se inicie el evento adverso</w:t>
            </w:r>
          </w:p>
        </w:tc>
        <w:tc>
          <w:tcPr>
            <w:tcW w:w="983"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Hasta la finalización del evento adverso</w:t>
            </w:r>
          </w:p>
        </w:tc>
        <w:tc>
          <w:tcPr>
            <w:tcW w:w="1062" w:type="dxa"/>
            <w:shd w:val="clear" w:color="auto" w:fill="auto"/>
            <w:vAlign w:val="center"/>
          </w:tcPr>
          <w:p w:rsidR="0093248F" w:rsidRDefault="00F92BFE">
            <w:pPr>
              <w:jc w:val="both"/>
              <w:rPr>
                <w:rFonts w:ascii="Arial Narrow" w:hAnsi="Arial Narrow"/>
                <w:sz w:val="12"/>
                <w:szCs w:val="12"/>
                <w:lang w:eastAsia="es-CO"/>
              </w:rPr>
            </w:pPr>
            <w:r>
              <w:rPr>
                <w:rFonts w:ascii="Arial Narrow" w:hAnsi="Arial Narrow"/>
                <w:sz w:val="12"/>
                <w:szCs w:val="12"/>
                <w:lang w:eastAsia="es-CO"/>
              </w:rPr>
              <w:t>verificación documentos contractuales del contrato</w:t>
            </w:r>
          </w:p>
        </w:tc>
        <w:tc>
          <w:tcPr>
            <w:tcW w:w="476" w:type="dxa"/>
            <w:shd w:val="clear" w:color="auto" w:fill="auto"/>
            <w:textDirection w:val="btLr"/>
            <w:vAlign w:val="center"/>
          </w:tcPr>
          <w:p w:rsidR="0093248F" w:rsidRDefault="00F92BFE">
            <w:pPr>
              <w:jc w:val="center"/>
              <w:rPr>
                <w:rFonts w:ascii="Arial Narrow" w:hAnsi="Arial Narrow"/>
                <w:sz w:val="12"/>
                <w:szCs w:val="12"/>
                <w:lang w:eastAsia="es-CO"/>
              </w:rPr>
            </w:pPr>
            <w:r>
              <w:rPr>
                <w:rFonts w:ascii="Arial Narrow" w:hAnsi="Arial Narrow"/>
                <w:sz w:val="12"/>
                <w:szCs w:val="12"/>
                <w:lang w:eastAsia="es-CO"/>
              </w:rPr>
              <w:t xml:space="preserve">una vez, cuando se cumpla la mitad del </w:t>
            </w:r>
          </w:p>
          <w:p w:rsidR="0093248F" w:rsidRDefault="00F92BFE">
            <w:pPr>
              <w:jc w:val="center"/>
              <w:rPr>
                <w:rFonts w:ascii="Arial Narrow" w:hAnsi="Arial Narrow"/>
                <w:sz w:val="12"/>
                <w:szCs w:val="12"/>
                <w:lang w:eastAsia="es-CO"/>
              </w:rPr>
            </w:pPr>
            <w:r>
              <w:rPr>
                <w:rFonts w:ascii="Arial Narrow" w:hAnsi="Arial Narrow"/>
                <w:sz w:val="12"/>
                <w:szCs w:val="12"/>
                <w:lang w:eastAsia="es-CO"/>
              </w:rPr>
              <w:t>plazo contractual</w:t>
            </w:r>
          </w:p>
        </w:tc>
      </w:tr>
      <w:tr w:rsidR="00800AF9" w:rsidRPr="00800AF9">
        <w:trPr>
          <w:trHeight w:val="2037"/>
        </w:trPr>
        <w:tc>
          <w:tcPr>
            <w:tcW w:w="328" w:type="dxa"/>
            <w:shd w:val="clear" w:color="auto" w:fill="auto"/>
            <w:vAlign w:val="center"/>
          </w:tcPr>
          <w:p w:rsidR="00D516C3" w:rsidRPr="00800AF9" w:rsidRDefault="00D516C3" w:rsidP="00D516C3">
            <w:pPr>
              <w:jc w:val="center"/>
              <w:rPr>
                <w:rFonts w:ascii="Arial Narrow" w:hAnsi="Arial Narrow"/>
                <w:sz w:val="12"/>
                <w:szCs w:val="12"/>
                <w:lang w:eastAsia="es-CO"/>
              </w:rPr>
            </w:pPr>
            <w:r w:rsidRPr="00800AF9">
              <w:rPr>
                <w:rFonts w:ascii="Arial Narrow" w:hAnsi="Arial Narrow"/>
                <w:sz w:val="12"/>
                <w:szCs w:val="12"/>
                <w:lang w:eastAsia="es-CO"/>
              </w:rPr>
              <w:t>18</w:t>
            </w:r>
          </w:p>
        </w:tc>
        <w:tc>
          <w:tcPr>
            <w:tcW w:w="328" w:type="dxa"/>
            <w:shd w:val="clear" w:color="auto" w:fill="auto"/>
            <w:textDirection w:val="btLr"/>
            <w:vAlign w:val="center"/>
          </w:tcPr>
          <w:p w:rsidR="00D516C3" w:rsidRPr="00800AF9" w:rsidRDefault="00D516C3" w:rsidP="00D516C3">
            <w:pPr>
              <w:jc w:val="center"/>
              <w:rPr>
                <w:rFonts w:ascii="Arial Narrow" w:hAnsi="Arial Narrow"/>
                <w:sz w:val="12"/>
                <w:szCs w:val="12"/>
                <w:lang w:eastAsia="es-CO"/>
              </w:rPr>
            </w:pPr>
            <w:r w:rsidRPr="00800AF9">
              <w:rPr>
                <w:rFonts w:ascii="Arial Narrow" w:hAnsi="Arial Narrow"/>
                <w:sz w:val="12"/>
                <w:szCs w:val="12"/>
                <w:lang w:eastAsia="es-CO"/>
              </w:rPr>
              <w:t>Específico</w:t>
            </w:r>
          </w:p>
        </w:tc>
        <w:tc>
          <w:tcPr>
            <w:tcW w:w="328" w:type="dxa"/>
            <w:shd w:val="clear" w:color="auto" w:fill="auto"/>
            <w:textDirection w:val="btLr"/>
            <w:vAlign w:val="center"/>
          </w:tcPr>
          <w:p w:rsidR="00D516C3" w:rsidRPr="00800AF9" w:rsidRDefault="00D516C3" w:rsidP="00D516C3">
            <w:pPr>
              <w:jc w:val="center"/>
              <w:rPr>
                <w:rFonts w:ascii="Arial Narrow" w:hAnsi="Arial Narrow"/>
                <w:sz w:val="12"/>
                <w:szCs w:val="12"/>
                <w:lang w:eastAsia="es-CO"/>
              </w:rPr>
            </w:pPr>
            <w:r w:rsidRPr="00800AF9">
              <w:rPr>
                <w:rFonts w:ascii="Arial Narrow" w:hAnsi="Arial Narrow"/>
                <w:sz w:val="12"/>
                <w:szCs w:val="12"/>
                <w:lang w:eastAsia="es-CO"/>
              </w:rPr>
              <w:t>Interna</w:t>
            </w:r>
          </w:p>
        </w:tc>
        <w:tc>
          <w:tcPr>
            <w:tcW w:w="329" w:type="dxa"/>
            <w:shd w:val="clear" w:color="auto" w:fill="auto"/>
            <w:textDirection w:val="btLr"/>
            <w:vAlign w:val="center"/>
          </w:tcPr>
          <w:p w:rsidR="00D516C3" w:rsidRPr="00800AF9" w:rsidRDefault="00D516C3" w:rsidP="00D516C3">
            <w:pPr>
              <w:jc w:val="center"/>
              <w:rPr>
                <w:rFonts w:ascii="Arial Narrow" w:hAnsi="Arial Narrow"/>
                <w:sz w:val="12"/>
                <w:szCs w:val="12"/>
                <w:lang w:eastAsia="es-CO"/>
              </w:rPr>
            </w:pPr>
            <w:r w:rsidRPr="00800AF9">
              <w:rPr>
                <w:rFonts w:ascii="Arial Narrow" w:hAnsi="Arial Narrow"/>
                <w:sz w:val="12"/>
                <w:szCs w:val="12"/>
                <w:lang w:eastAsia="es-CO"/>
              </w:rPr>
              <w:t>Ejecución</w:t>
            </w:r>
          </w:p>
        </w:tc>
        <w:tc>
          <w:tcPr>
            <w:tcW w:w="329" w:type="dxa"/>
            <w:shd w:val="clear" w:color="auto" w:fill="auto"/>
            <w:textDirection w:val="btLr"/>
            <w:vAlign w:val="center"/>
          </w:tcPr>
          <w:p w:rsidR="00D516C3" w:rsidRPr="00800AF9" w:rsidRDefault="00D516C3" w:rsidP="00D516C3">
            <w:pPr>
              <w:jc w:val="center"/>
              <w:rPr>
                <w:rFonts w:ascii="Arial Narrow" w:hAnsi="Arial Narrow"/>
                <w:sz w:val="12"/>
                <w:szCs w:val="12"/>
                <w:lang w:eastAsia="es-CO"/>
              </w:rPr>
            </w:pPr>
            <w:r w:rsidRPr="00800AF9">
              <w:rPr>
                <w:rFonts w:ascii="Arial Narrow" w:hAnsi="Arial Narrow"/>
                <w:sz w:val="12"/>
                <w:szCs w:val="12"/>
                <w:lang w:eastAsia="es-CO"/>
              </w:rPr>
              <w:t>Operacional</w:t>
            </w:r>
          </w:p>
        </w:tc>
        <w:tc>
          <w:tcPr>
            <w:tcW w:w="1199" w:type="dxa"/>
            <w:shd w:val="clear" w:color="auto" w:fill="auto"/>
            <w:vAlign w:val="center"/>
          </w:tcPr>
          <w:p w:rsidR="00D516C3" w:rsidRPr="00800AF9" w:rsidRDefault="00D516C3" w:rsidP="00D516C3">
            <w:pPr>
              <w:jc w:val="both"/>
              <w:rPr>
                <w:rFonts w:ascii="Arial Narrow" w:hAnsi="Arial Narrow"/>
                <w:sz w:val="12"/>
                <w:szCs w:val="12"/>
                <w:lang w:eastAsia="es-CO"/>
              </w:rPr>
            </w:pPr>
            <w:r w:rsidRPr="00800AF9">
              <w:rPr>
                <w:rFonts w:ascii="Arial Narrow" w:hAnsi="Arial Narrow"/>
                <w:sz w:val="12"/>
                <w:szCs w:val="12"/>
                <w:lang w:val="es-ES_tradnl" w:eastAsia="es-CO"/>
              </w:rPr>
              <w:t>Riesgo por la no implementación del protocolo COVID 19, según lo establecido en las circulares 003 de 2020 , 0666 de 2020 y demás disposiciones del gobierno nacional, municipal o Departamental expedidos para impulsar la reactivación segura de la Construcción</w:t>
            </w:r>
          </w:p>
        </w:tc>
        <w:tc>
          <w:tcPr>
            <w:tcW w:w="1110" w:type="dxa"/>
            <w:shd w:val="clear" w:color="auto" w:fill="auto"/>
            <w:vAlign w:val="center"/>
          </w:tcPr>
          <w:p w:rsidR="00D516C3" w:rsidRPr="00800AF9" w:rsidRDefault="00D516C3" w:rsidP="00D516C3">
            <w:pPr>
              <w:jc w:val="both"/>
              <w:rPr>
                <w:rFonts w:ascii="Arial Narrow" w:hAnsi="Arial Narrow"/>
                <w:sz w:val="12"/>
                <w:szCs w:val="12"/>
                <w:lang w:eastAsia="es-CO"/>
              </w:rPr>
            </w:pPr>
            <w:r w:rsidRPr="00800AF9">
              <w:rPr>
                <w:rFonts w:ascii="Arial Narrow" w:hAnsi="Arial Narrow"/>
                <w:sz w:val="12"/>
                <w:szCs w:val="12"/>
                <w:lang w:val="es-ES_tradnl" w:eastAsia="es-CO"/>
              </w:rPr>
              <w:t>Afectación al cronograma de obra, por la posibilidad de suspensión de la obra por parte de la Secretaría de Salud, ante el no cumplimiento del protocolo adecuado a cada obra.</w:t>
            </w:r>
          </w:p>
        </w:tc>
        <w:tc>
          <w:tcPr>
            <w:tcW w:w="329" w:type="dxa"/>
            <w:shd w:val="clear" w:color="auto" w:fill="auto"/>
            <w:vAlign w:val="center"/>
          </w:tcPr>
          <w:p w:rsidR="00D516C3" w:rsidRPr="00800AF9" w:rsidRDefault="00D516C3" w:rsidP="00D516C3">
            <w:pPr>
              <w:jc w:val="center"/>
              <w:rPr>
                <w:rFonts w:ascii="Arial Narrow" w:hAnsi="Arial Narrow"/>
                <w:sz w:val="12"/>
                <w:szCs w:val="12"/>
                <w:lang w:eastAsia="es-CO"/>
              </w:rPr>
            </w:pPr>
            <w:r w:rsidRPr="00800AF9">
              <w:rPr>
                <w:rFonts w:ascii="Arial Narrow" w:hAnsi="Arial Narrow"/>
                <w:sz w:val="12"/>
                <w:szCs w:val="12"/>
                <w:lang w:eastAsia="es-CO"/>
              </w:rPr>
              <w:t>3</w:t>
            </w:r>
          </w:p>
        </w:tc>
        <w:tc>
          <w:tcPr>
            <w:tcW w:w="329" w:type="dxa"/>
            <w:shd w:val="clear" w:color="auto" w:fill="auto"/>
            <w:vAlign w:val="center"/>
          </w:tcPr>
          <w:p w:rsidR="00D516C3" w:rsidRPr="00800AF9" w:rsidRDefault="00F674FE" w:rsidP="00D516C3">
            <w:pPr>
              <w:jc w:val="center"/>
              <w:rPr>
                <w:rFonts w:ascii="Arial Narrow" w:hAnsi="Arial Narrow"/>
                <w:sz w:val="12"/>
                <w:szCs w:val="12"/>
                <w:lang w:eastAsia="es-CO"/>
              </w:rPr>
            </w:pPr>
            <w:r w:rsidRPr="00800AF9">
              <w:rPr>
                <w:rFonts w:ascii="Arial Narrow" w:hAnsi="Arial Narrow"/>
                <w:sz w:val="12"/>
                <w:szCs w:val="12"/>
                <w:lang w:eastAsia="es-CO"/>
              </w:rPr>
              <w:t>3</w:t>
            </w:r>
          </w:p>
        </w:tc>
        <w:tc>
          <w:tcPr>
            <w:tcW w:w="329" w:type="dxa"/>
            <w:shd w:val="clear" w:color="auto" w:fill="auto"/>
            <w:vAlign w:val="center"/>
          </w:tcPr>
          <w:p w:rsidR="00D516C3" w:rsidRPr="00800AF9" w:rsidRDefault="00F674FE" w:rsidP="00D516C3">
            <w:pPr>
              <w:jc w:val="center"/>
              <w:rPr>
                <w:rFonts w:ascii="Arial Narrow" w:hAnsi="Arial Narrow"/>
                <w:sz w:val="12"/>
                <w:szCs w:val="12"/>
                <w:lang w:eastAsia="es-CO"/>
              </w:rPr>
            </w:pPr>
            <w:r w:rsidRPr="00800AF9">
              <w:rPr>
                <w:rFonts w:ascii="Arial Narrow" w:hAnsi="Arial Narrow"/>
                <w:sz w:val="12"/>
                <w:szCs w:val="12"/>
                <w:lang w:eastAsia="es-CO"/>
              </w:rPr>
              <w:t>5</w:t>
            </w:r>
          </w:p>
        </w:tc>
        <w:tc>
          <w:tcPr>
            <w:tcW w:w="329" w:type="dxa"/>
            <w:shd w:val="clear" w:color="auto" w:fill="auto"/>
            <w:textDirection w:val="btLr"/>
            <w:vAlign w:val="center"/>
          </w:tcPr>
          <w:p w:rsidR="00D516C3" w:rsidRPr="00800AF9" w:rsidRDefault="00F674FE" w:rsidP="00D516C3">
            <w:pPr>
              <w:jc w:val="center"/>
              <w:rPr>
                <w:rFonts w:ascii="Arial Narrow" w:hAnsi="Arial Narrow"/>
                <w:sz w:val="12"/>
                <w:szCs w:val="12"/>
                <w:lang w:eastAsia="es-CO"/>
              </w:rPr>
            </w:pPr>
            <w:r w:rsidRPr="00800AF9">
              <w:rPr>
                <w:rFonts w:ascii="Arial Narrow" w:hAnsi="Arial Narrow"/>
                <w:sz w:val="12"/>
                <w:szCs w:val="12"/>
                <w:lang w:eastAsia="es-CO"/>
              </w:rPr>
              <w:t>Medio</w:t>
            </w:r>
          </w:p>
        </w:tc>
        <w:tc>
          <w:tcPr>
            <w:tcW w:w="1215" w:type="dxa"/>
            <w:shd w:val="clear" w:color="auto" w:fill="auto"/>
            <w:vAlign w:val="center"/>
          </w:tcPr>
          <w:p w:rsidR="00D516C3" w:rsidRPr="00800AF9" w:rsidRDefault="00D516C3" w:rsidP="00D516C3">
            <w:pPr>
              <w:jc w:val="both"/>
              <w:rPr>
                <w:rFonts w:ascii="Arial Narrow" w:hAnsi="Arial Narrow"/>
                <w:sz w:val="12"/>
                <w:szCs w:val="12"/>
                <w:lang w:eastAsia="es-CO"/>
              </w:rPr>
            </w:pPr>
            <w:r w:rsidRPr="00800AF9">
              <w:rPr>
                <w:rFonts w:ascii="Arial Narrow" w:hAnsi="Arial Narrow"/>
                <w:sz w:val="12"/>
                <w:szCs w:val="12"/>
                <w:lang w:val="es-ES_tradnl" w:eastAsia="es-CO"/>
              </w:rPr>
              <w:t>El riesgo es asumido 100% por el contratista</w:t>
            </w:r>
          </w:p>
        </w:tc>
        <w:tc>
          <w:tcPr>
            <w:tcW w:w="1349" w:type="dxa"/>
            <w:shd w:val="clear" w:color="auto" w:fill="auto"/>
            <w:vAlign w:val="center"/>
          </w:tcPr>
          <w:p w:rsidR="00D516C3" w:rsidRPr="00800AF9" w:rsidRDefault="00D516C3" w:rsidP="00D516C3">
            <w:pPr>
              <w:jc w:val="both"/>
              <w:rPr>
                <w:rFonts w:ascii="Arial Narrow" w:hAnsi="Arial Narrow"/>
                <w:b/>
                <w:sz w:val="12"/>
                <w:szCs w:val="12"/>
                <w:lang w:val="es-CO" w:eastAsia="es-CO"/>
              </w:rPr>
            </w:pPr>
            <w:r w:rsidRPr="00800AF9">
              <w:rPr>
                <w:rFonts w:ascii="Arial Narrow" w:hAnsi="Arial Narrow"/>
                <w:b/>
                <w:sz w:val="12"/>
                <w:szCs w:val="12"/>
                <w:lang w:val="es-CO" w:eastAsia="es-CO"/>
              </w:rPr>
              <w:t>Tratamiento o control a ser implementado:</w:t>
            </w:r>
          </w:p>
          <w:p w:rsidR="00D516C3" w:rsidRPr="00800AF9" w:rsidRDefault="00D516C3" w:rsidP="00C758B9">
            <w:pPr>
              <w:jc w:val="both"/>
              <w:rPr>
                <w:rFonts w:ascii="Arial Narrow" w:hAnsi="Arial Narrow"/>
                <w:sz w:val="12"/>
                <w:szCs w:val="12"/>
                <w:lang w:eastAsia="es-CO"/>
              </w:rPr>
            </w:pPr>
            <w:r w:rsidRPr="00800AF9">
              <w:rPr>
                <w:rFonts w:ascii="Arial Narrow" w:hAnsi="Arial Narrow"/>
                <w:sz w:val="12"/>
                <w:szCs w:val="12"/>
                <w:lang w:val="es-CO" w:eastAsia="es-CO"/>
              </w:rPr>
              <w:t xml:space="preserve">Exigir al contratista la constancia de radicación del protocolo </w:t>
            </w:r>
            <w:r w:rsidR="00C758B9" w:rsidRPr="00800AF9">
              <w:rPr>
                <w:rFonts w:ascii="Arial Narrow" w:hAnsi="Arial Narrow"/>
                <w:sz w:val="12"/>
                <w:szCs w:val="12"/>
                <w:lang w:val="es-CO" w:eastAsia="es-CO"/>
              </w:rPr>
              <w:t xml:space="preserve">COVID </w:t>
            </w:r>
            <w:r w:rsidRPr="00800AF9">
              <w:rPr>
                <w:rFonts w:ascii="Arial Narrow" w:hAnsi="Arial Narrow"/>
                <w:sz w:val="12"/>
                <w:szCs w:val="12"/>
                <w:lang w:val="es-CO" w:eastAsia="es-CO"/>
              </w:rPr>
              <w:t>19 adecuado a la singularidad de la obra y hacer seguimiento a la implementación del mismo en el desarrollo de la obra</w:t>
            </w:r>
          </w:p>
        </w:tc>
        <w:tc>
          <w:tcPr>
            <w:tcW w:w="331" w:type="dxa"/>
            <w:shd w:val="clear" w:color="auto" w:fill="auto"/>
            <w:vAlign w:val="center"/>
          </w:tcPr>
          <w:p w:rsidR="00D516C3" w:rsidRPr="00800AF9" w:rsidRDefault="00C758B9" w:rsidP="00D516C3">
            <w:pPr>
              <w:jc w:val="center"/>
              <w:rPr>
                <w:rFonts w:ascii="Arial Narrow" w:hAnsi="Arial Narrow"/>
                <w:sz w:val="12"/>
                <w:szCs w:val="12"/>
                <w:lang w:eastAsia="es-CO"/>
              </w:rPr>
            </w:pPr>
            <w:r w:rsidRPr="00800AF9">
              <w:rPr>
                <w:rFonts w:ascii="Arial Narrow" w:hAnsi="Arial Narrow"/>
                <w:sz w:val="12"/>
                <w:szCs w:val="12"/>
                <w:lang w:eastAsia="es-CO"/>
              </w:rPr>
              <w:t>2</w:t>
            </w:r>
          </w:p>
        </w:tc>
        <w:tc>
          <w:tcPr>
            <w:tcW w:w="331" w:type="dxa"/>
            <w:shd w:val="clear" w:color="auto" w:fill="auto"/>
            <w:vAlign w:val="center"/>
          </w:tcPr>
          <w:p w:rsidR="00D516C3" w:rsidRPr="00800AF9" w:rsidRDefault="00C758B9" w:rsidP="00D516C3">
            <w:pPr>
              <w:jc w:val="center"/>
              <w:rPr>
                <w:rFonts w:ascii="Arial Narrow" w:hAnsi="Arial Narrow"/>
                <w:sz w:val="12"/>
                <w:szCs w:val="12"/>
                <w:lang w:eastAsia="es-CO"/>
              </w:rPr>
            </w:pPr>
            <w:r w:rsidRPr="00800AF9">
              <w:rPr>
                <w:rFonts w:ascii="Arial Narrow" w:hAnsi="Arial Narrow"/>
                <w:sz w:val="12"/>
                <w:szCs w:val="12"/>
                <w:lang w:eastAsia="es-CO"/>
              </w:rPr>
              <w:t>3</w:t>
            </w:r>
          </w:p>
        </w:tc>
        <w:tc>
          <w:tcPr>
            <w:tcW w:w="331" w:type="dxa"/>
            <w:shd w:val="clear" w:color="auto" w:fill="auto"/>
            <w:vAlign w:val="center"/>
          </w:tcPr>
          <w:p w:rsidR="00D516C3" w:rsidRPr="00800AF9" w:rsidRDefault="00C758B9" w:rsidP="00D516C3">
            <w:pPr>
              <w:jc w:val="center"/>
              <w:rPr>
                <w:rFonts w:ascii="Arial Narrow" w:hAnsi="Arial Narrow"/>
                <w:sz w:val="12"/>
                <w:szCs w:val="12"/>
                <w:lang w:eastAsia="es-CO"/>
              </w:rPr>
            </w:pPr>
            <w:r w:rsidRPr="00800AF9">
              <w:rPr>
                <w:rFonts w:ascii="Arial Narrow" w:hAnsi="Arial Narrow"/>
                <w:sz w:val="12"/>
                <w:szCs w:val="12"/>
                <w:lang w:eastAsia="es-CO"/>
              </w:rPr>
              <w:t>3</w:t>
            </w:r>
          </w:p>
        </w:tc>
        <w:tc>
          <w:tcPr>
            <w:tcW w:w="331" w:type="dxa"/>
            <w:shd w:val="clear" w:color="auto" w:fill="auto"/>
            <w:textDirection w:val="btLr"/>
            <w:vAlign w:val="center"/>
          </w:tcPr>
          <w:p w:rsidR="00D516C3" w:rsidRPr="00800AF9" w:rsidRDefault="00C758B9" w:rsidP="00D516C3">
            <w:pPr>
              <w:jc w:val="center"/>
              <w:rPr>
                <w:rFonts w:ascii="Arial Narrow" w:hAnsi="Arial Narrow"/>
                <w:sz w:val="12"/>
                <w:szCs w:val="12"/>
                <w:lang w:eastAsia="es-CO"/>
              </w:rPr>
            </w:pPr>
            <w:r w:rsidRPr="00800AF9">
              <w:rPr>
                <w:rFonts w:ascii="Arial Narrow" w:hAnsi="Arial Narrow"/>
                <w:sz w:val="12"/>
                <w:szCs w:val="12"/>
                <w:lang w:eastAsia="es-CO"/>
              </w:rPr>
              <w:t xml:space="preserve">MEDIO </w:t>
            </w:r>
          </w:p>
        </w:tc>
        <w:tc>
          <w:tcPr>
            <w:tcW w:w="329" w:type="dxa"/>
            <w:shd w:val="clear" w:color="auto" w:fill="auto"/>
            <w:vAlign w:val="center"/>
          </w:tcPr>
          <w:p w:rsidR="00D516C3" w:rsidRPr="00800AF9" w:rsidRDefault="00C758B9" w:rsidP="00D516C3">
            <w:pPr>
              <w:jc w:val="center"/>
              <w:rPr>
                <w:rFonts w:ascii="Arial Narrow" w:hAnsi="Arial Narrow"/>
                <w:sz w:val="12"/>
                <w:szCs w:val="12"/>
                <w:lang w:eastAsia="es-CO"/>
              </w:rPr>
            </w:pPr>
            <w:r w:rsidRPr="00800AF9">
              <w:rPr>
                <w:rFonts w:ascii="Arial Narrow" w:hAnsi="Arial Narrow"/>
                <w:sz w:val="12"/>
                <w:szCs w:val="12"/>
                <w:lang w:eastAsia="es-CO"/>
              </w:rPr>
              <w:t>SI</w:t>
            </w:r>
          </w:p>
        </w:tc>
        <w:tc>
          <w:tcPr>
            <w:tcW w:w="812" w:type="dxa"/>
            <w:shd w:val="clear" w:color="auto" w:fill="auto"/>
            <w:textDirection w:val="btLr"/>
            <w:vAlign w:val="center"/>
          </w:tcPr>
          <w:p w:rsidR="00D516C3" w:rsidRPr="00800AF9" w:rsidRDefault="00C758B9" w:rsidP="00D516C3">
            <w:pPr>
              <w:jc w:val="center"/>
              <w:rPr>
                <w:rFonts w:ascii="Arial Narrow" w:hAnsi="Arial Narrow"/>
                <w:sz w:val="12"/>
                <w:szCs w:val="12"/>
                <w:lang w:eastAsia="es-CO"/>
              </w:rPr>
            </w:pPr>
            <w:r w:rsidRPr="00800AF9">
              <w:rPr>
                <w:rFonts w:ascii="Arial Narrow" w:hAnsi="Arial Narrow"/>
                <w:sz w:val="12"/>
                <w:szCs w:val="12"/>
                <w:lang w:eastAsia="es-CO"/>
              </w:rPr>
              <w:t>contratista</w:t>
            </w:r>
          </w:p>
        </w:tc>
        <w:tc>
          <w:tcPr>
            <w:tcW w:w="329" w:type="dxa"/>
            <w:shd w:val="clear" w:color="auto" w:fill="auto"/>
            <w:textDirection w:val="btLr"/>
            <w:vAlign w:val="center"/>
          </w:tcPr>
          <w:p w:rsidR="00D516C3" w:rsidRPr="00800AF9" w:rsidRDefault="00C758B9" w:rsidP="00D516C3">
            <w:pPr>
              <w:jc w:val="center"/>
              <w:rPr>
                <w:rFonts w:ascii="Arial Narrow" w:hAnsi="Arial Narrow"/>
                <w:sz w:val="12"/>
                <w:szCs w:val="12"/>
                <w:lang w:eastAsia="es-CO"/>
              </w:rPr>
            </w:pPr>
            <w:r w:rsidRPr="00800AF9">
              <w:rPr>
                <w:rFonts w:ascii="Arial Narrow" w:hAnsi="Arial Narrow"/>
                <w:sz w:val="12"/>
                <w:szCs w:val="12"/>
                <w:lang w:eastAsia="es-CO"/>
              </w:rPr>
              <w:t xml:space="preserve">al iniciar la ejecución </w:t>
            </w:r>
          </w:p>
        </w:tc>
        <w:tc>
          <w:tcPr>
            <w:tcW w:w="983" w:type="dxa"/>
            <w:shd w:val="clear" w:color="auto" w:fill="auto"/>
            <w:vAlign w:val="center"/>
          </w:tcPr>
          <w:p w:rsidR="00D516C3" w:rsidRPr="00800AF9" w:rsidRDefault="00C758B9" w:rsidP="00D516C3">
            <w:pPr>
              <w:jc w:val="both"/>
              <w:rPr>
                <w:rFonts w:ascii="Arial Narrow" w:hAnsi="Arial Narrow"/>
                <w:sz w:val="12"/>
                <w:szCs w:val="12"/>
                <w:lang w:eastAsia="es-CO"/>
              </w:rPr>
            </w:pPr>
            <w:r w:rsidRPr="00800AF9">
              <w:rPr>
                <w:rFonts w:ascii="Arial Narrow" w:hAnsi="Arial Narrow"/>
                <w:sz w:val="12"/>
                <w:szCs w:val="12"/>
                <w:lang w:eastAsia="es-CO"/>
              </w:rPr>
              <w:t>Hasta la finalización del proyecto.</w:t>
            </w:r>
          </w:p>
        </w:tc>
        <w:tc>
          <w:tcPr>
            <w:tcW w:w="1062" w:type="dxa"/>
            <w:shd w:val="clear" w:color="auto" w:fill="auto"/>
            <w:vAlign w:val="center"/>
          </w:tcPr>
          <w:p w:rsidR="00D516C3" w:rsidRPr="00800AF9" w:rsidRDefault="00C758B9" w:rsidP="00D516C3">
            <w:pPr>
              <w:jc w:val="both"/>
              <w:rPr>
                <w:rFonts w:ascii="Arial Narrow" w:hAnsi="Arial Narrow"/>
                <w:sz w:val="12"/>
                <w:szCs w:val="12"/>
                <w:lang w:eastAsia="es-CO"/>
              </w:rPr>
            </w:pPr>
            <w:r w:rsidRPr="00800AF9">
              <w:rPr>
                <w:rFonts w:ascii="Arial Narrow" w:hAnsi="Arial Narrow"/>
                <w:sz w:val="12"/>
                <w:szCs w:val="12"/>
                <w:lang w:eastAsia="es-CO"/>
              </w:rPr>
              <w:t xml:space="preserve">Revisión periódica por parte de la supervisión  </w:t>
            </w:r>
          </w:p>
        </w:tc>
        <w:tc>
          <w:tcPr>
            <w:tcW w:w="476" w:type="dxa"/>
            <w:shd w:val="clear" w:color="auto" w:fill="auto"/>
            <w:textDirection w:val="btLr"/>
            <w:vAlign w:val="center"/>
          </w:tcPr>
          <w:p w:rsidR="00D516C3" w:rsidRPr="00800AF9" w:rsidRDefault="00C758B9" w:rsidP="00C758B9">
            <w:pPr>
              <w:rPr>
                <w:rFonts w:ascii="Arial Narrow" w:hAnsi="Arial Narrow"/>
                <w:sz w:val="12"/>
                <w:szCs w:val="12"/>
                <w:lang w:eastAsia="es-CO"/>
              </w:rPr>
            </w:pPr>
            <w:r w:rsidRPr="00800AF9">
              <w:rPr>
                <w:rFonts w:ascii="Arial Narrow" w:hAnsi="Arial Narrow"/>
                <w:sz w:val="12"/>
                <w:szCs w:val="12"/>
                <w:lang w:eastAsia="es-CO"/>
              </w:rPr>
              <w:t xml:space="preserve">Revisión semanal de la implementación de protocolo </w:t>
            </w:r>
          </w:p>
        </w:tc>
      </w:tr>
    </w:tbl>
    <w:p w:rsidR="0093248F" w:rsidRDefault="0093248F">
      <w:pPr>
        <w:rPr>
          <w:rFonts w:ascii="Arial Narrow" w:hAnsi="Arial Narrow"/>
          <w:b/>
          <w:color w:val="000000" w:themeColor="text1"/>
        </w:rPr>
      </w:pPr>
    </w:p>
    <w:p w:rsidR="0093248F" w:rsidRDefault="0093248F">
      <w:pPr>
        <w:jc w:val="center"/>
        <w:rPr>
          <w:rFonts w:ascii="Arial Narrow" w:hAnsi="Arial Narrow"/>
          <w:b/>
          <w:color w:val="000000" w:themeColor="text1"/>
        </w:rPr>
      </w:pPr>
      <w:bookmarkStart w:id="0" w:name="_GoBack"/>
      <w:bookmarkEnd w:id="0"/>
    </w:p>
    <w:p w:rsidR="0093248F" w:rsidRDefault="0093248F">
      <w:pPr>
        <w:rPr>
          <w:rFonts w:ascii="Arial Narrow" w:hAnsi="Arial Narrow"/>
          <w:b/>
        </w:rPr>
      </w:pPr>
    </w:p>
    <w:p w:rsidR="0093248F" w:rsidRDefault="0093248F">
      <w:pPr>
        <w:jc w:val="center"/>
        <w:rPr>
          <w:rFonts w:ascii="Arial Narrow" w:hAnsi="Arial Narrow"/>
          <w:b/>
        </w:rPr>
      </w:pPr>
    </w:p>
    <w:sectPr w:rsidR="0093248F" w:rsidSect="00F17E7A">
      <w:headerReference w:type="default" r:id="rId9"/>
      <w:footerReference w:type="default" r:id="rId10"/>
      <w:pgSz w:w="15840" w:h="12240" w:orient="landscape"/>
      <w:pgMar w:top="3029" w:right="1417" w:bottom="1701"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698" w:rsidRDefault="00760698">
      <w:r>
        <w:separator/>
      </w:r>
    </w:p>
  </w:endnote>
  <w:endnote w:type="continuationSeparator" w:id="0">
    <w:p w:rsidR="00760698" w:rsidRDefault="00760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BFE" w:rsidRPr="00514481" w:rsidRDefault="00F92BFE" w:rsidP="00F92BFE">
    <w:pPr>
      <w:pStyle w:val="Encabezado"/>
      <w:jc w:val="center"/>
      <w:rPr>
        <w:b/>
        <w:noProof/>
        <w:color w:val="000000" w:themeColor="text1"/>
        <w:lang w:val="es-CO"/>
      </w:rPr>
    </w:pPr>
    <w:r w:rsidRPr="00514481">
      <w:rPr>
        <w:b/>
        <w:noProof/>
        <w:color w:val="000000" w:themeColor="text1"/>
        <w:lang w:val="es-CO"/>
      </w:rPr>
      <w:t>ALCALDÍA DE MANIZALES</w:t>
    </w:r>
  </w:p>
  <w:p w:rsidR="00F92BFE" w:rsidRPr="00514481" w:rsidRDefault="00F92BFE" w:rsidP="00F92BFE">
    <w:pPr>
      <w:pStyle w:val="Encabezado"/>
      <w:jc w:val="center"/>
      <w:rPr>
        <w:b/>
        <w:noProof/>
        <w:color w:val="000000" w:themeColor="text1"/>
        <w:lang w:val="es-CO"/>
      </w:rPr>
    </w:pPr>
    <w:r w:rsidRPr="00514481">
      <w:rPr>
        <w:b/>
        <w:noProof/>
        <w:color w:val="000000" w:themeColor="text1"/>
        <w:lang w:val="es-CO"/>
      </w:rPr>
      <w:t>Calle 19 N° 21-44 Propiedad Horizontal CAM</w:t>
    </w:r>
  </w:p>
  <w:p w:rsidR="00F92BFE" w:rsidRPr="00514481" w:rsidRDefault="00F92BFE" w:rsidP="00F92BFE">
    <w:pPr>
      <w:pStyle w:val="Encabezado"/>
      <w:jc w:val="center"/>
      <w:rPr>
        <w:b/>
        <w:noProof/>
        <w:color w:val="000000" w:themeColor="text1"/>
        <w:lang w:val="es-CO"/>
      </w:rPr>
    </w:pPr>
    <w:r w:rsidRPr="00514481">
      <w:rPr>
        <w:b/>
        <w:noProof/>
        <w:color w:val="000000" w:themeColor="text1"/>
        <w:lang w:val="es-CO"/>
      </w:rPr>
      <w:t>Teléfono 887 97 00 ext.71500 – Código postal 170001 – Atención al Cliente 018000 968988</w:t>
    </w:r>
  </w:p>
  <w:p w:rsidR="00F92BFE" w:rsidRPr="00514481" w:rsidRDefault="00F92BFE" w:rsidP="00F92BFE">
    <w:pPr>
      <w:pStyle w:val="Encabezado"/>
      <w:jc w:val="center"/>
      <w:rPr>
        <w:b/>
        <w:noProof/>
        <w:color w:val="000000" w:themeColor="text1"/>
        <w:lang w:val="es-CO"/>
      </w:rPr>
    </w:pPr>
    <w:r w:rsidRPr="00514481">
      <w:rPr>
        <w:b/>
        <w:noProof/>
        <w:color w:val="000000" w:themeColor="text1"/>
        <w:lang w:val="es-CO"/>
      </w:rPr>
      <w:t>www.manizales.gov.co</w:t>
    </w:r>
  </w:p>
  <w:p w:rsidR="00F92BFE" w:rsidRDefault="00F92BF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698" w:rsidRDefault="00760698">
      <w:r>
        <w:separator/>
      </w:r>
    </w:p>
  </w:footnote>
  <w:footnote w:type="continuationSeparator" w:id="0">
    <w:p w:rsidR="00760698" w:rsidRDefault="007606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48F" w:rsidRDefault="0093248F">
    <w:pPr>
      <w:pStyle w:val="Encabezado"/>
      <w:rPr>
        <w:rFonts w:ascii="Arial Narrow" w:hAnsi="Arial Narrow"/>
        <w:b/>
        <w:color w:val="000000" w:themeColor="text1"/>
      </w:rPr>
    </w:pPr>
  </w:p>
  <w:p w:rsidR="0093248F" w:rsidRDefault="00F92BFE" w:rsidP="00F92BFE">
    <w:pPr>
      <w:pStyle w:val="Encabezado"/>
      <w:tabs>
        <w:tab w:val="clear" w:pos="4419"/>
        <w:tab w:val="clear" w:pos="8838"/>
        <w:tab w:val="left" w:pos="2500"/>
      </w:tabs>
      <w:rPr>
        <w:rFonts w:ascii="Arial Narrow" w:hAnsi="Arial Narrow"/>
        <w:b/>
        <w:color w:val="000000" w:themeColor="text1"/>
      </w:rPr>
    </w:pPr>
    <w:r>
      <w:rPr>
        <w:rFonts w:ascii="Arial Narrow" w:hAnsi="Arial Narrow"/>
        <w:b/>
        <w:color w:val="000000" w:themeColor="text1"/>
      </w:rPr>
      <w:tab/>
    </w:r>
    <w:r>
      <w:rPr>
        <w:b/>
        <w:noProof/>
        <w:sz w:val="20"/>
        <w:szCs w:val="20"/>
        <w:lang w:val="es-CO" w:eastAsia="es-CO"/>
      </w:rPr>
      <w:drawing>
        <wp:anchor distT="0" distB="0" distL="114300" distR="114300" simplePos="0" relativeHeight="251663360" behindDoc="0" locked="0" layoutInCell="1" allowOverlap="1">
          <wp:simplePos x="0" y="0"/>
          <wp:positionH relativeFrom="column">
            <wp:posOffset>-403860</wp:posOffset>
          </wp:positionH>
          <wp:positionV relativeFrom="paragraph">
            <wp:posOffset>-243205</wp:posOffset>
          </wp:positionV>
          <wp:extent cx="876300" cy="12515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png"/>
                  <pic:cNvPicPr/>
                </pic:nvPicPr>
                <pic:blipFill>
                  <a:blip r:embed="rId1">
                    <a:extLst>
                      <a:ext uri="{28A0092B-C50C-407E-A947-70E740481C1C}">
                        <a14:useLocalDpi xmlns:a14="http://schemas.microsoft.com/office/drawing/2010/main" val="0"/>
                      </a:ext>
                    </a:extLst>
                  </a:blip>
                  <a:stretch>
                    <a:fillRect/>
                  </a:stretch>
                </pic:blipFill>
                <pic:spPr>
                  <a:xfrm>
                    <a:off x="0" y="0"/>
                    <a:ext cx="876300" cy="1251585"/>
                  </a:xfrm>
                  <a:prstGeom prst="rect">
                    <a:avLst/>
                  </a:prstGeom>
                </pic:spPr>
              </pic:pic>
            </a:graphicData>
          </a:graphic>
        </wp:anchor>
      </w:drawing>
    </w:r>
  </w:p>
  <w:p w:rsidR="0093248F" w:rsidRDefault="0093248F">
    <w:pPr>
      <w:pStyle w:val="Encabezado"/>
      <w:rPr>
        <w:rFonts w:ascii="Arial Narrow" w:hAnsi="Arial Narrow"/>
        <w:b/>
        <w:color w:val="000000" w:themeColor="text1"/>
      </w:rPr>
    </w:pPr>
  </w:p>
  <w:p w:rsidR="0093248F" w:rsidRDefault="00127DCB">
    <w:pPr>
      <w:pStyle w:val="Encabezado"/>
      <w:rPr>
        <w:rFonts w:ascii="Arial Narrow" w:hAnsi="Arial Narrow"/>
        <w:b/>
        <w:color w:val="000000" w:themeColor="text1"/>
      </w:rPr>
    </w:pPr>
    <w:r>
      <w:rPr>
        <w:noProof/>
        <w:lang w:val="es-CO" w:eastAsia="es-CO"/>
      </w:rPr>
      <mc:AlternateContent>
        <mc:Choice Requires="wps">
          <w:drawing>
            <wp:anchor distT="0" distB="0" distL="114300" distR="114300" simplePos="0" relativeHeight="251665408" behindDoc="0" locked="0" layoutInCell="1" allowOverlap="1">
              <wp:simplePos x="0" y="0"/>
              <wp:positionH relativeFrom="margin">
                <wp:posOffset>485140</wp:posOffset>
              </wp:positionH>
              <wp:positionV relativeFrom="paragraph">
                <wp:posOffset>-88265</wp:posOffset>
              </wp:positionV>
              <wp:extent cx="1635760" cy="587375"/>
              <wp:effectExtent l="0" t="0" r="0" b="3175"/>
              <wp:wrapNone/>
              <wp:docPr id="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5760" cy="587375"/>
                      </a:xfrm>
                      <a:prstGeom prst="rect">
                        <a:avLst/>
                      </a:prstGeom>
                      <a:noFill/>
                      <a:ln>
                        <a:noFill/>
                      </a:ln>
                      <a:effectLst/>
                    </wps:spPr>
                    <wps:txbx>
                      <w:txbxContent>
                        <w:p w:rsidR="00F92BFE" w:rsidRPr="00514481" w:rsidRDefault="00F92BFE" w:rsidP="00F92BFE">
                          <w:pPr>
                            <w:pStyle w:val="Encabezado"/>
                            <w:jc w:val="center"/>
                            <w:rPr>
                              <w:b/>
                              <w:noProof/>
                              <w:color w:val="404040" w:themeColor="text1" w:themeTint="BF"/>
                              <w:sz w:val="32"/>
                              <w:szCs w:val="32"/>
                              <w:lang w:val="es-CO"/>
                            </w:rPr>
                          </w:pPr>
                          <w:r w:rsidRPr="00514481">
                            <w:rPr>
                              <w:b/>
                              <w:noProof/>
                              <w:color w:val="404040" w:themeColor="text1" w:themeTint="BF"/>
                              <w:sz w:val="32"/>
                              <w:szCs w:val="32"/>
                              <w:lang w:val="es-CO"/>
                            </w:rPr>
                            <w:t>SECRETARÍA DE</w:t>
                          </w:r>
                        </w:p>
                        <w:p w:rsidR="00F92BFE" w:rsidRPr="00514481" w:rsidRDefault="00F92BFE" w:rsidP="00F92BFE">
                          <w:pPr>
                            <w:pStyle w:val="Encabezado"/>
                            <w:jc w:val="center"/>
                            <w:rPr>
                              <w:b/>
                              <w:noProof/>
                              <w:color w:val="404040" w:themeColor="text1" w:themeTint="BF"/>
                              <w:sz w:val="32"/>
                              <w:szCs w:val="32"/>
                              <w:lang w:val="es-CO"/>
                            </w:rPr>
                          </w:pPr>
                          <w:r w:rsidRPr="00514481">
                            <w:rPr>
                              <w:b/>
                              <w:noProof/>
                              <w:color w:val="404040" w:themeColor="text1" w:themeTint="BF"/>
                              <w:sz w:val="32"/>
                              <w:szCs w:val="32"/>
                              <w:lang w:val="es-CO"/>
                            </w:rPr>
                            <w:t>OBRAS PÚBLICAS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Cuadro de texto 1" o:spid="_x0000_s1026" type="#_x0000_t202" style="position:absolute;margin-left:38.2pt;margin-top:-6.95pt;width:128.8pt;height:46.25pt;z-index:251665408;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" filled="f" stroked="f">
              <v:path arrowok="t"/>
              <v:textbox style="mso-fit-shape-to-text:t">
                <w:txbxContent>
                  <w:p w:rsidR="00F92BFE" w:rsidRPr="00514481" w:rsidRDefault="00F92BFE" w:rsidP="00F92BFE">
                    <w:pPr>
                      <w:pStyle w:val="Encabezado"/>
                      <w:jc w:val="center"/>
                      <w:rPr>
                        <w:b/>
                        <w:noProof/>
                        <w:color w:val="404040" w:themeColor="text1" w:themeTint="BF"/>
                        <w:sz w:val="32"/>
                        <w:szCs w:val="32"/>
                        <w:lang w:val="es-CO"/>
                      </w:rPr>
                    </w:pPr>
                    <w:r w:rsidRPr="00514481">
                      <w:rPr>
                        <w:b/>
                        <w:noProof/>
                        <w:color w:val="404040" w:themeColor="text1" w:themeTint="BF"/>
                        <w:sz w:val="32"/>
                        <w:szCs w:val="32"/>
                        <w:lang w:val="es-CO"/>
                      </w:rPr>
                      <w:t>SECRETARÍA DE</w:t>
                    </w:r>
                  </w:p>
                  <w:p w:rsidR="00F92BFE" w:rsidRPr="00514481" w:rsidRDefault="00F92BFE" w:rsidP="00F92BFE">
                    <w:pPr>
                      <w:pStyle w:val="Encabezado"/>
                      <w:jc w:val="center"/>
                      <w:rPr>
                        <w:b/>
                        <w:noProof/>
                        <w:color w:val="404040" w:themeColor="text1" w:themeTint="BF"/>
                        <w:sz w:val="32"/>
                        <w:szCs w:val="32"/>
                        <w:lang w:val="es-CO"/>
                      </w:rPr>
                    </w:pPr>
                    <w:r w:rsidRPr="00514481">
                      <w:rPr>
                        <w:b/>
                        <w:noProof/>
                        <w:color w:val="404040" w:themeColor="text1" w:themeTint="BF"/>
                        <w:sz w:val="32"/>
                        <w:szCs w:val="32"/>
                        <w:lang w:val="es-CO"/>
                      </w:rPr>
                      <w:t>OBRAS PÚBLICAS</w:t>
                    </w:r>
                  </w:p>
                </w:txbxContent>
              </v:textbox>
              <w10:wrap anchorx="margin"/>
            </v:shape>
          </w:pict>
        </mc:Fallback>
      </mc:AlternateContent>
    </w:r>
  </w:p>
  <w:p w:rsidR="0093248F" w:rsidRDefault="0093248F">
    <w:pPr>
      <w:pStyle w:val="Encabezado"/>
      <w:rPr>
        <w:rFonts w:ascii="Arial Narrow" w:hAnsi="Arial Narrow"/>
        <w:b/>
        <w:color w:val="000000" w:themeColor="text1"/>
      </w:rPr>
    </w:pPr>
  </w:p>
  <w:p w:rsidR="0093248F" w:rsidRDefault="0093248F">
    <w:pPr>
      <w:pStyle w:val="Encabezado"/>
      <w:jc w:val="center"/>
      <w:rPr>
        <w:rFonts w:ascii="Arial Narrow" w:hAnsi="Arial Narrow"/>
        <w:b/>
        <w:color w:val="000000" w:themeColor="text1"/>
      </w:rPr>
    </w:pPr>
  </w:p>
  <w:p w:rsidR="0093248F" w:rsidRDefault="00F92BFE">
    <w:pPr>
      <w:pStyle w:val="Encabezado"/>
      <w:jc w:val="center"/>
    </w:pPr>
    <w:r>
      <w:rPr>
        <w:rFonts w:ascii="Arial Narrow" w:hAnsi="Arial Narrow"/>
        <w:b/>
        <w:color w:val="000000" w:themeColor="text1"/>
      </w:rPr>
      <w:t>ANEXO N° 1 – MATRIZ DE RIESGOS</w:t>
    </w:r>
    <w:r>
      <w:rPr>
        <w:noProof/>
        <w:lang w:val="es-CO" w:eastAsia="es-CO"/>
      </w:rPr>
      <w:drawing>
        <wp:anchor distT="0" distB="0" distL="114300" distR="114300" simplePos="0" relativeHeight="251661312" behindDoc="1" locked="0" layoutInCell="1" allowOverlap="1">
          <wp:simplePos x="0" y="0"/>
          <wp:positionH relativeFrom="column">
            <wp:posOffset>-789305</wp:posOffset>
          </wp:positionH>
          <wp:positionV relativeFrom="paragraph">
            <wp:posOffset>8253730</wp:posOffset>
          </wp:positionV>
          <wp:extent cx="7781925" cy="1530350"/>
          <wp:effectExtent l="0" t="0" r="0" b="0"/>
          <wp:wrapNone/>
          <wp:docPr id="5" name="Imagen 5" descr="Macintosh HD:Users:BryanSantiagoGrisalesChica:Documents:Marca Ciudad Manizales:Diseños:Membretes Municipales:Barra-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Macintosh HD:Users:BryanSantiagoGrisalesChica:Documents:Marca Ciudad Manizales:Diseños:Membretes Municipales:Barra-Inferio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781925" cy="1530407"/>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7D4"/>
    <w:rsid w:val="000B0FE9"/>
    <w:rsid w:val="000C31FA"/>
    <w:rsid w:val="000E28AD"/>
    <w:rsid w:val="000F7127"/>
    <w:rsid w:val="00127DCB"/>
    <w:rsid w:val="001C3E7A"/>
    <w:rsid w:val="001C6D3F"/>
    <w:rsid w:val="001E210C"/>
    <w:rsid w:val="001F1F47"/>
    <w:rsid w:val="002542B2"/>
    <w:rsid w:val="00264534"/>
    <w:rsid w:val="00274070"/>
    <w:rsid w:val="00274BFF"/>
    <w:rsid w:val="002A508F"/>
    <w:rsid w:val="003A0964"/>
    <w:rsid w:val="003F517C"/>
    <w:rsid w:val="00461761"/>
    <w:rsid w:val="004727FB"/>
    <w:rsid w:val="00476731"/>
    <w:rsid w:val="004A3D92"/>
    <w:rsid w:val="004A46A1"/>
    <w:rsid w:val="00575391"/>
    <w:rsid w:val="005831CE"/>
    <w:rsid w:val="005D682C"/>
    <w:rsid w:val="00644848"/>
    <w:rsid w:val="00760698"/>
    <w:rsid w:val="007C43E8"/>
    <w:rsid w:val="007F6F59"/>
    <w:rsid w:val="00800AF9"/>
    <w:rsid w:val="00812938"/>
    <w:rsid w:val="008C45B3"/>
    <w:rsid w:val="00913807"/>
    <w:rsid w:val="0093248F"/>
    <w:rsid w:val="00962E51"/>
    <w:rsid w:val="009B0447"/>
    <w:rsid w:val="00A025BF"/>
    <w:rsid w:val="00A22E51"/>
    <w:rsid w:val="00A244C0"/>
    <w:rsid w:val="00A76826"/>
    <w:rsid w:val="00AF25DA"/>
    <w:rsid w:val="00B64308"/>
    <w:rsid w:val="00B712AF"/>
    <w:rsid w:val="00B77636"/>
    <w:rsid w:val="00BF07D4"/>
    <w:rsid w:val="00C36B48"/>
    <w:rsid w:val="00C52461"/>
    <w:rsid w:val="00C758B9"/>
    <w:rsid w:val="00CC3A74"/>
    <w:rsid w:val="00CC6DEA"/>
    <w:rsid w:val="00CD7CF1"/>
    <w:rsid w:val="00CE3B30"/>
    <w:rsid w:val="00D020C2"/>
    <w:rsid w:val="00D0502C"/>
    <w:rsid w:val="00D426C1"/>
    <w:rsid w:val="00D516C3"/>
    <w:rsid w:val="00D61232"/>
    <w:rsid w:val="00DF0C83"/>
    <w:rsid w:val="00E128D4"/>
    <w:rsid w:val="00E162B2"/>
    <w:rsid w:val="00EF2049"/>
    <w:rsid w:val="00F13290"/>
    <w:rsid w:val="00F17E7A"/>
    <w:rsid w:val="00F33D26"/>
    <w:rsid w:val="00F53FDF"/>
    <w:rsid w:val="00F62DE1"/>
    <w:rsid w:val="00F674FE"/>
    <w:rsid w:val="00F80384"/>
    <w:rsid w:val="00F92BFE"/>
    <w:rsid w:val="00FF1DB8"/>
    <w:rsid w:val="2BF3455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eastAsiaTheme="minorEastAsi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Pr>
      <w:rFonts w:ascii="Tahoma" w:hAnsi="Tahoma" w:cs="Tahoma"/>
      <w:sz w:val="16"/>
      <w:szCs w:val="16"/>
    </w:rPr>
  </w:style>
  <w:style w:type="paragraph" w:styleId="Encabezado">
    <w:name w:val="header"/>
    <w:basedOn w:val="Normal"/>
    <w:link w:val="EncabezadoCar"/>
    <w:uiPriority w:val="99"/>
    <w:unhideWhenUsed/>
    <w:pPr>
      <w:tabs>
        <w:tab w:val="center" w:pos="4419"/>
        <w:tab w:val="right" w:pos="8838"/>
      </w:tabs>
    </w:pPr>
  </w:style>
  <w:style w:type="paragraph" w:styleId="Piedepgina">
    <w:name w:val="footer"/>
    <w:basedOn w:val="Normal"/>
    <w:link w:val="PiedepginaCar"/>
    <w:uiPriority w:val="99"/>
    <w:unhideWhenUsed/>
    <w:pPr>
      <w:tabs>
        <w:tab w:val="center" w:pos="4419"/>
        <w:tab w:val="right" w:pos="8838"/>
      </w:tabs>
    </w:pPr>
  </w:style>
  <w:style w:type="character" w:customStyle="1" w:styleId="EncabezadoCar">
    <w:name w:val="Encabezado Car"/>
    <w:basedOn w:val="Fuentedeprrafopredeter"/>
    <w:link w:val="Encabezado"/>
    <w:uiPriority w:val="99"/>
    <w:rPr>
      <w:rFonts w:eastAsiaTheme="minorEastAsia"/>
      <w:sz w:val="24"/>
      <w:szCs w:val="24"/>
      <w:lang w:eastAsia="es-ES"/>
    </w:rPr>
  </w:style>
  <w:style w:type="character" w:customStyle="1" w:styleId="PiedepginaCar">
    <w:name w:val="Pie de página Car"/>
    <w:basedOn w:val="Fuentedeprrafopredeter"/>
    <w:link w:val="Piedepgina"/>
    <w:uiPriority w:val="99"/>
    <w:rPr>
      <w:rFonts w:eastAsiaTheme="minorEastAsia"/>
      <w:sz w:val="24"/>
      <w:szCs w:val="24"/>
      <w:lang w:eastAsia="es-ES"/>
    </w:rPr>
  </w:style>
  <w:style w:type="character" w:customStyle="1" w:styleId="TextodegloboCar">
    <w:name w:val="Texto de globo Car"/>
    <w:basedOn w:val="Fuentedeprrafopredeter"/>
    <w:link w:val="Textodeglobo"/>
    <w:uiPriority w:val="99"/>
    <w:semiHidden/>
    <w:qFormat/>
    <w:rPr>
      <w:rFonts w:ascii="Tahoma" w:eastAsiaTheme="minorEastAsia"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eastAsiaTheme="minorEastAsi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Pr>
      <w:rFonts w:ascii="Tahoma" w:hAnsi="Tahoma" w:cs="Tahoma"/>
      <w:sz w:val="16"/>
      <w:szCs w:val="16"/>
    </w:rPr>
  </w:style>
  <w:style w:type="paragraph" w:styleId="Encabezado">
    <w:name w:val="header"/>
    <w:basedOn w:val="Normal"/>
    <w:link w:val="EncabezadoCar"/>
    <w:uiPriority w:val="99"/>
    <w:unhideWhenUsed/>
    <w:pPr>
      <w:tabs>
        <w:tab w:val="center" w:pos="4419"/>
        <w:tab w:val="right" w:pos="8838"/>
      </w:tabs>
    </w:pPr>
  </w:style>
  <w:style w:type="paragraph" w:styleId="Piedepgina">
    <w:name w:val="footer"/>
    <w:basedOn w:val="Normal"/>
    <w:link w:val="PiedepginaCar"/>
    <w:uiPriority w:val="99"/>
    <w:unhideWhenUsed/>
    <w:pPr>
      <w:tabs>
        <w:tab w:val="center" w:pos="4419"/>
        <w:tab w:val="right" w:pos="8838"/>
      </w:tabs>
    </w:pPr>
  </w:style>
  <w:style w:type="character" w:customStyle="1" w:styleId="EncabezadoCar">
    <w:name w:val="Encabezado Car"/>
    <w:basedOn w:val="Fuentedeprrafopredeter"/>
    <w:link w:val="Encabezado"/>
    <w:uiPriority w:val="99"/>
    <w:rPr>
      <w:rFonts w:eastAsiaTheme="minorEastAsia"/>
      <w:sz w:val="24"/>
      <w:szCs w:val="24"/>
      <w:lang w:eastAsia="es-ES"/>
    </w:rPr>
  </w:style>
  <w:style w:type="character" w:customStyle="1" w:styleId="PiedepginaCar">
    <w:name w:val="Pie de página Car"/>
    <w:basedOn w:val="Fuentedeprrafopredeter"/>
    <w:link w:val="Piedepgina"/>
    <w:uiPriority w:val="99"/>
    <w:rPr>
      <w:rFonts w:eastAsiaTheme="minorEastAsia"/>
      <w:sz w:val="24"/>
      <w:szCs w:val="24"/>
      <w:lang w:eastAsia="es-ES"/>
    </w:rPr>
  </w:style>
  <w:style w:type="character" w:customStyle="1" w:styleId="TextodegloboCar">
    <w:name w:val="Texto de globo Car"/>
    <w:basedOn w:val="Fuentedeprrafopredeter"/>
    <w:link w:val="Textodeglobo"/>
    <w:uiPriority w:val="99"/>
    <w:semiHidden/>
    <w:qFormat/>
    <w:rPr>
      <w:rFonts w:ascii="Tahoma" w:eastAsiaTheme="minorEastAsia"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5448</Words>
  <Characters>29970</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David Giraldo</dc:creator>
  <cp:lastModifiedBy>Ana Milena Ramirez Betancur</cp:lastModifiedBy>
  <cp:revision>2</cp:revision>
  <cp:lastPrinted>2017-03-23T12:39:00Z</cp:lastPrinted>
  <dcterms:created xsi:type="dcterms:W3CDTF">2020-09-07T15:50:00Z</dcterms:created>
  <dcterms:modified xsi:type="dcterms:W3CDTF">2020-09-07T15:50:00Z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3082-10.2.0.7646</vt:lpwstr>
  </property>
</Properties>
</file>