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D12" w:rsidRPr="00B02D12" w:rsidRDefault="00B02D12" w:rsidP="00B02D12">
      <w:pPr>
        <w:jc w:val="center"/>
        <w:rPr>
          <w:rFonts w:ascii="Arial" w:hAnsi="Arial" w:cs="Arial"/>
          <w:b/>
          <w:sz w:val="20"/>
          <w:szCs w:val="20"/>
        </w:rPr>
      </w:pPr>
      <w:r w:rsidRPr="00B02D12">
        <w:rPr>
          <w:rFonts w:ascii="Arial" w:hAnsi="Arial" w:cs="Arial"/>
          <w:b/>
          <w:sz w:val="20"/>
          <w:szCs w:val="20"/>
        </w:rPr>
        <w:t>Anexo No. 8</w:t>
      </w:r>
    </w:p>
    <w:p w:rsidR="00B02D12" w:rsidRPr="00B02D12" w:rsidRDefault="00B02D12" w:rsidP="00B02D12">
      <w:pPr>
        <w:jc w:val="center"/>
        <w:rPr>
          <w:rFonts w:ascii="Arial" w:hAnsi="Arial" w:cs="Arial"/>
          <w:b/>
          <w:sz w:val="20"/>
          <w:szCs w:val="20"/>
        </w:rPr>
      </w:pPr>
      <w:r w:rsidRPr="00B02D12">
        <w:rPr>
          <w:rFonts w:ascii="Arial" w:hAnsi="Arial" w:cs="Arial"/>
          <w:b/>
          <w:sz w:val="20"/>
          <w:szCs w:val="20"/>
        </w:rPr>
        <w:t xml:space="preserve">CAUSALES </w:t>
      </w:r>
      <w:r w:rsidR="00AA6D70">
        <w:rPr>
          <w:rFonts w:ascii="Arial" w:hAnsi="Arial" w:cs="Arial"/>
          <w:b/>
          <w:sz w:val="20"/>
          <w:szCs w:val="20"/>
        </w:rPr>
        <w:t>DE RECHAZO DE LA OFERTA</w:t>
      </w:r>
    </w:p>
    <w:p w:rsidR="00B02D12" w:rsidRDefault="00B02D12" w:rsidP="00B02D12">
      <w:pPr>
        <w:jc w:val="both"/>
        <w:rPr>
          <w:rFonts w:ascii="Arial" w:hAnsi="Arial" w:cs="Arial"/>
          <w:sz w:val="20"/>
          <w:szCs w:val="20"/>
        </w:rPr>
      </w:pPr>
    </w:p>
    <w:p w:rsidR="00B02D12" w:rsidRDefault="00B02D12" w:rsidP="00B02D12">
      <w:pPr>
        <w:jc w:val="both"/>
        <w:rPr>
          <w:rFonts w:ascii="Arial" w:hAnsi="Arial" w:cs="Arial"/>
          <w:sz w:val="20"/>
          <w:szCs w:val="20"/>
        </w:rPr>
      </w:pPr>
      <w:r w:rsidRPr="00B02D12">
        <w:rPr>
          <w:rFonts w:ascii="Arial" w:hAnsi="Arial" w:cs="Arial"/>
          <w:sz w:val="20"/>
          <w:szCs w:val="20"/>
        </w:rPr>
        <w:t xml:space="preserve">La Dirección Ejecutiva Seccional de Administración Judicial, no considerará las propuestas en los siguientes casos: </w:t>
      </w:r>
    </w:p>
    <w:p w:rsidR="00B02D12" w:rsidRPr="00B02D12" w:rsidRDefault="00B02D12" w:rsidP="00B02D12">
      <w:pPr>
        <w:jc w:val="both"/>
        <w:rPr>
          <w:rFonts w:ascii="Arial" w:hAnsi="Arial" w:cs="Arial"/>
          <w:sz w:val="8"/>
          <w:szCs w:val="20"/>
        </w:rPr>
      </w:pPr>
    </w:p>
    <w:p w:rsidR="00B02D12" w:rsidRPr="00B02D12" w:rsidRDefault="00B02D12" w:rsidP="00B02D12">
      <w:pPr>
        <w:jc w:val="both"/>
        <w:rPr>
          <w:rFonts w:ascii="Arial" w:hAnsi="Arial" w:cs="Arial"/>
          <w:sz w:val="20"/>
          <w:szCs w:val="20"/>
        </w:rPr>
      </w:pPr>
      <w:r w:rsidRPr="00B02D12">
        <w:rPr>
          <w:rFonts w:ascii="Arial" w:hAnsi="Arial" w:cs="Arial"/>
          <w:sz w:val="20"/>
          <w:szCs w:val="20"/>
        </w:rPr>
        <w:t xml:space="preserve">A. Cuando se encuentre que el proponente o uno de los miembros del consorcio o unión temporal esté incurso en alguna de las causales de inhabilidad e incompatibilidad previstas en la Constitución o la Ley. </w:t>
      </w:r>
    </w:p>
    <w:p w:rsidR="00B02D12" w:rsidRPr="00B02D12" w:rsidRDefault="00B02D12" w:rsidP="00B02D12">
      <w:pPr>
        <w:jc w:val="both"/>
        <w:rPr>
          <w:rFonts w:ascii="Arial" w:hAnsi="Arial" w:cs="Arial"/>
          <w:sz w:val="20"/>
          <w:szCs w:val="20"/>
        </w:rPr>
      </w:pPr>
      <w:r w:rsidRPr="00B02D12">
        <w:rPr>
          <w:rFonts w:ascii="Arial" w:hAnsi="Arial" w:cs="Arial"/>
          <w:sz w:val="20"/>
          <w:szCs w:val="20"/>
        </w:rPr>
        <w:t xml:space="preserve">B. Cuando no allegue la información solicitada por la entidad con el objeto de aclarar su oferta o hacerlo en forma incompleta o extemporánea. </w:t>
      </w:r>
    </w:p>
    <w:p w:rsidR="00B02D12" w:rsidRPr="00B02D12" w:rsidRDefault="00B02D12" w:rsidP="00B02D12">
      <w:pPr>
        <w:jc w:val="both"/>
        <w:rPr>
          <w:rFonts w:ascii="Arial" w:hAnsi="Arial" w:cs="Arial"/>
          <w:sz w:val="20"/>
          <w:szCs w:val="20"/>
        </w:rPr>
      </w:pPr>
      <w:r w:rsidRPr="00B02D12">
        <w:rPr>
          <w:rFonts w:ascii="Arial" w:hAnsi="Arial" w:cs="Arial"/>
          <w:sz w:val="20"/>
          <w:szCs w:val="20"/>
        </w:rPr>
        <w:t xml:space="preserve">C. Si el proponente condiciona los efectos o alcance de la propuesta. </w:t>
      </w:r>
    </w:p>
    <w:p w:rsidR="000A4E00" w:rsidRPr="00B02D12" w:rsidRDefault="00B02D12" w:rsidP="00B02D12">
      <w:pPr>
        <w:jc w:val="both"/>
        <w:rPr>
          <w:rFonts w:ascii="Arial" w:hAnsi="Arial" w:cs="Arial"/>
          <w:sz w:val="20"/>
          <w:szCs w:val="20"/>
        </w:rPr>
      </w:pPr>
      <w:r w:rsidRPr="00B02D12">
        <w:rPr>
          <w:rFonts w:ascii="Arial" w:hAnsi="Arial" w:cs="Arial"/>
          <w:sz w:val="20"/>
          <w:szCs w:val="20"/>
        </w:rPr>
        <w:t xml:space="preserve">D. Cuando el valor total de la propuesta, exceda el valor </w:t>
      </w:r>
      <w:r w:rsidR="000630ED">
        <w:rPr>
          <w:rFonts w:ascii="Arial" w:hAnsi="Arial" w:cs="Arial"/>
          <w:sz w:val="20"/>
          <w:szCs w:val="20"/>
        </w:rPr>
        <w:t>unitario estimado en la oferta económica.</w:t>
      </w:r>
      <w:r w:rsidRPr="00B02D12">
        <w:rPr>
          <w:rFonts w:ascii="Arial" w:hAnsi="Arial" w:cs="Arial"/>
          <w:sz w:val="20"/>
          <w:szCs w:val="20"/>
        </w:rPr>
        <w:t xml:space="preserve"> </w:t>
      </w:r>
    </w:p>
    <w:p w:rsidR="00B02D12" w:rsidRPr="00B02D12" w:rsidRDefault="00B02D12" w:rsidP="00B02D12">
      <w:pPr>
        <w:jc w:val="both"/>
        <w:rPr>
          <w:rFonts w:ascii="Arial" w:hAnsi="Arial" w:cs="Arial"/>
          <w:sz w:val="20"/>
          <w:szCs w:val="20"/>
        </w:rPr>
      </w:pPr>
      <w:r w:rsidRPr="00B02D12">
        <w:rPr>
          <w:rFonts w:ascii="Arial" w:hAnsi="Arial" w:cs="Arial"/>
          <w:sz w:val="20"/>
          <w:szCs w:val="20"/>
        </w:rPr>
        <w:t xml:space="preserve">E. Cuando la propuesta haya sido presentada extemporáneamente. </w:t>
      </w:r>
    </w:p>
    <w:p w:rsidR="00B02D12" w:rsidRPr="00B02D12" w:rsidRDefault="00B02D12" w:rsidP="00B02D12">
      <w:pPr>
        <w:jc w:val="both"/>
        <w:rPr>
          <w:rFonts w:ascii="Arial" w:hAnsi="Arial" w:cs="Arial"/>
          <w:sz w:val="20"/>
          <w:szCs w:val="20"/>
        </w:rPr>
      </w:pPr>
      <w:r w:rsidRPr="00B02D12">
        <w:rPr>
          <w:rFonts w:ascii="Arial" w:hAnsi="Arial" w:cs="Arial"/>
          <w:sz w:val="20"/>
          <w:szCs w:val="20"/>
        </w:rPr>
        <w:t xml:space="preserve">F. Cuando el proponente presente más de una propuesta para este mismo proceso, como representante de persona jurídica o como persona natural o integrante de consorcio o unión temporal. </w:t>
      </w:r>
    </w:p>
    <w:p w:rsidR="00B02D12" w:rsidRPr="00B02D12" w:rsidRDefault="00B02D12" w:rsidP="00B02D12">
      <w:pPr>
        <w:jc w:val="both"/>
        <w:rPr>
          <w:rFonts w:ascii="Arial" w:hAnsi="Arial" w:cs="Arial"/>
          <w:sz w:val="20"/>
          <w:szCs w:val="20"/>
        </w:rPr>
      </w:pPr>
      <w:r w:rsidRPr="00B02D12">
        <w:rPr>
          <w:rFonts w:ascii="Arial" w:hAnsi="Arial" w:cs="Arial"/>
          <w:sz w:val="20"/>
          <w:szCs w:val="20"/>
        </w:rPr>
        <w:t xml:space="preserve">G. Cuando no se presente oferta económica al cierre del proceso de selección. </w:t>
      </w:r>
    </w:p>
    <w:p w:rsidR="00B02D12" w:rsidRPr="00B02D12" w:rsidRDefault="00B02D12" w:rsidP="00B02D12">
      <w:pPr>
        <w:jc w:val="both"/>
        <w:rPr>
          <w:rFonts w:ascii="Arial" w:hAnsi="Arial" w:cs="Arial"/>
          <w:sz w:val="20"/>
          <w:szCs w:val="20"/>
        </w:rPr>
      </w:pPr>
      <w:r w:rsidRPr="00B02D12">
        <w:rPr>
          <w:rFonts w:ascii="Arial" w:hAnsi="Arial" w:cs="Arial"/>
          <w:sz w:val="20"/>
          <w:szCs w:val="20"/>
        </w:rPr>
        <w:t xml:space="preserve">H. Cuando los documentos aportados por el proponente para cumplir o subsanar los requisitos habilitantes del proceso, sea copia de alguno de los documentos que con antelación haya sido evaluado por el comité en alguna de las demás firmas participantes. </w:t>
      </w:r>
    </w:p>
    <w:p w:rsidR="00C765C0" w:rsidRDefault="00B02D12" w:rsidP="00B02D12">
      <w:pPr>
        <w:jc w:val="both"/>
        <w:rPr>
          <w:rFonts w:ascii="Arial" w:hAnsi="Arial" w:cs="Arial"/>
          <w:sz w:val="20"/>
          <w:szCs w:val="20"/>
        </w:rPr>
      </w:pPr>
      <w:r w:rsidRPr="00B02D12">
        <w:rPr>
          <w:rFonts w:ascii="Arial" w:hAnsi="Arial" w:cs="Arial"/>
          <w:sz w:val="20"/>
          <w:szCs w:val="20"/>
        </w:rPr>
        <w:t>I. Cuando no cumpla con los requisitos mínimos solicitados, siendo subsanable todo aquello que a pesar de que se tiene, no aparece claramente acreditado en el proceso de selección</w:t>
      </w:r>
    </w:p>
    <w:p w:rsidR="00AA6D70" w:rsidRPr="001A7E42" w:rsidRDefault="000A4E00" w:rsidP="00AA6D70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J. </w:t>
      </w:r>
      <w:r w:rsidR="00AA6D70" w:rsidRPr="00AC6484">
        <w:rPr>
          <w:rFonts w:ascii="Arial" w:hAnsi="Arial" w:cs="Arial"/>
          <w:sz w:val="20"/>
          <w:szCs w:val="20"/>
        </w:rPr>
        <w:t>Las ofertas económicas, qu</w:t>
      </w:r>
      <w:r w:rsidR="00AA6D70">
        <w:rPr>
          <w:rFonts w:ascii="Arial" w:hAnsi="Arial" w:cs="Arial"/>
          <w:sz w:val="20"/>
          <w:szCs w:val="20"/>
        </w:rPr>
        <w:t>e superen el 100% del valor techo unitario de uno o varios</w:t>
      </w:r>
      <w:r w:rsidR="00AA6D70" w:rsidRPr="00AC6484">
        <w:rPr>
          <w:rFonts w:ascii="Arial" w:hAnsi="Arial" w:cs="Arial"/>
          <w:sz w:val="20"/>
          <w:szCs w:val="20"/>
        </w:rPr>
        <w:t xml:space="preserve"> ítem</w:t>
      </w:r>
      <w:r w:rsidR="00AA6D70">
        <w:rPr>
          <w:rFonts w:ascii="Arial" w:hAnsi="Arial" w:cs="Arial"/>
          <w:sz w:val="20"/>
          <w:szCs w:val="20"/>
        </w:rPr>
        <w:t>s,</w:t>
      </w:r>
      <w:r w:rsidR="00AA6D70" w:rsidRPr="00AC6484">
        <w:rPr>
          <w:rFonts w:ascii="Arial" w:hAnsi="Arial" w:cs="Arial"/>
          <w:sz w:val="20"/>
          <w:szCs w:val="20"/>
        </w:rPr>
        <w:t xml:space="preserve"> </w:t>
      </w:r>
      <w:r w:rsidR="00AA6D70">
        <w:rPr>
          <w:rFonts w:ascii="Arial" w:hAnsi="Arial" w:cs="Arial"/>
          <w:sz w:val="20"/>
          <w:szCs w:val="20"/>
        </w:rPr>
        <w:t xml:space="preserve">serán RECHAZADAS. </w:t>
      </w:r>
      <w:r w:rsidR="00AA6D70" w:rsidRPr="001A7E42">
        <w:rPr>
          <w:rFonts w:ascii="Arial" w:hAnsi="Arial" w:cs="Arial"/>
          <w:i/>
          <w:sz w:val="20"/>
          <w:szCs w:val="20"/>
        </w:rPr>
        <w:t xml:space="preserve">“Los valores techos están establecidos en el anexo – Estudios </w:t>
      </w:r>
      <w:r w:rsidR="00DC68A8">
        <w:rPr>
          <w:rFonts w:ascii="Arial" w:hAnsi="Arial" w:cs="Arial"/>
          <w:i/>
          <w:sz w:val="20"/>
          <w:szCs w:val="20"/>
        </w:rPr>
        <w:t xml:space="preserve">de mercado </w:t>
      </w:r>
      <w:r w:rsidR="00AA6D70" w:rsidRPr="001A7E42">
        <w:rPr>
          <w:rFonts w:ascii="Arial" w:hAnsi="Arial" w:cs="Arial"/>
          <w:i/>
          <w:sz w:val="20"/>
          <w:szCs w:val="20"/>
        </w:rPr>
        <w:t>publicado</w:t>
      </w:r>
      <w:r w:rsidR="00AA6D70">
        <w:rPr>
          <w:rFonts w:ascii="Arial" w:hAnsi="Arial" w:cs="Arial"/>
          <w:i/>
          <w:sz w:val="20"/>
          <w:szCs w:val="20"/>
        </w:rPr>
        <w:t xml:space="preserve"> en el </w:t>
      </w:r>
      <w:proofErr w:type="spellStart"/>
      <w:r w:rsidR="00AA6D70">
        <w:rPr>
          <w:rFonts w:ascii="Arial" w:hAnsi="Arial" w:cs="Arial"/>
          <w:i/>
          <w:sz w:val="20"/>
          <w:szCs w:val="20"/>
        </w:rPr>
        <w:t>Secop</w:t>
      </w:r>
      <w:proofErr w:type="spellEnd"/>
      <w:r w:rsidR="00AA6D70">
        <w:rPr>
          <w:rFonts w:ascii="Arial" w:hAnsi="Arial" w:cs="Arial"/>
          <w:i/>
          <w:sz w:val="20"/>
          <w:szCs w:val="20"/>
        </w:rPr>
        <w:t xml:space="preserve"> 2</w:t>
      </w:r>
      <w:r w:rsidR="00AA6D70" w:rsidRPr="001A7E42">
        <w:rPr>
          <w:rFonts w:ascii="Arial" w:hAnsi="Arial" w:cs="Arial"/>
          <w:i/>
          <w:sz w:val="20"/>
          <w:szCs w:val="20"/>
        </w:rPr>
        <w:t>”</w:t>
      </w:r>
    </w:p>
    <w:p w:rsidR="000A4E00" w:rsidRPr="00B02D12" w:rsidRDefault="000A4E00" w:rsidP="00B02D12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0A4E00" w:rsidRPr="00B02D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D12"/>
    <w:rsid w:val="000630ED"/>
    <w:rsid w:val="000A4E00"/>
    <w:rsid w:val="001463AF"/>
    <w:rsid w:val="00680691"/>
    <w:rsid w:val="007729A3"/>
    <w:rsid w:val="00AA6D70"/>
    <w:rsid w:val="00B02D12"/>
    <w:rsid w:val="00C765C0"/>
    <w:rsid w:val="00DC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4292D"/>
  <w15:chartTrackingRefBased/>
  <w15:docId w15:val="{B18D649A-45ED-44C4-9745-1C2D6BEE0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02D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BQ12-Salv-2-16</dc:creator>
  <cp:keywords/>
  <dc:description/>
  <cp:lastModifiedBy>Jaime Quiceno</cp:lastModifiedBy>
  <cp:revision>4</cp:revision>
  <dcterms:created xsi:type="dcterms:W3CDTF">2020-05-06T18:58:00Z</dcterms:created>
  <dcterms:modified xsi:type="dcterms:W3CDTF">2020-06-11T20:51:00Z</dcterms:modified>
</cp:coreProperties>
</file>