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CDF" w:rsidRPr="00967CF1" w:rsidRDefault="00393CDF" w:rsidP="00393CDF">
      <w:pPr>
        <w:pStyle w:val="TitleChar"/>
        <w:rPr>
          <w:rFonts w:cs="Arial"/>
          <w:bCs/>
          <w:color w:val="0D0D0D"/>
          <w:sz w:val="20"/>
        </w:rPr>
      </w:pPr>
      <w:r w:rsidRPr="00967CF1">
        <w:rPr>
          <w:rFonts w:cs="Arial"/>
          <w:bCs/>
          <w:color w:val="0D0D0D"/>
          <w:sz w:val="20"/>
        </w:rPr>
        <w:t>ANEXO N° 3</w:t>
      </w:r>
    </w:p>
    <w:p w:rsidR="00393CDF" w:rsidRPr="00967CF1" w:rsidRDefault="00393CDF" w:rsidP="00393CDF">
      <w:pPr>
        <w:pStyle w:val="TitleChar"/>
        <w:rPr>
          <w:rFonts w:cs="Arial"/>
          <w:bCs/>
          <w:color w:val="0D0D0D"/>
          <w:sz w:val="20"/>
        </w:rPr>
      </w:pPr>
    </w:p>
    <w:p w:rsidR="00367BF8" w:rsidRPr="001A73F7" w:rsidRDefault="00367BF8" w:rsidP="00367BF8">
      <w:pPr>
        <w:pStyle w:val="Puesto"/>
        <w:rPr>
          <w:rFonts w:cs="Arial"/>
          <w:bCs/>
          <w:color w:val="0D0D0D" w:themeColor="text1" w:themeTint="F2"/>
          <w:sz w:val="20"/>
        </w:rPr>
      </w:pPr>
      <w:r w:rsidRPr="001A73F7">
        <w:rPr>
          <w:rFonts w:cs="Arial"/>
          <w:bCs/>
          <w:color w:val="0D0D0D" w:themeColor="text1" w:themeTint="F2"/>
          <w:sz w:val="20"/>
        </w:rPr>
        <w:t xml:space="preserve">ACREDITACIONES </w:t>
      </w:r>
    </w:p>
    <w:p w:rsidR="00367BF8" w:rsidRDefault="00367BF8" w:rsidP="00367BF8">
      <w:pPr>
        <w:pStyle w:val="Puesto"/>
        <w:rPr>
          <w:rFonts w:cs="Arial"/>
          <w:bCs/>
          <w:color w:val="0D0D0D" w:themeColor="text1" w:themeTint="F2"/>
          <w:sz w:val="20"/>
        </w:rPr>
      </w:pPr>
    </w:p>
    <w:p w:rsidR="00B72126" w:rsidRPr="009B19BB" w:rsidRDefault="00B72126" w:rsidP="00B72126">
      <w:pPr>
        <w:pStyle w:val="Prrafodelista"/>
        <w:tabs>
          <w:tab w:val="left" w:pos="240"/>
        </w:tabs>
        <w:ind w:left="0"/>
        <w:jc w:val="both"/>
        <w:rPr>
          <w:rFonts w:ascii="Arial" w:hAnsi="Arial" w:cs="Arial"/>
          <w:bCs/>
          <w:color w:val="0D0D0D"/>
          <w:sz w:val="20"/>
          <w:szCs w:val="20"/>
        </w:rPr>
      </w:pPr>
      <w:r w:rsidRPr="009B19BB">
        <w:rPr>
          <w:rFonts w:ascii="Arial" w:hAnsi="Arial" w:cs="Arial"/>
          <w:bCs/>
          <w:color w:val="0D0D0D"/>
          <w:sz w:val="20"/>
          <w:szCs w:val="20"/>
        </w:rPr>
        <w:t>El oferente debe certificar mediante documento escrito dirigido al Comandante de la Policía Metropolitana de Ibagué firmado por el representante legal y/o apoderado lo siguiente:</w:t>
      </w:r>
    </w:p>
    <w:p w:rsidR="00B72126" w:rsidRPr="009B19BB" w:rsidRDefault="00B72126" w:rsidP="00B72126">
      <w:pPr>
        <w:pStyle w:val="Prrafodelista"/>
        <w:tabs>
          <w:tab w:val="left" w:pos="240"/>
        </w:tabs>
        <w:ind w:left="0"/>
        <w:jc w:val="both"/>
        <w:rPr>
          <w:rFonts w:ascii="Arial" w:hAnsi="Arial" w:cs="Arial"/>
          <w:color w:val="0D0D0D" w:themeColor="text1" w:themeTint="F2"/>
          <w:sz w:val="20"/>
          <w:szCs w:val="20"/>
        </w:rPr>
      </w:pPr>
    </w:p>
    <w:p w:rsidR="00B72126" w:rsidRPr="009B19BB" w:rsidRDefault="00B72126" w:rsidP="00B72126">
      <w:pPr>
        <w:pStyle w:val="Sinespaciado1"/>
        <w:numPr>
          <w:ilvl w:val="0"/>
          <w:numId w:val="1"/>
        </w:numPr>
        <w:jc w:val="both"/>
        <w:rPr>
          <w:rFonts w:ascii="Arial" w:hAnsi="Arial" w:cs="Arial"/>
          <w:color w:val="0D0D0D" w:themeColor="text1" w:themeTint="F2"/>
          <w:sz w:val="20"/>
          <w:szCs w:val="20"/>
          <w:lang w:val="es-MX" w:eastAsia="es-MX"/>
        </w:rPr>
      </w:pPr>
      <w:r w:rsidRPr="009B19BB">
        <w:rPr>
          <w:rFonts w:ascii="Arial" w:hAnsi="Arial" w:cs="Arial"/>
          <w:color w:val="0D0D0D" w:themeColor="text1" w:themeTint="F2"/>
          <w:sz w:val="20"/>
          <w:szCs w:val="20"/>
          <w:lang w:val="es-MX" w:eastAsia="es-MX"/>
        </w:rPr>
        <w:t xml:space="preserve">El sostenimiento de precios y/o tarifas los cuales bajo ninguna circunstancia deben ser objeto de modificación o reajuste. </w:t>
      </w:r>
    </w:p>
    <w:p w:rsidR="00B72126" w:rsidRPr="009B19BB" w:rsidRDefault="00B72126" w:rsidP="00B72126">
      <w:pPr>
        <w:pStyle w:val="Prrafodelista"/>
        <w:rPr>
          <w:rFonts w:ascii="Arial" w:hAnsi="Arial" w:cs="Arial"/>
          <w:color w:val="0D0D0D" w:themeColor="text1" w:themeTint="F2"/>
          <w:sz w:val="20"/>
          <w:szCs w:val="20"/>
          <w:lang w:val="es-MX" w:eastAsia="es-MX"/>
        </w:rPr>
      </w:pPr>
    </w:p>
    <w:p w:rsidR="00B72126" w:rsidRPr="009B19BB" w:rsidRDefault="00B72126" w:rsidP="00B72126">
      <w:pPr>
        <w:pStyle w:val="Prrafodelista"/>
        <w:numPr>
          <w:ilvl w:val="0"/>
          <w:numId w:val="2"/>
        </w:numPr>
        <w:autoSpaceDE w:val="0"/>
        <w:autoSpaceDN w:val="0"/>
        <w:adjustRightInd w:val="0"/>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 xml:space="preserve">Que  tiene la capacidad en instalaciones, maquinaria, equipos, vehículos, recurso humano y/o todos aquellos aspectos que le que le permitirán cumplir a cabalidad con el objeto contractual. Además que podrá prestar de manera oportuna los  servicios objeto del presente proceso de contratación.  </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Prrafodelista"/>
        <w:numPr>
          <w:ilvl w:val="0"/>
          <w:numId w:val="2"/>
        </w:numPr>
        <w:autoSpaceDE w:val="0"/>
        <w:autoSpaceDN w:val="0"/>
        <w:adjustRightInd w:val="0"/>
        <w:jc w:val="both"/>
        <w:rPr>
          <w:rFonts w:ascii="Arial" w:hAnsi="Arial" w:cs="Arial"/>
          <w:color w:val="0D0D0D" w:themeColor="text1" w:themeTint="F2"/>
          <w:sz w:val="20"/>
          <w:szCs w:val="20"/>
        </w:rPr>
      </w:pPr>
      <w:r w:rsidRPr="009B19BB">
        <w:rPr>
          <w:rFonts w:ascii="Arial" w:eastAsiaTheme="minorHAnsi" w:hAnsi="Arial" w:cs="Arial"/>
          <w:color w:val="0D0D0D" w:themeColor="text1" w:themeTint="F2"/>
          <w:sz w:val="20"/>
          <w:szCs w:val="20"/>
          <w:lang w:eastAsia="en-US"/>
        </w:rPr>
        <w:t>Que realizó la verificación de la autenticidad del título de cada uno de los profesionales con los cuales cumplirá con el objeto contractual del proceso de contratación en referencia.</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Prrafodelista"/>
        <w:numPr>
          <w:ilvl w:val="0"/>
          <w:numId w:val="2"/>
        </w:numPr>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Garantizará que acepta y facilitará las visitas de los auditores médicos para la realización de AUDITORIAS CONCURRENTES que incluyen:</w:t>
      </w:r>
    </w:p>
    <w:p w:rsidR="00B72126" w:rsidRPr="009B19BB" w:rsidRDefault="00B72126" w:rsidP="00B72126">
      <w:pPr>
        <w:pStyle w:val="Prrafodelista"/>
        <w:jc w:val="both"/>
        <w:rPr>
          <w:rFonts w:ascii="Arial" w:hAnsi="Arial" w:cs="Arial"/>
          <w:color w:val="0D0D0D" w:themeColor="text1" w:themeTint="F2"/>
          <w:sz w:val="20"/>
          <w:szCs w:val="20"/>
        </w:rPr>
      </w:pPr>
    </w:p>
    <w:p w:rsidR="00B72126" w:rsidRPr="009B19BB" w:rsidRDefault="00B72126" w:rsidP="00B72126">
      <w:pPr>
        <w:pStyle w:val="Prrafodelista"/>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 xml:space="preserve">-Visitas a pacientes hospitalizados </w:t>
      </w:r>
    </w:p>
    <w:p w:rsidR="00B72126" w:rsidRPr="009B19BB" w:rsidRDefault="00B72126" w:rsidP="00B72126">
      <w:pPr>
        <w:pStyle w:val="Prrafodelista"/>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 Revisión de historias clínicas</w:t>
      </w:r>
    </w:p>
    <w:p w:rsidR="00B72126" w:rsidRPr="009B19BB" w:rsidRDefault="00B72126" w:rsidP="00B72126">
      <w:pPr>
        <w:pStyle w:val="Prrafodelista"/>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 Revisión de hojas de descripción quirúrgica o de procedimientos</w:t>
      </w:r>
    </w:p>
    <w:p w:rsidR="00B72126" w:rsidRPr="009B19BB" w:rsidRDefault="00B72126" w:rsidP="00B72126">
      <w:pPr>
        <w:pStyle w:val="Prrafodelista"/>
        <w:autoSpaceDE w:val="0"/>
        <w:autoSpaceDN w:val="0"/>
        <w:adjustRightInd w:val="0"/>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 Revisión de hojas de gasto. - Verificación del nivel de satisfacción de los usuarios de la Policía Nacional</w:t>
      </w:r>
    </w:p>
    <w:p w:rsidR="00B72126" w:rsidRPr="009B19BB" w:rsidRDefault="00B72126" w:rsidP="00B72126">
      <w:pPr>
        <w:pStyle w:val="Prrafodelista"/>
        <w:autoSpaceDE w:val="0"/>
        <w:autoSpaceDN w:val="0"/>
        <w:adjustRightInd w:val="0"/>
        <w:jc w:val="both"/>
        <w:rPr>
          <w:rFonts w:ascii="Arial" w:hAnsi="Arial" w:cs="Arial"/>
          <w:color w:val="0D0D0D" w:themeColor="text1" w:themeTint="F2"/>
          <w:sz w:val="20"/>
          <w:szCs w:val="20"/>
        </w:rPr>
      </w:pPr>
    </w:p>
    <w:p w:rsidR="00B72126" w:rsidRPr="009B19BB" w:rsidRDefault="00B72126" w:rsidP="00B72126">
      <w:pPr>
        <w:pStyle w:val="Prrafodelista"/>
        <w:numPr>
          <w:ilvl w:val="0"/>
          <w:numId w:val="2"/>
        </w:numPr>
        <w:autoSpaceDE w:val="0"/>
        <w:autoSpaceDN w:val="0"/>
        <w:adjustRightInd w:val="0"/>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lang w:val="es-MX"/>
        </w:rPr>
        <w:t>Informe mensual  que contenga como mínimo el servicio prestado al usuario, la clase  y numero de estudio realizado, reclamado y no reclamado por los usuarios, nombre e identificación del usuario REPS.</w:t>
      </w:r>
    </w:p>
    <w:p w:rsidR="00B72126" w:rsidRPr="009B19BB" w:rsidRDefault="00B72126" w:rsidP="00B72126">
      <w:pPr>
        <w:autoSpaceDE w:val="0"/>
        <w:autoSpaceDN w:val="0"/>
        <w:adjustRightInd w:val="0"/>
        <w:jc w:val="both"/>
        <w:rPr>
          <w:rFonts w:ascii="Arial" w:hAnsi="Arial" w:cs="Arial"/>
          <w:color w:val="0D0D0D" w:themeColor="text1" w:themeTint="F2"/>
          <w:sz w:val="20"/>
          <w:szCs w:val="20"/>
          <w:lang w:val="es-CO"/>
        </w:rPr>
      </w:pPr>
    </w:p>
    <w:p w:rsidR="00B72126" w:rsidRPr="009B19BB" w:rsidRDefault="00B72126" w:rsidP="00B72126">
      <w:pPr>
        <w:pStyle w:val="Prrafodelista"/>
        <w:numPr>
          <w:ilvl w:val="0"/>
          <w:numId w:val="2"/>
        </w:numPr>
        <w:autoSpaceDE w:val="0"/>
        <w:autoSpaceDN w:val="0"/>
        <w:adjustRightInd w:val="0"/>
        <w:jc w:val="both"/>
        <w:rPr>
          <w:rFonts w:ascii="Arial" w:hAnsi="Arial" w:cs="Arial"/>
          <w:color w:val="0D0D0D" w:themeColor="text1" w:themeTint="F2"/>
          <w:sz w:val="20"/>
          <w:szCs w:val="20"/>
        </w:rPr>
      </w:pPr>
      <w:r w:rsidRPr="009B19BB">
        <w:rPr>
          <w:rFonts w:ascii="Arial" w:eastAsia="Calibri" w:hAnsi="Arial" w:cs="Arial"/>
          <w:color w:val="0D0D0D" w:themeColor="text1" w:themeTint="F2"/>
          <w:sz w:val="20"/>
          <w:szCs w:val="20"/>
          <w:lang w:val="es-MX"/>
        </w:rPr>
        <w:t>Dispondrá de una persona encargada de la Coordinación y una línea telefónica directa para garantizar el acceso a la información y consulta necesaria para resolver cualquier inquietud e informar novedades sobre procedimientos, quejas, asignación de citas y en general para la atención del paciente.</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Prrafodelista"/>
        <w:numPr>
          <w:ilvl w:val="0"/>
          <w:numId w:val="2"/>
        </w:numPr>
        <w:autoSpaceDE w:val="0"/>
        <w:autoSpaceDN w:val="0"/>
        <w:adjustRightInd w:val="0"/>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lang w:val="x-none"/>
        </w:rPr>
        <w:t>Dispone de los dispositivos</w:t>
      </w:r>
      <w:r w:rsidRPr="009B19BB">
        <w:rPr>
          <w:rFonts w:ascii="Arial" w:hAnsi="Arial" w:cs="Arial"/>
          <w:color w:val="0D0D0D" w:themeColor="text1" w:themeTint="F2"/>
          <w:sz w:val="20"/>
          <w:szCs w:val="20"/>
        </w:rPr>
        <w:t xml:space="preserve"> </w:t>
      </w:r>
      <w:r w:rsidRPr="009B19BB">
        <w:rPr>
          <w:rFonts w:ascii="Arial" w:hAnsi="Arial" w:cs="Arial"/>
          <w:color w:val="0D0D0D" w:themeColor="text1" w:themeTint="F2"/>
          <w:sz w:val="20"/>
          <w:szCs w:val="20"/>
          <w:lang w:val="x-none"/>
        </w:rPr>
        <w:t>médicos y biomédicos necesarios para la prestación de los servicios de salud</w:t>
      </w:r>
      <w:r w:rsidRPr="009B19BB">
        <w:rPr>
          <w:rFonts w:ascii="Arial" w:hAnsi="Arial" w:cs="Arial"/>
          <w:color w:val="0D0D0D" w:themeColor="text1" w:themeTint="F2"/>
          <w:sz w:val="20"/>
          <w:szCs w:val="20"/>
        </w:rPr>
        <w:t>, infraestructura y recurso humano.</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Prrafodelista"/>
        <w:numPr>
          <w:ilvl w:val="0"/>
          <w:numId w:val="2"/>
        </w:numPr>
        <w:autoSpaceDE w:val="0"/>
        <w:autoSpaceDN w:val="0"/>
        <w:adjustRightInd w:val="0"/>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Informará oportunamente cuando prescinda del servicio de alguno de los funcionarios relacionados para la prestación del servicio y en el evento de contratar a otra persona, esta deberá cumplir con la misma idoneidad.</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Prrafodelista"/>
        <w:numPr>
          <w:ilvl w:val="0"/>
          <w:numId w:val="2"/>
        </w:numPr>
        <w:autoSpaceDE w:val="0"/>
        <w:autoSpaceDN w:val="0"/>
        <w:adjustRightInd w:val="0"/>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La prestación del servicio a todos los usuarios del Subsistema de Salud de la Policía Nacional sin discriminación alguna, siempre y cuando presenten carné o constancia vigentes expedidas en afiliaciones del Área de Sanidad Tolima de la Policía Nacional y autorización del servicio emitida por referencia y contrarreferencia del Área de Sanidad Tolima, excepto la atención en el servicio de urgencias.</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Prrafodelista"/>
        <w:numPr>
          <w:ilvl w:val="0"/>
          <w:numId w:val="2"/>
        </w:numPr>
        <w:autoSpaceDE w:val="0"/>
        <w:autoSpaceDN w:val="0"/>
        <w:adjustRightInd w:val="0"/>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Accesibilidad y oportunidad a los usuarios de la Policía en la atención de los servicios ofertados y que en caso de que la institución prestadora de servicios de salud no cuente con un servicio de salud que se haya contratado, es responsable de efectuar los trámites y coordinaciones necesarias para garantizar la atención oportuna y la atención del paciente sin que constituya costos adicionales para el Área de sanidad Tolima y siendo cobrados a las tarifas o precios pactados en el contrato que se llegare a celebrar.</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Prrafodelista"/>
        <w:numPr>
          <w:ilvl w:val="0"/>
          <w:numId w:val="2"/>
        </w:numPr>
        <w:autoSpaceDE w:val="0"/>
        <w:autoSpaceDN w:val="0"/>
        <w:adjustRightInd w:val="0"/>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lastRenderedPageBreak/>
        <w:t>Oportunidad máxima para consulta especializada ambulatoria será conforme al estándar máximo permitido por la Superintendencia Nacional de Salud, de igual manera para la cirugía ambulatoria esta no será superior a 30 días calendario.</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Prrafodelista"/>
        <w:numPr>
          <w:ilvl w:val="0"/>
          <w:numId w:val="2"/>
        </w:numPr>
        <w:autoSpaceDE w:val="0"/>
        <w:autoSpaceDN w:val="0"/>
        <w:adjustRightInd w:val="0"/>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 xml:space="preserve">Autoriza </w:t>
      </w:r>
      <w:r w:rsidRPr="009B19BB">
        <w:rPr>
          <w:rFonts w:ascii="Arial" w:hAnsi="Arial" w:cs="Arial"/>
          <w:color w:val="0D0D0D" w:themeColor="text1" w:themeTint="F2"/>
          <w:sz w:val="20"/>
          <w:szCs w:val="20"/>
          <w:lang w:val="es-MX" w:eastAsia="es-MX"/>
        </w:rPr>
        <w:t>realizar actividades de auditoria médica y de cuentas en su IPS cuando el Área de Sanidad Tolima lo considere necesario.</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Prrafodelista"/>
        <w:numPr>
          <w:ilvl w:val="0"/>
          <w:numId w:val="2"/>
        </w:numPr>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Prestación del servicio a todos los usuarios del Subsistema de Salud de la Policía Nacional sin discriminación alguna, siempre y cuando presenten carné o constancia vigentes expedidas en afiliaciones del Área de Sanidad Tolima de la Policía Nacional y autorización del servicio emitida por referencia y contrarreferencia del Área de sanidad Tolima, excepto la atención en el servicio de urgencias.</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Default"/>
        <w:numPr>
          <w:ilvl w:val="0"/>
          <w:numId w:val="2"/>
        </w:numPr>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Que todo bien o servicio fuera del plan de beneficios del SSPN, deberá  ser tramitado para estudio de aprobación ante el Comité Técnico Científico (CTC del nivel central DISAN), para lo cual el especialista tratante deberá diligenciar completamente el formato de justificación diseñado para tal fin por parte del SSPN y remitirlo a la central de autorización del Área de Sanidad Tolima, para que se adelante el trámite ante el CTC del nivel central.</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Default"/>
        <w:numPr>
          <w:ilvl w:val="0"/>
          <w:numId w:val="2"/>
        </w:numPr>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Que en caso de resultar adjudicatario, dentro de los tres días hábiles siguientes a la firma del contrato, presentará todos los precios para cada uno de los servicios adquiridos con código CUPS en hoja de cálculo de acuerdo a la tarifa y/o precios que se llegaren a pactar.</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Default"/>
        <w:numPr>
          <w:ilvl w:val="0"/>
          <w:numId w:val="2"/>
        </w:numPr>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Oportunidad en los servicios de urgencias corresponderá a la atención del Triage I de manera inmediata, Triage II dentro de los siguientes 15 minutos a la llegada del paciente y en el caso de atender Triage III máximo 60 minutos posteriores al ingreso del paciente y para Triage IV será direccionado a consulta externa.</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Default"/>
        <w:numPr>
          <w:ilvl w:val="0"/>
          <w:numId w:val="2"/>
        </w:numPr>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 xml:space="preserve">Que el personal asistencial que preste los servicios ambulatorios, hospitalarios y de urgencias, se base en el Plan de Servicios de Sanidad Militar y Policial (Acuerdo 002 CSSMP de 2001) y el Manual único de Medicamentos y Terapéutica del SSPN (Acuerdo 042 y 046 CSSMP y demás normas que lo complementen o modifiquen) que se pueden consultar en la página </w:t>
      </w:r>
      <w:hyperlink r:id="rId5" w:history="1">
        <w:r w:rsidRPr="009B19BB">
          <w:rPr>
            <w:rStyle w:val="Hipervnculo"/>
            <w:rFonts w:cs="Arial"/>
            <w:sz w:val="20"/>
          </w:rPr>
          <w:t>www.mindefensa.gov.co</w:t>
        </w:r>
      </w:hyperlink>
      <w:r w:rsidRPr="009B19BB">
        <w:rPr>
          <w:rFonts w:ascii="Arial" w:hAnsi="Arial" w:cs="Arial"/>
          <w:color w:val="0D0D0D" w:themeColor="text1" w:themeTint="F2"/>
          <w:sz w:val="20"/>
          <w:szCs w:val="20"/>
        </w:rPr>
        <w:t xml:space="preserve">. </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Prrafodelista"/>
        <w:numPr>
          <w:ilvl w:val="0"/>
          <w:numId w:val="1"/>
        </w:numPr>
        <w:tabs>
          <w:tab w:val="left" w:pos="284"/>
        </w:tabs>
        <w:jc w:val="both"/>
        <w:rPr>
          <w:rFonts w:ascii="Arial" w:hAnsi="Arial" w:cs="Arial"/>
          <w:color w:val="0D0D0D" w:themeColor="text1" w:themeTint="F2"/>
          <w:sz w:val="20"/>
          <w:szCs w:val="20"/>
          <w:lang w:val="es-MX" w:eastAsia="es-MX"/>
        </w:rPr>
      </w:pPr>
      <w:r w:rsidRPr="009B19BB">
        <w:rPr>
          <w:rFonts w:ascii="Arial" w:hAnsi="Arial" w:cs="Arial"/>
          <w:color w:val="0D0D0D" w:themeColor="text1" w:themeTint="F2"/>
          <w:sz w:val="20"/>
          <w:szCs w:val="20"/>
        </w:rPr>
        <w:t xml:space="preserve">Que dará cumplimiento a lo establecido en la ley 594 de 2000 </w:t>
      </w:r>
      <w:r w:rsidRPr="009B19BB">
        <w:rPr>
          <w:rFonts w:ascii="Arial" w:hAnsi="Arial" w:cs="Arial"/>
          <w:b/>
          <w:i/>
          <w:color w:val="0D0D0D" w:themeColor="text1" w:themeTint="F2"/>
          <w:sz w:val="20"/>
          <w:szCs w:val="20"/>
        </w:rPr>
        <w:t>“…</w:t>
      </w:r>
      <w:r w:rsidRPr="009B19BB">
        <w:rPr>
          <w:rFonts w:ascii="Arial" w:hAnsi="Arial" w:cs="Arial"/>
          <w:b/>
          <w:bCs/>
          <w:i/>
          <w:color w:val="0D0D0D" w:themeColor="text1" w:themeTint="F2"/>
          <w:sz w:val="20"/>
          <w:szCs w:val="20"/>
        </w:rPr>
        <w:t xml:space="preserve">POR MEDIO DE LA CUAL SE DICTA LA LEY GENERAL DE ARCHIVOS Y SE DICTAN OTRAS DISPOSICIONES…” </w:t>
      </w:r>
      <w:r w:rsidRPr="009B19BB">
        <w:rPr>
          <w:rFonts w:ascii="Arial" w:hAnsi="Arial" w:cs="Arial"/>
          <w:bCs/>
          <w:i/>
          <w:color w:val="0D0D0D" w:themeColor="text1" w:themeTint="F2"/>
          <w:sz w:val="20"/>
          <w:szCs w:val="20"/>
        </w:rPr>
        <w:t>por lo cual presentara la documentación en carpeta yute máximo 250 folios, foliada a lápiz en la parte inferior derecha, sin ganchos grapados, sin hojas sueltas, documentos que estén a media hoja deben venir pegados en otra hoja tamaño carta.</w:t>
      </w:r>
    </w:p>
    <w:p w:rsidR="00B72126" w:rsidRPr="009B19BB" w:rsidRDefault="00B72126" w:rsidP="00B72126">
      <w:pPr>
        <w:pStyle w:val="Prrafodelista"/>
        <w:rPr>
          <w:rFonts w:ascii="Arial" w:hAnsi="Arial" w:cs="Arial"/>
          <w:color w:val="0D0D0D" w:themeColor="text1" w:themeTint="F2"/>
          <w:sz w:val="20"/>
          <w:szCs w:val="20"/>
          <w:lang w:val="es-MX" w:eastAsia="es-MX"/>
        </w:rPr>
      </w:pPr>
    </w:p>
    <w:p w:rsidR="00B72126" w:rsidRPr="009B19BB" w:rsidRDefault="00B72126" w:rsidP="00B72126">
      <w:pPr>
        <w:pStyle w:val="Prrafodelista"/>
        <w:numPr>
          <w:ilvl w:val="0"/>
          <w:numId w:val="1"/>
        </w:numPr>
        <w:tabs>
          <w:tab w:val="left" w:pos="284"/>
        </w:tabs>
        <w:jc w:val="both"/>
        <w:rPr>
          <w:rFonts w:ascii="Arial" w:hAnsi="Arial" w:cs="Arial"/>
          <w:color w:val="0D0D0D" w:themeColor="text1" w:themeTint="F2"/>
          <w:sz w:val="20"/>
          <w:szCs w:val="20"/>
          <w:lang w:val="es-MX" w:eastAsia="es-MX"/>
        </w:rPr>
      </w:pPr>
      <w:r w:rsidRPr="009B19BB">
        <w:rPr>
          <w:rFonts w:ascii="Arial" w:hAnsi="Arial" w:cs="Arial"/>
          <w:color w:val="0D0D0D" w:themeColor="text1" w:themeTint="F2"/>
          <w:sz w:val="20"/>
          <w:szCs w:val="20"/>
        </w:rPr>
        <w:t>Socializará el instructivo 018 “proceso de referencia y contrarreferencia”  de la Policía Nacional, con el fin de ser aplicado por el personal del proceso de atención al usuario y personal de referencia y contrarreferencia  de la IPS.</w:t>
      </w:r>
    </w:p>
    <w:p w:rsidR="00B72126" w:rsidRPr="009B19BB" w:rsidRDefault="00B72126" w:rsidP="00B72126">
      <w:pPr>
        <w:pStyle w:val="Prrafodelista"/>
        <w:tabs>
          <w:tab w:val="left" w:pos="284"/>
        </w:tabs>
        <w:jc w:val="both"/>
        <w:rPr>
          <w:rFonts w:ascii="Arial" w:hAnsi="Arial" w:cs="Arial"/>
          <w:color w:val="0D0D0D" w:themeColor="text1" w:themeTint="F2"/>
          <w:sz w:val="20"/>
          <w:szCs w:val="20"/>
          <w:lang w:val="es-MX" w:eastAsia="es-MX"/>
        </w:rPr>
      </w:pPr>
    </w:p>
    <w:p w:rsidR="00B72126" w:rsidRPr="009B19BB" w:rsidRDefault="00B72126" w:rsidP="00B72126">
      <w:pPr>
        <w:pStyle w:val="Prrafodelista"/>
        <w:numPr>
          <w:ilvl w:val="0"/>
          <w:numId w:val="1"/>
        </w:numPr>
        <w:tabs>
          <w:tab w:val="left" w:pos="0"/>
        </w:tabs>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Que informará oportunamente cuando prescinda del servicio de alguno de los funcionarios relacionados para la prestación del servicio y en el evento de contratar a otra persona, esta deberá cumplir con la misma idoneidad y deberá anexar los soportes que la acrediten.</w:t>
      </w:r>
    </w:p>
    <w:p w:rsidR="00B72126" w:rsidRPr="009B19BB" w:rsidRDefault="00B72126" w:rsidP="00B72126">
      <w:pPr>
        <w:pStyle w:val="Prrafodelista"/>
        <w:tabs>
          <w:tab w:val="left" w:pos="0"/>
        </w:tabs>
        <w:jc w:val="both"/>
        <w:rPr>
          <w:rFonts w:ascii="Arial" w:hAnsi="Arial" w:cs="Arial"/>
          <w:color w:val="0D0D0D" w:themeColor="text1" w:themeTint="F2"/>
          <w:sz w:val="20"/>
          <w:szCs w:val="20"/>
        </w:rPr>
      </w:pPr>
    </w:p>
    <w:p w:rsidR="00B72126" w:rsidRPr="009B19BB" w:rsidRDefault="00B72126" w:rsidP="00B72126">
      <w:pPr>
        <w:pStyle w:val="Prrafodelista"/>
        <w:numPr>
          <w:ilvl w:val="0"/>
          <w:numId w:val="1"/>
        </w:numPr>
        <w:tabs>
          <w:tab w:val="left" w:pos="0"/>
        </w:tabs>
        <w:jc w:val="both"/>
        <w:rPr>
          <w:rFonts w:ascii="Arial" w:hAnsi="Arial" w:cs="Arial"/>
          <w:color w:val="0D0D0D" w:themeColor="text1" w:themeTint="F2"/>
          <w:sz w:val="20"/>
          <w:szCs w:val="20"/>
        </w:rPr>
      </w:pPr>
      <w:r w:rsidRPr="009B19BB">
        <w:rPr>
          <w:rFonts w:ascii="Arial" w:eastAsiaTheme="minorHAnsi" w:hAnsi="Arial" w:cs="Arial"/>
          <w:color w:val="0D0D0D" w:themeColor="text1" w:themeTint="F2"/>
          <w:sz w:val="20"/>
          <w:szCs w:val="20"/>
          <w:lang w:eastAsia="en-US"/>
        </w:rPr>
        <w:t xml:space="preserve">Reportar al supervisor del contrato </w:t>
      </w:r>
      <w:r w:rsidRPr="009B19BB">
        <w:rPr>
          <w:rFonts w:ascii="Arial" w:hAnsi="Arial" w:cs="Arial"/>
          <w:color w:val="0D0D0D" w:themeColor="text1" w:themeTint="F2"/>
          <w:sz w:val="20"/>
          <w:szCs w:val="20"/>
        </w:rPr>
        <w:t xml:space="preserve">los indicadores de la Circular UNICA indicadores de alerta temprana, 056 y 058 de 2009, así como los Indicadores de calidad en la prestación de servicios, definidos en el Sistema de Información para la Calidad del Sistema Obligatorio de Garantía de Calidad de la Atención en Salud en físico o mediante correo electrónico que contenga la información solicitada al correo institucional </w:t>
      </w:r>
      <w:hyperlink r:id="rId6" w:history="1">
        <w:r w:rsidRPr="009B19BB">
          <w:rPr>
            <w:rStyle w:val="Hipervnculo"/>
            <w:rFonts w:cs="Arial"/>
            <w:color w:val="0D0D0D" w:themeColor="text1" w:themeTint="F2"/>
            <w:sz w:val="20"/>
          </w:rPr>
          <w:t>detol.grusa@policia.gov.co</w:t>
        </w:r>
      </w:hyperlink>
    </w:p>
    <w:p w:rsidR="00B72126" w:rsidRPr="009B19BB" w:rsidRDefault="00B72126" w:rsidP="00B72126">
      <w:pPr>
        <w:pStyle w:val="Prrafodelista"/>
        <w:tabs>
          <w:tab w:val="left" w:pos="0"/>
        </w:tabs>
        <w:jc w:val="both"/>
        <w:rPr>
          <w:rFonts w:ascii="Arial" w:hAnsi="Arial" w:cs="Arial"/>
          <w:color w:val="0D0D0D" w:themeColor="text1" w:themeTint="F2"/>
          <w:sz w:val="20"/>
          <w:szCs w:val="20"/>
        </w:rPr>
      </w:pPr>
    </w:p>
    <w:p w:rsidR="00B72126" w:rsidRPr="009B19BB" w:rsidRDefault="00B72126" w:rsidP="00B72126">
      <w:pPr>
        <w:pStyle w:val="Prrafodelista"/>
        <w:numPr>
          <w:ilvl w:val="0"/>
          <w:numId w:val="1"/>
        </w:numPr>
        <w:tabs>
          <w:tab w:val="left" w:pos="709"/>
        </w:tabs>
        <w:spacing w:after="200" w:line="276" w:lineRule="auto"/>
        <w:ind w:left="709" w:right="51" w:hanging="283"/>
        <w:jc w:val="both"/>
        <w:rPr>
          <w:rFonts w:ascii="Arial" w:eastAsia="Calibri" w:hAnsi="Arial" w:cs="Arial"/>
          <w:color w:val="0D0D0D" w:themeColor="text1" w:themeTint="F2"/>
          <w:sz w:val="20"/>
          <w:szCs w:val="20"/>
          <w:lang w:val="es-ES"/>
        </w:rPr>
      </w:pPr>
      <w:r w:rsidRPr="009B19BB">
        <w:rPr>
          <w:rFonts w:ascii="Arial" w:hAnsi="Arial" w:cs="Arial"/>
          <w:color w:val="0D0D0D" w:themeColor="text1" w:themeTint="F2"/>
          <w:sz w:val="20"/>
          <w:szCs w:val="20"/>
        </w:rPr>
        <w:t>Que los servicios que se presten con posteridad al plazo de ejecución o a la terminación del presupuesto asignado no serán asumidos por el Área de Sanidad Tolima</w:t>
      </w:r>
      <w:r w:rsidRPr="009B19BB">
        <w:rPr>
          <w:rFonts w:ascii="Arial" w:eastAsia="Calibri" w:hAnsi="Arial" w:cs="Arial"/>
          <w:color w:val="0D0D0D" w:themeColor="text1" w:themeTint="F2"/>
          <w:sz w:val="20"/>
          <w:szCs w:val="20"/>
          <w:lang w:val="es-ES"/>
        </w:rPr>
        <w:t xml:space="preserve">, salvo que se trate de un caso de urgencia debidamente justificado, de acuerdo con la normatividad vigente. </w:t>
      </w:r>
    </w:p>
    <w:p w:rsidR="00B72126" w:rsidRPr="009B19BB" w:rsidRDefault="00B72126" w:rsidP="00B72126">
      <w:pPr>
        <w:pStyle w:val="Prrafodelista"/>
        <w:rPr>
          <w:rFonts w:ascii="Arial" w:hAnsi="Arial" w:cs="Arial"/>
          <w:color w:val="0D0D0D" w:themeColor="text1" w:themeTint="F2"/>
          <w:sz w:val="20"/>
          <w:szCs w:val="20"/>
        </w:rPr>
      </w:pPr>
    </w:p>
    <w:p w:rsidR="00B72126" w:rsidRPr="009B19BB" w:rsidRDefault="00B72126" w:rsidP="00B72126">
      <w:pPr>
        <w:pStyle w:val="Prrafodelista"/>
        <w:numPr>
          <w:ilvl w:val="0"/>
          <w:numId w:val="1"/>
        </w:numPr>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lastRenderedPageBreak/>
        <w:t>Que cuenta y cumple con el Manual de Gestión de Insumos y medicamentos el cual establece, define y regula: la Selección, Adquisición, Transporte, Recepción, Almacenamiento, Conservación, Control de fechas de vencimiento, Control de cadena de frio, Distribución, Dispensación, Devolución, Disposición final Seguimiento al uso de los medicamentos e insumos necesarios para la prestación del servicio a los usuarios del subsistema de la Policía Nacional.</w:t>
      </w:r>
    </w:p>
    <w:p w:rsidR="00B72126" w:rsidRPr="009B19BB" w:rsidRDefault="00B72126" w:rsidP="00B72126">
      <w:pPr>
        <w:jc w:val="both"/>
        <w:rPr>
          <w:rFonts w:ascii="Arial" w:hAnsi="Arial" w:cs="Arial"/>
          <w:color w:val="0D0D0D" w:themeColor="text1" w:themeTint="F2"/>
          <w:sz w:val="20"/>
          <w:szCs w:val="20"/>
        </w:rPr>
      </w:pPr>
    </w:p>
    <w:p w:rsidR="00B72126" w:rsidRPr="009B19BB" w:rsidRDefault="00B72126" w:rsidP="00B72126">
      <w:pPr>
        <w:pStyle w:val="Prrafodelista"/>
        <w:numPr>
          <w:ilvl w:val="0"/>
          <w:numId w:val="1"/>
        </w:numPr>
        <w:jc w:val="both"/>
        <w:rPr>
          <w:rFonts w:ascii="Arial" w:hAnsi="Arial" w:cs="Arial"/>
          <w:color w:val="0D0D0D" w:themeColor="text1" w:themeTint="F2"/>
          <w:sz w:val="20"/>
          <w:szCs w:val="20"/>
        </w:rPr>
      </w:pPr>
      <w:r w:rsidRPr="009B19BB">
        <w:rPr>
          <w:rFonts w:ascii="Arial" w:hAnsi="Arial" w:cs="Arial"/>
          <w:color w:val="0D0D0D" w:themeColor="text1" w:themeTint="F2"/>
          <w:sz w:val="20"/>
          <w:szCs w:val="20"/>
        </w:rPr>
        <w:t>Debe presentar el Cronograma general de mantenimiento de la dotación según clasificación del riesgo (Decreto 4725 de 2005) y las recomendaciones de los fabricantes.</w:t>
      </w:r>
    </w:p>
    <w:p w:rsidR="00B72126" w:rsidRPr="009B19BB" w:rsidRDefault="00B72126" w:rsidP="00B72126">
      <w:pPr>
        <w:jc w:val="both"/>
        <w:rPr>
          <w:rFonts w:ascii="Arial" w:hAnsi="Arial" w:cs="Arial"/>
          <w:color w:val="0D0D0D" w:themeColor="text1" w:themeTint="F2"/>
          <w:sz w:val="20"/>
          <w:szCs w:val="20"/>
        </w:rPr>
      </w:pPr>
    </w:p>
    <w:p w:rsidR="00B72126" w:rsidRPr="009B19BB" w:rsidRDefault="00B72126" w:rsidP="00B72126">
      <w:pPr>
        <w:pStyle w:val="Default"/>
        <w:ind w:left="720"/>
        <w:jc w:val="both"/>
        <w:rPr>
          <w:rFonts w:ascii="Arial" w:hAnsi="Arial" w:cs="Arial"/>
          <w:color w:val="0D0D0D" w:themeColor="text1" w:themeTint="F2"/>
          <w:sz w:val="18"/>
          <w:szCs w:val="18"/>
        </w:rPr>
      </w:pPr>
    </w:p>
    <w:p w:rsidR="00B72126" w:rsidRPr="009B19BB" w:rsidRDefault="00B72126" w:rsidP="00B72126">
      <w:pPr>
        <w:pStyle w:val="Prrafodelista"/>
        <w:rPr>
          <w:rFonts w:ascii="Arial" w:hAnsi="Arial" w:cs="Arial"/>
          <w:color w:val="0D0D0D" w:themeColor="text1" w:themeTint="F2"/>
          <w:sz w:val="18"/>
          <w:szCs w:val="18"/>
        </w:rPr>
      </w:pPr>
    </w:p>
    <w:p w:rsidR="00A52841" w:rsidRPr="009C4396" w:rsidRDefault="00A52841" w:rsidP="00A52841">
      <w:pPr>
        <w:jc w:val="both"/>
        <w:rPr>
          <w:rFonts w:ascii="Arial" w:hAnsi="Arial" w:cs="Arial"/>
          <w:color w:val="0D0D0D" w:themeColor="text1" w:themeTint="F2"/>
          <w:sz w:val="20"/>
          <w:szCs w:val="20"/>
          <w:lang w:val="es-CO"/>
        </w:rPr>
      </w:pPr>
      <w:bookmarkStart w:id="0" w:name="_GoBack"/>
      <w:bookmarkEnd w:id="0"/>
    </w:p>
    <w:p w:rsidR="007E2DC3" w:rsidRDefault="007E2DC3" w:rsidP="00393CDF">
      <w:pPr>
        <w:pStyle w:val="Prrafodelista"/>
        <w:tabs>
          <w:tab w:val="left" w:pos="240"/>
        </w:tabs>
        <w:ind w:left="0"/>
        <w:rPr>
          <w:rFonts w:ascii="Arial" w:hAnsi="Arial" w:cs="Arial"/>
          <w:b/>
          <w:color w:val="0D0D0D" w:themeColor="text1" w:themeTint="F2"/>
          <w:sz w:val="20"/>
          <w:szCs w:val="20"/>
        </w:rPr>
      </w:pPr>
    </w:p>
    <w:p w:rsidR="00050E68" w:rsidRDefault="00367BF8" w:rsidP="00393CDF">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 xml:space="preserve"> </w:t>
      </w:r>
      <w:r w:rsidR="00393CDF">
        <w:rPr>
          <w:rFonts w:ascii="Arial" w:hAnsi="Arial" w:cs="Arial"/>
          <w:b/>
          <w:color w:val="0D0D0D" w:themeColor="text1" w:themeTint="F2"/>
          <w:sz w:val="20"/>
          <w:szCs w:val="20"/>
        </w:rPr>
        <w:t>FIRMA</w:t>
      </w:r>
      <w:r w:rsidR="00393CDF">
        <w:rPr>
          <w:rFonts w:ascii="Arial" w:hAnsi="Arial" w:cs="Arial"/>
          <w:b/>
          <w:color w:val="0D0D0D" w:themeColor="text1" w:themeTint="F2"/>
          <w:sz w:val="20"/>
          <w:szCs w:val="20"/>
        </w:rPr>
        <w:tab/>
      </w:r>
      <w:r w:rsidR="00393CDF">
        <w:rPr>
          <w:rFonts w:ascii="Arial" w:hAnsi="Arial" w:cs="Arial"/>
          <w:b/>
          <w:color w:val="0D0D0D" w:themeColor="text1" w:themeTint="F2"/>
          <w:sz w:val="20"/>
          <w:szCs w:val="20"/>
        </w:rPr>
        <w:tab/>
        <w:t>:</w:t>
      </w:r>
    </w:p>
    <w:p w:rsidR="007242C4" w:rsidRDefault="007242C4" w:rsidP="00393CDF">
      <w:pPr>
        <w:pStyle w:val="Prrafodelista"/>
        <w:tabs>
          <w:tab w:val="left" w:pos="240"/>
        </w:tabs>
        <w:ind w:left="0"/>
        <w:rPr>
          <w:rFonts w:ascii="Arial" w:hAnsi="Arial" w:cs="Arial"/>
          <w:b/>
          <w:color w:val="0D0D0D" w:themeColor="text1" w:themeTint="F2"/>
          <w:sz w:val="20"/>
          <w:szCs w:val="20"/>
        </w:rPr>
      </w:pPr>
    </w:p>
    <w:p w:rsidR="00393CDF" w:rsidRDefault="00393CDF" w:rsidP="00393CDF">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 xml:space="preserve"> NOMBRE</w:t>
      </w:r>
      <w:r>
        <w:rPr>
          <w:rFonts w:ascii="Arial" w:hAnsi="Arial" w:cs="Arial"/>
          <w:b/>
          <w:color w:val="0D0D0D" w:themeColor="text1" w:themeTint="F2"/>
          <w:sz w:val="20"/>
          <w:szCs w:val="20"/>
        </w:rPr>
        <w:tab/>
        <w:t>:</w:t>
      </w:r>
    </w:p>
    <w:p w:rsidR="007242C4" w:rsidRDefault="007242C4" w:rsidP="00393CDF">
      <w:pPr>
        <w:pStyle w:val="Prrafodelista"/>
        <w:tabs>
          <w:tab w:val="left" w:pos="240"/>
        </w:tabs>
        <w:ind w:left="0"/>
        <w:rPr>
          <w:rFonts w:ascii="Arial" w:hAnsi="Arial" w:cs="Arial"/>
          <w:b/>
          <w:color w:val="0D0D0D" w:themeColor="text1" w:themeTint="F2"/>
          <w:sz w:val="20"/>
          <w:szCs w:val="20"/>
        </w:rPr>
      </w:pPr>
    </w:p>
    <w:p w:rsidR="00393CDF" w:rsidRDefault="00367BF8" w:rsidP="00393CDF">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 xml:space="preserve"> </w:t>
      </w:r>
      <w:r w:rsidR="00393CDF">
        <w:rPr>
          <w:rFonts w:ascii="Arial" w:hAnsi="Arial" w:cs="Arial"/>
          <w:b/>
          <w:color w:val="0D0D0D" w:themeColor="text1" w:themeTint="F2"/>
          <w:sz w:val="20"/>
          <w:szCs w:val="20"/>
        </w:rPr>
        <w:t>DIRECCION</w:t>
      </w:r>
      <w:r w:rsidR="00393CDF">
        <w:rPr>
          <w:rFonts w:ascii="Arial" w:hAnsi="Arial" w:cs="Arial"/>
          <w:b/>
          <w:color w:val="0D0D0D" w:themeColor="text1" w:themeTint="F2"/>
          <w:sz w:val="20"/>
          <w:szCs w:val="20"/>
        </w:rPr>
        <w:tab/>
        <w:t>:</w:t>
      </w:r>
    </w:p>
    <w:p w:rsidR="007242C4" w:rsidRDefault="007242C4" w:rsidP="00393CDF">
      <w:pPr>
        <w:pStyle w:val="Prrafodelista"/>
        <w:tabs>
          <w:tab w:val="left" w:pos="240"/>
        </w:tabs>
        <w:ind w:left="0"/>
        <w:rPr>
          <w:rFonts w:ascii="Arial" w:hAnsi="Arial" w:cs="Arial"/>
          <w:b/>
          <w:color w:val="0D0D0D" w:themeColor="text1" w:themeTint="F2"/>
          <w:sz w:val="20"/>
          <w:szCs w:val="20"/>
        </w:rPr>
      </w:pPr>
    </w:p>
    <w:p w:rsidR="00393CDF" w:rsidRDefault="00393CDF" w:rsidP="00393CDF">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TELEFONO</w:t>
      </w:r>
      <w:r>
        <w:rPr>
          <w:rFonts w:ascii="Arial" w:hAnsi="Arial" w:cs="Arial"/>
          <w:b/>
          <w:color w:val="0D0D0D" w:themeColor="text1" w:themeTint="F2"/>
          <w:sz w:val="20"/>
          <w:szCs w:val="20"/>
        </w:rPr>
        <w:tab/>
        <w:t>:</w:t>
      </w:r>
    </w:p>
    <w:p w:rsidR="007242C4" w:rsidRDefault="007242C4" w:rsidP="00393CDF">
      <w:pPr>
        <w:pStyle w:val="Prrafodelista"/>
        <w:tabs>
          <w:tab w:val="left" w:pos="240"/>
        </w:tabs>
        <w:ind w:left="0"/>
        <w:rPr>
          <w:rFonts w:ascii="Arial" w:hAnsi="Arial" w:cs="Arial"/>
          <w:b/>
          <w:color w:val="0D0D0D" w:themeColor="text1" w:themeTint="F2"/>
          <w:sz w:val="20"/>
          <w:szCs w:val="20"/>
        </w:rPr>
      </w:pPr>
    </w:p>
    <w:p w:rsidR="00D161DB" w:rsidRPr="00393CDF" w:rsidRDefault="007242C4" w:rsidP="00393CDF">
      <w:pPr>
        <w:pStyle w:val="Prrafodelista"/>
        <w:tabs>
          <w:tab w:val="left" w:pos="240"/>
        </w:tabs>
        <w:ind w:left="0"/>
        <w:rPr>
          <w:lang w:val="es-MX"/>
        </w:rPr>
      </w:pPr>
      <w:r>
        <w:rPr>
          <w:rFonts w:ascii="Arial" w:hAnsi="Arial" w:cs="Arial"/>
          <w:b/>
          <w:color w:val="0D0D0D" w:themeColor="text1" w:themeTint="F2"/>
          <w:sz w:val="20"/>
          <w:szCs w:val="20"/>
        </w:rPr>
        <w:t>REPESENTANTE LEGAL:</w:t>
      </w:r>
    </w:p>
    <w:sectPr w:rsidR="00D161DB" w:rsidRPr="00393CDF" w:rsidSect="00393CDF">
      <w:pgSz w:w="12240" w:h="15840"/>
      <w:pgMar w:top="70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2E34F4"/>
    <w:multiLevelType w:val="hybridMultilevel"/>
    <w:tmpl w:val="7B1A0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631C662A"/>
    <w:multiLevelType w:val="hybridMultilevel"/>
    <w:tmpl w:val="09705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CD1"/>
    <w:rsid w:val="00022B9C"/>
    <w:rsid w:val="000477DF"/>
    <w:rsid w:val="00050E68"/>
    <w:rsid w:val="00145701"/>
    <w:rsid w:val="001D4858"/>
    <w:rsid w:val="0031550A"/>
    <w:rsid w:val="00367BF8"/>
    <w:rsid w:val="00380F74"/>
    <w:rsid w:val="00393CDF"/>
    <w:rsid w:val="00445214"/>
    <w:rsid w:val="00557B6E"/>
    <w:rsid w:val="006043AA"/>
    <w:rsid w:val="007242C4"/>
    <w:rsid w:val="007B052F"/>
    <w:rsid w:val="007B1733"/>
    <w:rsid w:val="007E2DC3"/>
    <w:rsid w:val="008033A3"/>
    <w:rsid w:val="00820CD1"/>
    <w:rsid w:val="00851DF0"/>
    <w:rsid w:val="00917B99"/>
    <w:rsid w:val="009C4396"/>
    <w:rsid w:val="00A52841"/>
    <w:rsid w:val="00A83E30"/>
    <w:rsid w:val="00B109AB"/>
    <w:rsid w:val="00B72126"/>
    <w:rsid w:val="00BD6856"/>
    <w:rsid w:val="00C428DF"/>
    <w:rsid w:val="00D161DB"/>
    <w:rsid w:val="00E50D86"/>
    <w:rsid w:val="00F93F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ACB79E-A5FD-468F-977B-3E46E8E98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CD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393CDF"/>
    <w:rPr>
      <w:color w:val="0000FF"/>
      <w:u w:val="single"/>
    </w:rPr>
  </w:style>
  <w:style w:type="paragraph" w:styleId="Prrafodelista">
    <w:name w:val="List Paragraph"/>
    <w:basedOn w:val="Normal"/>
    <w:link w:val="PrrafodelistaCar"/>
    <w:uiPriority w:val="34"/>
    <w:qFormat/>
    <w:rsid w:val="00393CDF"/>
    <w:pPr>
      <w:ind w:left="720"/>
      <w:contextualSpacing/>
    </w:pPr>
    <w:rPr>
      <w:lang w:val="es-CO"/>
    </w:rPr>
  </w:style>
  <w:style w:type="character" w:customStyle="1" w:styleId="PrrafodelistaCar">
    <w:name w:val="Párrafo de lista Car"/>
    <w:link w:val="Prrafodelista"/>
    <w:uiPriority w:val="34"/>
    <w:rsid w:val="00393CDF"/>
    <w:rPr>
      <w:rFonts w:ascii="Times New Roman" w:eastAsia="Times New Roman" w:hAnsi="Times New Roman" w:cs="Times New Roman"/>
      <w:sz w:val="24"/>
      <w:szCs w:val="24"/>
      <w:lang w:eastAsia="es-ES"/>
    </w:rPr>
  </w:style>
  <w:style w:type="paragraph" w:customStyle="1" w:styleId="Default">
    <w:name w:val="Default"/>
    <w:rsid w:val="00393CDF"/>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qFormat/>
    <w:rsid w:val="00393CDF"/>
    <w:pPr>
      <w:spacing w:after="0" w:line="240" w:lineRule="auto"/>
    </w:pPr>
    <w:rPr>
      <w:rFonts w:ascii="Times New Roman" w:eastAsia="Times New Roman" w:hAnsi="Times New Roman" w:cs="Times New Roman"/>
      <w:sz w:val="24"/>
      <w:szCs w:val="24"/>
      <w:lang w:eastAsia="es-ES"/>
    </w:rPr>
  </w:style>
  <w:style w:type="paragraph" w:customStyle="1" w:styleId="TitleChar">
    <w:name w:val="Title Char"/>
    <w:basedOn w:val="Normal"/>
    <w:next w:val="Normal"/>
    <w:link w:val="TtuloCar"/>
    <w:qFormat/>
    <w:rsid w:val="00393CDF"/>
    <w:pPr>
      <w:jc w:val="center"/>
    </w:pPr>
    <w:rPr>
      <w:rFonts w:ascii="Arial" w:eastAsiaTheme="minorHAnsi" w:hAnsi="Arial" w:cstheme="minorBidi"/>
      <w:b/>
      <w:szCs w:val="22"/>
    </w:rPr>
  </w:style>
  <w:style w:type="character" w:customStyle="1" w:styleId="TtuloCar">
    <w:name w:val="Título Car"/>
    <w:aliases w:val="Title Char Car"/>
    <w:link w:val="TitleChar"/>
    <w:rsid w:val="00393CDF"/>
    <w:rPr>
      <w:rFonts w:ascii="Arial" w:hAnsi="Arial"/>
      <w:b/>
      <w:sz w:val="24"/>
      <w:lang w:val="es-ES" w:eastAsia="es-ES"/>
    </w:rPr>
  </w:style>
  <w:style w:type="paragraph" w:styleId="Puesto">
    <w:name w:val="Title"/>
    <w:basedOn w:val="Normal"/>
    <w:link w:val="PuestoCar"/>
    <w:qFormat/>
    <w:rsid w:val="008033A3"/>
    <w:pPr>
      <w:jc w:val="center"/>
    </w:pPr>
    <w:rPr>
      <w:rFonts w:ascii="Arial" w:hAnsi="Arial"/>
      <w:b/>
      <w:szCs w:val="20"/>
    </w:rPr>
  </w:style>
  <w:style w:type="character" w:customStyle="1" w:styleId="PuestoCar">
    <w:name w:val="Puesto Car"/>
    <w:basedOn w:val="Fuentedeprrafopredeter"/>
    <w:link w:val="Puesto"/>
    <w:rsid w:val="008033A3"/>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iPriority w:val="99"/>
    <w:unhideWhenUsed/>
    <w:rsid w:val="000477DF"/>
    <w:pPr>
      <w:spacing w:after="120" w:line="480" w:lineRule="auto"/>
    </w:pPr>
  </w:style>
  <w:style w:type="character" w:customStyle="1" w:styleId="Textoindependiente2Car">
    <w:name w:val="Texto independiente 2 Car"/>
    <w:aliases w:val="Car3 Car"/>
    <w:basedOn w:val="Fuentedeprrafopredeter"/>
    <w:link w:val="Textoindependiente2"/>
    <w:uiPriority w:val="99"/>
    <w:rsid w:val="000477DF"/>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tol.grusa@policia.gov.co" TargetMode="External"/><Relationship Id="rId5" Type="http://schemas.openxmlformats.org/officeDocument/2006/relationships/hyperlink" Target="http://www.mindefens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1166</Words>
  <Characters>6414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soporte</cp:lastModifiedBy>
  <cp:revision>32</cp:revision>
  <dcterms:created xsi:type="dcterms:W3CDTF">2017-12-01T13:39:00Z</dcterms:created>
  <dcterms:modified xsi:type="dcterms:W3CDTF">2018-07-31T14:30:00Z</dcterms:modified>
</cp:coreProperties>
</file>