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8FDC88" w14:textId="77777777" w:rsidR="00B54101" w:rsidRPr="00CA32DA" w:rsidRDefault="00CA1232" w:rsidP="00D5720A">
      <w:pPr>
        <w:pStyle w:val="Textoindependiente"/>
        <w:jc w:val="center"/>
        <w:rPr>
          <w:rFonts w:ascii="Arial" w:hAnsi="Arial" w:cs="Arial"/>
          <w:bCs/>
          <w:spacing w:val="-2"/>
          <w:lang w:val="es-CO" w:eastAsia="en-US"/>
        </w:rPr>
      </w:pPr>
      <w:r>
        <w:rPr>
          <w:rFonts w:ascii="Arial" w:hAnsi="Arial" w:cs="Arial"/>
          <w:bCs/>
          <w:spacing w:val="-2"/>
          <w:lang w:eastAsia="en-US"/>
        </w:rPr>
        <w:t>A</w:t>
      </w:r>
      <w:r w:rsidR="00B54101" w:rsidRPr="00CA32DA">
        <w:rPr>
          <w:rFonts w:ascii="Arial" w:hAnsi="Arial" w:cs="Arial"/>
          <w:bCs/>
          <w:spacing w:val="-2"/>
          <w:lang w:eastAsia="en-US"/>
        </w:rPr>
        <w:t>NEXO Nº</w:t>
      </w:r>
      <w:r w:rsidR="00B54101" w:rsidRPr="00CA32DA">
        <w:rPr>
          <w:rFonts w:ascii="Arial" w:hAnsi="Arial" w:cs="Arial"/>
          <w:bCs/>
          <w:spacing w:val="-2"/>
          <w:lang w:val="es-CO" w:eastAsia="en-US"/>
        </w:rPr>
        <w:t>.</w:t>
      </w:r>
      <w:r w:rsidR="00B54101" w:rsidRPr="00CA32DA">
        <w:rPr>
          <w:rFonts w:ascii="Arial" w:hAnsi="Arial" w:cs="Arial"/>
          <w:bCs/>
          <w:spacing w:val="-2"/>
          <w:lang w:eastAsia="en-US"/>
        </w:rPr>
        <w:t xml:space="preserve"> 6</w:t>
      </w:r>
    </w:p>
    <w:p w14:paraId="370C5135" w14:textId="77777777" w:rsidR="002B633C" w:rsidRDefault="002B633C" w:rsidP="00D5720A">
      <w:pPr>
        <w:jc w:val="center"/>
        <w:rPr>
          <w:rFonts w:ascii="Arial" w:hAnsi="Arial" w:cs="Arial"/>
          <w:sz w:val="20"/>
          <w:szCs w:val="20"/>
          <w:lang w:val="es-CO"/>
        </w:rPr>
      </w:pPr>
    </w:p>
    <w:p w14:paraId="2EC5DAE3" w14:textId="7E4AF059" w:rsidR="00A33263" w:rsidRDefault="00AC36CA" w:rsidP="00A33263">
      <w:pPr>
        <w:jc w:val="center"/>
        <w:rPr>
          <w:rFonts w:ascii="Arial" w:hAnsi="Arial" w:cs="Arial"/>
          <w:sz w:val="20"/>
          <w:szCs w:val="20"/>
          <w:lang w:val="es-CO"/>
        </w:rPr>
      </w:pPr>
      <w:r w:rsidRPr="007322BB">
        <w:rPr>
          <w:rFonts w:ascii="Arial" w:hAnsi="Arial" w:cs="Arial"/>
          <w:sz w:val="20"/>
          <w:szCs w:val="20"/>
          <w:lang w:val="es-CO"/>
        </w:rPr>
        <w:t>ANEXO E</w:t>
      </w:r>
      <w:r w:rsidR="00A33263">
        <w:rPr>
          <w:rFonts w:ascii="Arial" w:hAnsi="Arial" w:cs="Arial"/>
          <w:sz w:val="20"/>
          <w:szCs w:val="20"/>
          <w:lang w:val="es-CO"/>
        </w:rPr>
        <w:t>SPECIFICACIONES TÉCNICAS</w:t>
      </w:r>
    </w:p>
    <w:p w14:paraId="5775D447" w14:textId="77777777" w:rsidR="001975F6" w:rsidRPr="004254A3" w:rsidRDefault="001975F6" w:rsidP="001975F6">
      <w:pPr>
        <w:tabs>
          <w:tab w:val="left" w:pos="540"/>
          <w:tab w:val="left" w:pos="720"/>
        </w:tabs>
        <w:ind w:right="284"/>
        <w:contextualSpacing/>
        <w:jc w:val="both"/>
        <w:outlineLvl w:val="0"/>
        <w:rPr>
          <w:rFonts w:ascii="Arial" w:hAnsi="Arial" w:cs="Arial"/>
          <w:sz w:val="20"/>
          <w:szCs w:val="20"/>
          <w:highlight w:val="yellow"/>
        </w:rPr>
      </w:pPr>
    </w:p>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1"/>
        <w:gridCol w:w="8282"/>
        <w:gridCol w:w="992"/>
      </w:tblGrid>
      <w:tr w:rsidR="001975F6" w:rsidRPr="004149F1" w14:paraId="4FBE54AB" w14:textId="77777777" w:rsidTr="00523F11">
        <w:trPr>
          <w:trHeight w:val="420"/>
        </w:trPr>
        <w:tc>
          <w:tcPr>
            <w:tcW w:w="791" w:type="dxa"/>
            <w:vMerge w:val="restart"/>
            <w:shd w:val="clear" w:color="000000" w:fill="D9D9D9"/>
            <w:vAlign w:val="center"/>
            <w:hideMark/>
          </w:tcPr>
          <w:p w14:paraId="5E5D9F87" w14:textId="77777777" w:rsidR="001975F6" w:rsidRPr="004149F1" w:rsidRDefault="001975F6" w:rsidP="00523F11">
            <w:pPr>
              <w:contextualSpacing/>
              <w:jc w:val="center"/>
              <w:rPr>
                <w:rFonts w:ascii="Arial" w:hAnsi="Arial" w:cs="Arial"/>
                <w:b/>
                <w:bCs/>
                <w:sz w:val="18"/>
                <w:szCs w:val="18"/>
              </w:rPr>
            </w:pPr>
            <w:r>
              <w:rPr>
                <w:rFonts w:ascii="Arial" w:hAnsi="Arial" w:cs="Arial"/>
                <w:b/>
                <w:bCs/>
                <w:sz w:val="18"/>
                <w:szCs w:val="18"/>
              </w:rPr>
              <w:t>Ref articulo No.</w:t>
            </w:r>
          </w:p>
        </w:tc>
        <w:tc>
          <w:tcPr>
            <w:tcW w:w="8282" w:type="dxa"/>
            <w:vMerge w:val="restart"/>
            <w:shd w:val="clear" w:color="000000" w:fill="D9D9D9"/>
            <w:vAlign w:val="center"/>
            <w:hideMark/>
          </w:tcPr>
          <w:p w14:paraId="48BDE1EC" w14:textId="77777777" w:rsidR="001975F6" w:rsidRPr="004149F1" w:rsidRDefault="001975F6" w:rsidP="00523F11">
            <w:pPr>
              <w:contextualSpacing/>
              <w:jc w:val="center"/>
              <w:rPr>
                <w:rFonts w:ascii="Arial" w:hAnsi="Arial" w:cs="Arial"/>
                <w:b/>
                <w:bCs/>
                <w:sz w:val="18"/>
                <w:szCs w:val="18"/>
              </w:rPr>
            </w:pPr>
            <w:r w:rsidRPr="004149F1">
              <w:rPr>
                <w:rFonts w:ascii="Arial" w:hAnsi="Arial" w:cs="Arial"/>
                <w:b/>
                <w:bCs/>
                <w:sz w:val="18"/>
                <w:szCs w:val="18"/>
              </w:rPr>
              <w:t>DESCRIPCION DEL SERVICIO</w:t>
            </w:r>
          </w:p>
        </w:tc>
        <w:tc>
          <w:tcPr>
            <w:tcW w:w="992" w:type="dxa"/>
            <w:vMerge w:val="restart"/>
            <w:shd w:val="clear" w:color="000000" w:fill="D9D9D9"/>
            <w:vAlign w:val="center"/>
            <w:hideMark/>
          </w:tcPr>
          <w:p w14:paraId="3790F972" w14:textId="77777777" w:rsidR="001975F6" w:rsidRPr="004149F1" w:rsidRDefault="001975F6" w:rsidP="00523F11">
            <w:pPr>
              <w:contextualSpacing/>
              <w:jc w:val="center"/>
              <w:rPr>
                <w:rFonts w:ascii="Arial" w:hAnsi="Arial" w:cs="Arial"/>
                <w:b/>
                <w:bCs/>
                <w:sz w:val="18"/>
                <w:szCs w:val="18"/>
              </w:rPr>
            </w:pPr>
            <w:r w:rsidRPr="004149F1">
              <w:rPr>
                <w:rFonts w:ascii="Arial" w:hAnsi="Arial" w:cs="Arial"/>
                <w:b/>
                <w:bCs/>
                <w:sz w:val="18"/>
                <w:szCs w:val="18"/>
              </w:rPr>
              <w:t>UNIDAD DE MEDIDA</w:t>
            </w:r>
          </w:p>
        </w:tc>
      </w:tr>
      <w:tr w:rsidR="001975F6" w:rsidRPr="004149F1" w14:paraId="330B5204" w14:textId="77777777" w:rsidTr="00523F11">
        <w:trPr>
          <w:trHeight w:val="207"/>
        </w:trPr>
        <w:tc>
          <w:tcPr>
            <w:tcW w:w="791" w:type="dxa"/>
            <w:vMerge/>
            <w:vAlign w:val="center"/>
            <w:hideMark/>
          </w:tcPr>
          <w:p w14:paraId="53C2FE2F" w14:textId="77777777" w:rsidR="001975F6" w:rsidRPr="004149F1" w:rsidRDefault="001975F6" w:rsidP="00523F11">
            <w:pPr>
              <w:contextualSpacing/>
              <w:rPr>
                <w:rFonts w:ascii="Arial" w:hAnsi="Arial" w:cs="Arial"/>
                <w:b/>
                <w:bCs/>
                <w:sz w:val="18"/>
                <w:szCs w:val="18"/>
              </w:rPr>
            </w:pPr>
          </w:p>
        </w:tc>
        <w:tc>
          <w:tcPr>
            <w:tcW w:w="8282" w:type="dxa"/>
            <w:vMerge/>
            <w:vAlign w:val="center"/>
            <w:hideMark/>
          </w:tcPr>
          <w:p w14:paraId="7A9E37A6" w14:textId="77777777" w:rsidR="001975F6" w:rsidRPr="004149F1" w:rsidRDefault="001975F6" w:rsidP="00523F11">
            <w:pPr>
              <w:contextualSpacing/>
              <w:rPr>
                <w:rFonts w:ascii="Arial" w:hAnsi="Arial" w:cs="Arial"/>
                <w:b/>
                <w:bCs/>
                <w:sz w:val="18"/>
                <w:szCs w:val="18"/>
              </w:rPr>
            </w:pPr>
          </w:p>
        </w:tc>
        <w:tc>
          <w:tcPr>
            <w:tcW w:w="992" w:type="dxa"/>
            <w:vMerge/>
            <w:vAlign w:val="center"/>
            <w:hideMark/>
          </w:tcPr>
          <w:p w14:paraId="22C9CEB2" w14:textId="77777777" w:rsidR="001975F6" w:rsidRPr="004149F1" w:rsidRDefault="001975F6" w:rsidP="00523F11">
            <w:pPr>
              <w:contextualSpacing/>
              <w:rPr>
                <w:rFonts w:ascii="Arial" w:hAnsi="Arial" w:cs="Arial"/>
                <w:b/>
                <w:bCs/>
                <w:sz w:val="18"/>
                <w:szCs w:val="18"/>
              </w:rPr>
            </w:pPr>
          </w:p>
        </w:tc>
      </w:tr>
      <w:tr w:rsidR="001975F6" w:rsidRPr="004149F1" w14:paraId="277CF35B" w14:textId="77777777" w:rsidTr="00523F11">
        <w:trPr>
          <w:trHeight w:val="765"/>
        </w:trPr>
        <w:tc>
          <w:tcPr>
            <w:tcW w:w="791" w:type="dxa"/>
            <w:vMerge w:val="restart"/>
            <w:shd w:val="clear" w:color="auto" w:fill="auto"/>
            <w:noWrap/>
            <w:vAlign w:val="center"/>
            <w:hideMark/>
          </w:tcPr>
          <w:p w14:paraId="545624A4" w14:textId="77777777" w:rsidR="001975F6" w:rsidRPr="004149F1" w:rsidRDefault="001975F6" w:rsidP="00523F11">
            <w:pPr>
              <w:contextualSpacing/>
              <w:jc w:val="center"/>
              <w:rPr>
                <w:rFonts w:ascii="Arial" w:hAnsi="Arial" w:cs="Arial"/>
                <w:sz w:val="18"/>
                <w:szCs w:val="18"/>
              </w:rPr>
            </w:pPr>
            <w:r w:rsidRPr="004149F1">
              <w:rPr>
                <w:rFonts w:ascii="Arial" w:hAnsi="Arial" w:cs="Arial"/>
                <w:sz w:val="18"/>
                <w:szCs w:val="18"/>
              </w:rPr>
              <w:t>1</w:t>
            </w:r>
          </w:p>
        </w:tc>
        <w:tc>
          <w:tcPr>
            <w:tcW w:w="8282" w:type="dxa"/>
            <w:shd w:val="clear" w:color="auto" w:fill="auto"/>
            <w:vAlign w:val="center"/>
            <w:hideMark/>
          </w:tcPr>
          <w:p w14:paraId="07C88278" w14:textId="77777777" w:rsidR="001975F6" w:rsidRPr="00D20D4A" w:rsidRDefault="001975F6" w:rsidP="00523F11">
            <w:pPr>
              <w:contextualSpacing/>
              <w:jc w:val="both"/>
              <w:rPr>
                <w:rFonts w:ascii="Arial" w:hAnsi="Arial" w:cs="Arial"/>
                <w:sz w:val="18"/>
                <w:szCs w:val="18"/>
              </w:rPr>
            </w:pPr>
            <w:r w:rsidRPr="00B20D25">
              <w:rPr>
                <w:rFonts w:ascii="Arial" w:hAnsi="Arial" w:cs="Arial"/>
                <w:sz w:val="20"/>
                <w:szCs w:val="20"/>
              </w:rPr>
              <w:t>PRESTACIÓN DEL SERVICIO DE OPERADOR DE SUBASTA ELECTRÓNICA PARA LA ENAJENACIÓN Y/O ADQUISICIÓN DE BIENES Y/O SERVICIOS DE CARACTERÍSTICAS TÉCNICAS UNIFORMES Y COMÚN UTILIZACIÓ</w:t>
            </w:r>
            <w:r>
              <w:rPr>
                <w:rFonts w:ascii="Arial" w:hAnsi="Arial" w:cs="Arial"/>
                <w:sz w:val="20"/>
                <w:szCs w:val="20"/>
              </w:rPr>
              <w:t>N PARA EVENTOS DE CONTRATACIÓN</w:t>
            </w:r>
            <w:r w:rsidRPr="00B20D25">
              <w:rPr>
                <w:rFonts w:ascii="Arial" w:hAnsi="Arial" w:cs="Arial"/>
                <w:sz w:val="20"/>
                <w:szCs w:val="20"/>
              </w:rPr>
              <w:t xml:space="preserve">, </w:t>
            </w:r>
          </w:p>
        </w:tc>
        <w:tc>
          <w:tcPr>
            <w:tcW w:w="992" w:type="dxa"/>
            <w:vMerge w:val="restart"/>
            <w:shd w:val="clear" w:color="auto" w:fill="auto"/>
            <w:vAlign w:val="center"/>
            <w:hideMark/>
          </w:tcPr>
          <w:p w14:paraId="3241F5BC" w14:textId="77777777" w:rsidR="001975F6" w:rsidRPr="004149F1" w:rsidRDefault="001975F6" w:rsidP="00523F11">
            <w:pPr>
              <w:contextualSpacing/>
              <w:rPr>
                <w:rFonts w:ascii="Arial" w:hAnsi="Arial" w:cs="Arial"/>
                <w:sz w:val="18"/>
                <w:szCs w:val="18"/>
              </w:rPr>
            </w:pPr>
            <w:r>
              <w:rPr>
                <w:rFonts w:ascii="Arial" w:hAnsi="Arial" w:cs="Arial"/>
                <w:sz w:val="18"/>
                <w:szCs w:val="18"/>
              </w:rPr>
              <w:t xml:space="preserve">UNIDAD </w:t>
            </w:r>
          </w:p>
        </w:tc>
      </w:tr>
      <w:tr w:rsidR="001975F6" w:rsidRPr="004149F1" w14:paraId="134AFDCE" w14:textId="77777777" w:rsidTr="00523F11">
        <w:trPr>
          <w:trHeight w:val="389"/>
        </w:trPr>
        <w:tc>
          <w:tcPr>
            <w:tcW w:w="791" w:type="dxa"/>
            <w:vMerge/>
            <w:vAlign w:val="center"/>
            <w:hideMark/>
          </w:tcPr>
          <w:p w14:paraId="7F90BD86"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6EC3CB37" w14:textId="77777777" w:rsidR="001975F6" w:rsidRPr="004149F1" w:rsidRDefault="001975F6" w:rsidP="00523F11">
            <w:pPr>
              <w:contextualSpacing/>
              <w:rPr>
                <w:rFonts w:ascii="Arial" w:hAnsi="Arial" w:cs="Arial"/>
                <w:i/>
                <w:iCs/>
                <w:sz w:val="18"/>
                <w:szCs w:val="18"/>
              </w:rPr>
            </w:pPr>
            <w:r w:rsidRPr="004149F1">
              <w:rPr>
                <w:rFonts w:ascii="Arial" w:hAnsi="Arial" w:cs="Arial"/>
                <w:b/>
                <w:bCs/>
                <w:sz w:val="18"/>
                <w:szCs w:val="18"/>
              </w:rPr>
              <w:t>1. Parametrización del sistema.</w:t>
            </w:r>
          </w:p>
        </w:tc>
        <w:tc>
          <w:tcPr>
            <w:tcW w:w="992" w:type="dxa"/>
            <w:vMerge/>
            <w:vAlign w:val="center"/>
            <w:hideMark/>
          </w:tcPr>
          <w:p w14:paraId="685801D4" w14:textId="77777777" w:rsidR="001975F6" w:rsidRPr="004149F1" w:rsidRDefault="001975F6" w:rsidP="00523F11">
            <w:pPr>
              <w:contextualSpacing/>
              <w:rPr>
                <w:rFonts w:ascii="Arial" w:hAnsi="Arial" w:cs="Arial"/>
                <w:sz w:val="18"/>
                <w:szCs w:val="18"/>
              </w:rPr>
            </w:pPr>
          </w:p>
        </w:tc>
      </w:tr>
      <w:tr w:rsidR="001975F6" w:rsidRPr="004149F1" w14:paraId="2916E916" w14:textId="77777777" w:rsidTr="00523F11">
        <w:trPr>
          <w:trHeight w:val="675"/>
        </w:trPr>
        <w:tc>
          <w:tcPr>
            <w:tcW w:w="791" w:type="dxa"/>
            <w:vMerge/>
            <w:vAlign w:val="center"/>
            <w:hideMark/>
          </w:tcPr>
          <w:p w14:paraId="3EF78EDE"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3A30BBFB"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 xml:space="preserve">La plataforma debe permitir la creación de las empresas y usuarios en el sistema al igual que el suministro de las claves de acceso para las personas naturales o jurídicas que participarán en los procesos de contratación. </w:t>
            </w:r>
          </w:p>
        </w:tc>
        <w:tc>
          <w:tcPr>
            <w:tcW w:w="992" w:type="dxa"/>
            <w:vMerge/>
            <w:vAlign w:val="center"/>
            <w:hideMark/>
          </w:tcPr>
          <w:p w14:paraId="7AA86425" w14:textId="77777777" w:rsidR="001975F6" w:rsidRPr="004149F1" w:rsidRDefault="001975F6" w:rsidP="00523F11">
            <w:pPr>
              <w:contextualSpacing/>
              <w:rPr>
                <w:rFonts w:ascii="Arial" w:hAnsi="Arial" w:cs="Arial"/>
                <w:sz w:val="18"/>
                <w:szCs w:val="18"/>
              </w:rPr>
            </w:pPr>
          </w:p>
        </w:tc>
      </w:tr>
      <w:tr w:rsidR="001975F6" w:rsidRPr="004149F1" w14:paraId="65929819" w14:textId="77777777" w:rsidTr="00523F11">
        <w:trPr>
          <w:trHeight w:val="300"/>
        </w:trPr>
        <w:tc>
          <w:tcPr>
            <w:tcW w:w="791" w:type="dxa"/>
            <w:vMerge/>
            <w:vAlign w:val="center"/>
            <w:hideMark/>
          </w:tcPr>
          <w:p w14:paraId="6EF8BE64"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57ACF485" w14:textId="77777777" w:rsidR="001975F6" w:rsidRPr="004149F1" w:rsidRDefault="001975F6" w:rsidP="00523F11">
            <w:pPr>
              <w:contextualSpacing/>
              <w:jc w:val="both"/>
              <w:rPr>
                <w:rFonts w:ascii="Arial" w:hAnsi="Arial" w:cs="Arial"/>
                <w:b/>
                <w:bCs/>
                <w:sz w:val="18"/>
                <w:szCs w:val="18"/>
              </w:rPr>
            </w:pPr>
            <w:r w:rsidRPr="004149F1">
              <w:rPr>
                <w:rFonts w:ascii="Arial" w:hAnsi="Arial" w:cs="Arial"/>
                <w:b/>
                <w:bCs/>
                <w:sz w:val="18"/>
                <w:szCs w:val="18"/>
              </w:rPr>
              <w:t>2. Certificación digital.</w:t>
            </w:r>
          </w:p>
        </w:tc>
        <w:tc>
          <w:tcPr>
            <w:tcW w:w="992" w:type="dxa"/>
            <w:vMerge/>
            <w:vAlign w:val="center"/>
            <w:hideMark/>
          </w:tcPr>
          <w:p w14:paraId="212D6544" w14:textId="77777777" w:rsidR="001975F6" w:rsidRPr="004149F1" w:rsidRDefault="001975F6" w:rsidP="00523F11">
            <w:pPr>
              <w:contextualSpacing/>
              <w:rPr>
                <w:rFonts w:ascii="Arial" w:hAnsi="Arial" w:cs="Arial"/>
                <w:sz w:val="18"/>
                <w:szCs w:val="18"/>
              </w:rPr>
            </w:pPr>
          </w:p>
        </w:tc>
      </w:tr>
      <w:tr w:rsidR="001975F6" w:rsidRPr="004149F1" w14:paraId="16466AA5" w14:textId="77777777" w:rsidTr="00523F11">
        <w:trPr>
          <w:trHeight w:val="933"/>
        </w:trPr>
        <w:tc>
          <w:tcPr>
            <w:tcW w:w="791" w:type="dxa"/>
            <w:vMerge/>
            <w:vAlign w:val="center"/>
            <w:hideMark/>
          </w:tcPr>
          <w:p w14:paraId="43E1F257"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4E1AC5BA"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En cumplimiento con lo señalado en la Ley 527 de 1999, el servicio debe garantizar y otorgar plena seguridad sobre el origen e identidad del emisor del mensaje de datos y sobre su integridad y contenido, y el no repudio; para lo cual el oferente deberá contar con un certificado de servidor seguro (SSL) que reconozca los navegadores internet Explorer, Google Chrome y Mozilla Firefox, Opera, Safari, o cualquier otro, durante cada una de las subastas.</w:t>
            </w:r>
          </w:p>
        </w:tc>
        <w:tc>
          <w:tcPr>
            <w:tcW w:w="992" w:type="dxa"/>
            <w:vMerge/>
            <w:vAlign w:val="center"/>
            <w:hideMark/>
          </w:tcPr>
          <w:p w14:paraId="74204D67" w14:textId="77777777" w:rsidR="001975F6" w:rsidRPr="004149F1" w:rsidRDefault="001975F6" w:rsidP="00523F11">
            <w:pPr>
              <w:contextualSpacing/>
              <w:rPr>
                <w:rFonts w:ascii="Arial" w:hAnsi="Arial" w:cs="Arial"/>
                <w:sz w:val="18"/>
                <w:szCs w:val="18"/>
              </w:rPr>
            </w:pPr>
          </w:p>
        </w:tc>
      </w:tr>
      <w:tr w:rsidR="001975F6" w:rsidRPr="004149F1" w14:paraId="28D708E0" w14:textId="77777777" w:rsidTr="00523F11">
        <w:trPr>
          <w:trHeight w:val="300"/>
        </w:trPr>
        <w:tc>
          <w:tcPr>
            <w:tcW w:w="791" w:type="dxa"/>
            <w:vMerge/>
            <w:vAlign w:val="center"/>
            <w:hideMark/>
          </w:tcPr>
          <w:p w14:paraId="26760A18"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196DFF81" w14:textId="77777777" w:rsidR="001975F6" w:rsidRPr="004149F1" w:rsidRDefault="001975F6" w:rsidP="00523F11">
            <w:pPr>
              <w:contextualSpacing/>
              <w:jc w:val="both"/>
              <w:rPr>
                <w:rFonts w:ascii="Arial" w:hAnsi="Arial" w:cs="Arial"/>
                <w:b/>
                <w:bCs/>
                <w:sz w:val="18"/>
                <w:szCs w:val="18"/>
              </w:rPr>
            </w:pPr>
            <w:r w:rsidRPr="004149F1">
              <w:rPr>
                <w:rFonts w:ascii="Arial" w:hAnsi="Arial" w:cs="Arial"/>
                <w:b/>
                <w:bCs/>
                <w:sz w:val="18"/>
                <w:szCs w:val="18"/>
              </w:rPr>
              <w:t>3. Estampado cronológico.</w:t>
            </w:r>
          </w:p>
        </w:tc>
        <w:tc>
          <w:tcPr>
            <w:tcW w:w="992" w:type="dxa"/>
            <w:vMerge/>
            <w:vAlign w:val="center"/>
            <w:hideMark/>
          </w:tcPr>
          <w:p w14:paraId="2BEFC7F7" w14:textId="77777777" w:rsidR="001975F6" w:rsidRPr="004149F1" w:rsidRDefault="001975F6" w:rsidP="00523F11">
            <w:pPr>
              <w:contextualSpacing/>
              <w:rPr>
                <w:rFonts w:ascii="Arial" w:hAnsi="Arial" w:cs="Arial"/>
                <w:sz w:val="18"/>
                <w:szCs w:val="18"/>
              </w:rPr>
            </w:pPr>
          </w:p>
        </w:tc>
      </w:tr>
      <w:tr w:rsidR="001975F6" w:rsidRPr="004149F1" w14:paraId="20CB4ECF" w14:textId="77777777" w:rsidTr="00523F11">
        <w:trPr>
          <w:trHeight w:val="450"/>
        </w:trPr>
        <w:tc>
          <w:tcPr>
            <w:tcW w:w="791" w:type="dxa"/>
            <w:vMerge/>
            <w:vAlign w:val="center"/>
            <w:hideMark/>
          </w:tcPr>
          <w:p w14:paraId="5C7C516A"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284C39C2"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El servicio debe asegurar el registro de la fecha y la hora en que se realiza cada transacción electrónica y debe permitir consultar mediante reportes dicha información.</w:t>
            </w:r>
          </w:p>
        </w:tc>
        <w:tc>
          <w:tcPr>
            <w:tcW w:w="992" w:type="dxa"/>
            <w:vMerge/>
            <w:vAlign w:val="center"/>
            <w:hideMark/>
          </w:tcPr>
          <w:p w14:paraId="0F5090AF" w14:textId="77777777" w:rsidR="001975F6" w:rsidRPr="004149F1" w:rsidRDefault="001975F6" w:rsidP="00523F11">
            <w:pPr>
              <w:contextualSpacing/>
              <w:rPr>
                <w:rFonts w:ascii="Arial" w:hAnsi="Arial" w:cs="Arial"/>
                <w:sz w:val="18"/>
                <w:szCs w:val="18"/>
              </w:rPr>
            </w:pPr>
          </w:p>
        </w:tc>
      </w:tr>
      <w:tr w:rsidR="001975F6" w:rsidRPr="004149F1" w14:paraId="2ED8C3C4" w14:textId="77777777" w:rsidTr="00523F11">
        <w:trPr>
          <w:trHeight w:val="1144"/>
        </w:trPr>
        <w:tc>
          <w:tcPr>
            <w:tcW w:w="791" w:type="dxa"/>
            <w:vMerge/>
            <w:vAlign w:val="center"/>
            <w:hideMark/>
          </w:tcPr>
          <w:p w14:paraId="329B2EBF"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065D1D2C"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Si en el curso de la subasta electrónica dos o más proponentes presentan una postura del mismo valor, la herramienta deberá tener la capacidad de establecer que proponente envío cronológicamente primero dicha postura; para determinar esto, la herramienta utilizará el estampado cronológico certificado de una entidad de certificación digital autorizada para la presentación de este servicio que garantiza legalmente el momento exacto en que se reciben las posturas en el sistema.</w:t>
            </w:r>
          </w:p>
        </w:tc>
        <w:tc>
          <w:tcPr>
            <w:tcW w:w="992" w:type="dxa"/>
            <w:vMerge/>
            <w:vAlign w:val="center"/>
            <w:hideMark/>
          </w:tcPr>
          <w:p w14:paraId="3D34D4E9" w14:textId="77777777" w:rsidR="001975F6" w:rsidRPr="004149F1" w:rsidRDefault="001975F6" w:rsidP="00523F11">
            <w:pPr>
              <w:contextualSpacing/>
              <w:rPr>
                <w:rFonts w:ascii="Arial" w:hAnsi="Arial" w:cs="Arial"/>
                <w:sz w:val="18"/>
                <w:szCs w:val="18"/>
              </w:rPr>
            </w:pPr>
          </w:p>
        </w:tc>
      </w:tr>
      <w:tr w:rsidR="001975F6" w:rsidRPr="004149F1" w14:paraId="63E4DFAF" w14:textId="77777777" w:rsidTr="00523F11">
        <w:trPr>
          <w:trHeight w:val="300"/>
        </w:trPr>
        <w:tc>
          <w:tcPr>
            <w:tcW w:w="791" w:type="dxa"/>
            <w:vMerge/>
            <w:vAlign w:val="center"/>
            <w:hideMark/>
          </w:tcPr>
          <w:p w14:paraId="4CDAF6DE"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073D7320" w14:textId="77777777" w:rsidR="001975F6" w:rsidRPr="00EB0AA7" w:rsidRDefault="001975F6" w:rsidP="00523F11">
            <w:pPr>
              <w:contextualSpacing/>
              <w:jc w:val="both"/>
              <w:rPr>
                <w:rFonts w:ascii="Arial" w:hAnsi="Arial" w:cs="Arial"/>
                <w:b/>
                <w:bCs/>
                <w:sz w:val="18"/>
                <w:szCs w:val="18"/>
              </w:rPr>
            </w:pPr>
            <w:r w:rsidRPr="00EB0AA7">
              <w:rPr>
                <w:rFonts w:ascii="Arial" w:hAnsi="Arial" w:cs="Arial"/>
                <w:b/>
                <w:bCs/>
                <w:sz w:val="18"/>
                <w:szCs w:val="18"/>
              </w:rPr>
              <w:t>4. Plataforma.</w:t>
            </w:r>
          </w:p>
        </w:tc>
        <w:tc>
          <w:tcPr>
            <w:tcW w:w="992" w:type="dxa"/>
            <w:vMerge/>
            <w:vAlign w:val="center"/>
            <w:hideMark/>
          </w:tcPr>
          <w:p w14:paraId="5B76493F" w14:textId="77777777" w:rsidR="001975F6" w:rsidRPr="004149F1" w:rsidRDefault="001975F6" w:rsidP="00523F11">
            <w:pPr>
              <w:contextualSpacing/>
              <w:rPr>
                <w:rFonts w:ascii="Arial" w:hAnsi="Arial" w:cs="Arial"/>
                <w:sz w:val="18"/>
                <w:szCs w:val="18"/>
              </w:rPr>
            </w:pPr>
          </w:p>
        </w:tc>
      </w:tr>
      <w:tr w:rsidR="001975F6" w:rsidRPr="004149F1" w14:paraId="083E8747" w14:textId="77777777" w:rsidTr="00523F11">
        <w:trPr>
          <w:trHeight w:val="1621"/>
        </w:trPr>
        <w:tc>
          <w:tcPr>
            <w:tcW w:w="791" w:type="dxa"/>
            <w:vMerge/>
            <w:vAlign w:val="center"/>
            <w:hideMark/>
          </w:tcPr>
          <w:p w14:paraId="5E6628B2"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103412A1" w14:textId="77777777" w:rsidR="001975F6" w:rsidRPr="00EB0AA7" w:rsidRDefault="001975F6" w:rsidP="00523F11">
            <w:pPr>
              <w:contextualSpacing/>
              <w:jc w:val="both"/>
              <w:rPr>
                <w:rFonts w:ascii="Arial" w:hAnsi="Arial" w:cs="Arial"/>
                <w:sz w:val="18"/>
                <w:szCs w:val="18"/>
              </w:rPr>
            </w:pPr>
            <w:r w:rsidRPr="00EB0AA7">
              <w:rPr>
                <w:rFonts w:ascii="Arial" w:hAnsi="Arial" w:cs="Arial"/>
                <w:sz w:val="18"/>
                <w:szCs w:val="18"/>
              </w:rPr>
              <w:t xml:space="preserve">El Servicio debe suministrar el hardware y el licenciamiento requerido a nivel de software para que el Ministerio de Defensa Nacional - Comando General de las Fuerzas Militares lleve a cabo la totalidad de las subastas a realizar. </w:t>
            </w:r>
          </w:p>
          <w:p w14:paraId="38BB556C" w14:textId="77777777" w:rsidR="001975F6" w:rsidRPr="00EB0AA7" w:rsidRDefault="001975F6" w:rsidP="00523F11">
            <w:pPr>
              <w:contextualSpacing/>
              <w:jc w:val="both"/>
              <w:rPr>
                <w:rFonts w:ascii="Arial" w:hAnsi="Arial" w:cs="Arial"/>
                <w:sz w:val="18"/>
                <w:szCs w:val="18"/>
              </w:rPr>
            </w:pPr>
            <w:r w:rsidRPr="00EB0AA7">
              <w:rPr>
                <w:rFonts w:ascii="Arial" w:hAnsi="Arial" w:cs="Arial"/>
                <w:sz w:val="18"/>
                <w:szCs w:val="18"/>
              </w:rPr>
              <w:t>El sistema que se utilice para la realización de las subastas debe estar sincronizado con la hora legal colombiana que se encuentra en la página web de la Superintendencia de Industria y Comercio (SIC) ya que de conformidad con lo consagrado en el Decreto No. 35213 de 2009, artículo 9 numeral 19, este órgano es el que mantiene, coordina y da la hora legal en la República de Colombia. Igualmente, el servicio debe permitir verificar en línea, qué participantes están conectados a la hora de realizar la subasta.</w:t>
            </w:r>
          </w:p>
        </w:tc>
        <w:tc>
          <w:tcPr>
            <w:tcW w:w="992" w:type="dxa"/>
            <w:vMerge/>
            <w:vAlign w:val="center"/>
            <w:hideMark/>
          </w:tcPr>
          <w:p w14:paraId="05C8ED26" w14:textId="77777777" w:rsidR="001975F6" w:rsidRPr="004149F1" w:rsidRDefault="001975F6" w:rsidP="00523F11">
            <w:pPr>
              <w:contextualSpacing/>
              <w:rPr>
                <w:rFonts w:ascii="Arial" w:hAnsi="Arial" w:cs="Arial"/>
                <w:sz w:val="18"/>
                <w:szCs w:val="18"/>
              </w:rPr>
            </w:pPr>
          </w:p>
        </w:tc>
      </w:tr>
      <w:tr w:rsidR="001975F6" w:rsidRPr="004149F1" w14:paraId="488D53C2" w14:textId="77777777" w:rsidTr="00523F11">
        <w:trPr>
          <w:trHeight w:val="450"/>
        </w:trPr>
        <w:tc>
          <w:tcPr>
            <w:tcW w:w="791" w:type="dxa"/>
            <w:vMerge/>
            <w:vAlign w:val="center"/>
            <w:hideMark/>
          </w:tcPr>
          <w:p w14:paraId="61D8524F"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42DA7E49"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La plataforma debe asegurar que el registro de los lances validos de precios se produzca automáticamente sin que haya lugar a una intervención por parte de la entidad.</w:t>
            </w:r>
          </w:p>
        </w:tc>
        <w:tc>
          <w:tcPr>
            <w:tcW w:w="992" w:type="dxa"/>
            <w:vMerge/>
            <w:vAlign w:val="center"/>
            <w:hideMark/>
          </w:tcPr>
          <w:p w14:paraId="532B8B56" w14:textId="77777777" w:rsidR="001975F6" w:rsidRPr="004149F1" w:rsidRDefault="001975F6" w:rsidP="00523F11">
            <w:pPr>
              <w:contextualSpacing/>
              <w:rPr>
                <w:rFonts w:ascii="Arial" w:hAnsi="Arial" w:cs="Arial"/>
                <w:sz w:val="18"/>
                <w:szCs w:val="18"/>
              </w:rPr>
            </w:pPr>
          </w:p>
        </w:tc>
      </w:tr>
      <w:tr w:rsidR="001975F6" w:rsidRPr="004149F1" w14:paraId="627B8764" w14:textId="77777777" w:rsidTr="00523F11">
        <w:trPr>
          <w:trHeight w:val="1071"/>
        </w:trPr>
        <w:tc>
          <w:tcPr>
            <w:tcW w:w="791" w:type="dxa"/>
            <w:vMerge/>
            <w:vAlign w:val="center"/>
            <w:hideMark/>
          </w:tcPr>
          <w:p w14:paraId="70D31A6E"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6DA9EFCF"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 xml:space="preserve">Si en el curso de una subasta electrónica inversa se presentaren fallas técnicas imputables a la entidad o la empresa a cargo de la operación tecnológica de la subasta, que impiden que los oferentes envíen sus propuestas, la subasta será cancelada y deberá reiniciarse el proceso. Sin embargo, la subasta deberá continuar si la entidad pierde conexión con la empresa a cargo de la operación tecnológica de la subasta, siempre que los oferentes puedan seguir enviando sus propuestas normalmente. </w:t>
            </w:r>
          </w:p>
        </w:tc>
        <w:tc>
          <w:tcPr>
            <w:tcW w:w="992" w:type="dxa"/>
            <w:vMerge/>
            <w:vAlign w:val="center"/>
            <w:hideMark/>
          </w:tcPr>
          <w:p w14:paraId="2B61D029" w14:textId="77777777" w:rsidR="001975F6" w:rsidRPr="004149F1" w:rsidRDefault="001975F6" w:rsidP="00523F11">
            <w:pPr>
              <w:contextualSpacing/>
              <w:rPr>
                <w:rFonts w:ascii="Arial" w:hAnsi="Arial" w:cs="Arial"/>
                <w:sz w:val="18"/>
                <w:szCs w:val="18"/>
              </w:rPr>
            </w:pPr>
          </w:p>
        </w:tc>
      </w:tr>
      <w:tr w:rsidR="001975F6" w:rsidRPr="004149F1" w14:paraId="098F0806" w14:textId="77777777" w:rsidTr="00523F11">
        <w:trPr>
          <w:trHeight w:val="300"/>
        </w:trPr>
        <w:tc>
          <w:tcPr>
            <w:tcW w:w="791" w:type="dxa"/>
            <w:vMerge/>
            <w:vAlign w:val="center"/>
            <w:hideMark/>
          </w:tcPr>
          <w:p w14:paraId="3805E0A5"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5487E133" w14:textId="77777777" w:rsidR="001975F6" w:rsidRPr="004149F1" w:rsidRDefault="001975F6" w:rsidP="00523F11">
            <w:pPr>
              <w:contextualSpacing/>
              <w:jc w:val="both"/>
              <w:rPr>
                <w:rFonts w:ascii="Arial" w:hAnsi="Arial" w:cs="Arial"/>
                <w:b/>
                <w:bCs/>
                <w:sz w:val="18"/>
                <w:szCs w:val="18"/>
              </w:rPr>
            </w:pPr>
            <w:r w:rsidRPr="004149F1">
              <w:rPr>
                <w:rFonts w:ascii="Arial" w:hAnsi="Arial" w:cs="Arial"/>
                <w:b/>
                <w:bCs/>
                <w:sz w:val="18"/>
                <w:szCs w:val="18"/>
              </w:rPr>
              <w:t>5. Precio de arranque y lances válidos.</w:t>
            </w:r>
          </w:p>
        </w:tc>
        <w:tc>
          <w:tcPr>
            <w:tcW w:w="992" w:type="dxa"/>
            <w:vMerge/>
            <w:vAlign w:val="center"/>
            <w:hideMark/>
          </w:tcPr>
          <w:p w14:paraId="7BD73166" w14:textId="77777777" w:rsidR="001975F6" w:rsidRPr="004149F1" w:rsidRDefault="001975F6" w:rsidP="00523F11">
            <w:pPr>
              <w:contextualSpacing/>
              <w:rPr>
                <w:rFonts w:ascii="Arial" w:hAnsi="Arial" w:cs="Arial"/>
                <w:sz w:val="18"/>
                <w:szCs w:val="18"/>
              </w:rPr>
            </w:pPr>
          </w:p>
        </w:tc>
      </w:tr>
      <w:tr w:rsidR="001975F6" w:rsidRPr="004149F1" w14:paraId="314680AD" w14:textId="77777777" w:rsidTr="00523F11">
        <w:trPr>
          <w:trHeight w:val="450"/>
        </w:trPr>
        <w:tc>
          <w:tcPr>
            <w:tcW w:w="791" w:type="dxa"/>
            <w:vMerge/>
            <w:vAlign w:val="center"/>
            <w:hideMark/>
          </w:tcPr>
          <w:p w14:paraId="4F338C4B"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079A0958"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El sistema deberá permitir que el precio de arranque del evento de subasta (sea total o por lotes), sea el menor de las propuestas iniciales de precio.</w:t>
            </w:r>
          </w:p>
        </w:tc>
        <w:tc>
          <w:tcPr>
            <w:tcW w:w="992" w:type="dxa"/>
            <w:vMerge/>
            <w:vAlign w:val="center"/>
            <w:hideMark/>
          </w:tcPr>
          <w:p w14:paraId="3B651E41" w14:textId="77777777" w:rsidR="001975F6" w:rsidRPr="004149F1" w:rsidRDefault="001975F6" w:rsidP="00523F11">
            <w:pPr>
              <w:contextualSpacing/>
              <w:rPr>
                <w:rFonts w:ascii="Arial" w:hAnsi="Arial" w:cs="Arial"/>
                <w:sz w:val="18"/>
                <w:szCs w:val="18"/>
              </w:rPr>
            </w:pPr>
          </w:p>
        </w:tc>
      </w:tr>
      <w:tr w:rsidR="001975F6" w:rsidRPr="004149F1" w14:paraId="1CDE9358" w14:textId="77777777" w:rsidTr="00523F11">
        <w:trPr>
          <w:trHeight w:val="450"/>
        </w:trPr>
        <w:tc>
          <w:tcPr>
            <w:tcW w:w="791" w:type="dxa"/>
            <w:vMerge/>
            <w:vAlign w:val="center"/>
            <w:hideMark/>
          </w:tcPr>
          <w:p w14:paraId="78C33740"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742B7A3F"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Los lances serán válidos si superan el margen mínimo de mejora en relación con el precio de arranque o el último lance valido ocurrido durante la subasta.</w:t>
            </w:r>
          </w:p>
        </w:tc>
        <w:tc>
          <w:tcPr>
            <w:tcW w:w="992" w:type="dxa"/>
            <w:vMerge/>
            <w:vAlign w:val="center"/>
            <w:hideMark/>
          </w:tcPr>
          <w:p w14:paraId="42FDC796" w14:textId="77777777" w:rsidR="001975F6" w:rsidRPr="004149F1" w:rsidRDefault="001975F6" w:rsidP="00523F11">
            <w:pPr>
              <w:contextualSpacing/>
              <w:rPr>
                <w:rFonts w:ascii="Arial" w:hAnsi="Arial" w:cs="Arial"/>
                <w:sz w:val="18"/>
                <w:szCs w:val="18"/>
              </w:rPr>
            </w:pPr>
          </w:p>
        </w:tc>
      </w:tr>
      <w:tr w:rsidR="001975F6" w:rsidRPr="004149F1" w14:paraId="2CC8FB0E" w14:textId="77777777" w:rsidTr="00523F11">
        <w:trPr>
          <w:trHeight w:val="300"/>
        </w:trPr>
        <w:tc>
          <w:tcPr>
            <w:tcW w:w="791" w:type="dxa"/>
            <w:vMerge/>
            <w:vAlign w:val="center"/>
            <w:hideMark/>
          </w:tcPr>
          <w:p w14:paraId="21C7663F"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79AA391A"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La plataforma debe disponer de un control que evite lances desproporcionadamente bajos.</w:t>
            </w:r>
          </w:p>
        </w:tc>
        <w:tc>
          <w:tcPr>
            <w:tcW w:w="992" w:type="dxa"/>
            <w:vMerge/>
            <w:vAlign w:val="center"/>
            <w:hideMark/>
          </w:tcPr>
          <w:p w14:paraId="125D9FD2" w14:textId="77777777" w:rsidR="001975F6" w:rsidRPr="004149F1" w:rsidRDefault="001975F6" w:rsidP="00523F11">
            <w:pPr>
              <w:contextualSpacing/>
              <w:rPr>
                <w:rFonts w:ascii="Arial" w:hAnsi="Arial" w:cs="Arial"/>
                <w:sz w:val="18"/>
                <w:szCs w:val="18"/>
              </w:rPr>
            </w:pPr>
          </w:p>
        </w:tc>
      </w:tr>
      <w:tr w:rsidR="001975F6" w:rsidRPr="004149F1" w14:paraId="61FA113A" w14:textId="77777777" w:rsidTr="00523F11">
        <w:trPr>
          <w:trHeight w:val="300"/>
        </w:trPr>
        <w:tc>
          <w:tcPr>
            <w:tcW w:w="791" w:type="dxa"/>
            <w:vMerge/>
            <w:vAlign w:val="center"/>
            <w:hideMark/>
          </w:tcPr>
          <w:p w14:paraId="355411AB"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75368ED5" w14:textId="77777777" w:rsidR="001975F6" w:rsidRPr="004149F1" w:rsidRDefault="001975F6" w:rsidP="00523F11">
            <w:pPr>
              <w:contextualSpacing/>
              <w:rPr>
                <w:rFonts w:ascii="Arial" w:hAnsi="Arial" w:cs="Arial"/>
                <w:b/>
                <w:bCs/>
                <w:sz w:val="18"/>
                <w:szCs w:val="18"/>
              </w:rPr>
            </w:pPr>
            <w:r w:rsidRPr="004149F1">
              <w:rPr>
                <w:rFonts w:ascii="Arial" w:hAnsi="Arial" w:cs="Arial"/>
                <w:b/>
                <w:bCs/>
                <w:sz w:val="18"/>
                <w:szCs w:val="18"/>
              </w:rPr>
              <w:t>6. Subastas por lotes.</w:t>
            </w:r>
          </w:p>
        </w:tc>
        <w:tc>
          <w:tcPr>
            <w:tcW w:w="992" w:type="dxa"/>
            <w:vMerge/>
            <w:vAlign w:val="center"/>
            <w:hideMark/>
          </w:tcPr>
          <w:p w14:paraId="491266AF" w14:textId="77777777" w:rsidR="001975F6" w:rsidRPr="004149F1" w:rsidRDefault="001975F6" w:rsidP="00523F11">
            <w:pPr>
              <w:contextualSpacing/>
              <w:rPr>
                <w:rFonts w:ascii="Arial" w:hAnsi="Arial" w:cs="Arial"/>
                <w:sz w:val="18"/>
                <w:szCs w:val="18"/>
              </w:rPr>
            </w:pPr>
          </w:p>
        </w:tc>
      </w:tr>
      <w:tr w:rsidR="001975F6" w:rsidRPr="004149F1" w14:paraId="7B858488" w14:textId="77777777" w:rsidTr="00523F11">
        <w:trPr>
          <w:trHeight w:val="96"/>
        </w:trPr>
        <w:tc>
          <w:tcPr>
            <w:tcW w:w="791" w:type="dxa"/>
            <w:vMerge/>
            <w:vAlign w:val="center"/>
            <w:hideMark/>
          </w:tcPr>
          <w:p w14:paraId="5173CD1D"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6290B2B7" w14:textId="77777777" w:rsidR="001975F6" w:rsidRPr="004149F1" w:rsidRDefault="001975F6" w:rsidP="00523F11">
            <w:pPr>
              <w:contextualSpacing/>
              <w:rPr>
                <w:rFonts w:ascii="Arial" w:hAnsi="Arial" w:cs="Arial"/>
                <w:sz w:val="18"/>
                <w:szCs w:val="18"/>
              </w:rPr>
            </w:pPr>
            <w:r w:rsidRPr="004149F1">
              <w:rPr>
                <w:rFonts w:ascii="Arial" w:hAnsi="Arial" w:cs="Arial"/>
                <w:sz w:val="18"/>
                <w:szCs w:val="18"/>
              </w:rPr>
              <w:t>Las subastas podrán llevarse a cabo por lotes</w:t>
            </w:r>
            <w:r w:rsidRPr="004149F1">
              <w:rPr>
                <w:rFonts w:ascii="Arial" w:hAnsi="Arial" w:cs="Arial"/>
                <w:b/>
                <w:bCs/>
                <w:sz w:val="18"/>
                <w:szCs w:val="18"/>
              </w:rPr>
              <w:t xml:space="preserve"> o</w:t>
            </w:r>
            <w:r w:rsidRPr="004149F1">
              <w:rPr>
                <w:rFonts w:ascii="Arial" w:hAnsi="Arial" w:cs="Arial"/>
                <w:sz w:val="18"/>
                <w:szCs w:val="18"/>
              </w:rPr>
              <w:t xml:space="preserve"> grupos.</w:t>
            </w:r>
          </w:p>
        </w:tc>
        <w:tc>
          <w:tcPr>
            <w:tcW w:w="992" w:type="dxa"/>
            <w:vMerge/>
            <w:vAlign w:val="center"/>
            <w:hideMark/>
          </w:tcPr>
          <w:p w14:paraId="642506DF" w14:textId="77777777" w:rsidR="001975F6" w:rsidRPr="004149F1" w:rsidRDefault="001975F6" w:rsidP="00523F11">
            <w:pPr>
              <w:contextualSpacing/>
              <w:rPr>
                <w:rFonts w:ascii="Arial" w:hAnsi="Arial" w:cs="Arial"/>
                <w:sz w:val="18"/>
                <w:szCs w:val="18"/>
              </w:rPr>
            </w:pPr>
          </w:p>
        </w:tc>
      </w:tr>
      <w:tr w:rsidR="001975F6" w:rsidRPr="004149F1" w14:paraId="5A9027B0" w14:textId="77777777" w:rsidTr="00523F11">
        <w:trPr>
          <w:trHeight w:val="572"/>
        </w:trPr>
        <w:tc>
          <w:tcPr>
            <w:tcW w:w="791" w:type="dxa"/>
            <w:vMerge/>
            <w:vAlign w:val="center"/>
            <w:hideMark/>
          </w:tcPr>
          <w:p w14:paraId="4C3A4859"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72F64A62"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Por lo anterior, en caso de que las subastas tengan dos o más lotes o grupos, se entenderá que estos no darán lugar a cobros adicionales, ya que corresponden a un mismo proceso, por lo cual, para estos casos, procederá el consumo solamente una de las subastas electrónicas contratadas.</w:t>
            </w:r>
          </w:p>
        </w:tc>
        <w:tc>
          <w:tcPr>
            <w:tcW w:w="992" w:type="dxa"/>
            <w:vMerge/>
            <w:vAlign w:val="center"/>
            <w:hideMark/>
          </w:tcPr>
          <w:p w14:paraId="6D907973" w14:textId="77777777" w:rsidR="001975F6" w:rsidRPr="004149F1" w:rsidRDefault="001975F6" w:rsidP="00523F11">
            <w:pPr>
              <w:contextualSpacing/>
              <w:rPr>
                <w:rFonts w:ascii="Arial" w:hAnsi="Arial" w:cs="Arial"/>
                <w:sz w:val="18"/>
                <w:szCs w:val="18"/>
              </w:rPr>
            </w:pPr>
          </w:p>
        </w:tc>
      </w:tr>
      <w:tr w:rsidR="001975F6" w:rsidRPr="004149F1" w14:paraId="06054724" w14:textId="77777777" w:rsidTr="00523F11">
        <w:trPr>
          <w:trHeight w:val="158"/>
        </w:trPr>
        <w:tc>
          <w:tcPr>
            <w:tcW w:w="791" w:type="dxa"/>
            <w:vMerge/>
            <w:vAlign w:val="center"/>
            <w:hideMark/>
          </w:tcPr>
          <w:p w14:paraId="674F6EF7"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6D60E660" w14:textId="77777777" w:rsidR="001975F6" w:rsidRPr="004149F1" w:rsidRDefault="001975F6" w:rsidP="00523F11">
            <w:pPr>
              <w:contextualSpacing/>
              <w:rPr>
                <w:rFonts w:ascii="Arial" w:hAnsi="Arial" w:cs="Arial"/>
                <w:b/>
                <w:bCs/>
                <w:sz w:val="18"/>
                <w:szCs w:val="18"/>
              </w:rPr>
            </w:pPr>
            <w:r w:rsidRPr="004149F1">
              <w:rPr>
                <w:rFonts w:ascii="Arial" w:hAnsi="Arial" w:cs="Arial"/>
                <w:b/>
                <w:bCs/>
                <w:sz w:val="18"/>
                <w:szCs w:val="18"/>
              </w:rPr>
              <w:t>7. Soporte técnico.</w:t>
            </w:r>
          </w:p>
        </w:tc>
        <w:tc>
          <w:tcPr>
            <w:tcW w:w="992" w:type="dxa"/>
            <w:vMerge/>
            <w:vAlign w:val="center"/>
            <w:hideMark/>
          </w:tcPr>
          <w:p w14:paraId="3972D940" w14:textId="77777777" w:rsidR="001975F6" w:rsidRPr="004149F1" w:rsidRDefault="001975F6" w:rsidP="00523F11">
            <w:pPr>
              <w:contextualSpacing/>
              <w:rPr>
                <w:rFonts w:ascii="Arial" w:hAnsi="Arial" w:cs="Arial"/>
                <w:sz w:val="18"/>
                <w:szCs w:val="18"/>
              </w:rPr>
            </w:pPr>
          </w:p>
        </w:tc>
      </w:tr>
      <w:tr w:rsidR="001975F6" w:rsidRPr="004149F1" w14:paraId="045F12A8" w14:textId="77777777" w:rsidTr="00523F11">
        <w:trPr>
          <w:trHeight w:val="444"/>
        </w:trPr>
        <w:tc>
          <w:tcPr>
            <w:tcW w:w="791" w:type="dxa"/>
            <w:vMerge/>
            <w:vAlign w:val="center"/>
            <w:hideMark/>
          </w:tcPr>
          <w:p w14:paraId="1386F038"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3ABA5A67"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Los días en que se realicen las subastas, deberá ofrecerse un soporte telefónico a los participantes y al Ministerio de Defensa - Comando General, con el fin de aclarar inquietudes (durante el tiempo de desarrollo de la subasta).</w:t>
            </w:r>
          </w:p>
          <w:p w14:paraId="1A2AF4E4" w14:textId="77777777" w:rsidR="001975F6" w:rsidRPr="004149F1" w:rsidRDefault="001975F6" w:rsidP="00523F11">
            <w:pPr>
              <w:contextualSpacing/>
              <w:jc w:val="both"/>
              <w:rPr>
                <w:rFonts w:ascii="Arial" w:hAnsi="Arial" w:cs="Arial"/>
                <w:sz w:val="18"/>
                <w:szCs w:val="18"/>
              </w:rPr>
            </w:pPr>
          </w:p>
          <w:p w14:paraId="7D018FA3"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El contratista se obliga a informar dentro de los tres (03) días hábiles siguientes a la comunicación del inicio del plazo de ejecución, el personal de apoyo técnico asignado al Ministerio de Defensa - COGFM.</w:t>
            </w:r>
          </w:p>
        </w:tc>
        <w:tc>
          <w:tcPr>
            <w:tcW w:w="992" w:type="dxa"/>
            <w:vMerge/>
            <w:vAlign w:val="center"/>
            <w:hideMark/>
          </w:tcPr>
          <w:p w14:paraId="3FF064FD" w14:textId="77777777" w:rsidR="001975F6" w:rsidRPr="004149F1" w:rsidRDefault="001975F6" w:rsidP="00523F11">
            <w:pPr>
              <w:contextualSpacing/>
              <w:rPr>
                <w:rFonts w:ascii="Arial" w:hAnsi="Arial" w:cs="Arial"/>
                <w:sz w:val="18"/>
                <w:szCs w:val="18"/>
              </w:rPr>
            </w:pPr>
          </w:p>
        </w:tc>
      </w:tr>
      <w:tr w:rsidR="001975F6" w:rsidRPr="004149F1" w14:paraId="09CBBD5C" w14:textId="77777777" w:rsidTr="00523F11">
        <w:trPr>
          <w:trHeight w:val="300"/>
        </w:trPr>
        <w:tc>
          <w:tcPr>
            <w:tcW w:w="791" w:type="dxa"/>
            <w:vMerge/>
            <w:vAlign w:val="center"/>
            <w:hideMark/>
          </w:tcPr>
          <w:p w14:paraId="4E5B7B37"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2692D210" w14:textId="77777777" w:rsidR="001975F6" w:rsidRPr="004149F1" w:rsidRDefault="001975F6" w:rsidP="00523F11">
            <w:pPr>
              <w:contextualSpacing/>
              <w:rPr>
                <w:rFonts w:ascii="Arial" w:hAnsi="Arial" w:cs="Arial"/>
                <w:b/>
                <w:bCs/>
                <w:sz w:val="18"/>
                <w:szCs w:val="18"/>
              </w:rPr>
            </w:pPr>
            <w:r w:rsidRPr="004149F1">
              <w:rPr>
                <w:rFonts w:ascii="Arial" w:hAnsi="Arial" w:cs="Arial"/>
                <w:b/>
                <w:bCs/>
                <w:sz w:val="18"/>
                <w:szCs w:val="18"/>
              </w:rPr>
              <w:t>8.  Asesoría en la configuración de la subasta.</w:t>
            </w:r>
          </w:p>
        </w:tc>
        <w:tc>
          <w:tcPr>
            <w:tcW w:w="992" w:type="dxa"/>
            <w:vMerge/>
            <w:vAlign w:val="center"/>
            <w:hideMark/>
          </w:tcPr>
          <w:p w14:paraId="6991648F" w14:textId="77777777" w:rsidR="001975F6" w:rsidRPr="004149F1" w:rsidRDefault="001975F6" w:rsidP="00523F11">
            <w:pPr>
              <w:contextualSpacing/>
              <w:rPr>
                <w:rFonts w:ascii="Arial" w:hAnsi="Arial" w:cs="Arial"/>
                <w:sz w:val="18"/>
                <w:szCs w:val="18"/>
              </w:rPr>
            </w:pPr>
          </w:p>
        </w:tc>
      </w:tr>
      <w:tr w:rsidR="001975F6" w:rsidRPr="004149F1" w14:paraId="72F5A9EC" w14:textId="77777777" w:rsidTr="00523F11">
        <w:trPr>
          <w:trHeight w:val="308"/>
        </w:trPr>
        <w:tc>
          <w:tcPr>
            <w:tcW w:w="791" w:type="dxa"/>
            <w:vMerge/>
            <w:vAlign w:val="center"/>
            <w:hideMark/>
          </w:tcPr>
          <w:p w14:paraId="682C2C1D"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01A54F7F"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El servicio debe incluir una asesoría permanente sobre el proceso de subasta a realizar, en particular con la duración y configuración de la misma; desde el momento de inicio hasta la finalización.</w:t>
            </w:r>
          </w:p>
        </w:tc>
        <w:tc>
          <w:tcPr>
            <w:tcW w:w="992" w:type="dxa"/>
            <w:vMerge/>
            <w:vAlign w:val="center"/>
            <w:hideMark/>
          </w:tcPr>
          <w:p w14:paraId="3DE77163" w14:textId="77777777" w:rsidR="001975F6" w:rsidRPr="004149F1" w:rsidRDefault="001975F6" w:rsidP="00523F11">
            <w:pPr>
              <w:contextualSpacing/>
              <w:rPr>
                <w:rFonts w:ascii="Arial" w:hAnsi="Arial" w:cs="Arial"/>
                <w:sz w:val="18"/>
                <w:szCs w:val="18"/>
              </w:rPr>
            </w:pPr>
          </w:p>
        </w:tc>
      </w:tr>
      <w:tr w:rsidR="001975F6" w:rsidRPr="004149F1" w14:paraId="0B38ACCF" w14:textId="77777777" w:rsidTr="00523F11">
        <w:trPr>
          <w:trHeight w:val="767"/>
        </w:trPr>
        <w:tc>
          <w:tcPr>
            <w:tcW w:w="791" w:type="dxa"/>
            <w:vMerge/>
            <w:vAlign w:val="center"/>
            <w:hideMark/>
          </w:tcPr>
          <w:p w14:paraId="5584A890"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5D437075"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La asesoría podrá llevarse a cabo por vía telefónica o por correo electrónico, con un tiempo de respuesta de máximo ocho (08) horas durante las fases, previa y posterior a la subasta. Durante la fase de ejecución de la subasta, el tiempo de respuesta será de máximo quince (15) minutos.</w:t>
            </w:r>
          </w:p>
        </w:tc>
        <w:tc>
          <w:tcPr>
            <w:tcW w:w="992" w:type="dxa"/>
            <w:vMerge/>
            <w:vAlign w:val="center"/>
            <w:hideMark/>
          </w:tcPr>
          <w:p w14:paraId="7F3E11AA" w14:textId="77777777" w:rsidR="001975F6" w:rsidRPr="004149F1" w:rsidRDefault="001975F6" w:rsidP="00523F11">
            <w:pPr>
              <w:contextualSpacing/>
              <w:rPr>
                <w:rFonts w:ascii="Arial" w:hAnsi="Arial" w:cs="Arial"/>
                <w:sz w:val="18"/>
                <w:szCs w:val="18"/>
              </w:rPr>
            </w:pPr>
          </w:p>
        </w:tc>
      </w:tr>
      <w:tr w:rsidR="001975F6" w:rsidRPr="004149F1" w14:paraId="06CF8699" w14:textId="77777777" w:rsidTr="00523F11">
        <w:trPr>
          <w:trHeight w:val="300"/>
        </w:trPr>
        <w:tc>
          <w:tcPr>
            <w:tcW w:w="791" w:type="dxa"/>
            <w:vMerge/>
            <w:vAlign w:val="center"/>
            <w:hideMark/>
          </w:tcPr>
          <w:p w14:paraId="184A3307"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7194655D" w14:textId="77777777" w:rsidR="001975F6" w:rsidRPr="004149F1" w:rsidRDefault="001975F6" w:rsidP="00523F11">
            <w:pPr>
              <w:contextualSpacing/>
              <w:jc w:val="both"/>
              <w:rPr>
                <w:rFonts w:ascii="Arial" w:hAnsi="Arial" w:cs="Arial"/>
                <w:b/>
                <w:bCs/>
                <w:sz w:val="18"/>
                <w:szCs w:val="18"/>
              </w:rPr>
            </w:pPr>
            <w:r w:rsidRPr="004149F1">
              <w:rPr>
                <w:rFonts w:ascii="Arial" w:hAnsi="Arial" w:cs="Arial"/>
                <w:b/>
                <w:bCs/>
                <w:sz w:val="18"/>
                <w:szCs w:val="18"/>
              </w:rPr>
              <w:t>9. Confidencialidad sobre el manejo de la información.</w:t>
            </w:r>
          </w:p>
        </w:tc>
        <w:tc>
          <w:tcPr>
            <w:tcW w:w="992" w:type="dxa"/>
            <w:vMerge/>
            <w:vAlign w:val="center"/>
            <w:hideMark/>
          </w:tcPr>
          <w:p w14:paraId="6501881C" w14:textId="77777777" w:rsidR="001975F6" w:rsidRPr="004149F1" w:rsidRDefault="001975F6" w:rsidP="00523F11">
            <w:pPr>
              <w:contextualSpacing/>
              <w:rPr>
                <w:rFonts w:ascii="Arial" w:hAnsi="Arial" w:cs="Arial"/>
                <w:sz w:val="18"/>
                <w:szCs w:val="18"/>
              </w:rPr>
            </w:pPr>
          </w:p>
        </w:tc>
      </w:tr>
      <w:tr w:rsidR="001975F6" w:rsidRPr="004149F1" w14:paraId="5D0FDDA8" w14:textId="77777777" w:rsidTr="00523F11">
        <w:trPr>
          <w:trHeight w:val="953"/>
        </w:trPr>
        <w:tc>
          <w:tcPr>
            <w:tcW w:w="791" w:type="dxa"/>
            <w:vMerge/>
            <w:vAlign w:val="center"/>
            <w:hideMark/>
          </w:tcPr>
          <w:p w14:paraId="626B48B0"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48D06F1D"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Dada la naturaleza de las actividades a realizar en desarrollo del objeto contractual, se debe garantizar la preservación de la integridad y confidencialidad de la información institucional a la cual el oferente seleccionado llegare a tener acceso directamente o por intermedio de terceros; en tal caso adoptará todas las medidas que sean necesarias para impedir la duplicación, sustracción, divulgación, alteración, ocultamiento o utilización indebida de la información.</w:t>
            </w:r>
          </w:p>
        </w:tc>
        <w:tc>
          <w:tcPr>
            <w:tcW w:w="992" w:type="dxa"/>
            <w:vMerge/>
            <w:vAlign w:val="center"/>
            <w:hideMark/>
          </w:tcPr>
          <w:p w14:paraId="7F4389F1" w14:textId="77777777" w:rsidR="001975F6" w:rsidRPr="004149F1" w:rsidRDefault="001975F6" w:rsidP="00523F11">
            <w:pPr>
              <w:contextualSpacing/>
              <w:rPr>
                <w:rFonts w:ascii="Arial" w:hAnsi="Arial" w:cs="Arial"/>
                <w:sz w:val="18"/>
                <w:szCs w:val="18"/>
              </w:rPr>
            </w:pPr>
          </w:p>
        </w:tc>
      </w:tr>
      <w:tr w:rsidR="001975F6" w:rsidRPr="004149F1" w14:paraId="0FBB3061" w14:textId="77777777" w:rsidTr="00523F11">
        <w:trPr>
          <w:trHeight w:val="1094"/>
        </w:trPr>
        <w:tc>
          <w:tcPr>
            <w:tcW w:w="791" w:type="dxa"/>
            <w:vMerge/>
            <w:vAlign w:val="center"/>
            <w:hideMark/>
          </w:tcPr>
          <w:p w14:paraId="44B760A7"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4A03D2B7"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Conforme avance la subasta, el proponente deberá ser informado desde la herramienta del operador tecnológico que brindará los servicios de subasta únicamente de la recepción de su lance y de la confirmación de su valor, así como del orden en que se ubicará su propuesta, sin perjuicio de la confidencialidad que se mantendrá sobre la identidad de los proponentes. En ningún caso se hará público el valor de las ofertas durante el desarrollo de la subasta.</w:t>
            </w:r>
          </w:p>
        </w:tc>
        <w:tc>
          <w:tcPr>
            <w:tcW w:w="992" w:type="dxa"/>
            <w:vMerge/>
            <w:vAlign w:val="center"/>
            <w:hideMark/>
          </w:tcPr>
          <w:p w14:paraId="0FB78D7A" w14:textId="77777777" w:rsidR="001975F6" w:rsidRPr="004149F1" w:rsidRDefault="001975F6" w:rsidP="00523F11">
            <w:pPr>
              <w:contextualSpacing/>
              <w:rPr>
                <w:rFonts w:ascii="Arial" w:hAnsi="Arial" w:cs="Arial"/>
                <w:sz w:val="18"/>
                <w:szCs w:val="18"/>
              </w:rPr>
            </w:pPr>
          </w:p>
        </w:tc>
      </w:tr>
      <w:tr w:rsidR="001975F6" w:rsidRPr="004149F1" w14:paraId="62D6DA79" w14:textId="77777777" w:rsidTr="00523F11">
        <w:trPr>
          <w:trHeight w:val="300"/>
        </w:trPr>
        <w:tc>
          <w:tcPr>
            <w:tcW w:w="791" w:type="dxa"/>
            <w:vMerge/>
            <w:vAlign w:val="center"/>
            <w:hideMark/>
          </w:tcPr>
          <w:p w14:paraId="1B3BAF6A"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5BC5357F" w14:textId="77777777" w:rsidR="001975F6" w:rsidRPr="004149F1" w:rsidRDefault="001975F6" w:rsidP="00523F11">
            <w:pPr>
              <w:contextualSpacing/>
              <w:jc w:val="both"/>
              <w:rPr>
                <w:rFonts w:ascii="Arial" w:hAnsi="Arial" w:cs="Arial"/>
                <w:b/>
                <w:bCs/>
                <w:sz w:val="18"/>
                <w:szCs w:val="18"/>
              </w:rPr>
            </w:pPr>
            <w:r w:rsidRPr="004149F1">
              <w:rPr>
                <w:rFonts w:ascii="Arial" w:hAnsi="Arial" w:cs="Arial"/>
                <w:b/>
                <w:bCs/>
                <w:sz w:val="18"/>
                <w:szCs w:val="18"/>
              </w:rPr>
              <w:t>10. Capacitación en el manejo de la herramienta.</w:t>
            </w:r>
          </w:p>
        </w:tc>
        <w:tc>
          <w:tcPr>
            <w:tcW w:w="992" w:type="dxa"/>
            <w:vMerge/>
            <w:vAlign w:val="center"/>
            <w:hideMark/>
          </w:tcPr>
          <w:p w14:paraId="37A2279F" w14:textId="77777777" w:rsidR="001975F6" w:rsidRPr="004149F1" w:rsidRDefault="001975F6" w:rsidP="00523F11">
            <w:pPr>
              <w:contextualSpacing/>
              <w:rPr>
                <w:rFonts w:ascii="Arial" w:hAnsi="Arial" w:cs="Arial"/>
                <w:sz w:val="18"/>
                <w:szCs w:val="18"/>
              </w:rPr>
            </w:pPr>
          </w:p>
        </w:tc>
      </w:tr>
      <w:tr w:rsidR="001975F6" w:rsidRPr="004149F1" w14:paraId="38D622BA" w14:textId="77777777" w:rsidTr="00523F11">
        <w:trPr>
          <w:trHeight w:val="536"/>
        </w:trPr>
        <w:tc>
          <w:tcPr>
            <w:tcW w:w="791" w:type="dxa"/>
            <w:vMerge/>
            <w:vAlign w:val="center"/>
            <w:hideMark/>
          </w:tcPr>
          <w:p w14:paraId="67883A62"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7034A70D"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Se deberá impartir en las instalaciones del Ministerio de Defensa - Comando General una capacitación inicial sobre el manejo y administración de la herramienta mínimo a diez (10) funcionarios de la entidad.</w:t>
            </w:r>
          </w:p>
        </w:tc>
        <w:tc>
          <w:tcPr>
            <w:tcW w:w="992" w:type="dxa"/>
            <w:vMerge/>
            <w:vAlign w:val="center"/>
            <w:hideMark/>
          </w:tcPr>
          <w:p w14:paraId="2EF99BAE" w14:textId="77777777" w:rsidR="001975F6" w:rsidRPr="004149F1" w:rsidRDefault="001975F6" w:rsidP="00523F11">
            <w:pPr>
              <w:contextualSpacing/>
              <w:rPr>
                <w:rFonts w:ascii="Arial" w:hAnsi="Arial" w:cs="Arial"/>
                <w:sz w:val="18"/>
                <w:szCs w:val="18"/>
              </w:rPr>
            </w:pPr>
          </w:p>
        </w:tc>
      </w:tr>
      <w:tr w:rsidR="001975F6" w:rsidRPr="004149F1" w14:paraId="39283597" w14:textId="77777777" w:rsidTr="00523F11">
        <w:trPr>
          <w:trHeight w:val="644"/>
        </w:trPr>
        <w:tc>
          <w:tcPr>
            <w:tcW w:w="791" w:type="dxa"/>
            <w:vMerge/>
            <w:vAlign w:val="center"/>
            <w:hideMark/>
          </w:tcPr>
          <w:p w14:paraId="09FEFC1C"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161A7D0A"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Posteriormente, para cada proceso de subasta, se debe impartir una capacitación ya sea de tipo virtual o presencial, a los diferentes proponentes que participaran en el proceso. Si la capacitación es de tipo presencial, esta se efectuará en las instalaciones de la firma contratista.</w:t>
            </w:r>
          </w:p>
        </w:tc>
        <w:tc>
          <w:tcPr>
            <w:tcW w:w="992" w:type="dxa"/>
            <w:vMerge/>
            <w:vAlign w:val="center"/>
            <w:hideMark/>
          </w:tcPr>
          <w:p w14:paraId="113BAB52" w14:textId="77777777" w:rsidR="001975F6" w:rsidRPr="004149F1" w:rsidRDefault="001975F6" w:rsidP="00523F11">
            <w:pPr>
              <w:contextualSpacing/>
              <w:rPr>
                <w:rFonts w:ascii="Arial" w:hAnsi="Arial" w:cs="Arial"/>
                <w:sz w:val="18"/>
                <w:szCs w:val="18"/>
              </w:rPr>
            </w:pPr>
          </w:p>
        </w:tc>
      </w:tr>
      <w:tr w:rsidR="001975F6" w:rsidRPr="004149F1" w14:paraId="384F18EF" w14:textId="77777777" w:rsidTr="00523F11">
        <w:trPr>
          <w:trHeight w:val="450"/>
        </w:trPr>
        <w:tc>
          <w:tcPr>
            <w:tcW w:w="791" w:type="dxa"/>
            <w:vMerge/>
            <w:vAlign w:val="center"/>
            <w:hideMark/>
          </w:tcPr>
          <w:p w14:paraId="569CC2A9"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56E4C14F"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Se deberá indicar la forma y metodología que se utilizará para cada tipo de capacitación (funcionarios y proponentes), así como la descripción detallada del contenido de la misma</w:t>
            </w:r>
          </w:p>
        </w:tc>
        <w:tc>
          <w:tcPr>
            <w:tcW w:w="992" w:type="dxa"/>
            <w:vMerge/>
            <w:vAlign w:val="center"/>
            <w:hideMark/>
          </w:tcPr>
          <w:p w14:paraId="20D8CD77" w14:textId="77777777" w:rsidR="001975F6" w:rsidRPr="004149F1" w:rsidRDefault="001975F6" w:rsidP="00523F11">
            <w:pPr>
              <w:contextualSpacing/>
              <w:rPr>
                <w:rFonts w:ascii="Arial" w:hAnsi="Arial" w:cs="Arial"/>
                <w:sz w:val="18"/>
                <w:szCs w:val="18"/>
              </w:rPr>
            </w:pPr>
          </w:p>
        </w:tc>
      </w:tr>
      <w:tr w:rsidR="001975F6" w:rsidRPr="004149F1" w14:paraId="726952DA" w14:textId="77777777" w:rsidTr="00523F11">
        <w:trPr>
          <w:trHeight w:val="300"/>
        </w:trPr>
        <w:tc>
          <w:tcPr>
            <w:tcW w:w="791" w:type="dxa"/>
            <w:vMerge/>
            <w:vAlign w:val="center"/>
            <w:hideMark/>
          </w:tcPr>
          <w:p w14:paraId="4D7C6656"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386EBF18" w14:textId="77777777" w:rsidR="001975F6" w:rsidRPr="004149F1" w:rsidRDefault="001975F6" w:rsidP="00523F11">
            <w:pPr>
              <w:contextualSpacing/>
              <w:jc w:val="both"/>
              <w:rPr>
                <w:rFonts w:ascii="Arial" w:hAnsi="Arial" w:cs="Arial"/>
                <w:b/>
                <w:bCs/>
                <w:sz w:val="18"/>
                <w:szCs w:val="18"/>
              </w:rPr>
            </w:pPr>
            <w:r w:rsidRPr="004149F1">
              <w:rPr>
                <w:rFonts w:ascii="Arial" w:hAnsi="Arial" w:cs="Arial"/>
                <w:b/>
                <w:bCs/>
                <w:sz w:val="18"/>
                <w:szCs w:val="18"/>
              </w:rPr>
              <w:t>11. Ejecución de la subasta.</w:t>
            </w:r>
          </w:p>
        </w:tc>
        <w:tc>
          <w:tcPr>
            <w:tcW w:w="992" w:type="dxa"/>
            <w:vMerge/>
            <w:vAlign w:val="center"/>
            <w:hideMark/>
          </w:tcPr>
          <w:p w14:paraId="0BA5CAFF" w14:textId="77777777" w:rsidR="001975F6" w:rsidRPr="004149F1" w:rsidRDefault="001975F6" w:rsidP="00523F11">
            <w:pPr>
              <w:contextualSpacing/>
              <w:rPr>
                <w:rFonts w:ascii="Arial" w:hAnsi="Arial" w:cs="Arial"/>
                <w:sz w:val="18"/>
                <w:szCs w:val="18"/>
              </w:rPr>
            </w:pPr>
          </w:p>
        </w:tc>
      </w:tr>
      <w:tr w:rsidR="001975F6" w:rsidRPr="004149F1" w14:paraId="0496D496" w14:textId="77777777" w:rsidTr="00523F11">
        <w:trPr>
          <w:trHeight w:val="675"/>
        </w:trPr>
        <w:tc>
          <w:tcPr>
            <w:tcW w:w="791" w:type="dxa"/>
            <w:vMerge/>
            <w:vAlign w:val="center"/>
            <w:hideMark/>
          </w:tcPr>
          <w:p w14:paraId="4D9C7A91"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0716F2CF"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Antes de cada subasta debe realizarse un simulacro con los participantes en el proceso, a fin de garantizar soluciones a los posibles problemas técnicos, el cual se podrá llevar a cabo de manera presencial en las instalaciones de la firma contratista o de manera virtual.</w:t>
            </w:r>
          </w:p>
        </w:tc>
        <w:tc>
          <w:tcPr>
            <w:tcW w:w="992" w:type="dxa"/>
            <w:vMerge/>
            <w:vAlign w:val="center"/>
            <w:hideMark/>
          </w:tcPr>
          <w:p w14:paraId="166D926B" w14:textId="77777777" w:rsidR="001975F6" w:rsidRPr="004149F1" w:rsidRDefault="001975F6" w:rsidP="00523F11">
            <w:pPr>
              <w:contextualSpacing/>
              <w:rPr>
                <w:rFonts w:ascii="Arial" w:hAnsi="Arial" w:cs="Arial"/>
                <w:sz w:val="18"/>
                <w:szCs w:val="18"/>
              </w:rPr>
            </w:pPr>
          </w:p>
        </w:tc>
      </w:tr>
      <w:tr w:rsidR="001975F6" w:rsidRPr="004149F1" w14:paraId="4439E478" w14:textId="77777777" w:rsidTr="00523F11">
        <w:trPr>
          <w:trHeight w:val="450"/>
        </w:trPr>
        <w:tc>
          <w:tcPr>
            <w:tcW w:w="791" w:type="dxa"/>
            <w:vMerge/>
            <w:vAlign w:val="center"/>
            <w:hideMark/>
          </w:tcPr>
          <w:p w14:paraId="29663D6F"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524F94FA"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Se debe indicar la forma y metodología que se utilizará para los eventos de simulacro, así como la descripción detallada del contenido de la misma.</w:t>
            </w:r>
          </w:p>
        </w:tc>
        <w:tc>
          <w:tcPr>
            <w:tcW w:w="992" w:type="dxa"/>
            <w:vMerge/>
            <w:vAlign w:val="center"/>
            <w:hideMark/>
          </w:tcPr>
          <w:p w14:paraId="521329DD" w14:textId="77777777" w:rsidR="001975F6" w:rsidRPr="004149F1" w:rsidRDefault="001975F6" w:rsidP="00523F11">
            <w:pPr>
              <w:contextualSpacing/>
              <w:rPr>
                <w:rFonts w:ascii="Arial" w:hAnsi="Arial" w:cs="Arial"/>
                <w:sz w:val="18"/>
                <w:szCs w:val="18"/>
              </w:rPr>
            </w:pPr>
          </w:p>
        </w:tc>
      </w:tr>
      <w:tr w:rsidR="001975F6" w:rsidRPr="004149F1" w14:paraId="591F07EE" w14:textId="77777777" w:rsidTr="00523F11">
        <w:trPr>
          <w:trHeight w:val="300"/>
        </w:trPr>
        <w:tc>
          <w:tcPr>
            <w:tcW w:w="791" w:type="dxa"/>
            <w:vMerge/>
            <w:vAlign w:val="center"/>
            <w:hideMark/>
          </w:tcPr>
          <w:p w14:paraId="7BFE999F"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71585448" w14:textId="77777777" w:rsidR="001975F6" w:rsidRPr="004149F1" w:rsidRDefault="001975F6" w:rsidP="00523F11">
            <w:pPr>
              <w:contextualSpacing/>
              <w:jc w:val="both"/>
              <w:rPr>
                <w:rFonts w:ascii="Arial" w:hAnsi="Arial" w:cs="Arial"/>
                <w:b/>
                <w:bCs/>
                <w:sz w:val="18"/>
                <w:szCs w:val="18"/>
              </w:rPr>
            </w:pPr>
            <w:r w:rsidRPr="004149F1">
              <w:rPr>
                <w:rFonts w:ascii="Arial" w:hAnsi="Arial" w:cs="Arial"/>
                <w:b/>
                <w:bCs/>
                <w:sz w:val="18"/>
                <w:szCs w:val="18"/>
              </w:rPr>
              <w:t>12. Documentación de la subasta.</w:t>
            </w:r>
          </w:p>
        </w:tc>
        <w:tc>
          <w:tcPr>
            <w:tcW w:w="992" w:type="dxa"/>
            <w:vMerge/>
            <w:vAlign w:val="center"/>
            <w:hideMark/>
          </w:tcPr>
          <w:p w14:paraId="64A6412B" w14:textId="77777777" w:rsidR="001975F6" w:rsidRPr="004149F1" w:rsidRDefault="001975F6" w:rsidP="00523F11">
            <w:pPr>
              <w:contextualSpacing/>
              <w:rPr>
                <w:rFonts w:ascii="Arial" w:hAnsi="Arial" w:cs="Arial"/>
                <w:sz w:val="18"/>
                <w:szCs w:val="18"/>
              </w:rPr>
            </w:pPr>
          </w:p>
        </w:tc>
      </w:tr>
      <w:tr w:rsidR="001975F6" w:rsidRPr="004149F1" w14:paraId="0BB8E804" w14:textId="77777777" w:rsidTr="00523F11">
        <w:trPr>
          <w:trHeight w:val="900"/>
        </w:trPr>
        <w:tc>
          <w:tcPr>
            <w:tcW w:w="791" w:type="dxa"/>
            <w:vMerge/>
            <w:vAlign w:val="center"/>
            <w:hideMark/>
          </w:tcPr>
          <w:p w14:paraId="1680123A"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4A47E99A"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 xml:space="preserve">Una vez finalizada cada subasta debe entregarse al supervisor del contrato, en medio magnético, un informe final con su respectivo análisis. La información debe incluir cuadro de análisis, gráficas, reportes con la información de ingreso de cada participante, configuración de la subasta, valores ofertados por cada participante, el resultado final de la misma. </w:t>
            </w:r>
          </w:p>
        </w:tc>
        <w:tc>
          <w:tcPr>
            <w:tcW w:w="992" w:type="dxa"/>
            <w:vMerge/>
            <w:vAlign w:val="center"/>
            <w:hideMark/>
          </w:tcPr>
          <w:p w14:paraId="43D98B11" w14:textId="77777777" w:rsidR="001975F6" w:rsidRPr="004149F1" w:rsidRDefault="001975F6" w:rsidP="00523F11">
            <w:pPr>
              <w:contextualSpacing/>
              <w:rPr>
                <w:rFonts w:ascii="Arial" w:hAnsi="Arial" w:cs="Arial"/>
                <w:sz w:val="18"/>
                <w:szCs w:val="18"/>
              </w:rPr>
            </w:pPr>
          </w:p>
        </w:tc>
      </w:tr>
      <w:tr w:rsidR="001975F6" w:rsidRPr="004149F1" w14:paraId="220D89BA" w14:textId="77777777" w:rsidTr="00523F11">
        <w:trPr>
          <w:trHeight w:val="300"/>
        </w:trPr>
        <w:tc>
          <w:tcPr>
            <w:tcW w:w="791" w:type="dxa"/>
            <w:vMerge/>
            <w:vAlign w:val="center"/>
            <w:hideMark/>
          </w:tcPr>
          <w:p w14:paraId="4FA996F4"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3810DCA4" w14:textId="77777777" w:rsidR="001975F6" w:rsidRPr="004149F1" w:rsidRDefault="001975F6" w:rsidP="00523F11">
            <w:pPr>
              <w:contextualSpacing/>
              <w:jc w:val="both"/>
              <w:rPr>
                <w:rFonts w:ascii="Arial" w:hAnsi="Arial" w:cs="Arial"/>
                <w:b/>
                <w:bCs/>
                <w:sz w:val="18"/>
                <w:szCs w:val="18"/>
              </w:rPr>
            </w:pPr>
            <w:r w:rsidRPr="004149F1">
              <w:rPr>
                <w:rFonts w:ascii="Arial" w:hAnsi="Arial" w:cs="Arial"/>
                <w:b/>
                <w:bCs/>
                <w:sz w:val="18"/>
                <w:szCs w:val="18"/>
              </w:rPr>
              <w:t>13. Procesos de contratación que tengan “PUJA”.</w:t>
            </w:r>
          </w:p>
        </w:tc>
        <w:tc>
          <w:tcPr>
            <w:tcW w:w="992" w:type="dxa"/>
            <w:vMerge/>
            <w:vAlign w:val="center"/>
            <w:hideMark/>
          </w:tcPr>
          <w:p w14:paraId="79ED5CC9" w14:textId="77777777" w:rsidR="001975F6" w:rsidRPr="004149F1" w:rsidRDefault="001975F6" w:rsidP="00523F11">
            <w:pPr>
              <w:contextualSpacing/>
              <w:rPr>
                <w:rFonts w:ascii="Arial" w:hAnsi="Arial" w:cs="Arial"/>
                <w:sz w:val="18"/>
                <w:szCs w:val="18"/>
              </w:rPr>
            </w:pPr>
          </w:p>
        </w:tc>
      </w:tr>
      <w:tr w:rsidR="001975F6" w:rsidRPr="004149F1" w14:paraId="3AC823DF" w14:textId="77777777" w:rsidTr="00523F11">
        <w:trPr>
          <w:trHeight w:val="675"/>
        </w:trPr>
        <w:tc>
          <w:tcPr>
            <w:tcW w:w="791" w:type="dxa"/>
            <w:vMerge/>
            <w:vAlign w:val="center"/>
            <w:hideMark/>
          </w:tcPr>
          <w:p w14:paraId="7C695E09"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hideMark/>
          </w:tcPr>
          <w:p w14:paraId="71498BAF"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 xml:space="preserve">Dentro del número de subastas a contratarse solo se tendrán en cuenta aquellas que tengan “PUJA”, para lo cual previamente el Ministerio de Defensa - Comando General notificará si es necesario el consumo de una de las subastas electrónicas contratadas. </w:t>
            </w:r>
          </w:p>
        </w:tc>
        <w:tc>
          <w:tcPr>
            <w:tcW w:w="992" w:type="dxa"/>
            <w:vMerge/>
            <w:vAlign w:val="center"/>
            <w:hideMark/>
          </w:tcPr>
          <w:p w14:paraId="2D80A1B3" w14:textId="77777777" w:rsidR="001975F6" w:rsidRPr="004149F1" w:rsidRDefault="001975F6" w:rsidP="00523F11">
            <w:pPr>
              <w:contextualSpacing/>
              <w:rPr>
                <w:rFonts w:ascii="Arial" w:hAnsi="Arial" w:cs="Arial"/>
                <w:sz w:val="18"/>
                <w:szCs w:val="18"/>
              </w:rPr>
            </w:pPr>
          </w:p>
        </w:tc>
      </w:tr>
      <w:tr w:rsidR="001975F6" w:rsidRPr="004149F1" w14:paraId="0F13816C" w14:textId="77777777" w:rsidTr="00523F11">
        <w:trPr>
          <w:trHeight w:val="454"/>
        </w:trPr>
        <w:tc>
          <w:tcPr>
            <w:tcW w:w="791" w:type="dxa"/>
            <w:vAlign w:val="center"/>
          </w:tcPr>
          <w:p w14:paraId="2B1505AB" w14:textId="77777777" w:rsidR="001975F6" w:rsidRPr="004149F1" w:rsidRDefault="001975F6" w:rsidP="00523F11">
            <w:pPr>
              <w:contextualSpacing/>
              <w:rPr>
                <w:rFonts w:ascii="Arial" w:hAnsi="Arial" w:cs="Arial"/>
                <w:sz w:val="18"/>
                <w:szCs w:val="18"/>
              </w:rPr>
            </w:pPr>
          </w:p>
        </w:tc>
        <w:tc>
          <w:tcPr>
            <w:tcW w:w="8282" w:type="dxa"/>
            <w:shd w:val="clear" w:color="auto" w:fill="auto"/>
            <w:vAlign w:val="center"/>
          </w:tcPr>
          <w:p w14:paraId="60873AEC" w14:textId="77777777" w:rsidR="001975F6" w:rsidRPr="004149F1" w:rsidRDefault="001975F6" w:rsidP="00523F11">
            <w:pPr>
              <w:contextualSpacing/>
              <w:jc w:val="both"/>
              <w:rPr>
                <w:rFonts w:ascii="Arial" w:hAnsi="Arial" w:cs="Arial"/>
                <w:sz w:val="18"/>
                <w:szCs w:val="18"/>
              </w:rPr>
            </w:pPr>
            <w:r w:rsidRPr="004149F1">
              <w:rPr>
                <w:rFonts w:ascii="Arial" w:hAnsi="Arial" w:cs="Arial"/>
                <w:sz w:val="18"/>
                <w:szCs w:val="18"/>
              </w:rPr>
              <w:t>El Contratista asumirá todos los costos directos e indirectos que se generen con ocasión del cumplimiento del objeto del contrato, sin que haya lugar a cobros adicionales tanto para el COGFM – Dirección Administrativa y Financiera, como para los participantes del evento de subasta.</w:t>
            </w:r>
          </w:p>
        </w:tc>
        <w:tc>
          <w:tcPr>
            <w:tcW w:w="992" w:type="dxa"/>
            <w:vAlign w:val="center"/>
          </w:tcPr>
          <w:p w14:paraId="3EEC6CB7" w14:textId="77777777" w:rsidR="001975F6" w:rsidRPr="004149F1" w:rsidRDefault="001975F6" w:rsidP="00523F11">
            <w:pPr>
              <w:contextualSpacing/>
              <w:rPr>
                <w:rFonts w:ascii="Arial" w:hAnsi="Arial" w:cs="Arial"/>
                <w:sz w:val="18"/>
                <w:szCs w:val="18"/>
              </w:rPr>
            </w:pPr>
          </w:p>
        </w:tc>
      </w:tr>
    </w:tbl>
    <w:p w14:paraId="7A58D702" w14:textId="77777777" w:rsidR="001975F6" w:rsidRPr="00020DE1" w:rsidRDefault="001975F6" w:rsidP="001975F6">
      <w:pPr>
        <w:tabs>
          <w:tab w:val="left" w:pos="540"/>
          <w:tab w:val="left" w:pos="720"/>
        </w:tabs>
        <w:ind w:right="284"/>
        <w:contextualSpacing/>
        <w:jc w:val="both"/>
        <w:outlineLvl w:val="0"/>
        <w:rPr>
          <w:rFonts w:ascii="Arial" w:hAnsi="Arial" w:cs="Arial"/>
          <w:sz w:val="20"/>
          <w:szCs w:val="20"/>
        </w:rPr>
      </w:pPr>
    </w:p>
    <w:p w14:paraId="3D3D7292" w14:textId="77777777" w:rsidR="001975F6" w:rsidRDefault="001975F6" w:rsidP="001975F6">
      <w:pPr>
        <w:pStyle w:val="Default"/>
        <w:ind w:right="284"/>
        <w:contextualSpacing/>
        <w:jc w:val="both"/>
        <w:rPr>
          <w:color w:val="auto"/>
          <w:sz w:val="20"/>
          <w:szCs w:val="20"/>
        </w:rPr>
      </w:pPr>
    </w:p>
    <w:p w14:paraId="796114D7" w14:textId="77777777" w:rsidR="001975F6" w:rsidRDefault="001975F6" w:rsidP="001975F6">
      <w:pPr>
        <w:pStyle w:val="Default"/>
        <w:ind w:right="284"/>
        <w:contextualSpacing/>
        <w:jc w:val="both"/>
        <w:rPr>
          <w:color w:val="auto"/>
          <w:sz w:val="20"/>
          <w:szCs w:val="20"/>
        </w:rPr>
      </w:pPr>
      <w:r>
        <w:rPr>
          <w:color w:val="auto"/>
          <w:sz w:val="20"/>
          <w:szCs w:val="20"/>
        </w:rPr>
        <w:lastRenderedPageBreak/>
        <w:t xml:space="preserve">La Unidad de medida “UNIDAD” debe entenderse como “EVENTO DE SUBASTA”, toda vez que en la plataforma del Secop no existe la unidad de medida subasta. </w:t>
      </w:r>
    </w:p>
    <w:p w14:paraId="15F47604" w14:textId="579A9DD8" w:rsidR="00A33263" w:rsidRDefault="00A33263" w:rsidP="00D5720A">
      <w:pPr>
        <w:jc w:val="both"/>
        <w:rPr>
          <w:rFonts w:ascii="Arial" w:hAnsi="Arial" w:cs="Arial"/>
          <w:sz w:val="20"/>
          <w:szCs w:val="20"/>
          <w:u w:val="single"/>
        </w:rPr>
      </w:pPr>
      <w:bookmarkStart w:id="0" w:name="_GoBack"/>
      <w:bookmarkEnd w:id="0"/>
    </w:p>
    <w:p w14:paraId="59BCC208" w14:textId="77777777" w:rsidR="001F644E" w:rsidRPr="00EC08BA" w:rsidRDefault="001F644E" w:rsidP="001F644E">
      <w:pPr>
        <w:pStyle w:val="Textoindependiente"/>
        <w:jc w:val="center"/>
        <w:rPr>
          <w:rFonts w:ascii="Arial" w:hAnsi="Arial" w:cs="Arial"/>
          <w:bCs/>
          <w:spacing w:val="-2"/>
          <w:lang w:val="es-CO" w:eastAsia="en-US"/>
        </w:rPr>
      </w:pPr>
      <w:bookmarkStart w:id="1" w:name="_Hlk66198429"/>
    </w:p>
    <w:bookmarkEnd w:id="1"/>
    <w:p w14:paraId="03985074" w14:textId="566ACEBC" w:rsidR="001F644E" w:rsidRPr="00AC57B2" w:rsidRDefault="001F644E" w:rsidP="001F644E">
      <w:pPr>
        <w:pBdr>
          <w:top w:val="nil"/>
          <w:left w:val="nil"/>
          <w:bottom w:val="nil"/>
          <w:right w:val="nil"/>
          <w:between w:val="nil"/>
        </w:pBdr>
        <w:ind w:right="284"/>
        <w:jc w:val="both"/>
        <w:rPr>
          <w:rFonts w:ascii="Arial" w:hAnsi="Arial" w:cs="Arial"/>
          <w:sz w:val="20"/>
          <w:szCs w:val="20"/>
          <w:lang w:eastAsia="en-US"/>
        </w:rPr>
      </w:pPr>
      <w:r w:rsidRPr="00AC57B2">
        <w:rPr>
          <w:rFonts w:ascii="Arial" w:eastAsia="Arial" w:hAnsi="Arial" w:cs="Arial"/>
          <w:sz w:val="20"/>
          <w:szCs w:val="20"/>
        </w:rPr>
        <w:fldChar w:fldCharType="begin"/>
      </w:r>
      <w:r w:rsidRPr="00AC57B2">
        <w:rPr>
          <w:rFonts w:ascii="Arial" w:eastAsia="Arial" w:hAnsi="Arial" w:cs="Arial"/>
          <w:sz w:val="20"/>
          <w:szCs w:val="20"/>
        </w:rPr>
        <w:instrText xml:space="preserve"> LINK Excel.Sheet.8 "\\\\cgpijao\\SECCION DE CONTRATOS CGFM\\Administrativo\\ARCHIVO EN TRAMITE 2021\\ANDERSON - LAURA\\MIN. ELEMENTOS DE GIMNACIO\\Solicitud de Cotizacion para estudios de mercados V 08.xls" "FICHA TÉCNICA !F1C1:F561C4" \a \f 4 \h  \* MERGEFORMAT </w:instrText>
      </w:r>
      <w:r w:rsidRPr="00AC57B2">
        <w:rPr>
          <w:rFonts w:ascii="Arial" w:eastAsia="Arial" w:hAnsi="Arial" w:cs="Arial"/>
          <w:sz w:val="20"/>
          <w:szCs w:val="20"/>
        </w:rPr>
        <w:fldChar w:fldCharType="separate"/>
      </w:r>
    </w:p>
    <w:p w14:paraId="05531E47" w14:textId="77777777" w:rsidR="001F644E" w:rsidRPr="00952F61" w:rsidRDefault="001F644E" w:rsidP="001F644E">
      <w:pPr>
        <w:pBdr>
          <w:top w:val="nil"/>
          <w:left w:val="nil"/>
          <w:bottom w:val="nil"/>
          <w:right w:val="nil"/>
          <w:between w:val="nil"/>
        </w:pBdr>
        <w:ind w:right="284"/>
        <w:jc w:val="both"/>
        <w:rPr>
          <w:noProof/>
          <w:highlight w:val="cyan"/>
        </w:rPr>
      </w:pPr>
      <w:r w:rsidRPr="00AC57B2">
        <w:rPr>
          <w:rFonts w:ascii="Arial" w:eastAsia="Arial" w:hAnsi="Arial" w:cs="Arial"/>
          <w:color w:val="000000"/>
          <w:sz w:val="20"/>
          <w:szCs w:val="20"/>
        </w:rPr>
        <w:fldChar w:fldCharType="end"/>
      </w:r>
      <w:r w:rsidRPr="00952F61">
        <w:rPr>
          <w:noProof/>
          <w:highlight w:val="cyan"/>
        </w:rPr>
        <w:t xml:space="preserve"> </w:t>
      </w:r>
    </w:p>
    <w:p w14:paraId="7466351E" w14:textId="1D99E6A9" w:rsidR="00A33263" w:rsidRDefault="00A33263" w:rsidP="00D5720A">
      <w:pPr>
        <w:jc w:val="both"/>
        <w:rPr>
          <w:rFonts w:ascii="Arial" w:hAnsi="Arial" w:cs="Arial"/>
          <w:sz w:val="20"/>
          <w:szCs w:val="20"/>
          <w:u w:val="single"/>
        </w:rPr>
      </w:pPr>
    </w:p>
    <w:p w14:paraId="4F7F192B" w14:textId="725CFD16" w:rsidR="00E5799C" w:rsidRPr="002B4E67" w:rsidRDefault="00E5799C" w:rsidP="00D5720A">
      <w:pPr>
        <w:jc w:val="both"/>
        <w:rPr>
          <w:rFonts w:ascii="Arial" w:hAnsi="Arial" w:cs="Arial"/>
          <w:sz w:val="20"/>
          <w:szCs w:val="20"/>
        </w:rPr>
      </w:pPr>
      <w:r w:rsidRPr="00E5799C">
        <w:rPr>
          <w:rFonts w:ascii="Arial" w:hAnsi="Arial" w:cs="Arial"/>
          <w:sz w:val="20"/>
          <w:szCs w:val="20"/>
          <w:u w:val="single"/>
        </w:rPr>
        <w:t>_____________________,</w:t>
      </w:r>
      <w:r w:rsidRPr="002B4E67">
        <w:rPr>
          <w:rFonts w:ascii="Arial" w:hAnsi="Arial" w:cs="Arial"/>
          <w:sz w:val="20"/>
          <w:szCs w:val="20"/>
        </w:rPr>
        <w:t xml:space="preserve"> identificado con cc No</w:t>
      </w:r>
      <w:r>
        <w:rPr>
          <w:rFonts w:ascii="Arial" w:hAnsi="Arial" w:cs="Arial"/>
          <w:sz w:val="20"/>
          <w:szCs w:val="20"/>
          <w:u w:val="single"/>
        </w:rPr>
        <w:t xml:space="preserve">_______________________ </w:t>
      </w:r>
      <w:r w:rsidRPr="002B4E67">
        <w:rPr>
          <w:rFonts w:ascii="Arial" w:hAnsi="Arial" w:cs="Arial"/>
          <w:sz w:val="20"/>
          <w:szCs w:val="20"/>
        </w:rPr>
        <w:t xml:space="preserve">Expedida en </w:t>
      </w:r>
      <w:r>
        <w:rPr>
          <w:rFonts w:ascii="Arial" w:hAnsi="Arial" w:cs="Arial"/>
          <w:sz w:val="20"/>
          <w:szCs w:val="20"/>
        </w:rPr>
        <w:t>_________________</w:t>
      </w:r>
      <w:r w:rsidRPr="002B4E67">
        <w:rPr>
          <w:rFonts w:ascii="Arial" w:hAnsi="Arial" w:cs="Arial"/>
          <w:sz w:val="20"/>
          <w:szCs w:val="20"/>
        </w:rPr>
        <w:t xml:space="preserve">, actuando en calidad de representante legal  de la firma  ( o persona natural), manifiesto que cumplo con todas las especificaciones técnicas contempladas en el anexo técnico del proceso de selección y me comprometo a  </w:t>
      </w:r>
      <w:r>
        <w:rPr>
          <w:rFonts w:ascii="Arial" w:hAnsi="Arial" w:cs="Arial"/>
          <w:sz w:val="20"/>
          <w:szCs w:val="20"/>
        </w:rPr>
        <w:t xml:space="preserve">prestar los servicios </w:t>
      </w:r>
      <w:r w:rsidRPr="002B4E67">
        <w:rPr>
          <w:rFonts w:ascii="Arial" w:hAnsi="Arial" w:cs="Arial"/>
          <w:color w:val="FF0000"/>
          <w:sz w:val="20"/>
          <w:szCs w:val="20"/>
        </w:rPr>
        <w:t xml:space="preserve"> </w:t>
      </w:r>
      <w:r w:rsidRPr="002B4E67">
        <w:rPr>
          <w:rFonts w:ascii="Arial" w:hAnsi="Arial" w:cs="Arial"/>
          <w:sz w:val="20"/>
          <w:szCs w:val="20"/>
        </w:rPr>
        <w:t xml:space="preserve">bajo las condiciones técnicas requeridas por el Comando General, sin condición alguna. </w:t>
      </w:r>
    </w:p>
    <w:p w14:paraId="59F569C0" w14:textId="77777777" w:rsidR="00B54101" w:rsidRPr="002B4E67" w:rsidRDefault="00B54101" w:rsidP="00D5720A">
      <w:pPr>
        <w:jc w:val="both"/>
        <w:rPr>
          <w:rFonts w:ascii="Arial" w:hAnsi="Arial" w:cs="Arial"/>
          <w:sz w:val="20"/>
          <w:szCs w:val="20"/>
        </w:rPr>
      </w:pPr>
    </w:p>
    <w:p w14:paraId="36E6D081" w14:textId="77777777" w:rsidR="00B54101" w:rsidRPr="002B4E67" w:rsidRDefault="00B54101" w:rsidP="00D5720A">
      <w:pPr>
        <w:pStyle w:val="Textoindependiente"/>
        <w:spacing w:line="240" w:lineRule="atLeast"/>
        <w:rPr>
          <w:rFonts w:ascii="Arial" w:hAnsi="Arial" w:cs="Arial"/>
        </w:rPr>
      </w:pPr>
      <w:r w:rsidRPr="002B4E67">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FD9B1F7" w14:textId="77777777" w:rsidR="00B54101" w:rsidRPr="002B4E67" w:rsidRDefault="00B54101" w:rsidP="00D5720A">
      <w:pPr>
        <w:jc w:val="both"/>
        <w:rPr>
          <w:rFonts w:ascii="Arial" w:hAnsi="Arial" w:cs="Arial"/>
          <w:sz w:val="20"/>
          <w:szCs w:val="20"/>
        </w:rPr>
      </w:pPr>
    </w:p>
    <w:p w14:paraId="6D8D270C" w14:textId="77777777" w:rsidR="00B54101" w:rsidRPr="002B4E67" w:rsidRDefault="00B54101" w:rsidP="00D5720A">
      <w:pPr>
        <w:jc w:val="both"/>
        <w:rPr>
          <w:rFonts w:ascii="Arial" w:hAnsi="Arial" w:cs="Arial"/>
          <w:sz w:val="20"/>
          <w:szCs w:val="20"/>
        </w:rPr>
      </w:pPr>
      <w:r w:rsidRPr="002B4E67">
        <w:rPr>
          <w:rFonts w:ascii="Arial" w:hAnsi="Arial" w:cs="Arial"/>
          <w:sz w:val="20"/>
          <w:szCs w:val="20"/>
        </w:rPr>
        <w:t xml:space="preserve">Para constancia firmo, en la ciudad de Bogotá a  los </w:t>
      </w:r>
      <w:r w:rsidR="001D2E02">
        <w:rPr>
          <w:rFonts w:ascii="Arial" w:hAnsi="Arial" w:cs="Arial"/>
          <w:sz w:val="20"/>
          <w:szCs w:val="20"/>
        </w:rPr>
        <w:t>________________</w:t>
      </w:r>
      <w:r w:rsidRPr="002B4E67">
        <w:rPr>
          <w:rFonts w:ascii="Arial" w:hAnsi="Arial" w:cs="Arial"/>
          <w:sz w:val="20"/>
          <w:szCs w:val="20"/>
        </w:rPr>
        <w:t xml:space="preserve"> </w:t>
      </w:r>
    </w:p>
    <w:p w14:paraId="5B1FDACA" w14:textId="77777777" w:rsidR="00B54101" w:rsidRDefault="00B54101" w:rsidP="00D5720A">
      <w:pPr>
        <w:autoSpaceDE w:val="0"/>
        <w:autoSpaceDN w:val="0"/>
        <w:adjustRightInd w:val="0"/>
        <w:rPr>
          <w:rFonts w:ascii="Arial" w:hAnsi="Arial" w:cs="Arial"/>
          <w:b/>
          <w:sz w:val="20"/>
          <w:szCs w:val="20"/>
          <w:highlight w:val="yellow"/>
        </w:rPr>
      </w:pPr>
    </w:p>
    <w:p w14:paraId="701952B8" w14:textId="77777777" w:rsidR="004F0987" w:rsidRPr="006F07C5" w:rsidRDefault="004F0987" w:rsidP="00D5720A">
      <w:pPr>
        <w:rPr>
          <w:rFonts w:ascii="Arial" w:hAnsi="Arial" w:cs="Arial"/>
          <w:sz w:val="20"/>
          <w:szCs w:val="20"/>
        </w:rPr>
      </w:pPr>
      <w:r w:rsidRPr="006F07C5">
        <w:rPr>
          <w:rFonts w:ascii="Arial" w:hAnsi="Arial" w:cs="Arial"/>
          <w:sz w:val="20"/>
          <w:szCs w:val="20"/>
        </w:rPr>
        <w:t>NOMBRE  Y FIRMA REPRESENTANTE LEGAL</w:t>
      </w:r>
    </w:p>
    <w:p w14:paraId="168746CC" w14:textId="77777777" w:rsidR="004F0987" w:rsidRDefault="004F0987" w:rsidP="00D5720A">
      <w:pPr>
        <w:rPr>
          <w:rFonts w:ascii="Arial" w:hAnsi="Arial" w:cs="Arial"/>
          <w:sz w:val="20"/>
          <w:szCs w:val="20"/>
        </w:rPr>
      </w:pPr>
      <w:r w:rsidRPr="006F07C5">
        <w:rPr>
          <w:rFonts w:ascii="Arial" w:hAnsi="Arial" w:cs="Arial"/>
          <w:sz w:val="20"/>
          <w:szCs w:val="20"/>
        </w:rPr>
        <w:t>CC.</w:t>
      </w:r>
    </w:p>
    <w:p w14:paraId="5EB3AD97" w14:textId="77777777" w:rsidR="004F0987" w:rsidRDefault="004F0987" w:rsidP="00D5720A">
      <w:pPr>
        <w:rPr>
          <w:rFonts w:ascii="Arial" w:hAnsi="Arial" w:cs="Arial"/>
          <w:sz w:val="20"/>
          <w:szCs w:val="20"/>
        </w:rPr>
      </w:pPr>
      <w:r>
        <w:rPr>
          <w:rFonts w:ascii="Arial" w:hAnsi="Arial" w:cs="Arial"/>
          <w:sz w:val="20"/>
          <w:szCs w:val="20"/>
        </w:rPr>
        <w:t>Representante Legal</w:t>
      </w:r>
    </w:p>
    <w:p w14:paraId="2E175D83" w14:textId="77777777" w:rsidR="004F0987" w:rsidRDefault="004F0987" w:rsidP="00D5720A">
      <w:pPr>
        <w:rPr>
          <w:rFonts w:ascii="Arial" w:hAnsi="Arial" w:cs="Arial"/>
          <w:sz w:val="20"/>
          <w:szCs w:val="20"/>
        </w:rPr>
      </w:pPr>
      <w:r>
        <w:rPr>
          <w:rFonts w:ascii="Arial" w:hAnsi="Arial" w:cs="Arial"/>
          <w:sz w:val="20"/>
          <w:szCs w:val="20"/>
        </w:rPr>
        <w:t>Empresa:</w:t>
      </w:r>
    </w:p>
    <w:p w14:paraId="516B3465" w14:textId="77777777" w:rsidR="00EF284E" w:rsidRDefault="004F0987" w:rsidP="00D5720A">
      <w:r>
        <w:rPr>
          <w:rFonts w:ascii="Arial" w:hAnsi="Arial" w:cs="Arial"/>
          <w:sz w:val="20"/>
          <w:szCs w:val="20"/>
        </w:rPr>
        <w:t>NIT.</w:t>
      </w:r>
    </w:p>
    <w:sectPr w:rsidR="00EF284E" w:rsidSect="008E54F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67F6B" w14:textId="77777777" w:rsidR="008E6135" w:rsidRDefault="008E6135" w:rsidP="008E6135">
      <w:r>
        <w:separator/>
      </w:r>
    </w:p>
  </w:endnote>
  <w:endnote w:type="continuationSeparator" w:id="0">
    <w:p w14:paraId="53FA247C" w14:textId="77777777" w:rsidR="008E6135" w:rsidRDefault="008E6135"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DejaVu Sans">
    <w:panose1 w:val="020B0603030804020204"/>
    <w:charset w:val="00"/>
    <w:family w:val="swiss"/>
    <w:pitch w:val="variable"/>
    <w:sig w:usb0="E7002EFF" w:usb1="D200FDFF" w:usb2="0A042029" w:usb3="00000000" w:csb0="8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6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370B1" w14:textId="77777777" w:rsidR="008E6135" w:rsidRDefault="008E6135" w:rsidP="008E6135">
      <w:r>
        <w:separator/>
      </w:r>
    </w:p>
  </w:footnote>
  <w:footnote w:type="continuationSeparator" w:id="0">
    <w:p w14:paraId="637A1D2C" w14:textId="77777777" w:rsidR="008E6135" w:rsidRDefault="008E6135" w:rsidP="008E61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06D7EA1"/>
    <w:multiLevelType w:val="hybridMultilevel"/>
    <w:tmpl w:val="5FA481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F84D7C"/>
    <w:multiLevelType w:val="hybridMultilevel"/>
    <w:tmpl w:val="9348BEC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C6656EC"/>
    <w:multiLevelType w:val="hybridMultilevel"/>
    <w:tmpl w:val="DF320560"/>
    <w:lvl w:ilvl="0" w:tplc="0C0A0001">
      <w:start w:val="1"/>
      <w:numFmt w:val="bullet"/>
      <w:lvlText w:val=""/>
      <w:lvlJc w:val="left"/>
      <w:pPr>
        <w:ind w:left="63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5C3ABB"/>
    <w:multiLevelType w:val="hybridMultilevel"/>
    <w:tmpl w:val="AC84E2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FB61BC"/>
    <w:multiLevelType w:val="hybridMultilevel"/>
    <w:tmpl w:val="5F76B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21628C"/>
    <w:multiLevelType w:val="hybridMultilevel"/>
    <w:tmpl w:val="D1FC5BEE"/>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cs="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cs="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cs="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0" w15:restartNumberingAfterBreak="0">
    <w:nsid w:val="23082C8F"/>
    <w:multiLevelType w:val="hybridMultilevel"/>
    <w:tmpl w:val="490A6E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2"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3"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2EE964E3"/>
    <w:multiLevelType w:val="hybridMultilevel"/>
    <w:tmpl w:val="2FD462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096A20"/>
    <w:multiLevelType w:val="hybridMultilevel"/>
    <w:tmpl w:val="3DF41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AC128C"/>
    <w:multiLevelType w:val="hybridMultilevel"/>
    <w:tmpl w:val="C658C7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9" w15:restartNumberingAfterBreak="0">
    <w:nsid w:val="4CD725B3"/>
    <w:multiLevelType w:val="hybridMultilevel"/>
    <w:tmpl w:val="E4C60FE8"/>
    <w:lvl w:ilvl="0" w:tplc="0C0A0001">
      <w:start w:val="1"/>
      <w:numFmt w:val="bullet"/>
      <w:lvlText w:val=""/>
      <w:lvlJc w:val="left"/>
      <w:pPr>
        <w:ind w:left="635" w:hanging="360"/>
      </w:pPr>
      <w:rPr>
        <w:rFonts w:ascii="Symbol" w:hAnsi="Symbol" w:hint="default"/>
      </w:rPr>
    </w:lvl>
    <w:lvl w:ilvl="1" w:tplc="0C0A0003" w:tentative="1">
      <w:start w:val="1"/>
      <w:numFmt w:val="bullet"/>
      <w:lvlText w:val="o"/>
      <w:lvlJc w:val="left"/>
      <w:pPr>
        <w:ind w:left="1355" w:hanging="360"/>
      </w:pPr>
      <w:rPr>
        <w:rFonts w:ascii="Courier New" w:hAnsi="Courier New" w:cs="Courier New" w:hint="default"/>
      </w:rPr>
    </w:lvl>
    <w:lvl w:ilvl="2" w:tplc="0C0A0005" w:tentative="1">
      <w:start w:val="1"/>
      <w:numFmt w:val="bullet"/>
      <w:lvlText w:val=""/>
      <w:lvlJc w:val="left"/>
      <w:pPr>
        <w:ind w:left="2075" w:hanging="360"/>
      </w:pPr>
      <w:rPr>
        <w:rFonts w:ascii="Wingdings" w:hAnsi="Wingdings" w:hint="default"/>
      </w:rPr>
    </w:lvl>
    <w:lvl w:ilvl="3" w:tplc="0C0A0001" w:tentative="1">
      <w:start w:val="1"/>
      <w:numFmt w:val="bullet"/>
      <w:lvlText w:val=""/>
      <w:lvlJc w:val="left"/>
      <w:pPr>
        <w:ind w:left="2795" w:hanging="360"/>
      </w:pPr>
      <w:rPr>
        <w:rFonts w:ascii="Symbol" w:hAnsi="Symbol" w:hint="default"/>
      </w:rPr>
    </w:lvl>
    <w:lvl w:ilvl="4" w:tplc="0C0A0003" w:tentative="1">
      <w:start w:val="1"/>
      <w:numFmt w:val="bullet"/>
      <w:lvlText w:val="o"/>
      <w:lvlJc w:val="left"/>
      <w:pPr>
        <w:ind w:left="3515" w:hanging="360"/>
      </w:pPr>
      <w:rPr>
        <w:rFonts w:ascii="Courier New" w:hAnsi="Courier New" w:cs="Courier New" w:hint="default"/>
      </w:rPr>
    </w:lvl>
    <w:lvl w:ilvl="5" w:tplc="0C0A0005" w:tentative="1">
      <w:start w:val="1"/>
      <w:numFmt w:val="bullet"/>
      <w:lvlText w:val=""/>
      <w:lvlJc w:val="left"/>
      <w:pPr>
        <w:ind w:left="4235" w:hanging="360"/>
      </w:pPr>
      <w:rPr>
        <w:rFonts w:ascii="Wingdings" w:hAnsi="Wingdings" w:hint="default"/>
      </w:rPr>
    </w:lvl>
    <w:lvl w:ilvl="6" w:tplc="0C0A0001" w:tentative="1">
      <w:start w:val="1"/>
      <w:numFmt w:val="bullet"/>
      <w:lvlText w:val=""/>
      <w:lvlJc w:val="left"/>
      <w:pPr>
        <w:ind w:left="4955" w:hanging="360"/>
      </w:pPr>
      <w:rPr>
        <w:rFonts w:ascii="Symbol" w:hAnsi="Symbol" w:hint="default"/>
      </w:rPr>
    </w:lvl>
    <w:lvl w:ilvl="7" w:tplc="0C0A0003" w:tentative="1">
      <w:start w:val="1"/>
      <w:numFmt w:val="bullet"/>
      <w:lvlText w:val="o"/>
      <w:lvlJc w:val="left"/>
      <w:pPr>
        <w:ind w:left="5675" w:hanging="360"/>
      </w:pPr>
      <w:rPr>
        <w:rFonts w:ascii="Courier New" w:hAnsi="Courier New" w:cs="Courier New" w:hint="default"/>
      </w:rPr>
    </w:lvl>
    <w:lvl w:ilvl="8" w:tplc="0C0A0005" w:tentative="1">
      <w:start w:val="1"/>
      <w:numFmt w:val="bullet"/>
      <w:lvlText w:val=""/>
      <w:lvlJc w:val="left"/>
      <w:pPr>
        <w:ind w:left="6395" w:hanging="360"/>
      </w:pPr>
      <w:rPr>
        <w:rFonts w:ascii="Wingdings" w:hAnsi="Wingdings" w:hint="default"/>
      </w:rPr>
    </w:lvl>
  </w:abstractNum>
  <w:abstractNum w:abstractNumId="20"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6515336D"/>
    <w:multiLevelType w:val="hybridMultilevel"/>
    <w:tmpl w:val="1688B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B512CC"/>
    <w:multiLevelType w:val="hybridMultilevel"/>
    <w:tmpl w:val="06F2F504"/>
    <w:lvl w:ilvl="0" w:tplc="240A0001">
      <w:start w:val="1"/>
      <w:numFmt w:val="bullet"/>
      <w:lvlText w:val=""/>
      <w:lvlJc w:val="left"/>
      <w:pPr>
        <w:ind w:left="700" w:hanging="360"/>
      </w:pPr>
      <w:rPr>
        <w:rFonts w:ascii="Symbol" w:hAnsi="Symbol" w:hint="default"/>
      </w:rPr>
    </w:lvl>
    <w:lvl w:ilvl="1" w:tplc="240A0003" w:tentative="1">
      <w:start w:val="1"/>
      <w:numFmt w:val="bullet"/>
      <w:lvlText w:val="o"/>
      <w:lvlJc w:val="left"/>
      <w:pPr>
        <w:ind w:left="1420" w:hanging="360"/>
      </w:pPr>
      <w:rPr>
        <w:rFonts w:ascii="Courier New" w:hAnsi="Courier New" w:cs="Courier New" w:hint="default"/>
      </w:rPr>
    </w:lvl>
    <w:lvl w:ilvl="2" w:tplc="240A0005" w:tentative="1">
      <w:start w:val="1"/>
      <w:numFmt w:val="bullet"/>
      <w:lvlText w:val=""/>
      <w:lvlJc w:val="left"/>
      <w:pPr>
        <w:ind w:left="2140" w:hanging="360"/>
      </w:pPr>
      <w:rPr>
        <w:rFonts w:ascii="Wingdings" w:hAnsi="Wingdings" w:hint="default"/>
      </w:rPr>
    </w:lvl>
    <w:lvl w:ilvl="3" w:tplc="240A0001" w:tentative="1">
      <w:start w:val="1"/>
      <w:numFmt w:val="bullet"/>
      <w:lvlText w:val=""/>
      <w:lvlJc w:val="left"/>
      <w:pPr>
        <w:ind w:left="2860" w:hanging="360"/>
      </w:pPr>
      <w:rPr>
        <w:rFonts w:ascii="Symbol" w:hAnsi="Symbol" w:hint="default"/>
      </w:rPr>
    </w:lvl>
    <w:lvl w:ilvl="4" w:tplc="240A0003" w:tentative="1">
      <w:start w:val="1"/>
      <w:numFmt w:val="bullet"/>
      <w:lvlText w:val="o"/>
      <w:lvlJc w:val="left"/>
      <w:pPr>
        <w:ind w:left="3580" w:hanging="360"/>
      </w:pPr>
      <w:rPr>
        <w:rFonts w:ascii="Courier New" w:hAnsi="Courier New" w:cs="Courier New" w:hint="default"/>
      </w:rPr>
    </w:lvl>
    <w:lvl w:ilvl="5" w:tplc="240A0005" w:tentative="1">
      <w:start w:val="1"/>
      <w:numFmt w:val="bullet"/>
      <w:lvlText w:val=""/>
      <w:lvlJc w:val="left"/>
      <w:pPr>
        <w:ind w:left="4300" w:hanging="360"/>
      </w:pPr>
      <w:rPr>
        <w:rFonts w:ascii="Wingdings" w:hAnsi="Wingdings" w:hint="default"/>
      </w:rPr>
    </w:lvl>
    <w:lvl w:ilvl="6" w:tplc="240A0001" w:tentative="1">
      <w:start w:val="1"/>
      <w:numFmt w:val="bullet"/>
      <w:lvlText w:val=""/>
      <w:lvlJc w:val="left"/>
      <w:pPr>
        <w:ind w:left="5020" w:hanging="360"/>
      </w:pPr>
      <w:rPr>
        <w:rFonts w:ascii="Symbol" w:hAnsi="Symbol" w:hint="default"/>
      </w:rPr>
    </w:lvl>
    <w:lvl w:ilvl="7" w:tplc="240A0003" w:tentative="1">
      <w:start w:val="1"/>
      <w:numFmt w:val="bullet"/>
      <w:lvlText w:val="o"/>
      <w:lvlJc w:val="left"/>
      <w:pPr>
        <w:ind w:left="5740" w:hanging="360"/>
      </w:pPr>
      <w:rPr>
        <w:rFonts w:ascii="Courier New" w:hAnsi="Courier New" w:cs="Courier New" w:hint="default"/>
      </w:rPr>
    </w:lvl>
    <w:lvl w:ilvl="8" w:tplc="240A0005" w:tentative="1">
      <w:start w:val="1"/>
      <w:numFmt w:val="bullet"/>
      <w:lvlText w:val=""/>
      <w:lvlJc w:val="left"/>
      <w:pPr>
        <w:ind w:left="6460" w:hanging="360"/>
      </w:pPr>
      <w:rPr>
        <w:rFonts w:ascii="Wingdings" w:hAnsi="Wingdings" w:hint="default"/>
      </w:rPr>
    </w:lvl>
  </w:abstractNum>
  <w:abstractNum w:abstractNumId="23" w15:restartNumberingAfterBreak="0">
    <w:nsid w:val="6D02278C"/>
    <w:multiLevelType w:val="hybridMultilevel"/>
    <w:tmpl w:val="AA82CE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4B638F9"/>
    <w:multiLevelType w:val="hybridMultilevel"/>
    <w:tmpl w:val="FFCE2A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9AD2277"/>
    <w:multiLevelType w:val="hybridMultilevel"/>
    <w:tmpl w:val="EC7E62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5"/>
  </w:num>
  <w:num w:numId="4">
    <w:abstractNumId w:val="18"/>
  </w:num>
  <w:num w:numId="5">
    <w:abstractNumId w:val="20"/>
  </w:num>
  <w:num w:numId="6">
    <w:abstractNumId w:val="4"/>
  </w:num>
  <w:num w:numId="7">
    <w:abstractNumId w:val="1"/>
  </w:num>
  <w:num w:numId="8">
    <w:abstractNumId w:val="11"/>
  </w:num>
  <w:num w:numId="9">
    <w:abstractNumId w:val="0"/>
  </w:num>
  <w:num w:numId="10">
    <w:abstractNumId w:val="13"/>
  </w:num>
  <w:num w:numId="11">
    <w:abstractNumId w:val="16"/>
  </w:num>
  <w:num w:numId="12">
    <w:abstractNumId w:val="10"/>
  </w:num>
  <w:num w:numId="13">
    <w:abstractNumId w:val="19"/>
  </w:num>
  <w:num w:numId="14">
    <w:abstractNumId w:val="9"/>
  </w:num>
  <w:num w:numId="15">
    <w:abstractNumId w:val="25"/>
  </w:num>
  <w:num w:numId="16">
    <w:abstractNumId w:val="2"/>
  </w:num>
  <w:num w:numId="17">
    <w:abstractNumId w:val="7"/>
  </w:num>
  <w:num w:numId="18">
    <w:abstractNumId w:val="3"/>
  </w:num>
  <w:num w:numId="19">
    <w:abstractNumId w:val="6"/>
  </w:num>
  <w:num w:numId="20">
    <w:abstractNumId w:val="17"/>
  </w:num>
  <w:num w:numId="21">
    <w:abstractNumId w:val="24"/>
  </w:num>
  <w:num w:numId="22">
    <w:abstractNumId w:val="22"/>
  </w:num>
  <w:num w:numId="23">
    <w:abstractNumId w:val="23"/>
  </w:num>
  <w:num w:numId="24">
    <w:abstractNumId w:val="14"/>
  </w:num>
  <w:num w:numId="25">
    <w:abstractNumId w:val="21"/>
  </w:num>
  <w:num w:numId="26">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3B07"/>
    <w:rsid w:val="00064792"/>
    <w:rsid w:val="00066382"/>
    <w:rsid w:val="000708C4"/>
    <w:rsid w:val="00096B37"/>
    <w:rsid w:val="000A4CCE"/>
    <w:rsid w:val="000F180F"/>
    <w:rsid w:val="000F2F82"/>
    <w:rsid w:val="000F57BE"/>
    <w:rsid w:val="0013199C"/>
    <w:rsid w:val="00147DEE"/>
    <w:rsid w:val="001975F6"/>
    <w:rsid w:val="001B2278"/>
    <w:rsid w:val="001D2E02"/>
    <w:rsid w:val="001F644E"/>
    <w:rsid w:val="002100FC"/>
    <w:rsid w:val="00273460"/>
    <w:rsid w:val="00275704"/>
    <w:rsid w:val="00297B10"/>
    <w:rsid w:val="002B633C"/>
    <w:rsid w:val="002D299D"/>
    <w:rsid w:val="0030300D"/>
    <w:rsid w:val="00307ECA"/>
    <w:rsid w:val="003159F7"/>
    <w:rsid w:val="00332084"/>
    <w:rsid w:val="00342C4F"/>
    <w:rsid w:val="00365BEC"/>
    <w:rsid w:val="003704BA"/>
    <w:rsid w:val="00394AFC"/>
    <w:rsid w:val="003A7557"/>
    <w:rsid w:val="003C2C52"/>
    <w:rsid w:val="003E6CE3"/>
    <w:rsid w:val="0046760C"/>
    <w:rsid w:val="004A29DE"/>
    <w:rsid w:val="004F0987"/>
    <w:rsid w:val="005203BE"/>
    <w:rsid w:val="00533168"/>
    <w:rsid w:val="00544CD3"/>
    <w:rsid w:val="00556217"/>
    <w:rsid w:val="00613D9C"/>
    <w:rsid w:val="00644589"/>
    <w:rsid w:val="00646ADE"/>
    <w:rsid w:val="0065048D"/>
    <w:rsid w:val="00693489"/>
    <w:rsid w:val="007451DF"/>
    <w:rsid w:val="0076775A"/>
    <w:rsid w:val="00775142"/>
    <w:rsid w:val="00782B11"/>
    <w:rsid w:val="007A188C"/>
    <w:rsid w:val="007B7788"/>
    <w:rsid w:val="007E18A6"/>
    <w:rsid w:val="007E2940"/>
    <w:rsid w:val="00802B96"/>
    <w:rsid w:val="00807AD5"/>
    <w:rsid w:val="00844389"/>
    <w:rsid w:val="00863D85"/>
    <w:rsid w:val="00870B65"/>
    <w:rsid w:val="008735B0"/>
    <w:rsid w:val="008919A4"/>
    <w:rsid w:val="008D33BE"/>
    <w:rsid w:val="008E54F0"/>
    <w:rsid w:val="008E6135"/>
    <w:rsid w:val="008F2681"/>
    <w:rsid w:val="009052ED"/>
    <w:rsid w:val="00931243"/>
    <w:rsid w:val="00977B69"/>
    <w:rsid w:val="00996BF2"/>
    <w:rsid w:val="009B548F"/>
    <w:rsid w:val="00A114E9"/>
    <w:rsid w:val="00A17D9B"/>
    <w:rsid w:val="00A269D6"/>
    <w:rsid w:val="00A33263"/>
    <w:rsid w:val="00A942D5"/>
    <w:rsid w:val="00AC36CA"/>
    <w:rsid w:val="00AD177D"/>
    <w:rsid w:val="00B32C44"/>
    <w:rsid w:val="00B3430A"/>
    <w:rsid w:val="00B54101"/>
    <w:rsid w:val="00B6486F"/>
    <w:rsid w:val="00B80247"/>
    <w:rsid w:val="00B86130"/>
    <w:rsid w:val="00BB4023"/>
    <w:rsid w:val="00BE4966"/>
    <w:rsid w:val="00C4266F"/>
    <w:rsid w:val="00C4766F"/>
    <w:rsid w:val="00C822B1"/>
    <w:rsid w:val="00C82807"/>
    <w:rsid w:val="00C84894"/>
    <w:rsid w:val="00CA1232"/>
    <w:rsid w:val="00CA32DA"/>
    <w:rsid w:val="00CB0E74"/>
    <w:rsid w:val="00CD0E62"/>
    <w:rsid w:val="00D0318C"/>
    <w:rsid w:val="00D24C72"/>
    <w:rsid w:val="00D25F28"/>
    <w:rsid w:val="00D50B37"/>
    <w:rsid w:val="00D5720A"/>
    <w:rsid w:val="00D81380"/>
    <w:rsid w:val="00DC746E"/>
    <w:rsid w:val="00DF5C22"/>
    <w:rsid w:val="00E455D2"/>
    <w:rsid w:val="00E5799C"/>
    <w:rsid w:val="00E75BCB"/>
    <w:rsid w:val="00EE09FD"/>
    <w:rsid w:val="00EE33F1"/>
    <w:rsid w:val="00EF4D7F"/>
    <w:rsid w:val="00EF75A9"/>
    <w:rsid w:val="00F02401"/>
    <w:rsid w:val="00F147DE"/>
    <w:rsid w:val="00F30C09"/>
    <w:rsid w:val="00F667E5"/>
    <w:rsid w:val="00F7148A"/>
    <w:rsid w:val="00F71A62"/>
    <w:rsid w:val="00F837EB"/>
    <w:rsid w:val="00F87451"/>
    <w:rsid w:val="00F96668"/>
    <w:rsid w:val="00FB26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
    <w:basedOn w:val="Normal"/>
    <w:next w:val="Normal"/>
    <w:link w:val="Ttulo1Car"/>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uiPriority w:val="99"/>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uiPriority w:val="99"/>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D0318C"/>
    <w:rPr>
      <w:rFonts w:ascii="Tahoma" w:hAnsi="Tahoma" w:cs="Tahoma"/>
      <w:sz w:val="16"/>
      <w:szCs w:val="16"/>
    </w:rPr>
  </w:style>
  <w:style w:type="character" w:customStyle="1" w:styleId="TextodegloboCar">
    <w:name w:val="Texto de globo Car"/>
    <w:basedOn w:val="Fuentedeprrafopredeter"/>
    <w:link w:val="Textodeglobo"/>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uiPriority w:val="34"/>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
    <w:basedOn w:val="Fuentedeprrafopredeter"/>
    <w:link w:val="Ttulo1"/>
    <w:uiPriority w:val="99"/>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uiPriority w:val="99"/>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uiPriority w:val="99"/>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uiPriority w:val="99"/>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rsid w:val="0013199C"/>
    <w:rPr>
      <w:rFonts w:cs="Times New Roman"/>
      <w:vertAlign w:val="superscript"/>
    </w:rPr>
  </w:style>
  <w:style w:type="paragraph" w:styleId="NormalWeb">
    <w:name w:val="Normal (Web)"/>
    <w:aliases w:val="Normal (Web) Car Car"/>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
    <w:link w:val="NormalWeb"/>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uiPriority w:val="10"/>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uiPriority w:val="10"/>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rsid w:val="0013199C"/>
    <w:rPr>
      <w:sz w:val="20"/>
      <w:szCs w:val="20"/>
    </w:rPr>
  </w:style>
  <w:style w:type="character" w:customStyle="1" w:styleId="TextocomentarioCar">
    <w:name w:val="Texto comentario Car"/>
    <w:basedOn w:val="Fuentedeprrafopredeter"/>
    <w:link w:val="Textocomentario"/>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uiPriority w:val="99"/>
    <w:rsid w:val="0013199C"/>
    <w:rPr>
      <w:b/>
      <w:bCs/>
    </w:rPr>
  </w:style>
  <w:style w:type="character" w:customStyle="1" w:styleId="AsuntodelcomentarioCar">
    <w:name w:val="Asunto del comentario Car"/>
    <w:basedOn w:val="TextocomentarioCar"/>
    <w:link w:val="Asuntodelcomentario"/>
    <w:uiPriority w:val="99"/>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iPriority w:val="99"/>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uiPriority w:val="99"/>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uiPriority w:val="99"/>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uiPriority w:val="99"/>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UnresolvedMention">
    <w:name w:val="Unresolved Mention"/>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
    <w:name w:val="TableGrid"/>
    <w:rsid w:val="00693489"/>
    <w:pPr>
      <w:spacing w:after="0" w:line="240" w:lineRule="auto"/>
    </w:pPr>
    <w:rPr>
      <w:rFonts w:eastAsiaTheme="minorEastAsia"/>
      <w:lang w:val="en-US"/>
    </w:rPr>
    <w:tblPr>
      <w:tblCellMar>
        <w:top w:w="0" w:type="dxa"/>
        <w:left w:w="0" w:type="dxa"/>
        <w:bottom w:w="0" w:type="dxa"/>
        <w:right w:w="0" w:type="dxa"/>
      </w:tblCellMar>
    </w:tblPr>
  </w:style>
  <w:style w:type="paragraph" w:customStyle="1" w:styleId="font13">
    <w:name w:val="font13"/>
    <w:basedOn w:val="Normal"/>
    <w:rsid w:val="00693489"/>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693489"/>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693489"/>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693489"/>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693489"/>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693489"/>
    <w:pPr>
      <w:spacing w:before="100" w:beforeAutospacing="1" w:after="100" w:afterAutospacing="1"/>
    </w:pPr>
    <w:rPr>
      <w:rFonts w:ascii="Calibri" w:hAnsi="Calibri" w:cs="Calibri"/>
      <w:color w:val="00B050"/>
      <w:sz w:val="16"/>
      <w:szCs w:val="16"/>
      <w:lang w:val="es-CO" w:eastAsia="es-CO"/>
    </w:rPr>
  </w:style>
  <w:style w:type="character" w:customStyle="1" w:styleId="Mencinsinresolver2">
    <w:name w:val="Mención sin resolver2"/>
    <w:uiPriority w:val="99"/>
    <w:semiHidden/>
    <w:unhideWhenUsed/>
    <w:rsid w:val="00693489"/>
    <w:rPr>
      <w:color w:val="605E5C"/>
      <w:shd w:val="clear" w:color="auto" w:fill="E1DFDD"/>
    </w:rPr>
  </w:style>
  <w:style w:type="paragraph" w:customStyle="1" w:styleId="gl-vspace-bpall-small">
    <w:name w:val="gl-vspace-bpall-small"/>
    <w:basedOn w:val="Normal"/>
    <w:rsid w:val="00693489"/>
    <w:pPr>
      <w:spacing w:before="100" w:beforeAutospacing="1" w:after="100" w:afterAutospacing="1"/>
    </w:pPr>
    <w:rPr>
      <w:lang w:val="es-CO" w:eastAsia="es-CO"/>
    </w:rPr>
  </w:style>
  <w:style w:type="paragraph" w:styleId="Revisin">
    <w:name w:val="Revision"/>
    <w:hidden/>
    <w:uiPriority w:val="99"/>
    <w:semiHidden/>
    <w:rsid w:val="00693489"/>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3</Pages>
  <Words>1460</Words>
  <Characters>8030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PD5. Jose Ignacio Sanchez Herrera</cp:lastModifiedBy>
  <cp:revision>91</cp:revision>
  <dcterms:created xsi:type="dcterms:W3CDTF">2019-04-24T00:58:00Z</dcterms:created>
  <dcterms:modified xsi:type="dcterms:W3CDTF">2021-04-26T20:30:00Z</dcterms:modified>
</cp:coreProperties>
</file>