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489A" w:rsidRPr="00BF2285" w:rsidRDefault="007A360C" w:rsidP="007A360C">
      <w:pPr>
        <w:rPr>
          <w:rFonts w:ascii="Arial" w:hAnsi="Arial" w:cs="Arial"/>
          <w:b/>
          <w:sz w:val="28"/>
          <w:szCs w:val="28"/>
        </w:rPr>
      </w:pPr>
      <w:r>
        <w:rPr>
          <w:rFonts w:ascii="Arial" w:hAnsi="Arial" w:cs="Arial"/>
          <w:b/>
          <w:sz w:val="28"/>
          <w:szCs w:val="28"/>
        </w:rPr>
        <w:t xml:space="preserve">                                                    </w:t>
      </w:r>
      <w:r w:rsidR="0019489A" w:rsidRPr="00BF2285">
        <w:rPr>
          <w:rFonts w:ascii="Arial" w:hAnsi="Arial" w:cs="Arial"/>
          <w:b/>
          <w:sz w:val="28"/>
          <w:szCs w:val="28"/>
        </w:rPr>
        <w:t>ANEXO No. 7</w:t>
      </w:r>
      <w:r w:rsidR="00A34393" w:rsidRPr="00BF2285">
        <w:rPr>
          <w:rFonts w:ascii="Arial" w:hAnsi="Arial" w:cs="Arial"/>
          <w:b/>
          <w:sz w:val="28"/>
          <w:szCs w:val="28"/>
        </w:rPr>
        <w:t xml:space="preserve"> </w:t>
      </w:r>
    </w:p>
    <w:p w:rsidR="00B1248F" w:rsidRDefault="001F5717" w:rsidP="00A34393">
      <w:pPr>
        <w:jc w:val="center"/>
        <w:rPr>
          <w:rFonts w:ascii="Arial" w:hAnsi="Arial" w:cs="Arial"/>
          <w:b/>
          <w:sz w:val="24"/>
          <w:szCs w:val="24"/>
        </w:rPr>
      </w:pPr>
      <w:r w:rsidRPr="0019489A">
        <w:rPr>
          <w:rFonts w:ascii="Arial" w:hAnsi="Arial" w:cs="Arial"/>
          <w:b/>
          <w:sz w:val="24"/>
          <w:szCs w:val="24"/>
        </w:rPr>
        <w:t xml:space="preserve">INFORMACION </w:t>
      </w:r>
      <w:r w:rsidR="00C4206F" w:rsidRPr="0019489A">
        <w:rPr>
          <w:rFonts w:ascii="Arial" w:hAnsi="Arial" w:cs="Arial"/>
          <w:b/>
          <w:sz w:val="24"/>
          <w:szCs w:val="24"/>
        </w:rPr>
        <w:t>EVENTO SUBASTA ELECTRONICA</w:t>
      </w:r>
    </w:p>
    <w:p w:rsidR="00EA236F" w:rsidRPr="00EA236F" w:rsidRDefault="00EA236F" w:rsidP="00A34393">
      <w:pPr>
        <w:jc w:val="center"/>
        <w:rPr>
          <w:rFonts w:ascii="Arial" w:hAnsi="Arial" w:cs="Arial"/>
          <w:b/>
        </w:rPr>
      </w:pPr>
    </w:p>
    <w:p w:rsidR="00C4206F" w:rsidRPr="00EA236F" w:rsidRDefault="00C4206F" w:rsidP="00C4206F">
      <w:pPr>
        <w:pStyle w:val="Prrafodelista"/>
        <w:numPr>
          <w:ilvl w:val="0"/>
          <w:numId w:val="1"/>
        </w:numPr>
        <w:jc w:val="both"/>
        <w:rPr>
          <w:rFonts w:ascii="Arial" w:hAnsi="Arial" w:cs="Arial"/>
        </w:rPr>
      </w:pPr>
      <w:r w:rsidRPr="00EA236F">
        <w:rPr>
          <w:rFonts w:ascii="Arial" w:hAnsi="Arial" w:cs="Arial"/>
        </w:rPr>
        <w:t>Examinar rigurosamente la totalidad del contenido de: especificaciones técnicas, las condiciones jurídicas y económicas, formatos, anexos y adendas, estudio previo en el entendido que todos estos documentos hacen parte integral del proceso de contratación y es responsabilidad exclusiva de los interesados conocer su contenido.</w:t>
      </w:r>
    </w:p>
    <w:p w:rsidR="00C4206F" w:rsidRPr="00EA236F" w:rsidRDefault="00C4206F" w:rsidP="00C4206F">
      <w:pPr>
        <w:pStyle w:val="Prrafodelista"/>
        <w:numPr>
          <w:ilvl w:val="0"/>
          <w:numId w:val="1"/>
        </w:numPr>
        <w:jc w:val="both"/>
        <w:rPr>
          <w:rFonts w:ascii="Arial" w:hAnsi="Arial" w:cs="Arial"/>
        </w:rPr>
      </w:pPr>
      <w:r w:rsidRPr="00EA236F">
        <w:rPr>
          <w:rFonts w:ascii="Arial" w:hAnsi="Arial" w:cs="Arial"/>
        </w:rPr>
        <w:t>Tener presente las fechas y hora prevista para el cierre del proceso, las propuestas únicamente se recibirán a través de la plataforma  portal único de contratación SECOP II</w:t>
      </w:r>
      <w:r w:rsidR="00E279C1" w:rsidRPr="00EA236F">
        <w:rPr>
          <w:rFonts w:ascii="Arial" w:hAnsi="Arial" w:cs="Arial"/>
        </w:rPr>
        <w:t>.</w:t>
      </w:r>
    </w:p>
    <w:p w:rsidR="00E279C1" w:rsidRPr="00EA236F" w:rsidRDefault="00E279C1" w:rsidP="00C4206F">
      <w:pPr>
        <w:pStyle w:val="Prrafodelista"/>
        <w:numPr>
          <w:ilvl w:val="0"/>
          <w:numId w:val="1"/>
        </w:numPr>
        <w:jc w:val="both"/>
        <w:rPr>
          <w:rFonts w:ascii="Arial" w:hAnsi="Arial" w:cs="Arial"/>
        </w:rPr>
      </w:pPr>
      <w:r w:rsidRPr="00EA236F">
        <w:rPr>
          <w:rFonts w:ascii="Arial" w:hAnsi="Arial" w:cs="Arial"/>
        </w:rPr>
        <w:t>Toda consulta de los proponentes se deberá realizar a través de la plataforma SECOP II</w:t>
      </w:r>
      <w:r w:rsidR="00475F03" w:rsidRPr="00EA236F">
        <w:rPr>
          <w:rFonts w:ascii="Arial" w:hAnsi="Arial" w:cs="Arial"/>
        </w:rPr>
        <w:t xml:space="preserve"> y deberán verificar permanentemente  para consultar todos los documentes que se generen en la misma.</w:t>
      </w:r>
    </w:p>
    <w:p w:rsidR="00AF3F0A" w:rsidRPr="00EA236F" w:rsidRDefault="00AF3F0A" w:rsidP="00C4206F">
      <w:pPr>
        <w:pStyle w:val="Prrafodelista"/>
        <w:numPr>
          <w:ilvl w:val="0"/>
          <w:numId w:val="1"/>
        </w:numPr>
        <w:jc w:val="both"/>
        <w:rPr>
          <w:rFonts w:ascii="Arial" w:hAnsi="Arial" w:cs="Arial"/>
        </w:rPr>
      </w:pPr>
      <w:r w:rsidRPr="00EA236F">
        <w:rPr>
          <w:rFonts w:ascii="Arial" w:hAnsi="Arial" w:cs="Arial"/>
        </w:rPr>
        <w:t>El evento de la subasta electrónica se desarrollara mediante la plataforma SECOP II, es la obligación y responsabilidad del oferente capacitarse con Colombia Compra Eficiente para el desarrollo de la misma, la cual se realizara de acuerdo a lo estipulado por esta entidad.</w:t>
      </w:r>
    </w:p>
    <w:p w:rsidR="00696733" w:rsidRPr="00EA236F" w:rsidRDefault="00AF3F0A" w:rsidP="00F125D4">
      <w:pPr>
        <w:pStyle w:val="Prrafodelista"/>
        <w:numPr>
          <w:ilvl w:val="0"/>
          <w:numId w:val="1"/>
        </w:numPr>
        <w:jc w:val="both"/>
        <w:rPr>
          <w:rFonts w:ascii="Arial" w:hAnsi="Arial" w:cs="Arial"/>
        </w:rPr>
      </w:pPr>
      <w:r w:rsidRPr="00EA236F">
        <w:rPr>
          <w:rFonts w:ascii="Arial" w:hAnsi="Arial" w:cs="Arial"/>
        </w:rPr>
        <w:t xml:space="preserve">Las </w:t>
      </w:r>
      <w:r w:rsidR="001F5717" w:rsidRPr="00EA236F">
        <w:rPr>
          <w:rFonts w:ascii="Arial" w:hAnsi="Arial" w:cs="Arial"/>
        </w:rPr>
        <w:t>propuestas</w:t>
      </w:r>
      <w:r w:rsidRPr="00EA236F">
        <w:rPr>
          <w:rFonts w:ascii="Arial" w:hAnsi="Arial" w:cs="Arial"/>
        </w:rPr>
        <w:t xml:space="preserve"> que participan en la audiencia pública Subasta Inversa </w:t>
      </w:r>
      <w:r w:rsidR="001F5717" w:rsidRPr="00EA236F">
        <w:rPr>
          <w:rFonts w:ascii="Arial" w:hAnsi="Arial" w:cs="Arial"/>
        </w:rPr>
        <w:t xml:space="preserve">electrónica serán </w:t>
      </w:r>
      <w:r w:rsidRPr="00EA236F">
        <w:rPr>
          <w:rFonts w:ascii="Arial" w:hAnsi="Arial" w:cs="Arial"/>
        </w:rPr>
        <w:t>las propuestas que resulten HABILITADAS en las condiciones jurídicas, financieras y técnicas.</w:t>
      </w:r>
    </w:p>
    <w:p w:rsidR="000C2680" w:rsidRPr="00EA236F" w:rsidRDefault="000C2680" w:rsidP="00F125D4">
      <w:pPr>
        <w:pStyle w:val="Prrafodelista"/>
        <w:numPr>
          <w:ilvl w:val="0"/>
          <w:numId w:val="1"/>
        </w:numPr>
        <w:jc w:val="both"/>
        <w:rPr>
          <w:rFonts w:ascii="Arial" w:hAnsi="Arial" w:cs="Arial"/>
        </w:rPr>
      </w:pPr>
      <w:r w:rsidRPr="00EA236F">
        <w:rPr>
          <w:rFonts w:ascii="Arial" w:eastAsia="Times New Roman" w:hAnsi="Arial" w:cs="Arial"/>
          <w:bCs/>
          <w:lang w:val="es-ES_tradnl" w:eastAsia="es-ES"/>
        </w:rPr>
        <w:t>OFERTA CON VALOR ARTIFICIALMENTE BAJO (Artículo 2.2.1.1.2.2.4 Decreto 1082 de 2015). Cuando de conformidad con la información a su alcance la entidad estime que el valor de una oferta resulta artificialmente bajo, requerirá al oferente para que explique las razones que sustenten el valor por él ofertado. Oídas las explicaciones, el comité evaluador recomendará al ordenador del gasto, el rechazo o la continuidad de la oferta en el proceso.</w:t>
      </w:r>
    </w:p>
    <w:p w:rsidR="002B6898" w:rsidRPr="00EA236F" w:rsidRDefault="000C2680" w:rsidP="002B6898">
      <w:pPr>
        <w:pStyle w:val="Prrafodelista"/>
        <w:numPr>
          <w:ilvl w:val="0"/>
          <w:numId w:val="1"/>
        </w:numPr>
        <w:jc w:val="both"/>
        <w:rPr>
          <w:rFonts w:ascii="Arial" w:hAnsi="Arial" w:cs="Arial"/>
        </w:rPr>
      </w:pPr>
      <w:r w:rsidRPr="00EA236F">
        <w:rPr>
          <w:rFonts w:ascii="Arial" w:hAnsi="Arial" w:cs="Arial"/>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rsidR="002B6898" w:rsidRPr="00EA236F" w:rsidRDefault="00AE4F67" w:rsidP="002B6898">
      <w:pPr>
        <w:pStyle w:val="Prrafodelista"/>
        <w:numPr>
          <w:ilvl w:val="0"/>
          <w:numId w:val="1"/>
        </w:numPr>
        <w:jc w:val="both"/>
        <w:rPr>
          <w:rFonts w:ascii="Arial" w:hAnsi="Arial" w:cs="Arial"/>
        </w:rPr>
      </w:pPr>
      <w:r w:rsidRPr="00EA236F">
        <w:rPr>
          <w:rFonts w:ascii="Arial" w:eastAsia="Times New Roman" w:hAnsi="Arial" w:cs="Arial"/>
          <w:bCs/>
          <w:lang w:val="es-ES_tradnl" w:eastAsia="es-ES"/>
        </w:rPr>
        <w:t>El Porcentaje base para la puja para todos los lances es mínimo del dos</w:t>
      </w:r>
      <w:r w:rsidR="002B6898" w:rsidRPr="00EA236F">
        <w:rPr>
          <w:rFonts w:ascii="Arial" w:eastAsia="Times New Roman" w:hAnsi="Arial" w:cs="Arial"/>
          <w:bCs/>
          <w:lang w:val="es-ES_tradnl" w:eastAsia="es-ES"/>
        </w:rPr>
        <w:t xml:space="preserve"> </w:t>
      </w:r>
      <w:r w:rsidRPr="00EA236F">
        <w:rPr>
          <w:rFonts w:ascii="Arial" w:eastAsia="Times New Roman" w:hAnsi="Arial" w:cs="Arial"/>
          <w:bCs/>
          <w:lang w:val="es-ES_tradnl" w:eastAsia="es-ES"/>
        </w:rPr>
        <w:t>(</w:t>
      </w:r>
      <w:r w:rsidR="002B6898" w:rsidRPr="00EA236F">
        <w:rPr>
          <w:rFonts w:ascii="Arial" w:eastAsia="Times New Roman" w:hAnsi="Arial" w:cs="Arial"/>
          <w:bCs/>
          <w:lang w:val="es-ES_tradnl" w:eastAsia="es-ES"/>
        </w:rPr>
        <w:t>2%</w:t>
      </w:r>
      <w:r w:rsidRPr="00EA236F">
        <w:rPr>
          <w:rFonts w:ascii="Arial" w:eastAsia="Times New Roman" w:hAnsi="Arial" w:cs="Arial"/>
          <w:bCs/>
          <w:lang w:val="es-ES_tradnl" w:eastAsia="es-ES"/>
        </w:rPr>
        <w:t xml:space="preserve">) por ciento. </w:t>
      </w:r>
      <w:r w:rsidR="002B6898" w:rsidRPr="00EA236F">
        <w:rPr>
          <w:rFonts w:ascii="Arial" w:eastAsia="Times New Roman" w:hAnsi="Arial" w:cs="Arial"/>
          <w:bCs/>
          <w:lang w:val="es-ES_tradnl" w:eastAsia="es-ES"/>
        </w:rPr>
        <w:t xml:space="preserve"> </w:t>
      </w:r>
    </w:p>
    <w:p w:rsidR="00A5153B" w:rsidRPr="00EA236F" w:rsidRDefault="00AE4F67" w:rsidP="00AE4F67">
      <w:pPr>
        <w:adjustRightInd w:val="0"/>
        <w:ind w:left="709" w:hanging="567"/>
        <w:jc w:val="both"/>
        <w:rPr>
          <w:bCs/>
        </w:rPr>
      </w:pPr>
      <w:r w:rsidRPr="00EA236F">
        <w:rPr>
          <w:rFonts w:ascii="Arial" w:hAnsi="Arial" w:cs="Arial"/>
          <w:lang w:val="es-ES"/>
        </w:rPr>
        <w:t xml:space="preserve">   </w:t>
      </w:r>
      <w:r w:rsidR="00A5153B" w:rsidRPr="00EA236F">
        <w:rPr>
          <w:rFonts w:ascii="Arial" w:hAnsi="Arial" w:cs="Arial"/>
          <w:lang w:val="es-ES"/>
        </w:rPr>
        <w:t xml:space="preserve">9. </w:t>
      </w:r>
      <w:r w:rsidRPr="00EA236F">
        <w:rPr>
          <w:rFonts w:ascii="Arial" w:hAnsi="Arial" w:cs="Arial"/>
          <w:lang w:val="es-ES"/>
        </w:rPr>
        <w:t xml:space="preserve">  </w:t>
      </w:r>
      <w:r w:rsidR="00A5153B" w:rsidRPr="00EA236F">
        <w:rPr>
          <w:rFonts w:ascii="Arial" w:hAnsi="Arial" w:cs="Arial"/>
          <w:lang w:val="es-ES"/>
        </w:rPr>
        <w:t>Si al terminar la subasta inversa hay empate, la entid</w:t>
      </w:r>
      <w:r w:rsidR="00E96CA8" w:rsidRPr="00EA236F">
        <w:rPr>
          <w:rFonts w:ascii="Arial" w:hAnsi="Arial" w:cs="Arial"/>
          <w:lang w:val="es-ES"/>
        </w:rPr>
        <w:t>ad seleccionará al oferente que</w:t>
      </w:r>
      <w:r w:rsidRPr="00EA236F">
        <w:rPr>
          <w:rFonts w:ascii="Arial" w:hAnsi="Arial" w:cs="Arial"/>
          <w:lang w:val="es-ES"/>
        </w:rPr>
        <w:t xml:space="preserve"> </w:t>
      </w:r>
      <w:r w:rsidR="00A5153B" w:rsidRPr="00EA236F">
        <w:rPr>
          <w:rFonts w:ascii="Arial" w:hAnsi="Arial" w:cs="Arial"/>
          <w:lang w:val="es-ES"/>
        </w:rPr>
        <w:t>presentó el menor valor inicial.</w:t>
      </w:r>
    </w:p>
    <w:p w:rsidR="00A5153B" w:rsidRPr="00EA236F" w:rsidRDefault="00A5153B" w:rsidP="00F251BB">
      <w:pPr>
        <w:jc w:val="both"/>
        <w:rPr>
          <w:rFonts w:ascii="Arial" w:eastAsia="BatangChe" w:hAnsi="Arial" w:cs="Arial"/>
          <w:color w:val="000000"/>
          <w:shd w:val="clear" w:color="auto" w:fill="FFFFFF"/>
        </w:rPr>
      </w:pPr>
    </w:p>
    <w:p w:rsidR="00A5153B" w:rsidRPr="00EA236F" w:rsidRDefault="00A5153B" w:rsidP="005B69CA">
      <w:pPr>
        <w:jc w:val="both"/>
        <w:rPr>
          <w:rFonts w:ascii="Arial" w:eastAsia="BatangChe" w:hAnsi="Arial" w:cs="Arial"/>
          <w:b/>
          <w:color w:val="000000"/>
          <w:shd w:val="clear" w:color="auto" w:fill="FFFFFF"/>
        </w:rPr>
      </w:pPr>
    </w:p>
    <w:p w:rsidR="00A5153B" w:rsidRPr="00EA236F" w:rsidRDefault="00A5153B" w:rsidP="005B69CA">
      <w:pPr>
        <w:jc w:val="both"/>
        <w:rPr>
          <w:rFonts w:ascii="Arial" w:eastAsia="BatangChe" w:hAnsi="Arial" w:cs="Arial"/>
          <w:b/>
          <w:color w:val="000000"/>
          <w:shd w:val="clear" w:color="auto" w:fill="FFFFFF"/>
        </w:rPr>
      </w:pPr>
    </w:p>
    <w:p w:rsidR="005B69CA" w:rsidRPr="00EA236F" w:rsidRDefault="005B69CA" w:rsidP="005B69CA">
      <w:pPr>
        <w:jc w:val="both"/>
        <w:rPr>
          <w:rFonts w:ascii="Arial" w:eastAsia="BatangChe" w:hAnsi="Arial" w:cs="Arial"/>
          <w:b/>
          <w:color w:val="000000"/>
          <w:shd w:val="clear" w:color="auto" w:fill="FFFFFF"/>
        </w:rPr>
      </w:pPr>
      <w:r w:rsidRPr="00EA236F">
        <w:rPr>
          <w:rFonts w:ascii="Arial" w:eastAsia="BatangChe" w:hAnsi="Arial" w:cs="Arial"/>
          <w:b/>
          <w:color w:val="000000"/>
          <w:shd w:val="clear" w:color="auto" w:fill="FFFFFF"/>
        </w:rPr>
        <w:lastRenderedPageBreak/>
        <w:t xml:space="preserve">NOTA 1. </w:t>
      </w:r>
    </w:p>
    <w:p w:rsidR="009A5006" w:rsidRPr="00EA236F" w:rsidRDefault="005B69CA" w:rsidP="00BF2285">
      <w:pPr>
        <w:jc w:val="both"/>
        <w:rPr>
          <w:rFonts w:ascii="Arial" w:eastAsia="BatangChe" w:hAnsi="Arial" w:cs="Arial"/>
          <w:color w:val="000000"/>
          <w:shd w:val="clear" w:color="auto" w:fill="FFFFFF"/>
        </w:rPr>
      </w:pPr>
      <w:r w:rsidRPr="00EA236F">
        <w:rPr>
          <w:rFonts w:ascii="Arial" w:eastAsia="BatangChe" w:hAnsi="Arial" w:cs="Arial"/>
          <w:color w:val="000000"/>
          <w:shd w:val="clear" w:color="auto" w:fill="FFFFFF"/>
        </w:rPr>
        <w:t>Se hace claridad que en la plataforma del SECOP II Entida</w:t>
      </w:r>
      <w:r w:rsidR="002D2F1F">
        <w:rPr>
          <w:rFonts w:ascii="Arial" w:eastAsia="BatangChe" w:hAnsi="Arial" w:cs="Arial"/>
          <w:color w:val="000000"/>
          <w:shd w:val="clear" w:color="auto" w:fill="FFFFFF"/>
        </w:rPr>
        <w:t>d del Estado está compuesta por</w:t>
      </w:r>
      <w:bookmarkStart w:id="0" w:name="_GoBack"/>
      <w:bookmarkEnd w:id="0"/>
      <w:r w:rsidRPr="00EA236F">
        <w:rPr>
          <w:rFonts w:ascii="Arial" w:eastAsia="BatangChe" w:hAnsi="Arial" w:cs="Arial"/>
          <w:color w:val="000000"/>
          <w:shd w:val="clear" w:color="auto" w:fill="FFFFFF"/>
        </w:rPr>
        <w:t xml:space="preserve"> usuario  </w:t>
      </w:r>
      <w:r w:rsidRPr="00EA236F">
        <w:rPr>
          <w:rFonts w:ascii="Arial" w:eastAsia="BatangChe" w:hAnsi="Arial" w:cs="Arial"/>
          <w:b/>
          <w:color w:val="000000"/>
          <w:shd w:val="clear" w:color="auto" w:fill="FFFFFF"/>
        </w:rPr>
        <w:t>comprador</w:t>
      </w:r>
      <w:r w:rsidRPr="00EA236F">
        <w:rPr>
          <w:rFonts w:ascii="Arial" w:eastAsia="BatangChe" w:hAnsi="Arial" w:cs="Arial"/>
          <w:color w:val="000000"/>
          <w:shd w:val="clear" w:color="auto" w:fill="FFFFFF"/>
        </w:rPr>
        <w:t xml:space="preserve"> y usuario </w:t>
      </w:r>
      <w:r w:rsidR="00CC48D9" w:rsidRPr="00EA236F">
        <w:rPr>
          <w:rFonts w:ascii="Arial" w:eastAsia="BatangChe" w:hAnsi="Arial" w:cs="Arial"/>
          <w:b/>
          <w:color w:val="000000"/>
          <w:shd w:val="clear" w:color="auto" w:fill="FFFFFF"/>
        </w:rPr>
        <w:t xml:space="preserve">proveedor </w:t>
      </w:r>
      <w:r w:rsidRPr="00EA236F">
        <w:rPr>
          <w:rFonts w:ascii="Arial" w:eastAsia="BatangChe" w:hAnsi="Arial" w:cs="Arial"/>
          <w:color w:val="000000"/>
          <w:shd w:val="clear" w:color="auto" w:fill="FFFFFF"/>
        </w:rPr>
        <w:t xml:space="preserve"> estos  usuarios  p</w:t>
      </w:r>
      <w:r w:rsidR="007D3498" w:rsidRPr="00EA236F">
        <w:rPr>
          <w:rFonts w:ascii="Arial" w:eastAsia="BatangChe" w:hAnsi="Arial" w:cs="Arial"/>
          <w:color w:val="000000"/>
          <w:shd w:val="clear" w:color="auto" w:fill="FFFFFF"/>
        </w:rPr>
        <w:t>ara el manejo de la herramienta</w:t>
      </w:r>
      <w:r w:rsidRPr="00EA236F">
        <w:rPr>
          <w:rFonts w:ascii="Arial" w:eastAsia="BatangChe" w:hAnsi="Arial" w:cs="Arial"/>
          <w:color w:val="000000"/>
          <w:shd w:val="clear" w:color="auto" w:fill="FFFFFF"/>
        </w:rPr>
        <w:t xml:space="preserve"> son completamente diferentes es decir si se presenta algún inconveniente con el manejo de la herramienta del usuario</w:t>
      </w:r>
      <w:r w:rsidR="00CC48D9" w:rsidRPr="00EA236F">
        <w:rPr>
          <w:rFonts w:ascii="Arial" w:eastAsia="BatangChe" w:hAnsi="Arial" w:cs="Arial"/>
          <w:color w:val="000000"/>
          <w:shd w:val="clear" w:color="auto" w:fill="FFFFFF"/>
        </w:rPr>
        <w:t xml:space="preserve"> </w:t>
      </w:r>
      <w:r w:rsidR="00CC48D9" w:rsidRPr="00EA236F">
        <w:rPr>
          <w:rFonts w:ascii="Arial" w:eastAsia="BatangChe" w:hAnsi="Arial" w:cs="Arial"/>
          <w:b/>
          <w:color w:val="000000"/>
          <w:shd w:val="clear" w:color="auto" w:fill="FFFFFF"/>
        </w:rPr>
        <w:t>proveedor</w:t>
      </w:r>
      <w:r w:rsidRPr="00EA236F">
        <w:rPr>
          <w:rFonts w:ascii="Arial" w:eastAsia="BatangChe" w:hAnsi="Arial" w:cs="Arial"/>
          <w:color w:val="000000"/>
          <w:shd w:val="clear" w:color="auto" w:fill="FFFFFF"/>
        </w:rPr>
        <w:t xml:space="preserve"> </w:t>
      </w:r>
      <w:r w:rsidR="00CC48D9" w:rsidRPr="00EA236F">
        <w:rPr>
          <w:rFonts w:ascii="Arial" w:eastAsia="BatangChe" w:hAnsi="Arial" w:cs="Arial"/>
          <w:color w:val="000000"/>
          <w:shd w:val="clear" w:color="auto" w:fill="FFFFFF"/>
        </w:rPr>
        <w:t xml:space="preserve">    </w:t>
      </w:r>
      <w:r w:rsidRPr="00EA236F">
        <w:rPr>
          <w:rFonts w:ascii="Arial" w:eastAsia="BatangChe" w:hAnsi="Arial" w:cs="Arial"/>
          <w:color w:val="000000"/>
          <w:shd w:val="clear" w:color="auto" w:fill="FFFFFF"/>
        </w:rPr>
        <w:t xml:space="preserve"> (fallas al cargar oferta, documentos, subasta electrónica, </w:t>
      </w:r>
      <w:proofErr w:type="spellStart"/>
      <w:r w:rsidRPr="00EA236F">
        <w:rPr>
          <w:rFonts w:ascii="Arial" w:eastAsia="BatangChe" w:hAnsi="Arial" w:cs="Arial"/>
          <w:color w:val="000000"/>
          <w:shd w:val="clear" w:color="auto" w:fill="FFFFFF"/>
        </w:rPr>
        <w:t>etc</w:t>
      </w:r>
      <w:proofErr w:type="spellEnd"/>
      <w:r w:rsidRPr="00EA236F">
        <w:rPr>
          <w:rFonts w:ascii="Arial" w:eastAsia="BatangChe" w:hAnsi="Arial" w:cs="Arial"/>
          <w:color w:val="000000"/>
          <w:shd w:val="clear" w:color="auto" w:fill="FFFFFF"/>
        </w:rPr>
        <w:t xml:space="preserve">) deben comunicarse con la mesa de ayuda del SECOP II, donde le brindaran la asesoría correspondiente.    </w:t>
      </w:r>
    </w:p>
    <w:p w:rsidR="004E50EB" w:rsidRPr="00EA236F" w:rsidRDefault="004E50EB" w:rsidP="00BF2285">
      <w:pPr>
        <w:jc w:val="both"/>
        <w:rPr>
          <w:rFonts w:ascii="Arial" w:eastAsia="BatangChe" w:hAnsi="Arial" w:cs="Arial"/>
          <w:color w:val="000000"/>
          <w:shd w:val="clear" w:color="auto" w:fill="FFFFFF"/>
        </w:rPr>
      </w:pPr>
    </w:p>
    <w:p w:rsidR="009A5006" w:rsidRPr="00EA236F" w:rsidRDefault="009A5006" w:rsidP="009A5006">
      <w:pPr>
        <w:jc w:val="both"/>
        <w:rPr>
          <w:rFonts w:ascii="Arial" w:eastAsia="BatangChe" w:hAnsi="Arial" w:cs="Arial"/>
          <w:b/>
          <w:color w:val="000000"/>
          <w:shd w:val="clear" w:color="auto" w:fill="FFFFFF"/>
        </w:rPr>
      </w:pPr>
      <w:r w:rsidRPr="00EA236F">
        <w:rPr>
          <w:rFonts w:ascii="Arial" w:eastAsia="BatangChe" w:hAnsi="Arial" w:cs="Arial"/>
          <w:b/>
          <w:color w:val="000000"/>
          <w:shd w:val="clear" w:color="auto" w:fill="FFFFFF"/>
        </w:rPr>
        <w:t xml:space="preserve">NOTA 2. </w:t>
      </w:r>
    </w:p>
    <w:p w:rsidR="009A5006" w:rsidRPr="00BF2285" w:rsidRDefault="009A5006" w:rsidP="009A5006">
      <w:pPr>
        <w:jc w:val="both"/>
        <w:rPr>
          <w:rFonts w:ascii="Arial" w:eastAsia="BatangChe" w:hAnsi="Arial" w:cs="Arial"/>
          <w:color w:val="000000"/>
          <w:sz w:val="24"/>
          <w:szCs w:val="24"/>
          <w:shd w:val="clear" w:color="auto" w:fill="FFFFFF"/>
        </w:rPr>
      </w:pPr>
      <w:r w:rsidRPr="00EA236F">
        <w:rPr>
          <w:rFonts w:ascii="Arial" w:eastAsia="BatangChe" w:hAnsi="Arial" w:cs="Arial"/>
          <w:color w:val="000000"/>
          <w:shd w:val="clear" w:color="auto" w:fill="FFFFFF"/>
        </w:rPr>
        <w:t xml:space="preserve">Se les indica a los oferentes que según lo estipulado en el manual de contratación de la Policía Nacional, el evento de subasta inicia con la apertura del sobre económico, instancia hasta la cual los oferentes tendrán plazo para presentar requisitos habilitantes de subsanación si el proceso dentro de la verificación así lo requiera. </w:t>
      </w:r>
    </w:p>
    <w:p w:rsidR="000D3D3E" w:rsidRDefault="000D3D3E" w:rsidP="000D3D3E">
      <w:pPr>
        <w:pStyle w:val="NormalWeb"/>
        <w:rPr>
          <w:rFonts w:ascii="Arial" w:eastAsia="BatangChe" w:hAnsi="Arial" w:cs="Arial"/>
          <w:color w:val="000000"/>
          <w:shd w:val="clear" w:color="auto" w:fill="FFFFFF"/>
        </w:rPr>
      </w:pPr>
    </w:p>
    <w:p w:rsidR="000D3D3E" w:rsidRPr="000D3D3E" w:rsidRDefault="000D3D3E" w:rsidP="000D3D3E">
      <w:pPr>
        <w:pStyle w:val="NormalWeb"/>
        <w:rPr>
          <w:rFonts w:ascii="Arial" w:hAnsi="Arial" w:cs="Arial"/>
        </w:rPr>
      </w:pPr>
      <w:r w:rsidRPr="000D3D3E">
        <w:rPr>
          <w:rFonts w:ascii="Arial" w:hAnsi="Arial" w:cs="Arial"/>
          <w:b/>
          <w:bCs/>
        </w:rPr>
        <w:t>Nota 3.</w:t>
      </w:r>
    </w:p>
    <w:p w:rsidR="000D3D3E" w:rsidRPr="002358E1" w:rsidRDefault="000D3D3E" w:rsidP="000D3D3E">
      <w:pPr>
        <w:spacing w:before="100" w:beforeAutospacing="1" w:after="100" w:afterAutospacing="1" w:line="240" w:lineRule="auto"/>
        <w:jc w:val="both"/>
        <w:rPr>
          <w:rFonts w:ascii="Arial" w:eastAsia="Times New Roman" w:hAnsi="Arial" w:cs="Arial"/>
          <w:lang w:eastAsia="es-CO"/>
        </w:rPr>
      </w:pPr>
      <w:r w:rsidRPr="002358E1">
        <w:rPr>
          <w:rFonts w:ascii="Arial" w:eastAsia="Times New Roman" w:hAnsi="Arial" w:cs="Arial"/>
          <w:lang w:val="es-MX" w:eastAsia="es-CO"/>
        </w:rPr>
        <w:t xml:space="preserve">Se les indica a los oferentes que los documentos cargados a la plataforma SECOP II deberán ser en formatos </w:t>
      </w:r>
      <w:proofErr w:type="spellStart"/>
      <w:r w:rsidRPr="002358E1">
        <w:rPr>
          <w:rFonts w:ascii="Arial" w:eastAsia="Times New Roman" w:hAnsi="Arial" w:cs="Arial"/>
          <w:lang w:val="es-MX" w:eastAsia="es-CO"/>
        </w:rPr>
        <w:t>pdf</w:t>
      </w:r>
      <w:proofErr w:type="spellEnd"/>
      <w:r w:rsidRPr="002358E1">
        <w:rPr>
          <w:rFonts w:ascii="Arial" w:eastAsia="Times New Roman" w:hAnsi="Arial" w:cs="Arial"/>
          <w:lang w:val="es-MX" w:eastAsia="es-CO"/>
        </w:rPr>
        <w:t xml:space="preserve">, Word, o punto </w:t>
      </w:r>
      <w:proofErr w:type="spellStart"/>
      <w:r w:rsidRPr="002358E1">
        <w:rPr>
          <w:rFonts w:ascii="Arial" w:eastAsia="Times New Roman" w:hAnsi="Arial" w:cs="Arial"/>
          <w:lang w:val="es-MX" w:eastAsia="es-CO"/>
        </w:rPr>
        <w:t>zip</w:t>
      </w:r>
      <w:proofErr w:type="spellEnd"/>
      <w:r w:rsidRPr="002358E1">
        <w:rPr>
          <w:rFonts w:ascii="Arial" w:eastAsia="Times New Roman" w:hAnsi="Arial" w:cs="Arial"/>
          <w:lang w:val="es-MX" w:eastAsia="es-CO"/>
        </w:rPr>
        <w:t>, toda vez que si los cargan en un formato diferente no podrán ser descargados para ser evaluados por esta Administración. </w:t>
      </w:r>
      <w:r w:rsidRPr="002358E1">
        <w:rPr>
          <w:rFonts w:ascii="Arial" w:eastAsia="Times New Roman" w:hAnsi="Arial" w:cs="Arial"/>
          <w:lang w:eastAsia="es-CO"/>
        </w:rPr>
        <w:t xml:space="preserve"> </w:t>
      </w:r>
    </w:p>
    <w:p w:rsidR="00C4206F" w:rsidRPr="000D3D3E" w:rsidRDefault="005B69CA" w:rsidP="00BF2285">
      <w:pPr>
        <w:jc w:val="both"/>
        <w:rPr>
          <w:rFonts w:ascii="Arial" w:eastAsia="BatangChe" w:hAnsi="Arial" w:cs="Arial"/>
          <w:color w:val="000000"/>
          <w:sz w:val="24"/>
          <w:szCs w:val="24"/>
          <w:shd w:val="clear" w:color="auto" w:fill="FFFFFF"/>
        </w:rPr>
      </w:pPr>
      <w:r w:rsidRPr="000D3D3E">
        <w:rPr>
          <w:rFonts w:ascii="Arial" w:eastAsia="BatangChe" w:hAnsi="Arial" w:cs="Arial"/>
          <w:color w:val="000000"/>
          <w:sz w:val="24"/>
          <w:szCs w:val="24"/>
          <w:shd w:val="clear" w:color="auto" w:fill="FFFFFF"/>
        </w:rPr>
        <w:t xml:space="preserve">  </w:t>
      </w:r>
    </w:p>
    <w:sectPr w:rsidR="00C4206F" w:rsidRPr="000D3D3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2F5EE1"/>
    <w:multiLevelType w:val="hybridMultilevel"/>
    <w:tmpl w:val="BF4C44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06F"/>
    <w:rsid w:val="00022216"/>
    <w:rsid w:val="000C2680"/>
    <w:rsid w:val="000D3D3E"/>
    <w:rsid w:val="00170462"/>
    <w:rsid w:val="0019489A"/>
    <w:rsid w:val="001F5717"/>
    <w:rsid w:val="002358E1"/>
    <w:rsid w:val="002B6898"/>
    <w:rsid w:val="002D2F1F"/>
    <w:rsid w:val="00475F03"/>
    <w:rsid w:val="004E50EB"/>
    <w:rsid w:val="005B69CA"/>
    <w:rsid w:val="0060781D"/>
    <w:rsid w:val="00631FB4"/>
    <w:rsid w:val="00696733"/>
    <w:rsid w:val="007A360C"/>
    <w:rsid w:val="007D3498"/>
    <w:rsid w:val="00912750"/>
    <w:rsid w:val="009626BC"/>
    <w:rsid w:val="009A5006"/>
    <w:rsid w:val="00A34393"/>
    <w:rsid w:val="00A5153B"/>
    <w:rsid w:val="00AE4F67"/>
    <w:rsid w:val="00AF3F0A"/>
    <w:rsid w:val="00B1248F"/>
    <w:rsid w:val="00BF2285"/>
    <w:rsid w:val="00C4206F"/>
    <w:rsid w:val="00CC48D9"/>
    <w:rsid w:val="00E279C1"/>
    <w:rsid w:val="00E569BE"/>
    <w:rsid w:val="00E96CA8"/>
    <w:rsid w:val="00EA236F"/>
    <w:rsid w:val="00ED6DC3"/>
    <w:rsid w:val="00F125D4"/>
    <w:rsid w:val="00F1656C"/>
    <w:rsid w:val="00F251BB"/>
    <w:rsid w:val="00F53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F47D38-9035-43CA-98D2-16660869A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4206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4206F"/>
    <w:rPr>
      <w:rFonts w:ascii="Tahoma" w:hAnsi="Tahoma" w:cs="Tahoma"/>
      <w:sz w:val="16"/>
      <w:szCs w:val="16"/>
    </w:rPr>
  </w:style>
  <w:style w:type="paragraph" w:styleId="Prrafodelista">
    <w:name w:val="List Paragraph"/>
    <w:basedOn w:val="Normal"/>
    <w:uiPriority w:val="34"/>
    <w:qFormat/>
    <w:rsid w:val="00C4206F"/>
    <w:pPr>
      <w:ind w:left="720"/>
      <w:contextualSpacing/>
    </w:pPr>
  </w:style>
  <w:style w:type="paragraph" w:styleId="NormalWeb">
    <w:name w:val="Normal (Web)"/>
    <w:basedOn w:val="Normal"/>
    <w:uiPriority w:val="99"/>
    <w:semiHidden/>
    <w:unhideWhenUsed/>
    <w:rsid w:val="00A5153B"/>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477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517</Words>
  <Characters>2849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ECNA JANET VASQUEZ HERRERA</dc:creator>
  <cp:lastModifiedBy>DIBIE - JOSE CORREA RODRIGUEZ</cp:lastModifiedBy>
  <cp:revision>7</cp:revision>
  <dcterms:created xsi:type="dcterms:W3CDTF">2018-04-09T16:03:00Z</dcterms:created>
  <dcterms:modified xsi:type="dcterms:W3CDTF">2018-07-30T13:04:00Z</dcterms:modified>
</cp:coreProperties>
</file>